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9"/>
        <w:spacing w:line="20" w:lineRule="exact"/>
        <w:ind w:left="556"/>
        <w:rPr>
          <w:rFonts w:ascii="Times New Roman"/>
          <w:sz w:val="2"/>
        </w:rPr>
      </w:pPr>
      <w:r>
        <w:rPr>
          <w:rFonts w:ascii="Times New Roman" w:hAnsi="宋体" w:eastAsia="宋体" w:cs="宋体"/>
          <w:sz w:val="2"/>
          <w:szCs w:val="22"/>
          <w:lang w:val="zh-CN" w:eastAsia="zh-CN" w:bidi="zh-CN"/>
        </w:rPr>
        <w:pict>
          <v:group id="组合 2" o:spid="_x0000_s1054" style="height:0.75pt;width:455.1pt;rotation:0f;" coordorigin="0,7" coordsize="9102,0">
            <o:lock v:ext="edit" position="f" selection="f" grouping="f" rotation="f" cropping="f" text="f" aspectratio="f"/>
            <v:line id="直线 3" o:spid="_x0000_s1055" style="position:absolute;left:0;top:7;height:0;width:9102;rotation:0f;" o:ole="f" fillcolor="#FFFFFF" filled="f" o:preferrelative="t" stroked="t" coordsize="21600,21600">
              <v:fill on="f" color2="#FFFFFF" focus="0%"/>
              <v:stroke weight="0.72pt" color="#000000" color2="#FFFFFF" miterlimit="2"/>
              <v:imagedata gain="65536f" blacklevel="0f" gamma="0"/>
              <o:lock v:ext="edit" position="f" selection="f" grouping="f" rotation="f" cropping="f" text="f" aspectratio="f"/>
            </v:line>
            <w10:wrap type="none"/>
            <w10:anchorlock/>
          </v:group>
        </w:pict>
      </w:r>
    </w:p>
    <w:p>
      <w:pPr>
        <w:pStyle w:val="9"/>
        <w:spacing w:before="2"/>
        <w:rPr>
          <w:rFonts w:ascii="Times New Roman"/>
          <w:sz w:val="9"/>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25"/>
        </w:rPr>
      </w:pPr>
    </w:p>
    <w:p>
      <w:pPr>
        <w:spacing w:before="38" w:line="364" w:lineRule="auto"/>
        <w:ind w:left="884" w:right="727" w:firstLine="0"/>
        <w:jc w:val="center"/>
        <w:rPr>
          <w:rFonts w:hint="eastAsia" w:ascii="黑体" w:eastAsia="黑体"/>
          <w:b w:val="0"/>
          <w:bCs w:val="0"/>
          <w:sz w:val="44"/>
        </w:rPr>
      </w:pPr>
      <w:r>
        <w:rPr>
          <w:rFonts w:hint="eastAsia" w:ascii="黑体" w:eastAsia="黑体"/>
          <w:b w:val="0"/>
          <w:bCs w:val="0"/>
          <w:sz w:val="44"/>
        </w:rPr>
        <w:t>干箱A岀口箱改造工程项目</w:t>
      </w:r>
    </w:p>
    <w:p>
      <w:pPr>
        <w:pStyle w:val="9"/>
        <w:rPr>
          <w:rFonts w:ascii="黑体"/>
          <w:b/>
          <w:sz w:val="44"/>
        </w:rPr>
      </w:pPr>
    </w:p>
    <w:p>
      <w:pPr>
        <w:spacing w:before="290"/>
        <w:ind w:left="870" w:right="727" w:firstLine="0"/>
        <w:jc w:val="center"/>
        <w:rPr>
          <w:rFonts w:hint="eastAsia" w:ascii="黑体" w:eastAsia="黑体"/>
          <w:b/>
          <w:w w:val="95"/>
          <w:sz w:val="44"/>
        </w:rPr>
      </w:pPr>
    </w:p>
    <w:p>
      <w:pPr>
        <w:spacing w:before="290"/>
        <w:ind w:left="870" w:right="727" w:firstLine="0"/>
        <w:jc w:val="center"/>
        <w:rPr>
          <w:rFonts w:hint="eastAsia" w:ascii="黑体" w:eastAsia="黑体"/>
          <w:b/>
          <w:sz w:val="44"/>
        </w:rPr>
      </w:pPr>
      <w:r>
        <w:rPr>
          <w:rFonts w:hint="eastAsia" w:ascii="黑体" w:eastAsia="黑体"/>
          <w:b/>
          <w:w w:val="95"/>
          <w:sz w:val="44"/>
        </w:rPr>
        <w:t>招标文件</w:t>
      </w:r>
    </w:p>
    <w:p>
      <w:pPr>
        <w:pStyle w:val="9"/>
        <w:rPr>
          <w:b/>
          <w:sz w:val="28"/>
        </w:rPr>
      </w:pPr>
    </w:p>
    <w:p>
      <w:pPr>
        <w:pStyle w:val="9"/>
        <w:rPr>
          <w:b/>
          <w:sz w:val="28"/>
        </w:rPr>
      </w:pPr>
    </w:p>
    <w:p>
      <w:pPr>
        <w:pStyle w:val="9"/>
        <w:rPr>
          <w:b/>
          <w:sz w:val="28"/>
        </w:rPr>
      </w:pPr>
    </w:p>
    <w:p>
      <w:pPr>
        <w:pStyle w:val="9"/>
        <w:rPr>
          <w:b/>
          <w:sz w:val="28"/>
        </w:rPr>
      </w:pPr>
    </w:p>
    <w:p>
      <w:pPr>
        <w:pStyle w:val="9"/>
        <w:rPr>
          <w:b/>
          <w:sz w:val="28"/>
        </w:rPr>
      </w:pPr>
    </w:p>
    <w:p>
      <w:pPr>
        <w:pStyle w:val="9"/>
        <w:rPr>
          <w:b/>
          <w:sz w:val="28"/>
        </w:rPr>
      </w:pPr>
    </w:p>
    <w:p>
      <w:pPr>
        <w:pStyle w:val="9"/>
        <w:rPr>
          <w:b/>
          <w:sz w:val="28"/>
        </w:rPr>
      </w:pPr>
    </w:p>
    <w:p>
      <w:pPr>
        <w:pStyle w:val="9"/>
        <w:rPr>
          <w:b/>
          <w:sz w:val="28"/>
        </w:rPr>
      </w:pPr>
    </w:p>
    <w:p>
      <w:pPr>
        <w:pStyle w:val="9"/>
        <w:rPr>
          <w:b/>
          <w:sz w:val="28"/>
        </w:rPr>
      </w:pPr>
    </w:p>
    <w:p>
      <w:pPr>
        <w:pStyle w:val="9"/>
        <w:rPr>
          <w:b/>
          <w:sz w:val="28"/>
        </w:rPr>
      </w:pPr>
    </w:p>
    <w:p>
      <w:pPr>
        <w:pStyle w:val="9"/>
        <w:rPr>
          <w:b/>
          <w:sz w:val="28"/>
        </w:rPr>
      </w:pPr>
    </w:p>
    <w:p>
      <w:pPr>
        <w:pStyle w:val="9"/>
        <w:rPr>
          <w:b/>
          <w:sz w:val="28"/>
        </w:rPr>
      </w:pPr>
    </w:p>
    <w:p>
      <w:pPr>
        <w:pStyle w:val="9"/>
        <w:rPr>
          <w:b/>
          <w:sz w:val="28"/>
        </w:rPr>
      </w:pPr>
    </w:p>
    <w:p>
      <w:pPr>
        <w:pStyle w:val="9"/>
        <w:rPr>
          <w:b/>
          <w:sz w:val="28"/>
        </w:rPr>
      </w:pPr>
    </w:p>
    <w:p>
      <w:pPr>
        <w:pStyle w:val="9"/>
        <w:spacing w:before="2"/>
        <w:rPr>
          <w:b/>
          <w:sz w:val="41"/>
        </w:rPr>
      </w:pPr>
    </w:p>
    <w:p>
      <w:pPr>
        <w:snapToGrid/>
        <w:spacing w:before="0" w:beforeAutospacing="0" w:after="0" w:afterAutospacing="0" w:line="600" w:lineRule="exact"/>
        <w:ind w:firstLine="1120" w:firstLineChars="400"/>
        <w:jc w:val="both"/>
        <w:textAlignment w:val="baseline"/>
        <w:rPr>
          <w:rFonts w:ascii="宋体" w:hAnsi="宋体" w:eastAsia="宋体"/>
          <w:b w:val="0"/>
          <w:i w:val="0"/>
          <w:caps w:val="0"/>
          <w:spacing w:val="0"/>
          <w:w w:val="100"/>
          <w:sz w:val="28"/>
          <w:u w:val="single"/>
        </w:rPr>
      </w:pPr>
      <w:r>
        <w:rPr>
          <w:rFonts w:hint="eastAsia" w:ascii="宋体" w:hAnsi="宋体" w:eastAsia="宋体"/>
          <w:b w:val="0"/>
          <w:i w:val="0"/>
          <w:caps w:val="0"/>
          <w:spacing w:val="0"/>
          <w:w w:val="100"/>
          <w:sz w:val="28"/>
        </w:rPr>
        <w:t>招 标 单 位：</w:t>
      </w:r>
      <w:r>
        <w:rPr>
          <w:rFonts w:hint="eastAsia" w:ascii="宋体" w:hAnsi="宋体" w:eastAsia="宋体" w:cs="楷体_GB2312"/>
          <w:b/>
          <w:i w:val="0"/>
          <w:caps w:val="0"/>
          <w:spacing w:val="0"/>
          <w:w w:val="100"/>
          <w:sz w:val="28"/>
          <w:u w:val="single"/>
        </w:rPr>
        <w:t>寰宇东方国际集装箱（青岛）有限公司</w:t>
      </w:r>
    </w:p>
    <w:p>
      <w:pPr>
        <w:snapToGrid/>
        <w:spacing w:before="0" w:beforeAutospacing="0" w:after="0" w:afterAutospacing="0" w:line="600" w:lineRule="exact"/>
        <w:ind w:firstLine="1120" w:firstLineChars="400"/>
        <w:jc w:val="both"/>
        <w:textAlignment w:val="baseline"/>
        <w:rPr>
          <w:rFonts w:hint="eastAsia" w:ascii="宋体" w:hAnsi="宋体" w:eastAsia="宋体"/>
          <w:b w:val="0"/>
          <w:i w:val="0"/>
          <w:caps w:val="0"/>
          <w:spacing w:val="0"/>
          <w:w w:val="100"/>
          <w:sz w:val="28"/>
          <w:u w:val="single"/>
        </w:rPr>
      </w:pPr>
      <w:r>
        <w:rPr>
          <w:rFonts w:hint="eastAsia" w:ascii="宋体" w:hAnsi="宋体" w:eastAsia="宋体"/>
          <w:b w:val="0"/>
          <w:i w:val="0"/>
          <w:caps w:val="0"/>
          <w:spacing w:val="0"/>
          <w:w w:val="100"/>
          <w:sz w:val="28"/>
        </w:rPr>
        <w:t>招标代理机构：</w:t>
      </w:r>
      <w:r>
        <w:rPr>
          <w:rFonts w:hint="eastAsia" w:ascii="宋体" w:hAnsi="宋体" w:eastAsia="宋体" w:cs="楷体_GB2312"/>
          <w:b/>
          <w:i w:val="0"/>
          <w:caps w:val="0"/>
          <w:spacing w:val="0"/>
          <w:w w:val="100"/>
          <w:sz w:val="28"/>
          <w:u w:val="single"/>
        </w:rPr>
        <w:t>上海东方投资监理有限公司</w:t>
      </w:r>
    </w:p>
    <w:p>
      <w:pPr>
        <w:snapToGrid/>
        <w:spacing w:before="0" w:beforeAutospacing="0" w:after="0" w:afterAutospacing="0" w:line="600" w:lineRule="exact"/>
        <w:jc w:val="both"/>
        <w:textAlignment w:val="baseline"/>
        <w:rPr>
          <w:rFonts w:hint="eastAsia" w:ascii="宋体" w:hAnsi="宋体" w:eastAsia="宋体"/>
          <w:b w:val="0"/>
          <w:i w:val="0"/>
          <w:caps w:val="0"/>
          <w:spacing w:val="0"/>
          <w:w w:val="100"/>
          <w:sz w:val="28"/>
        </w:rPr>
      </w:pPr>
    </w:p>
    <w:p>
      <w:pPr>
        <w:snapToGrid/>
        <w:spacing w:before="0" w:beforeAutospacing="0" w:after="0" w:afterAutospacing="0" w:line="600" w:lineRule="exact"/>
        <w:ind w:firstLine="2240" w:firstLineChars="800"/>
        <w:jc w:val="both"/>
        <w:textAlignment w:val="baseline"/>
        <w:rPr>
          <w:rFonts w:ascii="宋体" w:hAnsi="宋体" w:eastAsia="宋体"/>
          <w:b w:val="0"/>
          <w:i w:val="0"/>
          <w:caps w:val="0"/>
          <w:spacing w:val="0"/>
          <w:w w:val="100"/>
          <w:sz w:val="28"/>
        </w:rPr>
      </w:pPr>
      <w:r>
        <w:rPr>
          <w:rFonts w:hint="eastAsia" w:ascii="宋体" w:hAnsi="宋体" w:eastAsia="宋体"/>
          <w:b w:val="0"/>
          <w:i w:val="0"/>
          <w:caps w:val="0"/>
          <w:spacing w:val="0"/>
          <w:w w:val="100"/>
          <w:sz w:val="28"/>
        </w:rPr>
        <w:t>日       期：</w:t>
      </w:r>
      <w:r>
        <w:rPr>
          <w:rFonts w:hint="eastAsia" w:ascii="宋体" w:hAnsi="宋体" w:eastAsia="宋体" w:cs="楷体_GB2312"/>
          <w:b/>
          <w:i w:val="0"/>
          <w:caps w:val="0"/>
          <w:spacing w:val="0"/>
          <w:w w:val="100"/>
          <w:sz w:val="28"/>
          <w:u w:val="single"/>
        </w:rPr>
        <w:t xml:space="preserve">  202</w:t>
      </w:r>
      <w:r>
        <w:rPr>
          <w:rFonts w:hint="eastAsia" w:ascii="宋体" w:hAnsi="宋体" w:cs="楷体_GB2312"/>
          <w:b/>
          <w:i w:val="0"/>
          <w:caps w:val="0"/>
          <w:spacing w:val="0"/>
          <w:w w:val="100"/>
          <w:sz w:val="28"/>
          <w:u w:val="single"/>
          <w:lang w:val="en-US" w:eastAsia="zh-CN"/>
        </w:rPr>
        <w:t>1</w:t>
      </w:r>
      <w:r>
        <w:rPr>
          <w:rFonts w:hint="eastAsia" w:ascii="宋体" w:hAnsi="宋体" w:eastAsia="宋体" w:cs="楷体_GB2312"/>
          <w:b/>
          <w:i w:val="0"/>
          <w:caps w:val="0"/>
          <w:spacing w:val="0"/>
          <w:w w:val="100"/>
          <w:sz w:val="28"/>
          <w:u w:val="single"/>
        </w:rPr>
        <w:t xml:space="preserve">  </w:t>
      </w:r>
      <w:r>
        <w:rPr>
          <w:rFonts w:hint="eastAsia" w:ascii="宋体" w:hAnsi="宋体" w:eastAsia="宋体" w:cs="楷体_GB2312"/>
          <w:b/>
          <w:i w:val="0"/>
          <w:caps w:val="0"/>
          <w:spacing w:val="0"/>
          <w:w w:val="100"/>
          <w:sz w:val="28"/>
        </w:rPr>
        <w:t>年</w:t>
      </w:r>
      <w:r>
        <w:rPr>
          <w:rFonts w:hint="eastAsia" w:ascii="宋体" w:hAnsi="宋体" w:eastAsia="宋体" w:cs="楷体_GB2312"/>
          <w:b/>
          <w:i w:val="0"/>
          <w:caps w:val="0"/>
          <w:spacing w:val="0"/>
          <w:w w:val="100"/>
          <w:sz w:val="28"/>
          <w:u w:val="single"/>
        </w:rPr>
        <w:t xml:space="preserve"> </w:t>
      </w:r>
      <w:r>
        <w:rPr>
          <w:rFonts w:hint="eastAsia" w:cs="楷体_GB2312"/>
          <w:b/>
          <w:i w:val="0"/>
          <w:caps w:val="0"/>
          <w:spacing w:val="0"/>
          <w:w w:val="100"/>
          <w:sz w:val="28"/>
          <w:u w:val="single"/>
          <w:lang w:val="en-US" w:eastAsia="zh-CN"/>
        </w:rPr>
        <w:t>8</w:t>
      </w:r>
      <w:r>
        <w:rPr>
          <w:rFonts w:hint="eastAsia" w:ascii="宋体" w:hAnsi="宋体" w:eastAsia="宋体" w:cs="楷体_GB2312"/>
          <w:b/>
          <w:i w:val="0"/>
          <w:caps w:val="0"/>
          <w:spacing w:val="0"/>
          <w:w w:val="100"/>
          <w:sz w:val="28"/>
        </w:rPr>
        <w:t>月</w:t>
      </w:r>
      <w:r>
        <w:rPr>
          <w:rFonts w:hint="eastAsia" w:ascii="宋体" w:hAnsi="宋体" w:eastAsia="宋体" w:cs="楷体_GB2312"/>
          <w:b/>
          <w:i w:val="0"/>
          <w:caps w:val="0"/>
          <w:spacing w:val="0"/>
          <w:w w:val="100"/>
          <w:sz w:val="28"/>
          <w:u w:val="single"/>
        </w:rPr>
        <w:t xml:space="preserve"> </w:t>
      </w:r>
      <w:r>
        <w:rPr>
          <w:rFonts w:hint="eastAsia" w:cs="楷体_GB2312"/>
          <w:b/>
          <w:i w:val="0"/>
          <w:caps w:val="0"/>
          <w:spacing w:val="0"/>
          <w:w w:val="100"/>
          <w:sz w:val="28"/>
          <w:u w:val="single"/>
          <w:lang w:val="en-US" w:eastAsia="zh-CN"/>
        </w:rPr>
        <w:t>5</w:t>
      </w:r>
      <w:r>
        <w:rPr>
          <w:rFonts w:hint="eastAsia" w:ascii="宋体" w:hAnsi="宋体" w:eastAsia="宋体" w:cs="楷体_GB2312"/>
          <w:b/>
          <w:i w:val="0"/>
          <w:caps w:val="0"/>
          <w:spacing w:val="0"/>
          <w:w w:val="100"/>
          <w:sz w:val="28"/>
          <w:u w:val="single"/>
        </w:rPr>
        <w:t xml:space="preserve"> </w:t>
      </w:r>
      <w:r>
        <w:rPr>
          <w:rFonts w:hint="eastAsia" w:ascii="宋体" w:hAnsi="宋体" w:eastAsia="宋体" w:cs="楷体_GB2312"/>
          <w:b/>
          <w:i w:val="0"/>
          <w:caps w:val="0"/>
          <w:spacing w:val="0"/>
          <w:w w:val="100"/>
          <w:sz w:val="28"/>
        </w:rPr>
        <w:t>日</w:t>
      </w:r>
    </w:p>
    <w:p>
      <w:pPr>
        <w:snapToGrid/>
        <w:spacing w:before="0" w:beforeAutospacing="0" w:after="0" w:afterAutospacing="0" w:line="360" w:lineRule="auto"/>
        <w:jc w:val="center"/>
        <w:textAlignment w:val="baseline"/>
        <w:rPr>
          <w:rFonts w:hint="eastAsia" w:eastAsia="黑体"/>
          <w:b w:val="0"/>
          <w:i w:val="0"/>
          <w:caps w:val="0"/>
          <w:spacing w:val="0"/>
          <w:w w:val="100"/>
          <w:sz w:val="24"/>
        </w:rPr>
      </w:pPr>
    </w:p>
    <w:p>
      <w:pPr>
        <w:pStyle w:val="9"/>
        <w:spacing w:before="6"/>
        <w:rPr>
          <w:b/>
          <w:sz w:val="3"/>
        </w:rPr>
      </w:pPr>
    </w:p>
    <w:p>
      <w:pPr>
        <w:pStyle w:val="9"/>
        <w:spacing w:line="20" w:lineRule="exact"/>
        <w:ind w:left="893"/>
        <w:rPr>
          <w:b/>
          <w:sz w:val="36"/>
        </w:rPr>
      </w:pPr>
      <w:r>
        <w:rPr>
          <w:rFonts w:ascii="宋体" w:hAnsi="宋体" w:eastAsia="宋体" w:cs="宋体"/>
          <w:sz w:val="2"/>
          <w:szCs w:val="22"/>
          <w:lang w:val="zh-CN" w:eastAsia="zh-CN" w:bidi="zh-CN"/>
        </w:rPr>
        <w:pict>
          <v:group id="组合 4" o:spid="_x0000_s1056" style="height:0.75pt;width:425.2pt;rotation:0f;" coordorigin="0,7" coordsize="8504,0">
            <o:lock v:ext="edit" position="f" selection="f" grouping="f" rotation="f" cropping="f" text="f" aspectratio="f"/>
            <v:line id="直线 5" o:spid="_x0000_s1057" style="position:absolute;left:0;top:7;height:0;width:8504;rotation:0f;" o:ole="f" fillcolor="#FFFFFF" filled="f" o:preferrelative="t" stroked="t" coordsize="21600,21600">
              <v:fill on="f" color2="#FFFFFF" focus="0%"/>
              <v:stroke weight="0.72pt" color="#000000" color2="#FFFFFF" miterlimit="2"/>
              <v:imagedata gain="65536f" blacklevel="0f" gamma="0"/>
              <o:lock v:ext="edit" position="f" selection="f" grouping="f" rotation="f" cropping="f" text="f" aspectratio="f"/>
            </v:line>
            <w10:wrap type="none"/>
            <w10:anchorlock/>
          </v:group>
        </w:pict>
      </w:r>
    </w:p>
    <w:p>
      <w:pPr>
        <w:spacing w:before="213"/>
        <w:ind w:left="590" w:right="727" w:firstLine="0"/>
        <w:jc w:val="center"/>
        <w:rPr>
          <w:b/>
          <w:sz w:val="36"/>
        </w:rPr>
      </w:pPr>
    </w:p>
    <w:p>
      <w:pPr>
        <w:spacing w:before="213"/>
        <w:ind w:left="590" w:right="727" w:firstLine="0"/>
        <w:jc w:val="center"/>
        <w:rPr>
          <w:b/>
          <w:sz w:val="36"/>
        </w:rPr>
      </w:pPr>
      <w:r>
        <w:rPr>
          <w:b/>
          <w:sz w:val="36"/>
        </w:rPr>
        <w:t>目 录</w:t>
      </w:r>
    </w:p>
    <w:p>
      <w:pPr>
        <w:pStyle w:val="10"/>
        <w:tabs>
          <w:tab w:val="left" w:pos="1866"/>
          <w:tab w:val="right" w:leader="dot" w:pos="9399"/>
        </w:tabs>
        <w:spacing w:before="312"/>
      </w:pPr>
      <w:r>
        <w:fldChar w:fldCharType="begin"/>
      </w:r>
      <w:r>
        <w:instrText xml:space="preserve"> HYPERLINK \l "_bookmark0" </w:instrText>
      </w:r>
      <w:r>
        <w:fldChar w:fldCharType="separate"/>
      </w:r>
      <w:r>
        <w:t>第一章</w:t>
      </w:r>
      <w:r>
        <w:tab/>
      </w:r>
      <w:r>
        <w:t>招标公告</w:t>
      </w:r>
      <w:r>
        <w:tab/>
      </w:r>
      <w:r>
        <w:t>2</w:t>
      </w:r>
      <w:r>
        <w:fldChar w:fldCharType="end"/>
      </w:r>
    </w:p>
    <w:p>
      <w:pPr>
        <w:pStyle w:val="10"/>
        <w:tabs>
          <w:tab w:val="left" w:pos="1866"/>
          <w:tab w:val="right" w:leader="dot" w:pos="9399"/>
        </w:tabs>
      </w:pPr>
      <w:r>
        <w:fldChar w:fldCharType="begin"/>
      </w:r>
      <w:r>
        <w:instrText xml:space="preserve"> HYPERLINK \l "_bookmark1" </w:instrText>
      </w:r>
      <w:r>
        <w:fldChar w:fldCharType="separate"/>
      </w:r>
      <w:r>
        <w:t>第二章</w:t>
      </w:r>
      <w:r>
        <w:tab/>
      </w:r>
      <w:r>
        <w:t>投标人须知</w:t>
      </w:r>
      <w:r>
        <w:tab/>
      </w:r>
      <w:r>
        <w:t>5</w:t>
      </w:r>
      <w:r>
        <w:fldChar w:fldCharType="end"/>
      </w:r>
    </w:p>
    <w:p>
      <w:pPr>
        <w:pStyle w:val="11"/>
        <w:tabs>
          <w:tab w:val="right" w:leader="dot" w:pos="9395"/>
        </w:tabs>
        <w:spacing w:before="129"/>
      </w:pPr>
      <w:r>
        <w:fldChar w:fldCharType="begin"/>
      </w:r>
      <w:r>
        <w:instrText xml:space="preserve"> HYPERLINK \l "_bookmark2" </w:instrText>
      </w:r>
      <w:r>
        <w:fldChar w:fldCharType="separate"/>
      </w:r>
      <w:r>
        <w:t>投标人须知前附表</w:t>
      </w:r>
      <w:r>
        <w:tab/>
      </w:r>
      <w:r>
        <w:t>5</w:t>
      </w:r>
      <w:r>
        <w:fldChar w:fldCharType="end"/>
      </w:r>
    </w:p>
    <w:p>
      <w:pPr>
        <w:pStyle w:val="11"/>
        <w:tabs>
          <w:tab w:val="right" w:leader="dot" w:pos="9395"/>
        </w:tabs>
      </w:pPr>
      <w:r>
        <w:fldChar w:fldCharType="begin"/>
      </w:r>
      <w:r>
        <w:instrText xml:space="preserve"> HYPERLINK \l "_bookmark3" </w:instrText>
      </w:r>
      <w:r>
        <w:fldChar w:fldCharType="separate"/>
      </w:r>
      <w:r>
        <w:t>1．总则</w:t>
      </w:r>
      <w:r>
        <w:tab/>
      </w:r>
      <w:r>
        <w:t>11</w:t>
      </w:r>
      <w:r>
        <w:fldChar w:fldCharType="end"/>
      </w:r>
    </w:p>
    <w:p>
      <w:pPr>
        <w:pStyle w:val="11"/>
        <w:numPr>
          <w:ilvl w:val="0"/>
          <w:numId w:val="1"/>
        </w:numPr>
        <w:tabs>
          <w:tab w:val="left" w:pos="1801"/>
          <w:tab w:val="right" w:leader="dot" w:pos="9395"/>
        </w:tabs>
        <w:spacing w:before="135" w:after="0" w:line="240" w:lineRule="auto"/>
        <w:ind w:left="1800" w:right="0" w:hanging="362"/>
        <w:jc w:val="left"/>
      </w:pPr>
      <w:r>
        <w:fldChar w:fldCharType="begin"/>
      </w:r>
      <w:r>
        <w:instrText xml:space="preserve"> HYPERLINK \l "_bookmark4" </w:instrText>
      </w:r>
      <w:r>
        <w:fldChar w:fldCharType="separate"/>
      </w:r>
      <w:r>
        <w:t>招标文件</w:t>
      </w:r>
      <w:r>
        <w:tab/>
      </w:r>
      <w:r>
        <w:t>14</w:t>
      </w:r>
      <w:r>
        <w:fldChar w:fldCharType="end"/>
      </w:r>
    </w:p>
    <w:p>
      <w:pPr>
        <w:pStyle w:val="11"/>
        <w:numPr>
          <w:ilvl w:val="0"/>
          <w:numId w:val="1"/>
        </w:numPr>
        <w:tabs>
          <w:tab w:val="left" w:pos="1801"/>
          <w:tab w:val="right" w:leader="dot" w:pos="9395"/>
        </w:tabs>
        <w:spacing w:before="131" w:after="0" w:line="240" w:lineRule="auto"/>
        <w:ind w:left="1800" w:right="0" w:hanging="362"/>
        <w:jc w:val="left"/>
      </w:pPr>
      <w:r>
        <w:fldChar w:fldCharType="begin"/>
      </w:r>
      <w:r>
        <w:instrText xml:space="preserve"> HYPERLINK \l "_bookmark5" </w:instrText>
      </w:r>
      <w:r>
        <w:fldChar w:fldCharType="separate"/>
      </w:r>
      <w:r>
        <w:t>投标文件</w:t>
      </w:r>
      <w:r>
        <w:tab/>
      </w:r>
      <w:r>
        <w:t>12</w:t>
      </w:r>
      <w:r>
        <w:fldChar w:fldCharType="end"/>
      </w:r>
    </w:p>
    <w:p>
      <w:pPr>
        <w:pStyle w:val="11"/>
        <w:tabs>
          <w:tab w:val="right" w:leader="dot" w:pos="9395"/>
        </w:tabs>
        <w:spacing w:before="132"/>
      </w:pPr>
      <w:r>
        <w:fldChar w:fldCharType="begin"/>
      </w:r>
      <w:r>
        <w:instrText xml:space="preserve"> HYPERLINK \l "_bookmark6" </w:instrText>
      </w:r>
      <w:r>
        <w:fldChar w:fldCharType="separate"/>
      </w:r>
      <w:r>
        <w:t>4．投标</w:t>
      </w:r>
      <w:r>
        <w:tab/>
      </w:r>
      <w:r>
        <w:t>15</w:t>
      </w:r>
      <w:r>
        <w:fldChar w:fldCharType="end"/>
      </w:r>
    </w:p>
    <w:p>
      <w:pPr>
        <w:pStyle w:val="11"/>
        <w:tabs>
          <w:tab w:val="right" w:leader="dot" w:pos="9395"/>
        </w:tabs>
        <w:spacing w:before="134"/>
      </w:pPr>
      <w:r>
        <w:fldChar w:fldCharType="begin"/>
      </w:r>
      <w:r>
        <w:instrText xml:space="preserve"> HYPERLINK \l "_bookmark7" </w:instrText>
      </w:r>
      <w:r>
        <w:fldChar w:fldCharType="separate"/>
      </w:r>
      <w:r>
        <w:t>5．开标</w:t>
      </w:r>
      <w:r>
        <w:tab/>
      </w:r>
      <w:r>
        <w:t>16</w:t>
      </w:r>
      <w:r>
        <w:fldChar w:fldCharType="end"/>
      </w:r>
    </w:p>
    <w:p>
      <w:pPr>
        <w:pStyle w:val="11"/>
        <w:tabs>
          <w:tab w:val="right" w:leader="dot" w:pos="9395"/>
        </w:tabs>
        <w:spacing w:before="132"/>
      </w:pPr>
      <w:r>
        <w:fldChar w:fldCharType="begin"/>
      </w:r>
      <w:r>
        <w:instrText xml:space="preserve"> HYPERLINK \l "_bookmark8" </w:instrText>
      </w:r>
      <w:r>
        <w:fldChar w:fldCharType="separate"/>
      </w:r>
      <w:r>
        <w:t>6．评标</w:t>
      </w:r>
      <w:r>
        <w:tab/>
      </w:r>
      <w:r>
        <w:t>16</w:t>
      </w:r>
      <w:r>
        <w:fldChar w:fldCharType="end"/>
      </w:r>
    </w:p>
    <w:p>
      <w:pPr>
        <w:pStyle w:val="11"/>
        <w:numPr>
          <w:ilvl w:val="0"/>
          <w:numId w:val="2"/>
        </w:numPr>
        <w:tabs>
          <w:tab w:val="left" w:pos="1801"/>
          <w:tab w:val="right" w:leader="dot" w:pos="9395"/>
        </w:tabs>
        <w:spacing w:before="131" w:after="0" w:line="240" w:lineRule="auto"/>
        <w:ind w:left="1800" w:right="0" w:hanging="362"/>
        <w:jc w:val="left"/>
      </w:pPr>
      <w:r>
        <w:fldChar w:fldCharType="begin"/>
      </w:r>
      <w:r>
        <w:instrText xml:space="preserve"> HYPERLINK \l "_TOC_250000" </w:instrText>
      </w:r>
      <w:r>
        <w:fldChar w:fldCharType="separate"/>
      </w:r>
      <w:r>
        <w:t>定标、中标及合同授予</w:t>
      </w:r>
      <w:r>
        <w:tab/>
      </w:r>
      <w:r>
        <w:t>18</w:t>
      </w:r>
      <w:r>
        <w:fldChar w:fldCharType="end"/>
      </w:r>
    </w:p>
    <w:p>
      <w:pPr>
        <w:pStyle w:val="11"/>
        <w:numPr>
          <w:ilvl w:val="0"/>
          <w:numId w:val="2"/>
        </w:numPr>
        <w:tabs>
          <w:tab w:val="left" w:pos="1801"/>
          <w:tab w:val="right" w:leader="dot" w:pos="9395"/>
        </w:tabs>
        <w:spacing w:before="135" w:after="0" w:line="240" w:lineRule="auto"/>
        <w:ind w:left="1800" w:right="0" w:hanging="362"/>
        <w:jc w:val="left"/>
      </w:pPr>
      <w:r>
        <w:fldChar w:fldCharType="begin"/>
      </w:r>
      <w:r>
        <w:instrText xml:space="preserve"> HYPERLINK \l "_bookmark9" </w:instrText>
      </w:r>
      <w:r>
        <w:fldChar w:fldCharType="separate"/>
      </w:r>
      <w:r>
        <w:t>重新招标和不再招标</w:t>
      </w:r>
      <w:r>
        <w:tab/>
      </w:r>
      <w:r>
        <w:t>18</w:t>
      </w:r>
      <w:r>
        <w:fldChar w:fldCharType="end"/>
      </w:r>
    </w:p>
    <w:p>
      <w:pPr>
        <w:pStyle w:val="11"/>
        <w:numPr>
          <w:ilvl w:val="0"/>
          <w:numId w:val="2"/>
        </w:numPr>
        <w:tabs>
          <w:tab w:val="left" w:pos="1801"/>
          <w:tab w:val="right" w:leader="dot" w:pos="9395"/>
        </w:tabs>
        <w:spacing w:before="131" w:after="0" w:line="240" w:lineRule="auto"/>
        <w:ind w:left="1800" w:right="0" w:hanging="362"/>
        <w:jc w:val="left"/>
      </w:pPr>
      <w:r>
        <w:fldChar w:fldCharType="begin"/>
      </w:r>
      <w:r>
        <w:instrText xml:space="preserve"> HYPERLINK \l "_bookmark10" </w:instrText>
      </w:r>
      <w:r>
        <w:fldChar w:fldCharType="separate"/>
      </w:r>
      <w:r>
        <w:t>纪律和监督</w:t>
      </w:r>
      <w:r>
        <w:tab/>
      </w:r>
      <w:r>
        <w:t>18</w:t>
      </w:r>
      <w:r>
        <w:fldChar w:fldCharType="end"/>
      </w:r>
    </w:p>
    <w:p>
      <w:pPr>
        <w:pStyle w:val="11"/>
        <w:numPr>
          <w:ilvl w:val="0"/>
          <w:numId w:val="2"/>
        </w:numPr>
        <w:tabs>
          <w:tab w:val="left" w:pos="1921"/>
          <w:tab w:val="right" w:leader="dot" w:pos="9395"/>
        </w:tabs>
        <w:spacing w:before="132" w:after="0" w:line="240" w:lineRule="auto"/>
        <w:ind w:left="1920" w:right="0" w:hanging="482"/>
        <w:jc w:val="left"/>
      </w:pPr>
      <w:r>
        <w:fldChar w:fldCharType="begin"/>
      </w:r>
      <w:r>
        <w:instrText xml:space="preserve"> HYPERLINK \l "_bookmark11" </w:instrText>
      </w:r>
      <w:r>
        <w:fldChar w:fldCharType="separate"/>
      </w:r>
      <w:r>
        <w:t>其他注意事项</w:t>
      </w:r>
      <w:r>
        <w:tab/>
      </w:r>
      <w:r>
        <w:t>19</w:t>
      </w:r>
      <w:r>
        <w:fldChar w:fldCharType="end"/>
      </w:r>
    </w:p>
    <w:p>
      <w:pPr>
        <w:pStyle w:val="11"/>
        <w:tabs>
          <w:tab w:val="right" w:leader="dot" w:pos="9395"/>
        </w:tabs>
        <w:spacing w:before="134"/>
      </w:pPr>
      <w:r>
        <w:fldChar w:fldCharType="begin"/>
      </w:r>
      <w:r>
        <w:instrText xml:space="preserve"> HYPERLINK \l "_bookmark12" </w:instrText>
      </w:r>
      <w:r>
        <w:fldChar w:fldCharType="separate"/>
      </w:r>
      <w:r>
        <w:t>附件:投标保证金提交与退还操作须知</w:t>
      </w:r>
      <w:r>
        <w:tab/>
      </w:r>
      <w:r>
        <w:t>20</w:t>
      </w:r>
      <w:r>
        <w:fldChar w:fldCharType="end"/>
      </w:r>
    </w:p>
    <w:p>
      <w:pPr>
        <w:pStyle w:val="10"/>
        <w:tabs>
          <w:tab w:val="left" w:pos="1866"/>
          <w:tab w:val="right" w:leader="dot" w:pos="9399"/>
        </w:tabs>
        <w:spacing w:before="115"/>
      </w:pPr>
      <w:r>
        <w:fldChar w:fldCharType="begin"/>
      </w:r>
      <w:r>
        <w:instrText xml:space="preserve"> HYPERLINK \l "_bookmark13" </w:instrText>
      </w:r>
      <w:r>
        <w:fldChar w:fldCharType="separate"/>
      </w:r>
      <w:r>
        <w:t>第三章</w:t>
      </w:r>
      <w:r>
        <w:tab/>
      </w:r>
      <w:r>
        <w:t>评标办法</w:t>
      </w:r>
      <w:r>
        <w:tab/>
      </w:r>
      <w:r>
        <w:t>27</w:t>
      </w:r>
      <w:r>
        <w:fldChar w:fldCharType="end"/>
      </w:r>
    </w:p>
    <w:p>
      <w:pPr>
        <w:pStyle w:val="10"/>
        <w:tabs>
          <w:tab w:val="right" w:leader="dot" w:pos="9399"/>
        </w:tabs>
      </w:pPr>
      <w:r>
        <w:fldChar w:fldCharType="begin"/>
      </w:r>
      <w:r>
        <w:instrText xml:space="preserve"> HYPERLINK \l "_bookmark14" </w:instrText>
      </w:r>
      <w:r>
        <w:fldChar w:fldCharType="separate"/>
      </w:r>
      <w:r>
        <w:t>第四章 合同条款及格式</w:t>
      </w:r>
      <w:r>
        <w:tab/>
      </w:r>
      <w:r>
        <w:t>24</w:t>
      </w:r>
      <w:r>
        <w:fldChar w:fldCharType="end"/>
      </w:r>
    </w:p>
    <w:p>
      <w:pPr>
        <w:pStyle w:val="10"/>
        <w:tabs>
          <w:tab w:val="left" w:pos="1866"/>
          <w:tab w:val="right" w:leader="dot" w:pos="9399"/>
        </w:tabs>
        <w:spacing w:before="112"/>
      </w:pPr>
      <w:r>
        <w:fldChar w:fldCharType="begin"/>
      </w:r>
      <w:r>
        <w:instrText xml:space="preserve"> HYPERLINK \l "_bookmark15" </w:instrText>
      </w:r>
      <w:r>
        <w:fldChar w:fldCharType="separate"/>
      </w:r>
      <w:r>
        <w:t>第五章</w:t>
      </w:r>
      <w:r>
        <w:tab/>
      </w:r>
      <w:r>
        <w:t>工程量清单</w:t>
      </w:r>
      <w:r>
        <w:tab/>
      </w:r>
      <w:r>
        <w:t>6</w:t>
      </w:r>
      <w:r>
        <w:fldChar w:fldCharType="end"/>
      </w:r>
      <w:r>
        <w:t>1</w:t>
      </w:r>
    </w:p>
    <w:p>
      <w:pPr>
        <w:pStyle w:val="10"/>
        <w:tabs>
          <w:tab w:val="left" w:pos="1866"/>
          <w:tab w:val="left" w:pos="2346"/>
          <w:tab w:val="right" w:leader="dot" w:pos="9399"/>
        </w:tabs>
      </w:pPr>
      <w:r>
        <w:fldChar w:fldCharType="begin"/>
      </w:r>
      <w:r>
        <w:instrText xml:space="preserve"> HYPERLINK \l "_bookmark16" </w:instrText>
      </w:r>
      <w:r>
        <w:fldChar w:fldCharType="separate"/>
      </w:r>
      <w:r>
        <w:t>第六章</w:t>
      </w:r>
      <w:r>
        <w:tab/>
      </w:r>
      <w:r>
        <w:t>图</w:t>
      </w:r>
      <w:r>
        <w:tab/>
      </w:r>
      <w:r>
        <w:t>纸</w:t>
      </w:r>
      <w:r>
        <w:tab/>
      </w:r>
      <w:r>
        <w:t>9</w:t>
      </w:r>
      <w:r>
        <w:fldChar w:fldCharType="end"/>
      </w:r>
      <w:r>
        <w:t>1</w:t>
      </w:r>
    </w:p>
    <w:p>
      <w:pPr>
        <w:pStyle w:val="10"/>
        <w:tabs>
          <w:tab w:val="left" w:pos="1866"/>
          <w:tab w:val="right" w:leader="dot" w:pos="9399"/>
        </w:tabs>
        <w:spacing w:before="112"/>
      </w:pPr>
      <w:r>
        <w:fldChar w:fldCharType="begin"/>
      </w:r>
      <w:r>
        <w:instrText xml:space="preserve"> HYPERLINK \l "_bookmark17" </w:instrText>
      </w:r>
      <w:r>
        <w:fldChar w:fldCharType="separate"/>
      </w:r>
      <w:r>
        <w:t>第七章</w:t>
      </w:r>
      <w:r>
        <w:tab/>
      </w:r>
      <w:r>
        <w:t>技术标准和要求（含材料报价表）</w:t>
      </w:r>
      <w:r>
        <w:tab/>
      </w:r>
      <w:r>
        <w:t>9</w:t>
      </w:r>
      <w:r>
        <w:fldChar w:fldCharType="end"/>
      </w:r>
      <w:r>
        <w:t>2</w:t>
      </w:r>
    </w:p>
    <w:p>
      <w:pPr>
        <w:pStyle w:val="10"/>
        <w:tabs>
          <w:tab w:val="left" w:pos="1866"/>
          <w:tab w:val="right" w:leader="dot" w:pos="9399"/>
        </w:tabs>
      </w:pPr>
      <w:r>
        <w:fldChar w:fldCharType="begin"/>
      </w:r>
      <w:r>
        <w:instrText xml:space="preserve"> HYPERLINK \l "_bookmark18" </w:instrText>
      </w:r>
      <w:r>
        <w:fldChar w:fldCharType="separate"/>
      </w:r>
      <w:r>
        <w:t>第八章</w:t>
      </w:r>
      <w:r>
        <w:tab/>
      </w:r>
      <w:r>
        <w:t>投标文件格式</w:t>
      </w:r>
      <w:r>
        <w:tab/>
      </w:r>
      <w:r>
        <w:t>113</w:t>
      </w:r>
      <w:r>
        <w:fldChar w:fldCharType="end"/>
      </w:r>
    </w:p>
    <w:p>
      <w:pPr>
        <w:spacing w:after="0"/>
        <w:sectPr>
          <w:headerReference r:id="rId4" w:type="default"/>
          <w:footerReference r:id="rId5" w:type="default"/>
          <w:pgSz w:w="11910" w:h="16840"/>
          <w:pgMar w:top="1040" w:right="660" w:bottom="1040" w:left="800" w:header="858" w:footer="852" w:gutter="0"/>
          <w:pgNumType w:start="1"/>
          <w:cols w:space="720" w:num="1"/>
        </w:sectPr>
      </w:pPr>
    </w:p>
    <w:p>
      <w:pPr>
        <w:pStyle w:val="9"/>
        <w:spacing w:before="8"/>
        <w:rPr>
          <w:sz w:val="32"/>
        </w:rPr>
      </w:pPr>
    </w:p>
    <w:p>
      <w:pPr>
        <w:pStyle w:val="2"/>
        <w:tabs>
          <w:tab w:val="left" w:pos="1444"/>
        </w:tabs>
        <w:spacing w:before="0"/>
        <w:ind w:right="274"/>
      </w:pPr>
      <w:bookmarkStart w:id="0" w:name="_bookmark0"/>
      <w:bookmarkEnd w:id="0"/>
      <w:bookmarkStart w:id="1" w:name="第一章  招标公告"/>
      <w:bookmarkEnd w:id="1"/>
      <w:r>
        <w:t>第一章</w:t>
      </w:r>
      <w:r>
        <w:tab/>
      </w:r>
      <w:r>
        <w:t>招标公告</w:t>
      </w:r>
    </w:p>
    <w:p>
      <w:pPr>
        <w:pStyle w:val="9"/>
        <w:rPr>
          <w:b/>
          <w:sz w:val="36"/>
        </w:rPr>
      </w:pPr>
    </w:p>
    <w:p>
      <w:pPr>
        <w:snapToGrid w:val="0"/>
        <w:spacing w:before="0" w:beforeAutospacing="0" w:after="0" w:afterAutospacing="0" w:line="360" w:lineRule="auto"/>
        <w:ind w:firstLine="396" w:firstLineChars="200"/>
        <w:jc w:val="left"/>
        <w:textAlignment w:val="baseline"/>
      </w:pPr>
      <w:r>
        <w:rPr>
          <w:spacing w:val="-11"/>
        </w:rPr>
        <w:t>根据《中华人民共和国招标投标法》及相关规定，</w:t>
      </w:r>
      <w:r>
        <w:rPr>
          <w:rFonts w:hint="eastAsia" w:ascii="宋体" w:hAnsi="宋体" w:eastAsia="宋体" w:cs="楷体_GB2312"/>
          <w:b w:val="0"/>
          <w:bCs/>
          <w:i w:val="0"/>
          <w:caps w:val="0"/>
          <w:spacing w:val="0"/>
          <w:w w:val="100"/>
          <w:sz w:val="22"/>
          <w:szCs w:val="22"/>
          <w:u w:val="single"/>
        </w:rPr>
        <w:t>上海东方投资监理有限公司</w:t>
      </w:r>
      <w:r>
        <w:rPr>
          <w:rFonts w:ascii="宋体" w:hAnsi="宋体"/>
          <w:b w:val="0"/>
          <w:i w:val="0"/>
          <w:caps w:val="0"/>
          <w:spacing w:val="0"/>
          <w:w w:val="100"/>
          <w:kern w:val="0"/>
          <w:sz w:val="22"/>
          <w:szCs w:val="22"/>
          <w:highlight w:val="none"/>
          <w:u w:val="single"/>
        </w:rPr>
        <w:fldChar w:fldCharType="begin"/>
      </w:r>
      <w:r>
        <w:rPr>
          <w:rFonts w:ascii="宋体" w:hAnsi="宋体"/>
          <w:b w:val="0"/>
          <w:i w:val="0"/>
          <w:caps w:val="0"/>
          <w:spacing w:val="0"/>
          <w:w w:val="100"/>
          <w:kern w:val="0"/>
          <w:sz w:val="22"/>
          <w:szCs w:val="22"/>
          <w:highlight w:val="none"/>
          <w:u w:val="single"/>
        </w:rPr>
        <w:instrText xml:space="preserve"> AUTOTEXT  input243 \* MERGEFORMAT </w:instrText>
      </w:r>
      <w:r>
        <w:rPr>
          <w:rFonts w:ascii="宋体" w:hAnsi="宋体"/>
          <w:b w:val="0"/>
          <w:i w:val="0"/>
          <w:caps w:val="0"/>
          <w:spacing w:val="0"/>
          <w:w w:val="100"/>
          <w:kern w:val="0"/>
          <w:sz w:val="22"/>
          <w:szCs w:val="22"/>
          <w:highlight w:val="none"/>
          <w:u w:val="single"/>
        </w:rPr>
        <w:fldChar w:fldCharType="separate"/>
      </w:r>
      <w:r>
        <w:rPr>
          <w:rFonts w:ascii="宋体" w:hAnsi="宋体"/>
          <w:b w:val="0"/>
          <w:i w:val="0"/>
          <w:caps w:val="0"/>
          <w:spacing w:val="0"/>
          <w:w w:val="100"/>
          <w:kern w:val="0"/>
          <w:sz w:val="22"/>
          <w:szCs w:val="22"/>
          <w:highlight w:val="none"/>
          <w:u w:val="single"/>
        </w:rPr>
        <w:fldChar w:fldCharType="end"/>
      </w:r>
      <w:r>
        <w:rPr>
          <w:spacing w:val="-11"/>
          <w:sz w:val="22"/>
          <w:szCs w:val="22"/>
        </w:rPr>
        <w:t>受</w:t>
      </w:r>
      <w:r>
        <w:rPr>
          <w:rFonts w:ascii="宋体" w:hAnsi="宋体" w:cs="宋体"/>
          <w:b w:val="0"/>
          <w:i w:val="0"/>
          <w:caps w:val="0"/>
          <w:color w:val="000000"/>
          <w:spacing w:val="0"/>
          <w:w w:val="100"/>
          <w:sz w:val="22"/>
          <w:szCs w:val="22"/>
          <w:u w:val="single" w:color="000000"/>
        </w:rPr>
        <w:t>寰宇东方国际集装箱（青岛）有限公司</w:t>
      </w:r>
      <w:r>
        <w:rPr>
          <w:rFonts w:ascii="宋体" w:hAnsi="宋体"/>
          <w:b w:val="0"/>
          <w:i w:val="0"/>
          <w:caps w:val="0"/>
          <w:spacing w:val="0"/>
          <w:w w:val="100"/>
          <w:kern w:val="0"/>
          <w:sz w:val="20"/>
          <w:szCs w:val="21"/>
          <w:highlight w:val="none"/>
          <w:u w:val="single"/>
        </w:rPr>
        <w:fldChar w:fldCharType="begin"/>
      </w:r>
      <w:r>
        <w:rPr>
          <w:rFonts w:ascii="宋体" w:hAnsi="宋体"/>
          <w:b w:val="0"/>
          <w:i w:val="0"/>
          <w:caps w:val="0"/>
          <w:spacing w:val="0"/>
          <w:w w:val="100"/>
          <w:kern w:val="0"/>
          <w:sz w:val="20"/>
          <w:szCs w:val="21"/>
          <w:highlight w:val="none"/>
          <w:u w:val="single"/>
        </w:rPr>
        <w:instrText xml:space="preserve"> AUTOTEXT  input243 \* MERGEFORMAT </w:instrText>
      </w:r>
      <w:r>
        <w:rPr>
          <w:rFonts w:ascii="宋体" w:hAnsi="宋体"/>
          <w:b w:val="0"/>
          <w:i w:val="0"/>
          <w:caps w:val="0"/>
          <w:spacing w:val="0"/>
          <w:w w:val="100"/>
          <w:kern w:val="0"/>
          <w:sz w:val="20"/>
          <w:szCs w:val="21"/>
          <w:highlight w:val="none"/>
          <w:u w:val="single"/>
        </w:rPr>
        <w:fldChar w:fldCharType="separate"/>
      </w:r>
      <w:r>
        <w:rPr>
          <w:rFonts w:ascii="宋体" w:hAnsi="宋体"/>
          <w:b w:val="0"/>
          <w:i w:val="0"/>
          <w:caps w:val="0"/>
          <w:spacing w:val="0"/>
          <w:w w:val="100"/>
          <w:kern w:val="0"/>
          <w:sz w:val="20"/>
          <w:szCs w:val="21"/>
          <w:highlight w:val="none"/>
          <w:u w:val="single"/>
        </w:rPr>
        <w:fldChar w:fldCharType="end"/>
      </w:r>
      <w:r>
        <w:t>委托，对</w:t>
      </w:r>
      <w:r>
        <w:rPr>
          <w:rFonts w:hint="eastAsia" w:ascii="宋体" w:hAnsi="宋体"/>
          <w:b/>
          <w:bCs/>
          <w:i w:val="0"/>
          <w:caps w:val="0"/>
          <w:spacing w:val="0"/>
          <w:w w:val="100"/>
          <w:sz w:val="22"/>
          <w:u w:val="single"/>
          <w:lang w:val="en-US" w:eastAsia="zh-CN"/>
        </w:rPr>
        <w:t>干箱A岀口箱改造</w:t>
      </w:r>
      <w:r>
        <w:rPr>
          <w:rStyle w:val="15"/>
          <w:rFonts w:ascii="宋体" w:hAnsi="宋体"/>
          <w:b/>
          <w:i w:val="0"/>
          <w:caps w:val="0"/>
          <w:spacing w:val="0"/>
          <w:w w:val="100"/>
          <w:kern w:val="2"/>
          <w:sz w:val="24"/>
          <w:szCs w:val="24"/>
          <w:u w:val="single"/>
          <w:lang w:val="en-US" w:eastAsia="zh-CN" w:bidi="ar-SA"/>
        </w:rPr>
        <w:t>工程</w:t>
      </w:r>
      <w:r>
        <w:t>项目进行国内公开招标，特邀请合格的投标人前来投标。</w:t>
      </w:r>
    </w:p>
    <w:p>
      <w:pPr>
        <w:pStyle w:val="6"/>
        <w:spacing w:before="2"/>
        <w:ind w:right="0"/>
        <w:jc w:val="left"/>
      </w:pPr>
      <w:r>
        <w:t>一、 项目概况</w:t>
      </w:r>
    </w:p>
    <w:p>
      <w:pPr>
        <w:pStyle w:val="7"/>
        <w:numPr>
          <w:ilvl w:val="0"/>
          <w:numId w:val="3"/>
        </w:numPr>
        <w:tabs>
          <w:tab w:val="left" w:pos="574"/>
        </w:tabs>
        <w:spacing w:before="161" w:after="0" w:line="240" w:lineRule="auto"/>
        <w:ind w:left="573" w:right="0" w:hanging="242"/>
        <w:jc w:val="left"/>
      </w:pPr>
      <w:r>
        <w:t xml:space="preserve">项目名称： </w:t>
      </w:r>
      <w:r>
        <w:rPr>
          <w:rFonts w:hint="eastAsia" w:ascii="宋体" w:hAnsi="宋体"/>
          <w:b/>
          <w:bCs/>
          <w:i w:val="0"/>
          <w:caps w:val="0"/>
          <w:spacing w:val="0"/>
          <w:w w:val="100"/>
          <w:sz w:val="22"/>
          <w:u w:val="none"/>
          <w:lang w:val="en-US" w:eastAsia="zh-CN"/>
        </w:rPr>
        <w:t>干箱A岀口箱改造</w:t>
      </w:r>
      <w:r>
        <w:rPr>
          <w:rStyle w:val="15"/>
          <w:rFonts w:ascii="宋体" w:hAnsi="宋体"/>
          <w:b/>
          <w:i w:val="0"/>
          <w:caps w:val="0"/>
          <w:spacing w:val="0"/>
          <w:w w:val="100"/>
          <w:kern w:val="2"/>
          <w:sz w:val="24"/>
          <w:szCs w:val="24"/>
          <w:u w:val="none"/>
          <w:lang w:val="en-US" w:eastAsia="zh-CN" w:bidi="ar-SA"/>
        </w:rPr>
        <w:t>工程</w:t>
      </w:r>
      <w:r>
        <w:rPr>
          <w:u w:val="none"/>
        </w:rPr>
        <w:t>项目</w:t>
      </w:r>
    </w:p>
    <w:p>
      <w:pPr>
        <w:pStyle w:val="7"/>
        <w:numPr>
          <w:ilvl w:val="0"/>
          <w:numId w:val="3"/>
        </w:numPr>
        <w:tabs>
          <w:tab w:val="left" w:pos="574"/>
        </w:tabs>
        <w:spacing w:before="160" w:after="0" w:line="240" w:lineRule="auto"/>
        <w:ind w:left="573" w:right="0" w:hanging="242"/>
        <w:jc w:val="left"/>
        <w:rPr>
          <w:rFonts w:hint="default"/>
          <w:lang w:val="en-US"/>
        </w:rPr>
      </w:pPr>
      <w:r>
        <w:t>项目编号：</w:t>
      </w:r>
      <w:r>
        <w:rPr>
          <w:rFonts w:hint="eastAsia"/>
          <w:lang w:val="en-US" w:eastAsia="zh-CN"/>
        </w:rPr>
        <w:t>/</w:t>
      </w:r>
    </w:p>
    <w:p>
      <w:pPr>
        <w:pStyle w:val="7"/>
        <w:numPr>
          <w:ilvl w:val="0"/>
          <w:numId w:val="3"/>
        </w:numPr>
        <w:tabs>
          <w:tab w:val="left" w:pos="574"/>
        </w:tabs>
        <w:spacing w:before="161" w:after="0" w:line="364" w:lineRule="auto"/>
        <w:ind w:left="332" w:right="493" w:firstLine="0"/>
        <w:jc w:val="left"/>
      </w:pPr>
      <w:r>
        <w:rPr>
          <w:spacing w:val="-16"/>
        </w:rPr>
        <w:t>项目主要内容：</w:t>
      </w:r>
      <w:r>
        <w:rPr>
          <w:rFonts w:hint="eastAsia" w:ascii="宋体" w:hAnsi="宋体"/>
          <w:b/>
          <w:bCs/>
          <w:i w:val="0"/>
          <w:caps w:val="0"/>
          <w:spacing w:val="0"/>
          <w:w w:val="100"/>
          <w:sz w:val="22"/>
          <w:u w:val="single"/>
          <w:lang w:val="en-US" w:eastAsia="zh-CN"/>
        </w:rPr>
        <w:t>干箱A岀口箱改造</w:t>
      </w:r>
      <w:r>
        <w:rPr>
          <w:rStyle w:val="15"/>
          <w:rFonts w:ascii="宋体" w:hAnsi="宋体"/>
          <w:b/>
          <w:i w:val="0"/>
          <w:caps w:val="0"/>
          <w:spacing w:val="0"/>
          <w:w w:val="100"/>
          <w:kern w:val="2"/>
          <w:sz w:val="24"/>
          <w:szCs w:val="24"/>
          <w:u w:val="single"/>
          <w:lang w:val="en-US" w:eastAsia="zh-CN" w:bidi="ar-SA"/>
        </w:rPr>
        <w:t>工程</w:t>
      </w:r>
      <w:r>
        <w:rPr>
          <w:spacing w:val="-16"/>
        </w:rPr>
        <w:t xml:space="preserve">，包含但不限于： </w:t>
      </w:r>
      <w:r>
        <w:rPr>
          <w:spacing w:val="-9"/>
        </w:rPr>
        <w:t>原有</w:t>
      </w:r>
      <w:r>
        <w:rPr>
          <w:rFonts w:hint="eastAsia"/>
          <w:spacing w:val="-9"/>
        </w:rPr>
        <w:t>地面设备基础</w:t>
      </w:r>
      <w:r>
        <w:rPr>
          <w:spacing w:val="-9"/>
        </w:rPr>
        <w:t>拆除、</w:t>
      </w:r>
      <w:r>
        <w:rPr>
          <w:rFonts w:hint="eastAsia"/>
          <w:spacing w:val="-9"/>
        </w:rPr>
        <w:t>地下管线拆除</w:t>
      </w:r>
      <w:r>
        <w:rPr>
          <w:spacing w:val="-9"/>
        </w:rPr>
        <w:t>等。具体施工要求以提供的设计图纸、招标文件有关条款为准，工程现场状况以现场实际踏勘为准。</w:t>
      </w:r>
    </w:p>
    <w:p>
      <w:pPr>
        <w:pStyle w:val="7"/>
        <w:numPr>
          <w:ilvl w:val="0"/>
          <w:numId w:val="3"/>
        </w:numPr>
        <w:tabs>
          <w:tab w:val="left" w:pos="574"/>
        </w:tabs>
        <w:spacing w:before="1" w:after="0" w:line="240" w:lineRule="auto"/>
        <w:ind w:left="573" w:right="0" w:hanging="242"/>
        <w:jc w:val="left"/>
      </w:pPr>
      <w:r>
        <w:t>项目地点：</w:t>
      </w:r>
      <w:r>
        <w:rPr>
          <w:rFonts w:ascii="宋体" w:hAnsi="宋体" w:cs="宋体"/>
          <w:b/>
          <w:bCs/>
          <w:i w:val="0"/>
          <w:caps w:val="0"/>
          <w:color w:val="000000"/>
          <w:spacing w:val="0"/>
          <w:w w:val="100"/>
          <w:sz w:val="20"/>
          <w:szCs w:val="20"/>
          <w:u w:val="single" w:color="000000"/>
        </w:rPr>
        <w:t>青岛西海岸新区</w:t>
      </w:r>
      <w:r>
        <w:rPr>
          <w:rFonts w:hint="eastAsia" w:cs="宋体"/>
          <w:b/>
          <w:bCs/>
          <w:i w:val="0"/>
          <w:caps w:val="0"/>
          <w:color w:val="000000"/>
          <w:spacing w:val="0"/>
          <w:w w:val="100"/>
          <w:sz w:val="20"/>
          <w:szCs w:val="20"/>
          <w:u w:val="single" w:color="000000"/>
          <w:lang w:val="en-US" w:eastAsia="zh-CN"/>
        </w:rPr>
        <w:t>茂山路373</w:t>
      </w:r>
      <w:r>
        <w:rPr>
          <w:rFonts w:ascii="宋体" w:hAnsi="宋体" w:cs="宋体"/>
          <w:b/>
          <w:bCs/>
          <w:i w:val="0"/>
          <w:caps w:val="0"/>
          <w:color w:val="000000"/>
          <w:spacing w:val="0"/>
          <w:w w:val="100"/>
          <w:sz w:val="20"/>
          <w:szCs w:val="20"/>
          <w:u w:val="single" w:color="000000"/>
        </w:rPr>
        <w:t>号</w:t>
      </w:r>
    </w:p>
    <w:p>
      <w:pPr>
        <w:pStyle w:val="7"/>
        <w:numPr>
          <w:ilvl w:val="0"/>
          <w:numId w:val="3"/>
        </w:numPr>
        <w:tabs>
          <w:tab w:val="left" w:pos="574"/>
        </w:tabs>
        <w:spacing w:before="161" w:after="0" w:line="240" w:lineRule="auto"/>
        <w:ind w:left="573" w:right="0" w:hanging="242"/>
        <w:jc w:val="left"/>
      </w:pPr>
      <w:r>
        <w:t>工期要求：45</w:t>
      </w:r>
      <w:r>
        <w:rPr>
          <w:spacing w:val="-30"/>
        </w:rPr>
        <w:t xml:space="preserve"> 天</w:t>
      </w:r>
    </w:p>
    <w:p>
      <w:pPr>
        <w:pStyle w:val="7"/>
        <w:jc w:val="both"/>
      </w:pPr>
      <w:r>
        <w:t>6.招标控制价：</w:t>
      </w:r>
      <w:r>
        <w:rPr>
          <w:rFonts w:hint="eastAsia"/>
          <w:lang w:val="en-US" w:eastAsia="zh-CN"/>
        </w:rPr>
        <w:t>250.00</w:t>
      </w:r>
      <w:r>
        <w:t>万元（人民币）</w:t>
      </w:r>
    </w:p>
    <w:p>
      <w:pPr>
        <w:pStyle w:val="7"/>
        <w:spacing w:before="160" w:line="364" w:lineRule="auto"/>
        <w:ind w:right="609"/>
        <w:jc w:val="both"/>
      </w:pPr>
      <w:r>
        <w:t>7.</w:t>
      </w:r>
      <w:r>
        <w:rPr>
          <w:spacing w:val="-10"/>
        </w:rPr>
        <w:t>招标范围：本工程项目施工范围包括依据招标文件、招标图纸、工程量清单与工程规范所示的内容，及所有按设计要求、按工程规范要求、按国家规范或地方规定需达到的节能、环</w:t>
      </w:r>
      <w:r>
        <w:t>保要求。</w:t>
      </w:r>
    </w:p>
    <w:p>
      <w:pPr>
        <w:pStyle w:val="9"/>
        <w:rPr>
          <w:sz w:val="24"/>
        </w:rPr>
      </w:pPr>
    </w:p>
    <w:p>
      <w:pPr>
        <w:pStyle w:val="6"/>
        <w:spacing w:before="162"/>
        <w:ind w:right="0"/>
        <w:jc w:val="both"/>
      </w:pPr>
      <w:r>
        <w:t>二、 合格的投标人必须具备以下条件</w:t>
      </w:r>
    </w:p>
    <w:p>
      <w:pPr>
        <w:pStyle w:val="7"/>
        <w:numPr>
          <w:ilvl w:val="0"/>
          <w:numId w:val="4"/>
        </w:numPr>
        <w:tabs>
          <w:tab w:val="left" w:pos="574"/>
        </w:tabs>
        <w:spacing w:before="161" w:after="0" w:line="240" w:lineRule="auto"/>
        <w:ind w:left="573" w:right="0" w:hanging="242"/>
        <w:jc w:val="left"/>
      </w:pPr>
      <w:bookmarkStart w:id="2" w:name="1.满足《中华人民共和国政府采购法》第二十二条规定；"/>
      <w:bookmarkEnd w:id="2"/>
      <w:r>
        <w:t>满足《中华人民共和国政府采购法》第二十二条规定；</w:t>
      </w:r>
    </w:p>
    <w:p>
      <w:pPr>
        <w:pStyle w:val="7"/>
        <w:numPr>
          <w:ilvl w:val="0"/>
          <w:numId w:val="4"/>
        </w:numPr>
        <w:tabs>
          <w:tab w:val="left" w:pos="574"/>
        </w:tabs>
        <w:spacing w:before="160" w:after="0" w:line="240" w:lineRule="auto"/>
        <w:ind w:left="573" w:right="0" w:hanging="242"/>
        <w:jc w:val="left"/>
      </w:pPr>
      <w:bookmarkStart w:id="3" w:name="2.落实政府采购政策需满足的资格要求：无"/>
      <w:bookmarkEnd w:id="3"/>
      <w:r>
        <w:t>落实政府采购政策需满足的资格要求：无</w:t>
      </w:r>
    </w:p>
    <w:p>
      <w:pPr>
        <w:pStyle w:val="7"/>
        <w:numPr>
          <w:ilvl w:val="0"/>
          <w:numId w:val="4"/>
        </w:numPr>
        <w:tabs>
          <w:tab w:val="left" w:pos="574"/>
        </w:tabs>
        <w:spacing w:before="161" w:after="0" w:line="240" w:lineRule="auto"/>
        <w:ind w:left="573" w:right="0" w:hanging="242"/>
        <w:jc w:val="left"/>
      </w:pPr>
      <w:bookmarkStart w:id="4" w:name="3.本项目的特定资格要求："/>
      <w:bookmarkEnd w:id="4"/>
      <w:r>
        <w:t>本项目的特定资格要求：</w:t>
      </w:r>
    </w:p>
    <w:p>
      <w:pPr>
        <w:pStyle w:val="7"/>
        <w:numPr>
          <w:ilvl w:val="1"/>
          <w:numId w:val="4"/>
        </w:numPr>
        <w:tabs>
          <w:tab w:val="left" w:pos="1054"/>
        </w:tabs>
        <w:spacing w:before="160" w:after="0" w:line="240" w:lineRule="auto"/>
        <w:ind w:left="1053" w:right="0" w:hanging="362"/>
        <w:jc w:val="left"/>
      </w:pPr>
      <w:bookmarkStart w:id="5" w:name="1）、投标人具有独立法人资格及合法有效营业执照；"/>
      <w:bookmarkEnd w:id="5"/>
      <w:r>
        <w:t>、投标人具有独立法人资格及合法有效营业执照；</w:t>
      </w:r>
    </w:p>
    <w:p>
      <w:pPr>
        <w:pStyle w:val="7"/>
        <w:numPr>
          <w:ilvl w:val="1"/>
          <w:numId w:val="4"/>
        </w:numPr>
        <w:tabs>
          <w:tab w:val="left" w:pos="1054"/>
        </w:tabs>
        <w:spacing w:before="161" w:after="0" w:line="364" w:lineRule="auto"/>
        <w:ind w:left="332" w:right="613" w:firstLine="360"/>
        <w:jc w:val="left"/>
      </w:pPr>
      <w:bookmarkStart w:id="6" w:name="2）、投标人具有住建部建筑工程施工总承包三级及以上资质、建筑装饰装修工程施工二级"/>
      <w:bookmarkEnd w:id="6"/>
      <w:r>
        <w:rPr>
          <w:spacing w:val="-8"/>
        </w:rPr>
        <w:t>、投标人具有住建部建筑工程施工总承包三级及以上资质</w:t>
      </w:r>
      <w:r>
        <w:rPr>
          <w:spacing w:val="-4"/>
        </w:rPr>
        <w:t>，并具有安全生产许可证；</w:t>
      </w:r>
    </w:p>
    <w:p>
      <w:pPr>
        <w:pStyle w:val="7"/>
        <w:numPr>
          <w:ilvl w:val="1"/>
          <w:numId w:val="4"/>
        </w:numPr>
        <w:tabs>
          <w:tab w:val="left" w:pos="1054"/>
        </w:tabs>
        <w:spacing w:before="1" w:after="0" w:line="364" w:lineRule="auto"/>
        <w:ind w:left="332" w:right="609" w:firstLine="360"/>
        <w:jc w:val="left"/>
      </w:pPr>
      <w:bookmarkStart w:id="7" w:name="3）、投标人的项目负责人须具备建筑工程专业贰级（及以上）注册建造师执业资格，并具"/>
      <w:bookmarkEnd w:id="7"/>
      <w:r>
        <w:rPr>
          <w:spacing w:val="-6"/>
        </w:rPr>
        <w:t>、投标人的项目负责人须具备建筑工程专业贰级</w:t>
      </w:r>
      <w:r>
        <w:rPr>
          <w:spacing w:val="-3"/>
        </w:rPr>
        <w:t>（</w:t>
      </w:r>
      <w:r>
        <w:t>及以上</w:t>
      </w:r>
      <w:r>
        <w:rPr>
          <w:spacing w:val="-20"/>
        </w:rPr>
        <w:t>）</w:t>
      </w:r>
      <w:r>
        <w:rPr>
          <w:spacing w:val="-4"/>
        </w:rPr>
        <w:t>注册建造师执业资格，并</w:t>
      </w:r>
      <w:r>
        <w:t>具备有效的安全生产考核合格证书；</w:t>
      </w:r>
    </w:p>
    <w:p>
      <w:pPr>
        <w:pStyle w:val="7"/>
        <w:spacing w:before="1" w:line="364" w:lineRule="auto"/>
        <w:ind w:right="612" w:firstLine="360"/>
      </w:pPr>
      <w:bookmarkStart w:id="8" w:name="4）、投标人近三年（从2018年6月1日至今）未被列入“信用中国”网站(www."/>
      <w:bookmarkEnd w:id="8"/>
      <w:r>
        <w:t>4</w:t>
      </w:r>
      <w:r>
        <w:rPr>
          <w:spacing w:val="-80"/>
        </w:rPr>
        <w:t xml:space="preserve"> </w:t>
      </w:r>
      <w:r>
        <w:t>）</w:t>
      </w:r>
      <w:r>
        <w:rPr>
          <w:spacing w:val="23"/>
        </w:rPr>
        <w:t xml:space="preserve"> 、投标人近三年</w:t>
      </w:r>
      <w:r>
        <w:t>（</w:t>
      </w:r>
      <w:r>
        <w:rPr>
          <w:spacing w:val="-35"/>
        </w:rPr>
        <w:t xml:space="preserve"> 从 </w:t>
      </w:r>
      <w:r>
        <w:t>2018</w:t>
      </w:r>
      <w:r>
        <w:rPr>
          <w:spacing w:val="-14"/>
        </w:rPr>
        <w:t xml:space="preserve"> 年 </w:t>
      </w:r>
      <w:r>
        <w:t>6</w:t>
      </w:r>
      <w:r>
        <w:rPr>
          <w:spacing w:val="-14"/>
        </w:rPr>
        <w:t xml:space="preserve"> 月 </w:t>
      </w:r>
      <w:r>
        <w:t>1</w:t>
      </w:r>
      <w:r>
        <w:rPr>
          <w:spacing w:val="23"/>
        </w:rPr>
        <w:t xml:space="preserve"> 日至今</w:t>
      </w:r>
      <w:r>
        <w:t>）</w:t>
      </w:r>
      <w:r>
        <w:rPr>
          <w:spacing w:val="4"/>
        </w:rPr>
        <w:t xml:space="preserve"> 未被列入“ 信用中国” 网站(www.creditchina.gov.cn)</w:t>
      </w:r>
      <w:r>
        <w:rPr>
          <w:spacing w:val="-1"/>
        </w:rPr>
        <w:t xml:space="preserve"> “失信被执行人”、“重大税收违法案件当事人”、“政府采</w:t>
      </w:r>
    </w:p>
    <w:p>
      <w:pPr>
        <w:spacing w:after="0" w:line="364" w:lineRule="auto"/>
        <w:sectPr>
          <w:headerReference r:id="rId6" w:type="default"/>
          <w:pgSz w:w="11910" w:h="16840"/>
          <w:pgMar w:top="1100" w:right="660" w:bottom="1180" w:left="800" w:header="878" w:footer="852" w:gutter="0"/>
          <w:cols w:space="720" w:num="1"/>
        </w:sectPr>
      </w:pPr>
    </w:p>
    <w:p>
      <w:pPr>
        <w:pStyle w:val="9"/>
        <w:spacing w:before="6"/>
        <w:rPr>
          <w:sz w:val="24"/>
        </w:rPr>
      </w:pPr>
    </w:p>
    <w:p>
      <w:pPr>
        <w:pStyle w:val="7"/>
        <w:spacing w:before="66"/>
      </w:pPr>
      <w:r>
        <w:t>购严重违法失信行为”等不良记录，以上述网站查询结果为准；</w:t>
      </w:r>
    </w:p>
    <w:p>
      <w:pPr>
        <w:pStyle w:val="7"/>
        <w:numPr>
          <w:ilvl w:val="0"/>
          <w:numId w:val="5"/>
        </w:numPr>
        <w:tabs>
          <w:tab w:val="left" w:pos="1058"/>
        </w:tabs>
        <w:spacing w:before="161" w:after="0" w:line="240" w:lineRule="auto"/>
        <w:ind w:left="1057" w:right="0" w:hanging="366"/>
        <w:jc w:val="left"/>
      </w:pPr>
      <w:bookmarkStart w:id="9" w:name="5）、投标人“投标单位”、“单位法定代表人”及“本项目负责人”近三年（从2018"/>
      <w:bookmarkEnd w:id="9"/>
      <w:r>
        <w:t>、投标人“投标单位”、“单位法定代表人”及“本项目负责人”近三年（</w:t>
      </w:r>
      <w:r>
        <w:rPr>
          <w:spacing w:val="-27"/>
        </w:rPr>
        <w:t xml:space="preserve">从 </w:t>
      </w:r>
      <w:r>
        <w:t>2018</w:t>
      </w:r>
    </w:p>
    <w:p>
      <w:pPr>
        <w:pStyle w:val="7"/>
        <w:spacing w:before="160" w:line="364" w:lineRule="auto"/>
        <w:ind w:right="613"/>
      </w:pPr>
      <w:r>
        <w:rPr>
          <w:spacing w:val="-31"/>
        </w:rPr>
        <w:t xml:space="preserve">年 </w:t>
      </w:r>
      <w:r>
        <w:t>6</w:t>
      </w:r>
      <w:r>
        <w:rPr>
          <w:spacing w:val="-40"/>
        </w:rPr>
        <w:t xml:space="preserve"> 月 </w:t>
      </w:r>
      <w:r>
        <w:t>1</w:t>
      </w:r>
      <w:r>
        <w:rPr>
          <w:spacing w:val="-15"/>
        </w:rPr>
        <w:t xml:space="preserve"> 日至今</w:t>
      </w:r>
      <w:r>
        <w:t>）无行贿犯罪记录，以中国裁判文书网（</w:t>
      </w:r>
      <w:r>
        <w:fldChar w:fldCharType="begin"/>
      </w:r>
      <w:r>
        <w:instrText xml:space="preserve"> HYPERLINK "http://wenshu.court.gov.cn/" \h </w:instrText>
      </w:r>
      <w:r>
        <w:fldChar w:fldCharType="separate"/>
      </w:r>
      <w:r>
        <w:t>http://wenshu.court.gov.cn/</w:t>
      </w:r>
      <w:r>
        <w:fldChar w:fldCharType="end"/>
      </w:r>
      <w:r>
        <w:t>） 查询结果为准；</w:t>
      </w:r>
    </w:p>
    <w:p>
      <w:pPr>
        <w:pStyle w:val="7"/>
        <w:numPr>
          <w:ilvl w:val="0"/>
          <w:numId w:val="5"/>
        </w:numPr>
        <w:tabs>
          <w:tab w:val="left" w:pos="1054"/>
        </w:tabs>
        <w:spacing w:before="2" w:after="0" w:line="240" w:lineRule="auto"/>
        <w:ind w:left="1053" w:right="0" w:hanging="362"/>
        <w:jc w:val="left"/>
      </w:pPr>
      <w:bookmarkStart w:id="10" w:name="6）、本项目不接受联合体投标，不得转包和分包。"/>
      <w:bookmarkEnd w:id="10"/>
      <w:r>
        <w:t>、本项目不接受联合体投标，不得转包和分包。</w:t>
      </w:r>
    </w:p>
    <w:p>
      <w:pPr>
        <w:pStyle w:val="9"/>
        <w:rPr>
          <w:sz w:val="24"/>
        </w:rPr>
      </w:pPr>
    </w:p>
    <w:p>
      <w:pPr>
        <w:pStyle w:val="6"/>
        <w:spacing w:before="165"/>
        <w:ind w:right="0"/>
        <w:jc w:val="left"/>
      </w:pPr>
      <w:bookmarkStart w:id="11" w:name="三、招标文件的获取"/>
      <w:bookmarkEnd w:id="11"/>
      <w:r>
        <w:t>三、招标文件的获取</w:t>
      </w:r>
    </w:p>
    <w:p>
      <w:pPr>
        <w:pStyle w:val="7"/>
        <w:spacing w:before="160"/>
      </w:pPr>
      <w:r>
        <w:t>符合上述条件的投标人领取招标文件时须携带下列资料：</w:t>
      </w:r>
    </w:p>
    <w:p>
      <w:pPr>
        <w:pStyle w:val="7"/>
        <w:numPr>
          <w:ilvl w:val="0"/>
          <w:numId w:val="6"/>
        </w:numPr>
        <w:tabs>
          <w:tab w:val="left" w:pos="574"/>
        </w:tabs>
        <w:spacing w:before="161" w:after="0" w:line="240" w:lineRule="auto"/>
        <w:ind w:left="573" w:right="0" w:hanging="242"/>
        <w:jc w:val="left"/>
      </w:pPr>
      <w:r>
        <w:rPr>
          <w:spacing w:val="-18"/>
        </w:rPr>
        <w:t>营业执照、组织机构代码证、税务登记证</w:t>
      </w:r>
      <w:r>
        <w:rPr>
          <w:spacing w:val="-3"/>
        </w:rPr>
        <w:t>（</w:t>
      </w:r>
      <w:r>
        <w:rPr>
          <w:spacing w:val="-9"/>
        </w:rPr>
        <w:t>如已办理三证合一，请提供三证合一营业执照</w:t>
      </w:r>
      <w:r>
        <w:rPr>
          <w:spacing w:val="-120"/>
        </w:rPr>
        <w:t>）</w:t>
      </w:r>
      <w:r>
        <w:t>；</w:t>
      </w:r>
    </w:p>
    <w:p>
      <w:pPr>
        <w:pStyle w:val="7"/>
        <w:numPr>
          <w:ilvl w:val="0"/>
          <w:numId w:val="6"/>
        </w:numPr>
        <w:tabs>
          <w:tab w:val="left" w:pos="574"/>
        </w:tabs>
        <w:spacing w:before="160" w:after="0" w:line="240" w:lineRule="auto"/>
        <w:ind w:left="573" w:right="0" w:hanging="242"/>
        <w:jc w:val="left"/>
      </w:pPr>
      <w:r>
        <w:t>企业资质证书及安全生产许可证；</w:t>
      </w:r>
    </w:p>
    <w:p>
      <w:pPr>
        <w:pStyle w:val="7"/>
        <w:numPr>
          <w:ilvl w:val="0"/>
          <w:numId w:val="6"/>
        </w:numPr>
        <w:tabs>
          <w:tab w:val="left" w:pos="574"/>
        </w:tabs>
        <w:spacing w:before="161" w:after="0" w:line="240" w:lineRule="auto"/>
        <w:ind w:left="573" w:right="0" w:hanging="242"/>
        <w:jc w:val="left"/>
      </w:pPr>
      <w:r>
        <w:t>项目经理专业资格证书及具备有效的安全生产考核合格证书；</w:t>
      </w:r>
    </w:p>
    <w:p>
      <w:pPr>
        <w:pStyle w:val="7"/>
        <w:numPr>
          <w:ilvl w:val="0"/>
          <w:numId w:val="6"/>
        </w:numPr>
        <w:tabs>
          <w:tab w:val="left" w:pos="574"/>
        </w:tabs>
        <w:spacing w:before="160" w:after="0" w:line="240" w:lineRule="auto"/>
        <w:ind w:left="573" w:right="0" w:hanging="242"/>
        <w:jc w:val="left"/>
      </w:pPr>
      <w:r>
        <w:t>项目经理无在建证明；</w:t>
      </w:r>
    </w:p>
    <w:p>
      <w:pPr>
        <w:pStyle w:val="7"/>
        <w:numPr>
          <w:ilvl w:val="0"/>
          <w:numId w:val="6"/>
        </w:numPr>
        <w:tabs>
          <w:tab w:val="left" w:pos="574"/>
        </w:tabs>
        <w:spacing w:before="161" w:after="0" w:line="240" w:lineRule="auto"/>
        <w:ind w:left="573" w:right="0" w:hanging="242"/>
        <w:jc w:val="left"/>
      </w:pPr>
      <w:r>
        <w:t>法人证明、法人授权委托书及被授权人身份证；</w:t>
      </w:r>
    </w:p>
    <w:p>
      <w:pPr>
        <w:pStyle w:val="7"/>
        <w:numPr>
          <w:ilvl w:val="0"/>
          <w:numId w:val="6"/>
        </w:numPr>
        <w:tabs>
          <w:tab w:val="left" w:pos="574"/>
        </w:tabs>
        <w:spacing w:before="160" w:after="0" w:line="364" w:lineRule="auto"/>
        <w:ind w:left="332" w:right="391" w:firstLine="0"/>
        <w:jc w:val="left"/>
      </w:pPr>
      <w:r>
        <w:rPr>
          <w:spacing w:val="-4"/>
        </w:rPr>
        <w:t>投标人近三年</w:t>
      </w:r>
      <w:r>
        <w:t>（</w:t>
      </w:r>
      <w:r>
        <w:rPr>
          <w:spacing w:val="-31"/>
        </w:rPr>
        <w:t xml:space="preserve">从 </w:t>
      </w:r>
      <w:r>
        <w:t>2018</w:t>
      </w:r>
      <w:r>
        <w:rPr>
          <w:spacing w:val="-40"/>
        </w:rPr>
        <w:t xml:space="preserve"> 年 </w:t>
      </w:r>
      <w:r>
        <w:t>6</w:t>
      </w:r>
      <w:r>
        <w:rPr>
          <w:spacing w:val="-40"/>
        </w:rPr>
        <w:t xml:space="preserve"> 月 </w:t>
      </w:r>
      <w:r>
        <w:t>1</w:t>
      </w:r>
      <w:r>
        <w:rPr>
          <w:spacing w:val="-15"/>
        </w:rPr>
        <w:t xml:space="preserve"> 日至今</w:t>
      </w:r>
      <w:r>
        <w:rPr>
          <w:spacing w:val="-20"/>
        </w:rPr>
        <w:t>）</w:t>
      </w:r>
      <w:r>
        <w:rPr>
          <w:spacing w:val="-10"/>
        </w:rPr>
        <w:t>未被列入“信用中国”网站 “失信被执行人”、</w:t>
      </w:r>
      <w:r>
        <w:t>“重大税收违法案件当事人”、“政府采购严重违法失信行为”（以网上查询结果为准）； 7.</w:t>
      </w:r>
      <w:r>
        <w:rPr>
          <w:spacing w:val="-12"/>
        </w:rPr>
        <w:t>投标人的“投标单位”、“法定代表人”及“本项目负责人”近三年（</w:t>
      </w:r>
      <w:r>
        <w:rPr>
          <w:spacing w:val="-38"/>
        </w:rPr>
        <w:t xml:space="preserve">从 </w:t>
      </w:r>
      <w:r>
        <w:rPr>
          <w:spacing w:val="-4"/>
        </w:rPr>
        <w:t>2018</w:t>
      </w:r>
      <w:r>
        <w:rPr>
          <w:spacing w:val="-51"/>
        </w:rPr>
        <w:t xml:space="preserve"> 年 </w:t>
      </w:r>
      <w:r>
        <w:t>6</w:t>
      </w:r>
      <w:r>
        <w:rPr>
          <w:spacing w:val="-48"/>
        </w:rPr>
        <w:t xml:space="preserve"> 月 </w:t>
      </w:r>
      <w:r>
        <w:t>1</w:t>
      </w:r>
      <w:r>
        <w:rPr>
          <w:spacing w:val="-27"/>
        </w:rPr>
        <w:t xml:space="preserve"> 日至</w:t>
      </w:r>
      <w:r>
        <w:rPr>
          <w:spacing w:val="-10"/>
        </w:rPr>
        <w:t>今）</w:t>
      </w:r>
      <w:r>
        <w:rPr>
          <w:spacing w:val="-12"/>
        </w:rPr>
        <w:t>在中国裁判文书网</w:t>
      </w:r>
      <w:r>
        <w:rPr>
          <w:spacing w:val="-7"/>
        </w:rPr>
        <w:t>（</w:t>
      </w:r>
      <w:r>
        <w:fldChar w:fldCharType="begin"/>
      </w:r>
      <w:r>
        <w:instrText xml:space="preserve"> HYPERLINK "http://wenshu.court.gov.cn/" \h </w:instrText>
      </w:r>
      <w:r>
        <w:fldChar w:fldCharType="separate"/>
      </w:r>
      <w:r>
        <w:rPr>
          <w:spacing w:val="-7"/>
        </w:rPr>
        <w:t>http://wenshu.court.gov.cn/</w:t>
      </w:r>
      <w:r>
        <w:rPr>
          <w:spacing w:val="-7"/>
        </w:rPr>
        <w:fldChar w:fldCharType="end"/>
      </w:r>
      <w:r>
        <w:rPr>
          <w:spacing w:val="-7"/>
        </w:rPr>
        <w:t>）</w:t>
      </w:r>
      <w:r>
        <w:rPr>
          <w:spacing w:val="-12"/>
        </w:rPr>
        <w:t>无行贿犯罪结果</w:t>
      </w:r>
      <w:r>
        <w:rPr>
          <w:spacing w:val="-10"/>
        </w:rPr>
        <w:t>（</w:t>
      </w:r>
      <w:r>
        <w:rPr>
          <w:spacing w:val="-11"/>
        </w:rPr>
        <w:t xml:space="preserve">以网上查询结果为 </w:t>
      </w:r>
      <w:r>
        <w:rPr>
          <w:spacing w:val="-12"/>
        </w:rPr>
        <w:t>准）</w:t>
      </w:r>
      <w:r>
        <w:t>。</w:t>
      </w:r>
    </w:p>
    <w:p>
      <w:pPr>
        <w:pStyle w:val="6"/>
        <w:spacing w:before="3" w:line="364" w:lineRule="auto"/>
        <w:ind w:right="717" w:firstLine="482"/>
        <w:jc w:val="left"/>
      </w:pPr>
      <w:r>
        <w:t>注</w:t>
      </w:r>
      <w:r>
        <w:rPr>
          <w:b w:val="0"/>
        </w:rPr>
        <w:t>：</w:t>
      </w:r>
      <w:r>
        <w:t>以上资料均必须在有效期内，并提供原件及复印件，复印件须加盖公章，原件审阅后退回。</w:t>
      </w:r>
      <w:r>
        <w:rPr>
          <w:u w:val="single"/>
        </w:rPr>
        <w:t>以上资料须一并制作在投标文件中，否则投标文件将被视为无效。</w:t>
      </w:r>
    </w:p>
    <w:p>
      <w:pPr>
        <w:pStyle w:val="7"/>
        <w:spacing w:before="1" w:line="364" w:lineRule="auto"/>
        <w:ind w:left="452" w:right="613" w:hanging="120"/>
        <w:jc w:val="both"/>
      </w:pPr>
      <w:r>
        <w:rPr>
          <w:spacing w:val="-1"/>
        </w:rPr>
        <w:t xml:space="preserve">凡愿参加投标的合格投标人可自 </w:t>
      </w:r>
      <w:r>
        <w:rPr>
          <w:u w:val="single"/>
        </w:rPr>
        <w:t>2021</w:t>
      </w:r>
      <w:r>
        <w:rPr>
          <w:spacing w:val="-37"/>
          <w:u w:val="single"/>
        </w:rPr>
        <w:t xml:space="preserve"> 年 </w:t>
      </w:r>
      <w:r>
        <w:rPr>
          <w:u w:val="single"/>
        </w:rPr>
        <w:t>0</w:t>
      </w:r>
      <w:r>
        <w:rPr>
          <w:rFonts w:hint="eastAsia"/>
          <w:u w:val="single"/>
          <w:lang w:val="en-US" w:eastAsia="zh-CN"/>
        </w:rPr>
        <w:t>8</w:t>
      </w:r>
      <w:r>
        <w:rPr>
          <w:spacing w:val="-37"/>
          <w:u w:val="single"/>
        </w:rPr>
        <w:t xml:space="preserve">月 </w:t>
      </w:r>
      <w:r>
        <w:rPr>
          <w:rFonts w:hint="eastAsia"/>
          <w:spacing w:val="-37"/>
          <w:u w:val="single"/>
          <w:lang w:val="en-US" w:eastAsia="zh-CN"/>
        </w:rPr>
        <w:t>05</w:t>
      </w:r>
      <w:r>
        <w:rPr>
          <w:spacing w:val="-25"/>
          <w:u w:val="single"/>
        </w:rPr>
        <w:t>日</w:t>
      </w:r>
      <w:r>
        <w:rPr>
          <w:spacing w:val="-3"/>
        </w:rPr>
        <w:t xml:space="preserve">本公告发布之日起至 </w:t>
      </w:r>
      <w:r>
        <w:rPr>
          <w:u w:val="single"/>
        </w:rPr>
        <w:t>2021</w:t>
      </w:r>
      <w:r>
        <w:rPr>
          <w:spacing w:val="-37"/>
          <w:u w:val="single"/>
        </w:rPr>
        <w:t>年</w:t>
      </w:r>
      <w:r>
        <w:rPr>
          <w:u w:val="single"/>
        </w:rPr>
        <w:t>0</w:t>
      </w:r>
      <w:r>
        <w:rPr>
          <w:rFonts w:hint="eastAsia"/>
          <w:u w:val="single"/>
          <w:lang w:val="en-US" w:eastAsia="zh-CN"/>
        </w:rPr>
        <w:t>8</w:t>
      </w:r>
      <w:r>
        <w:rPr>
          <w:spacing w:val="-37"/>
          <w:u w:val="single"/>
        </w:rPr>
        <w:t>月</w:t>
      </w:r>
      <w:r>
        <w:rPr>
          <w:rFonts w:hint="eastAsia"/>
          <w:spacing w:val="-37"/>
          <w:u w:val="single"/>
          <w:lang w:val="en-US" w:eastAsia="zh-CN"/>
        </w:rPr>
        <w:t>09日</w:t>
      </w:r>
      <w:r>
        <w:t>，（北京时间 9：30－11：30，13：30－16：30，双休日及国定假日不接受报名）到</w:t>
      </w:r>
      <w:bookmarkStart w:id="12" w:name="OLE_LINK1"/>
      <w:r>
        <w:rPr>
          <w:rFonts w:hint="eastAsia" w:ascii="宋体" w:hAnsi="宋体"/>
          <w:b w:val="0"/>
          <w:i w:val="0"/>
          <w:caps w:val="0"/>
          <w:spacing w:val="0"/>
          <w:w w:val="100"/>
          <w:kern w:val="0"/>
          <w:sz w:val="24"/>
          <w:szCs w:val="24"/>
          <w:u w:val="single"/>
          <w:lang w:eastAsia="zh-CN"/>
        </w:rPr>
        <w:t>青岛市崂山区海尔路</w:t>
      </w:r>
      <w:r>
        <w:rPr>
          <w:rFonts w:hint="eastAsia" w:ascii="宋体" w:hAnsi="宋体"/>
          <w:b w:val="0"/>
          <w:i w:val="0"/>
          <w:caps w:val="0"/>
          <w:spacing w:val="0"/>
          <w:w w:val="100"/>
          <w:kern w:val="0"/>
          <w:sz w:val="24"/>
          <w:szCs w:val="24"/>
          <w:u w:val="single"/>
          <w:lang w:val="en-US" w:eastAsia="zh-CN"/>
        </w:rPr>
        <w:t>61号天宝国际大厦2号楼8层804户</w:t>
      </w:r>
      <w:bookmarkEnd w:id="12"/>
      <w:r>
        <w:rPr>
          <w:rFonts w:hint="eastAsia" w:ascii="宋体" w:hAnsi="宋体"/>
          <w:b w:val="0"/>
          <w:i w:val="0"/>
          <w:caps w:val="0"/>
          <w:spacing w:val="0"/>
          <w:w w:val="100"/>
          <w:kern w:val="0"/>
          <w:sz w:val="21"/>
          <w:szCs w:val="21"/>
        </w:rPr>
        <w:t>获取</w:t>
      </w:r>
      <w:r>
        <w:rPr>
          <w:spacing w:val="-9"/>
        </w:rPr>
        <w:t>进行报名并购买招标文件。领取招</w:t>
      </w:r>
      <w:r>
        <w:rPr>
          <w:spacing w:val="-11"/>
        </w:rPr>
        <w:t xml:space="preserve">标文件同时，各投标人须以现金形式支付工本费，数额为每本人民币 </w:t>
      </w:r>
      <w:r>
        <w:rPr>
          <w:rFonts w:hint="eastAsia"/>
          <w:lang w:val="en-US" w:eastAsia="zh-CN"/>
        </w:rPr>
        <w:t>10</w:t>
      </w:r>
      <w:r>
        <w:t>00</w:t>
      </w:r>
      <w:r>
        <w:rPr>
          <w:spacing w:val="-8"/>
        </w:rPr>
        <w:t xml:space="preserve"> 元，售后不退。凡愿参加投标的合格投标人应在上述规定的时间内按照规定获取招标文件，逾期不予办理。未按规定获取招标文件的投标将被拒绝。</w:t>
      </w:r>
    </w:p>
    <w:p>
      <w:pPr>
        <w:pStyle w:val="7"/>
        <w:spacing w:before="4" w:line="364" w:lineRule="auto"/>
        <w:ind w:right="613" w:firstLine="480"/>
        <w:jc w:val="both"/>
      </w:pPr>
      <w:r>
        <w:rPr>
          <w:spacing w:val="-10"/>
        </w:rPr>
        <w:t>报名资料如有缺漏，代理单位将拒绝接受其报名。潜在投标人须保证报名及获得招标文</w:t>
      </w:r>
      <w:r>
        <w:rPr>
          <w:spacing w:val="-8"/>
        </w:rPr>
        <w:t>件需提交的资料和所填写内容真实、完整、有效、一致，如因潜在投标人递交虚假材料或填</w:t>
      </w:r>
      <w:r>
        <w:t>写信息错误导致的与本项目有关的任何损失由潜在投标人或填表者承担。</w:t>
      </w:r>
    </w:p>
    <w:p>
      <w:pPr>
        <w:spacing w:after="0" w:line="364" w:lineRule="auto"/>
        <w:jc w:val="both"/>
        <w:sectPr>
          <w:pgSz w:w="11910" w:h="16840"/>
          <w:pgMar w:top="1100" w:right="660" w:bottom="1180" w:left="800" w:header="878" w:footer="852" w:gutter="0"/>
          <w:cols w:space="720" w:num="1"/>
        </w:sectPr>
      </w:pPr>
    </w:p>
    <w:p>
      <w:pPr>
        <w:pStyle w:val="9"/>
        <w:spacing w:before="6"/>
        <w:rPr>
          <w:sz w:val="24"/>
        </w:rPr>
      </w:pPr>
    </w:p>
    <w:p>
      <w:pPr>
        <w:pStyle w:val="6"/>
        <w:spacing w:before="66"/>
        <w:ind w:right="0"/>
        <w:jc w:val="left"/>
      </w:pPr>
      <w:r>
        <w:t>四、 投标截止及开标时间、地址</w:t>
      </w:r>
    </w:p>
    <w:p>
      <w:pPr>
        <w:pStyle w:val="7"/>
        <w:spacing w:line="364" w:lineRule="auto"/>
        <w:ind w:right="612" w:firstLine="480"/>
      </w:pPr>
      <w:r>
        <w:t>投标截止及开标时间：2021</w:t>
      </w:r>
      <w:r>
        <w:rPr>
          <w:spacing w:val="-35"/>
        </w:rPr>
        <w:t xml:space="preserve"> 年 </w:t>
      </w:r>
      <w:r>
        <w:t>0</w:t>
      </w:r>
      <w:r>
        <w:rPr>
          <w:rFonts w:hint="eastAsia"/>
          <w:lang w:val="en-US" w:eastAsia="zh-CN"/>
        </w:rPr>
        <w:t>8</w:t>
      </w:r>
      <w:r>
        <w:rPr>
          <w:spacing w:val="-35"/>
        </w:rPr>
        <w:t xml:space="preserve">月 </w:t>
      </w:r>
      <w:r>
        <w:rPr>
          <w:rFonts w:hint="eastAsia"/>
          <w:lang w:val="en-US" w:eastAsia="zh-CN"/>
        </w:rPr>
        <w:t>27</w:t>
      </w:r>
      <w:r>
        <w:rPr>
          <w:spacing w:val="-22"/>
        </w:rPr>
        <w:t xml:space="preserve"> 日</w:t>
      </w:r>
      <w:r>
        <w:rPr>
          <w:rFonts w:hint="eastAsia"/>
          <w:spacing w:val="-22"/>
        </w:rPr>
        <w:t>下</w:t>
      </w:r>
      <w:r>
        <w:rPr>
          <w:spacing w:val="-22"/>
        </w:rPr>
        <w:t xml:space="preserve">午 </w:t>
      </w:r>
      <w:r>
        <w:t>1</w:t>
      </w:r>
      <w:r>
        <w:rPr>
          <w:rFonts w:hint="eastAsia"/>
          <w:lang w:val="en-US" w:eastAsia="zh-CN"/>
        </w:rPr>
        <w:t>4</w:t>
      </w:r>
      <w:r>
        <w:t>:00</w:t>
      </w:r>
      <w:r>
        <w:rPr>
          <w:spacing w:val="-25"/>
        </w:rPr>
        <w:t xml:space="preserve"> 分</w:t>
      </w:r>
      <w:r>
        <w:t>（北京时间</w:t>
      </w:r>
      <w:r>
        <w:rPr>
          <w:spacing w:val="3"/>
        </w:rPr>
        <w:t>）</w:t>
      </w:r>
      <w:r>
        <w:t>，迟到或不符合规定的投标文件恕不接受。</w:t>
      </w:r>
    </w:p>
    <w:p>
      <w:pPr>
        <w:pStyle w:val="7"/>
        <w:spacing w:before="0" w:line="232" w:lineRule="exact"/>
        <w:ind w:left="812"/>
      </w:pPr>
      <w:r>
        <w:t>开标地址：</w:t>
      </w:r>
      <w:r>
        <w:rPr>
          <w:rFonts w:ascii="宋体" w:hAnsi="宋体" w:cs="宋体"/>
          <w:b w:val="0"/>
          <w:i w:val="0"/>
          <w:caps w:val="0"/>
          <w:color w:val="000000"/>
          <w:spacing w:val="0"/>
          <w:w w:val="100"/>
          <w:sz w:val="24"/>
          <w:szCs w:val="24"/>
          <w:u w:val="single" w:color="000000"/>
        </w:rPr>
        <w:t>青岛西海岸新区茂山路373号</w:t>
      </w:r>
      <w:r>
        <w:t>会议室</w:t>
      </w:r>
    </w:p>
    <w:p>
      <w:pPr>
        <w:pStyle w:val="9"/>
        <w:spacing w:before="9"/>
        <w:rPr>
          <w:sz w:val="30"/>
        </w:rPr>
      </w:pPr>
    </w:p>
    <w:p>
      <w:pPr>
        <w:pStyle w:val="6"/>
        <w:ind w:right="0"/>
        <w:jc w:val="left"/>
      </w:pPr>
      <w:r>
        <w:t>五、 招标人联系方式</w:t>
      </w:r>
    </w:p>
    <w:p>
      <w:pPr>
        <w:snapToGrid w:val="0"/>
        <w:spacing w:before="0" w:beforeAutospacing="0" w:after="0" w:afterAutospacing="0" w:line="360" w:lineRule="auto"/>
        <w:ind w:firstLine="1050" w:firstLineChars="500"/>
        <w:jc w:val="left"/>
        <w:textAlignment w:val="baseline"/>
        <w:rPr>
          <w:rFonts w:hint="eastAsia" w:ascii="宋体" w:hAnsi="宋体"/>
          <w:b w:val="0"/>
          <w:i w:val="0"/>
          <w:caps w:val="0"/>
          <w:spacing w:val="0"/>
          <w:w w:val="100"/>
          <w:kern w:val="0"/>
          <w:sz w:val="21"/>
          <w:szCs w:val="21"/>
        </w:rPr>
      </w:pPr>
    </w:p>
    <w:p>
      <w:pPr>
        <w:snapToGrid w:val="0"/>
        <w:spacing w:before="0" w:beforeAutospacing="0" w:after="0" w:afterAutospacing="0" w:line="360" w:lineRule="auto"/>
        <w:ind w:firstLine="1200" w:firstLineChars="500"/>
        <w:jc w:val="left"/>
        <w:textAlignment w:val="baseline"/>
        <w:rPr>
          <w:rFonts w:ascii="宋体" w:hAnsi="宋体"/>
          <w:b w:val="0"/>
          <w:i w:val="0"/>
          <w:caps w:val="0"/>
          <w:spacing w:val="0"/>
          <w:w w:val="100"/>
          <w:kern w:val="0"/>
          <w:sz w:val="20"/>
          <w:szCs w:val="21"/>
          <w:u w:val="none" w:color="auto"/>
        </w:rPr>
      </w:pPr>
      <w:r>
        <w:rPr>
          <w:rFonts w:hint="eastAsia" w:ascii="宋体" w:hAnsi="宋体"/>
          <w:b w:val="0"/>
          <w:i w:val="0"/>
          <w:caps w:val="0"/>
          <w:spacing w:val="0"/>
          <w:w w:val="100"/>
          <w:kern w:val="0"/>
          <w:sz w:val="24"/>
          <w:szCs w:val="24"/>
        </w:rPr>
        <w:t>招标单位名称：</w:t>
      </w:r>
      <w:r>
        <w:rPr>
          <w:rFonts w:ascii="宋体" w:hAnsi="宋体" w:cs="宋体"/>
          <w:b w:val="0"/>
          <w:i w:val="0"/>
          <w:caps w:val="0"/>
          <w:color w:val="000000"/>
          <w:spacing w:val="0"/>
          <w:w w:val="100"/>
          <w:sz w:val="24"/>
          <w:szCs w:val="24"/>
          <w:u w:val="none" w:color="auto"/>
        </w:rPr>
        <w:t>寰宇东方国际集装箱（青岛）有限公司</w:t>
      </w:r>
      <w:r>
        <w:rPr>
          <w:rFonts w:ascii="宋体" w:hAnsi="宋体"/>
          <w:b w:val="0"/>
          <w:i w:val="0"/>
          <w:caps w:val="0"/>
          <w:spacing w:val="0"/>
          <w:w w:val="100"/>
          <w:kern w:val="0"/>
          <w:sz w:val="20"/>
          <w:szCs w:val="21"/>
          <w:highlight w:val="none"/>
          <w:u w:val="none" w:color="auto"/>
        </w:rPr>
        <w:fldChar w:fldCharType="begin"/>
      </w:r>
      <w:r>
        <w:rPr>
          <w:rFonts w:ascii="宋体" w:hAnsi="宋体"/>
          <w:b w:val="0"/>
          <w:i w:val="0"/>
          <w:caps w:val="0"/>
          <w:spacing w:val="0"/>
          <w:w w:val="100"/>
          <w:kern w:val="0"/>
          <w:sz w:val="20"/>
          <w:szCs w:val="21"/>
          <w:highlight w:val="none"/>
          <w:u w:val="none" w:color="auto"/>
        </w:rPr>
        <w:instrText xml:space="preserve"> AUTOTEXT  input246 \* MERGEFORMAT </w:instrText>
      </w:r>
      <w:r>
        <w:rPr>
          <w:rFonts w:ascii="宋体" w:hAnsi="宋体"/>
          <w:b w:val="0"/>
          <w:i w:val="0"/>
          <w:caps w:val="0"/>
          <w:spacing w:val="0"/>
          <w:w w:val="100"/>
          <w:kern w:val="0"/>
          <w:sz w:val="20"/>
          <w:szCs w:val="21"/>
          <w:highlight w:val="none"/>
          <w:u w:val="none" w:color="auto"/>
        </w:rPr>
        <w:fldChar w:fldCharType="separate"/>
      </w:r>
      <w:r>
        <w:rPr>
          <w:rFonts w:ascii="宋体" w:hAnsi="宋体"/>
          <w:b w:val="0"/>
          <w:i w:val="0"/>
          <w:caps w:val="0"/>
          <w:spacing w:val="0"/>
          <w:w w:val="100"/>
          <w:kern w:val="0"/>
          <w:sz w:val="20"/>
          <w:szCs w:val="21"/>
          <w:highlight w:val="none"/>
          <w:u w:val="none" w:color="auto"/>
        </w:rPr>
        <w:fldChar w:fldCharType="end"/>
      </w:r>
    </w:p>
    <w:p>
      <w:pPr>
        <w:pStyle w:val="7"/>
        <w:spacing w:before="0" w:line="232" w:lineRule="exact"/>
        <w:ind w:left="812" w:firstLine="240" w:firstLineChars="100"/>
      </w:pPr>
    </w:p>
    <w:p>
      <w:pPr>
        <w:pStyle w:val="7"/>
        <w:spacing w:before="0" w:line="232" w:lineRule="exact"/>
        <w:ind w:left="812" w:firstLine="240" w:firstLineChars="100"/>
        <w:rPr>
          <w:u w:val="none" w:color="auto"/>
        </w:rPr>
      </w:pPr>
      <w:r>
        <w:t>地</w:t>
      </w:r>
      <w:r>
        <w:tab/>
      </w:r>
      <w:r>
        <w:t>址：</w:t>
      </w:r>
      <w:r>
        <w:rPr>
          <w:rFonts w:ascii="宋体" w:hAnsi="宋体" w:cs="宋体"/>
          <w:b w:val="0"/>
          <w:i w:val="0"/>
          <w:caps w:val="0"/>
          <w:color w:val="000000"/>
          <w:spacing w:val="0"/>
          <w:w w:val="100"/>
          <w:sz w:val="24"/>
          <w:szCs w:val="24"/>
          <w:u w:val="none" w:color="auto"/>
        </w:rPr>
        <w:t>青岛西海岸新区茂山路373号</w:t>
      </w:r>
      <w:r>
        <w:rPr>
          <w:u w:val="none" w:color="auto"/>
        </w:rPr>
        <w:t>会议室</w:t>
      </w:r>
    </w:p>
    <w:p>
      <w:pPr>
        <w:rPr>
          <w:rFonts w:hint="default" w:eastAsia="宋体"/>
          <w:lang w:val="en-US" w:eastAsia="zh-CN"/>
        </w:rPr>
      </w:pPr>
      <w:r>
        <w:rPr>
          <w:rFonts w:hint="eastAsia"/>
          <w:lang w:val="en-US" w:eastAsia="zh-CN"/>
        </w:rPr>
        <w:t xml:space="preserve">        </w:t>
      </w:r>
    </w:p>
    <w:p>
      <w:pPr>
        <w:pStyle w:val="9"/>
        <w:ind w:firstLine="1200" w:firstLineChars="500"/>
        <w:rPr>
          <w:rFonts w:hint="eastAsia" w:ascii="宋体" w:hAnsi="宋体" w:cs="宋体"/>
          <w:b w:val="0"/>
          <w:i w:val="0"/>
          <w:caps w:val="0"/>
          <w:color w:val="000000"/>
          <w:spacing w:val="0"/>
          <w:w w:val="100"/>
          <w:sz w:val="24"/>
          <w:szCs w:val="24"/>
          <w:u w:val="single" w:color="000000"/>
          <w:lang w:val="en-US" w:eastAsia="zh-CN"/>
        </w:rPr>
      </w:pPr>
      <w:r>
        <w:rPr>
          <w:sz w:val="24"/>
          <w:szCs w:val="24"/>
        </w:rPr>
        <w:t>联 系 人：</w:t>
      </w:r>
      <w:r>
        <w:rPr>
          <w:rFonts w:hint="eastAsia" w:ascii="宋体" w:hAnsi="宋体" w:cs="宋体"/>
          <w:b w:val="0"/>
          <w:i w:val="0"/>
          <w:caps w:val="0"/>
          <w:color w:val="000000"/>
          <w:spacing w:val="0"/>
          <w:w w:val="100"/>
          <w:sz w:val="24"/>
          <w:szCs w:val="24"/>
          <w:u w:val="none" w:color="auto"/>
          <w:lang w:val="en-US" w:eastAsia="zh-CN"/>
        </w:rPr>
        <w:t>朱浩彬</w:t>
      </w:r>
    </w:p>
    <w:p>
      <w:pPr>
        <w:pStyle w:val="9"/>
        <w:ind w:firstLine="1050" w:firstLineChars="500"/>
        <w:rPr>
          <w:rFonts w:hint="eastAsia" w:ascii="宋体" w:hAnsi="宋体" w:cs="宋体"/>
          <w:b w:val="0"/>
          <w:i w:val="0"/>
          <w:caps w:val="0"/>
          <w:color w:val="000000"/>
          <w:spacing w:val="0"/>
          <w:w w:val="100"/>
          <w:sz w:val="21"/>
          <w:u w:val="none" w:color="auto"/>
          <w:lang w:val="en-US" w:eastAsia="zh-CN"/>
        </w:rPr>
      </w:pPr>
    </w:p>
    <w:p>
      <w:pPr>
        <w:pStyle w:val="9"/>
        <w:ind w:firstLine="960" w:firstLineChars="400"/>
        <w:rPr>
          <w:rFonts w:hint="eastAsia" w:ascii="宋体" w:hAnsi="宋体" w:cs="宋体"/>
          <w:b w:val="0"/>
          <w:i w:val="0"/>
          <w:caps w:val="0"/>
          <w:color w:val="000000"/>
          <w:spacing w:val="0"/>
          <w:w w:val="100"/>
          <w:sz w:val="24"/>
          <w:szCs w:val="24"/>
          <w:u w:val="none" w:color="auto"/>
          <w:lang w:val="en-US" w:eastAsia="zh-CN"/>
        </w:rPr>
      </w:pPr>
      <w:r>
        <w:rPr>
          <w:rFonts w:hint="eastAsia" w:ascii="宋体" w:hAnsi="宋体" w:cs="宋体"/>
          <w:b w:val="0"/>
          <w:i w:val="0"/>
          <w:caps w:val="0"/>
          <w:color w:val="000000"/>
          <w:spacing w:val="0"/>
          <w:w w:val="100"/>
          <w:sz w:val="24"/>
          <w:szCs w:val="24"/>
          <w:u w:val="none" w:color="auto"/>
          <w:lang w:val="en-US" w:eastAsia="zh-CN"/>
        </w:rPr>
        <w:t>电</w:t>
      </w:r>
      <w:r>
        <w:rPr>
          <w:rFonts w:hint="eastAsia" w:cs="宋体"/>
          <w:b w:val="0"/>
          <w:i w:val="0"/>
          <w:caps w:val="0"/>
          <w:color w:val="000000"/>
          <w:spacing w:val="0"/>
          <w:w w:val="100"/>
          <w:sz w:val="24"/>
          <w:szCs w:val="24"/>
          <w:u w:val="none" w:color="auto"/>
          <w:lang w:val="en-US" w:eastAsia="zh-CN"/>
        </w:rPr>
        <w:t xml:space="preserve">  </w:t>
      </w:r>
      <w:r>
        <w:rPr>
          <w:rFonts w:hint="eastAsia" w:ascii="宋体" w:hAnsi="宋体" w:cs="宋体"/>
          <w:b w:val="0"/>
          <w:i w:val="0"/>
          <w:caps w:val="0"/>
          <w:color w:val="000000"/>
          <w:spacing w:val="0"/>
          <w:w w:val="100"/>
          <w:sz w:val="24"/>
          <w:szCs w:val="24"/>
          <w:u w:val="none" w:color="auto"/>
          <w:lang w:val="en-US" w:eastAsia="zh-CN"/>
        </w:rPr>
        <w:t>话：15863016551</w:t>
      </w:r>
    </w:p>
    <w:p>
      <w:pPr>
        <w:pStyle w:val="9"/>
        <w:spacing w:before="12"/>
        <w:rPr>
          <w:sz w:val="18"/>
        </w:rPr>
      </w:pPr>
    </w:p>
    <w:p>
      <w:pPr>
        <w:pStyle w:val="6"/>
        <w:ind w:right="0"/>
        <w:jc w:val="left"/>
      </w:pPr>
      <w:r>
        <w:t>六、 采购代理机构联系方式</w:t>
      </w:r>
    </w:p>
    <w:p>
      <w:pPr>
        <w:pStyle w:val="7"/>
        <w:spacing w:before="81"/>
        <w:ind w:left="752"/>
      </w:pPr>
    </w:p>
    <w:p>
      <w:pPr>
        <w:pStyle w:val="7"/>
        <w:spacing w:before="81"/>
        <w:ind w:left="752"/>
        <w:rPr>
          <w:sz w:val="24"/>
          <w:szCs w:val="24"/>
          <w:u w:val="none"/>
        </w:rPr>
      </w:pPr>
      <w:r>
        <w:t>公司名称：</w:t>
      </w:r>
      <w:r>
        <w:rPr>
          <w:rFonts w:hint="eastAsia" w:ascii="宋体" w:hAnsi="宋体" w:eastAsia="宋体" w:cs="楷体_GB2312"/>
          <w:b w:val="0"/>
          <w:bCs/>
          <w:i w:val="0"/>
          <w:caps w:val="0"/>
          <w:spacing w:val="0"/>
          <w:w w:val="100"/>
          <w:sz w:val="24"/>
          <w:szCs w:val="24"/>
          <w:u w:val="none"/>
        </w:rPr>
        <w:t>上海东方投资监理有限公司</w:t>
      </w:r>
    </w:p>
    <w:p>
      <w:pPr>
        <w:pStyle w:val="7"/>
        <w:tabs>
          <w:tab w:val="left" w:pos="1472"/>
        </w:tabs>
        <w:spacing w:line="362" w:lineRule="auto"/>
        <w:ind w:left="752" w:right="5011"/>
        <w:rPr>
          <w:rFonts w:hint="eastAsia" w:ascii="宋体" w:hAnsi="宋体"/>
          <w:b w:val="0"/>
          <w:i w:val="0"/>
          <w:caps w:val="0"/>
          <w:spacing w:val="0"/>
          <w:w w:val="100"/>
          <w:kern w:val="0"/>
          <w:sz w:val="24"/>
          <w:szCs w:val="24"/>
          <w:u w:val="none"/>
          <w:lang w:val="en-US" w:eastAsia="zh-CN"/>
        </w:rPr>
      </w:pPr>
      <w:r>
        <w:t>地</w:t>
      </w:r>
      <w:r>
        <w:tab/>
      </w:r>
      <w:r>
        <w:t>址：</w:t>
      </w:r>
      <w:r>
        <w:rPr>
          <w:rFonts w:hint="eastAsia" w:ascii="宋体" w:hAnsi="宋体"/>
          <w:b w:val="0"/>
          <w:i w:val="0"/>
          <w:caps w:val="0"/>
          <w:spacing w:val="0"/>
          <w:w w:val="100"/>
          <w:kern w:val="0"/>
          <w:sz w:val="24"/>
          <w:szCs w:val="24"/>
          <w:u w:val="none"/>
          <w:lang w:eastAsia="zh-CN"/>
        </w:rPr>
        <w:t>青岛市崂山区海尔路</w:t>
      </w:r>
      <w:r>
        <w:rPr>
          <w:rFonts w:hint="eastAsia" w:ascii="宋体" w:hAnsi="宋体"/>
          <w:b w:val="0"/>
          <w:i w:val="0"/>
          <w:caps w:val="0"/>
          <w:spacing w:val="0"/>
          <w:w w:val="100"/>
          <w:kern w:val="0"/>
          <w:sz w:val="24"/>
          <w:szCs w:val="24"/>
          <w:u w:val="none"/>
          <w:lang w:val="en-US" w:eastAsia="zh-CN"/>
        </w:rPr>
        <w:t>61号天宝国际大厦2号楼8层804户</w:t>
      </w:r>
    </w:p>
    <w:p>
      <w:pPr>
        <w:pStyle w:val="7"/>
        <w:tabs>
          <w:tab w:val="left" w:pos="1472"/>
        </w:tabs>
        <w:spacing w:line="362" w:lineRule="auto"/>
        <w:ind w:left="752" w:right="5011"/>
      </w:pPr>
      <w:r>
        <w:t xml:space="preserve">联 系 人： </w:t>
      </w:r>
      <w:r>
        <w:rPr>
          <w:rFonts w:hint="eastAsia"/>
        </w:rPr>
        <w:t>孙国成</w:t>
      </w:r>
    </w:p>
    <w:p>
      <w:pPr>
        <w:pStyle w:val="7"/>
        <w:tabs>
          <w:tab w:val="left" w:pos="1472"/>
        </w:tabs>
        <w:spacing w:before="5"/>
        <w:ind w:left="752"/>
        <w:rPr>
          <w:rFonts w:hint="default" w:eastAsia="宋体"/>
          <w:lang w:val="en-US" w:eastAsia="zh-CN"/>
        </w:rPr>
      </w:pPr>
      <w:r>
        <w:t>电</w:t>
      </w:r>
      <w:r>
        <w:tab/>
      </w:r>
      <w:r>
        <w:t xml:space="preserve">话： </w:t>
      </w:r>
      <w:r>
        <w:rPr>
          <w:rFonts w:hint="eastAsia"/>
          <w:lang w:val="en-US" w:eastAsia="zh-CN"/>
        </w:rPr>
        <w:t>13601798043</w:t>
      </w:r>
    </w:p>
    <w:p>
      <w:pPr>
        <w:pStyle w:val="9"/>
        <w:rPr>
          <w:sz w:val="20"/>
        </w:rPr>
      </w:pPr>
    </w:p>
    <w:p>
      <w:pPr>
        <w:pStyle w:val="9"/>
        <w:rPr>
          <w:sz w:val="20"/>
        </w:rPr>
      </w:pPr>
    </w:p>
    <w:p>
      <w:pPr>
        <w:pStyle w:val="9"/>
        <w:spacing w:before="2"/>
        <w:rPr>
          <w:sz w:val="16"/>
        </w:rPr>
      </w:pPr>
    </w:p>
    <w:p>
      <w:pPr>
        <w:pStyle w:val="2"/>
        <w:tabs>
          <w:tab w:val="left" w:pos="1444"/>
        </w:tabs>
        <w:ind w:right="274"/>
      </w:pPr>
      <w:bookmarkStart w:id="13" w:name="第二章  投标人须知"/>
      <w:bookmarkEnd w:id="13"/>
      <w:bookmarkStart w:id="14" w:name="_bookmark1"/>
      <w:bookmarkEnd w:id="14"/>
    </w:p>
    <w:p>
      <w:pPr>
        <w:pStyle w:val="2"/>
        <w:tabs>
          <w:tab w:val="left" w:pos="1444"/>
        </w:tabs>
        <w:ind w:right="274"/>
      </w:pPr>
    </w:p>
    <w:p>
      <w:pPr>
        <w:pStyle w:val="2"/>
        <w:tabs>
          <w:tab w:val="left" w:pos="1444"/>
        </w:tabs>
        <w:ind w:right="274"/>
      </w:pPr>
    </w:p>
    <w:p>
      <w:pPr>
        <w:pStyle w:val="2"/>
        <w:tabs>
          <w:tab w:val="left" w:pos="1444"/>
        </w:tabs>
        <w:ind w:right="274"/>
      </w:pPr>
    </w:p>
    <w:p>
      <w:pPr>
        <w:pStyle w:val="2"/>
        <w:tabs>
          <w:tab w:val="left" w:pos="1444"/>
        </w:tabs>
        <w:ind w:right="274"/>
      </w:pPr>
    </w:p>
    <w:p>
      <w:pPr>
        <w:pStyle w:val="2"/>
        <w:tabs>
          <w:tab w:val="left" w:pos="1444"/>
        </w:tabs>
        <w:ind w:right="274"/>
      </w:pPr>
    </w:p>
    <w:p>
      <w:pPr>
        <w:pStyle w:val="2"/>
        <w:tabs>
          <w:tab w:val="left" w:pos="1444"/>
        </w:tabs>
        <w:ind w:right="274"/>
      </w:pPr>
    </w:p>
    <w:p>
      <w:pPr>
        <w:pStyle w:val="2"/>
        <w:tabs>
          <w:tab w:val="left" w:pos="1444"/>
        </w:tabs>
        <w:ind w:right="274"/>
      </w:pPr>
    </w:p>
    <w:p>
      <w:pPr>
        <w:pStyle w:val="2"/>
        <w:tabs>
          <w:tab w:val="left" w:pos="1444"/>
        </w:tabs>
        <w:ind w:right="274"/>
      </w:pPr>
    </w:p>
    <w:p>
      <w:pPr>
        <w:pStyle w:val="2"/>
        <w:tabs>
          <w:tab w:val="left" w:pos="1444"/>
        </w:tabs>
        <w:ind w:right="274"/>
      </w:pPr>
    </w:p>
    <w:p>
      <w:pPr>
        <w:pStyle w:val="2"/>
        <w:tabs>
          <w:tab w:val="left" w:pos="1444"/>
        </w:tabs>
        <w:ind w:right="274"/>
      </w:pPr>
    </w:p>
    <w:p>
      <w:pPr>
        <w:pStyle w:val="2"/>
        <w:tabs>
          <w:tab w:val="left" w:pos="1444"/>
        </w:tabs>
        <w:ind w:right="274"/>
      </w:pPr>
      <w:r>
        <w:t>第二章</w:t>
      </w:r>
      <w:r>
        <w:tab/>
      </w:r>
      <w:r>
        <w:t>投标人须知</w:t>
      </w:r>
    </w:p>
    <w:p>
      <w:pPr>
        <w:pStyle w:val="9"/>
        <w:spacing w:before="3"/>
        <w:rPr>
          <w:b/>
          <w:sz w:val="32"/>
        </w:rPr>
      </w:pPr>
    </w:p>
    <w:p>
      <w:pPr>
        <w:pStyle w:val="4"/>
        <w:spacing w:before="0"/>
        <w:ind w:left="446" w:right="727"/>
        <w:jc w:val="center"/>
      </w:pPr>
      <w:bookmarkStart w:id="15" w:name="前附表"/>
      <w:bookmarkEnd w:id="15"/>
      <w:bookmarkStart w:id="16" w:name="_bookmark2"/>
      <w:bookmarkEnd w:id="16"/>
      <w:r>
        <w:t>前附表</w:t>
      </w:r>
    </w:p>
    <w:p>
      <w:pPr>
        <w:pStyle w:val="9"/>
        <w:rPr>
          <w:b/>
          <w:sz w:val="20"/>
        </w:rPr>
      </w:pPr>
    </w:p>
    <w:p>
      <w:pPr>
        <w:pStyle w:val="9"/>
        <w:spacing w:before="7"/>
        <w:rPr>
          <w:b/>
          <w:sz w:val="10"/>
        </w:rPr>
      </w:pPr>
    </w:p>
    <w:tbl>
      <w:tblPr>
        <w:tblW w:w="9918"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6"/>
        <w:gridCol w:w="613"/>
        <w:gridCol w:w="1116"/>
        <w:gridCol w:w="6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316" w:type="dxa"/>
            <w:vAlign w:val="top"/>
          </w:tcPr>
          <w:p>
            <w:pPr>
              <w:pStyle w:val="14"/>
              <w:spacing w:before="133"/>
              <w:ind w:left="328"/>
              <w:rPr>
                <w:b/>
                <w:sz w:val="22"/>
              </w:rPr>
            </w:pPr>
            <w:r>
              <w:rPr>
                <w:b/>
                <w:sz w:val="22"/>
              </w:rPr>
              <w:t>条款号</w:t>
            </w:r>
          </w:p>
        </w:tc>
        <w:tc>
          <w:tcPr>
            <w:tcW w:w="1729" w:type="dxa"/>
            <w:gridSpan w:val="2"/>
            <w:vAlign w:val="top"/>
          </w:tcPr>
          <w:p>
            <w:pPr>
              <w:pStyle w:val="14"/>
              <w:spacing w:before="133"/>
              <w:ind w:left="258"/>
              <w:rPr>
                <w:b/>
                <w:sz w:val="22"/>
              </w:rPr>
            </w:pPr>
            <w:r>
              <w:rPr>
                <w:b/>
                <w:sz w:val="22"/>
              </w:rPr>
              <w:t>条 款 名 称</w:t>
            </w:r>
          </w:p>
        </w:tc>
        <w:tc>
          <w:tcPr>
            <w:tcW w:w="6873" w:type="dxa"/>
            <w:vAlign w:val="top"/>
          </w:tcPr>
          <w:p>
            <w:pPr>
              <w:pStyle w:val="14"/>
              <w:tabs>
                <w:tab w:val="left" w:pos="455"/>
                <w:tab w:val="left" w:pos="897"/>
                <w:tab w:val="left" w:pos="1341"/>
              </w:tabs>
              <w:spacing w:before="133"/>
              <w:ind w:left="16"/>
              <w:jc w:val="center"/>
              <w:rPr>
                <w:b/>
                <w:sz w:val="22"/>
              </w:rPr>
            </w:pPr>
            <w:r>
              <w:rPr>
                <w:b/>
                <w:sz w:val="22"/>
              </w:rPr>
              <w:t>编</w:t>
            </w:r>
            <w:r>
              <w:rPr>
                <w:b/>
                <w:sz w:val="22"/>
              </w:rPr>
              <w:tab/>
            </w:r>
            <w:r>
              <w:rPr>
                <w:b/>
                <w:sz w:val="22"/>
              </w:rPr>
              <w:t>列</w:t>
            </w:r>
            <w:r>
              <w:rPr>
                <w:b/>
                <w:sz w:val="22"/>
              </w:rPr>
              <w:tab/>
            </w:r>
            <w:r>
              <w:rPr>
                <w:b/>
                <w:sz w:val="22"/>
              </w:rPr>
              <w:t>内</w:t>
            </w:r>
            <w:r>
              <w:rPr>
                <w:b/>
                <w:sz w:val="22"/>
              </w:rPr>
              <w:tab/>
            </w:r>
            <w:r>
              <w:rPr>
                <w:b/>
                <w:sz w:val="22"/>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8" w:hRule="atLeast"/>
        </w:trPr>
        <w:tc>
          <w:tcPr>
            <w:tcW w:w="1316" w:type="dxa"/>
            <w:vAlign w:val="top"/>
          </w:tcPr>
          <w:p>
            <w:pPr>
              <w:pStyle w:val="14"/>
              <w:spacing w:before="121"/>
              <w:ind w:left="383"/>
              <w:rPr>
                <w:sz w:val="22"/>
              </w:rPr>
            </w:pPr>
            <w:r>
              <w:rPr>
                <w:sz w:val="22"/>
              </w:rPr>
              <w:t>1.1.2</w:t>
            </w:r>
          </w:p>
        </w:tc>
        <w:tc>
          <w:tcPr>
            <w:tcW w:w="1729" w:type="dxa"/>
            <w:gridSpan w:val="2"/>
            <w:vAlign w:val="top"/>
          </w:tcPr>
          <w:p>
            <w:pPr>
              <w:pStyle w:val="14"/>
              <w:spacing w:before="121"/>
              <w:ind w:left="534"/>
              <w:rPr>
                <w:sz w:val="22"/>
              </w:rPr>
            </w:pPr>
            <w:r>
              <w:rPr>
                <w:sz w:val="22"/>
              </w:rPr>
              <w:t>招标人</w:t>
            </w:r>
          </w:p>
        </w:tc>
        <w:tc>
          <w:tcPr>
            <w:tcW w:w="6873" w:type="dxa"/>
            <w:vAlign w:val="top"/>
          </w:tcPr>
          <w:p>
            <w:pPr>
              <w:pStyle w:val="14"/>
              <w:spacing w:before="121"/>
              <w:ind w:left="108"/>
              <w:rPr>
                <w:sz w:val="22"/>
              </w:rPr>
            </w:pPr>
            <w:bookmarkStart w:id="17" w:name="OLE_LINK2"/>
            <w:r>
              <w:rPr>
                <w:rFonts w:ascii="宋体" w:hAnsi="宋体" w:cs="宋体"/>
                <w:b w:val="0"/>
                <w:i w:val="0"/>
                <w:caps w:val="0"/>
                <w:color w:val="000000"/>
                <w:spacing w:val="0"/>
                <w:w w:val="100"/>
                <w:sz w:val="24"/>
                <w:szCs w:val="24"/>
                <w:u w:val="none" w:color="auto"/>
              </w:rPr>
              <w:t>寰宇东方国际集装箱（青岛）有限公司</w:t>
            </w:r>
            <w:bookmarkEnd w:id="1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1316" w:type="dxa"/>
            <w:vAlign w:val="top"/>
          </w:tcPr>
          <w:p>
            <w:pPr>
              <w:pStyle w:val="14"/>
              <w:spacing w:before="160"/>
              <w:ind w:left="383"/>
              <w:rPr>
                <w:sz w:val="22"/>
              </w:rPr>
            </w:pPr>
            <w:r>
              <w:rPr>
                <w:sz w:val="22"/>
              </w:rPr>
              <w:t>1.1.3</w:t>
            </w:r>
          </w:p>
        </w:tc>
        <w:tc>
          <w:tcPr>
            <w:tcW w:w="1729" w:type="dxa"/>
            <w:gridSpan w:val="2"/>
            <w:vAlign w:val="top"/>
          </w:tcPr>
          <w:p>
            <w:pPr>
              <w:pStyle w:val="14"/>
              <w:spacing w:before="160"/>
              <w:ind w:left="202"/>
              <w:rPr>
                <w:sz w:val="22"/>
              </w:rPr>
            </w:pPr>
            <w:r>
              <w:rPr>
                <w:sz w:val="22"/>
              </w:rPr>
              <w:t>招标代理机构</w:t>
            </w:r>
          </w:p>
        </w:tc>
        <w:tc>
          <w:tcPr>
            <w:tcW w:w="6873" w:type="dxa"/>
            <w:vAlign w:val="top"/>
          </w:tcPr>
          <w:p>
            <w:pPr>
              <w:pStyle w:val="14"/>
              <w:spacing w:before="160"/>
              <w:ind w:left="108"/>
              <w:rPr>
                <w:sz w:val="22"/>
              </w:rPr>
            </w:pPr>
            <w:r>
              <w:rPr>
                <w:rFonts w:hint="eastAsia" w:ascii="宋体" w:hAnsi="宋体" w:eastAsia="宋体" w:cs="楷体_GB2312"/>
                <w:b w:val="0"/>
                <w:bCs/>
                <w:i w:val="0"/>
                <w:caps w:val="0"/>
                <w:spacing w:val="0"/>
                <w:w w:val="100"/>
                <w:sz w:val="24"/>
                <w:szCs w:val="24"/>
                <w:u w:val="none"/>
              </w:rPr>
              <w:t>上海东方投资监理有限公司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316" w:type="dxa"/>
            <w:vMerge w:val="restart"/>
            <w:vAlign w:val="top"/>
          </w:tcPr>
          <w:p>
            <w:pPr>
              <w:pStyle w:val="14"/>
              <w:spacing w:before="3"/>
              <w:rPr>
                <w:b/>
                <w:sz w:val="28"/>
              </w:rPr>
            </w:pPr>
          </w:p>
          <w:p>
            <w:pPr>
              <w:pStyle w:val="14"/>
              <w:ind w:left="383"/>
              <w:rPr>
                <w:sz w:val="22"/>
              </w:rPr>
            </w:pPr>
            <w:r>
              <w:rPr>
                <w:sz w:val="22"/>
              </w:rPr>
              <w:t>1.1.4</w:t>
            </w:r>
          </w:p>
        </w:tc>
        <w:tc>
          <w:tcPr>
            <w:tcW w:w="1729" w:type="dxa"/>
            <w:gridSpan w:val="2"/>
            <w:vAlign w:val="top"/>
          </w:tcPr>
          <w:p>
            <w:pPr>
              <w:pStyle w:val="14"/>
              <w:spacing w:before="38" w:line="262" w:lineRule="exact"/>
              <w:ind w:left="423"/>
              <w:rPr>
                <w:sz w:val="22"/>
              </w:rPr>
            </w:pPr>
            <w:r>
              <w:rPr>
                <w:sz w:val="22"/>
              </w:rPr>
              <w:t>项目名称</w:t>
            </w:r>
          </w:p>
        </w:tc>
        <w:tc>
          <w:tcPr>
            <w:tcW w:w="6873" w:type="dxa"/>
            <w:vAlign w:val="top"/>
          </w:tcPr>
          <w:p>
            <w:pPr>
              <w:pStyle w:val="14"/>
              <w:spacing w:before="38" w:line="262" w:lineRule="exact"/>
              <w:ind w:left="108"/>
              <w:rPr>
                <w:sz w:val="22"/>
              </w:rPr>
            </w:pPr>
            <w:r>
              <w:rPr>
                <w:rFonts w:hint="eastAsia"/>
                <w:sz w:val="22"/>
                <w:lang w:val="en-US" w:eastAsia="zh-CN"/>
              </w:rPr>
              <w:t>干箱A岀口箱改造</w:t>
            </w:r>
            <w:r>
              <w:rPr>
                <w:sz w:val="22"/>
                <w:lang w:val="en-US" w:eastAsia="zh-CN"/>
              </w:rPr>
              <w:t>工程</w:t>
            </w:r>
            <w:r>
              <w:rPr>
                <w:sz w:val="22"/>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1316" w:type="dxa"/>
            <w:vMerge w:val="continue"/>
            <w:tcBorders>
              <w:top w:val="nil"/>
            </w:tcBorders>
            <w:vAlign w:val="top"/>
          </w:tcPr>
          <w:p>
            <w:pPr>
              <w:rPr>
                <w:sz w:val="2"/>
                <w:szCs w:val="2"/>
              </w:rPr>
            </w:pPr>
          </w:p>
        </w:tc>
        <w:tc>
          <w:tcPr>
            <w:tcW w:w="1729" w:type="dxa"/>
            <w:gridSpan w:val="2"/>
            <w:vAlign w:val="top"/>
          </w:tcPr>
          <w:p>
            <w:pPr>
              <w:pStyle w:val="14"/>
              <w:spacing w:before="36"/>
              <w:ind w:left="423"/>
              <w:rPr>
                <w:sz w:val="22"/>
              </w:rPr>
            </w:pPr>
            <w:r>
              <w:rPr>
                <w:sz w:val="22"/>
              </w:rPr>
              <w:t>立项文件</w:t>
            </w:r>
          </w:p>
          <w:p>
            <w:pPr>
              <w:pStyle w:val="14"/>
              <w:spacing w:before="40" w:line="262" w:lineRule="exact"/>
              <w:ind w:left="534"/>
              <w:rPr>
                <w:sz w:val="22"/>
              </w:rPr>
            </w:pPr>
            <w:r>
              <w:rPr>
                <w:sz w:val="22"/>
              </w:rPr>
              <w:t>及文号</w:t>
            </w:r>
          </w:p>
        </w:tc>
        <w:tc>
          <w:tcPr>
            <w:tcW w:w="6873" w:type="dxa"/>
            <w:vAlign w:val="top"/>
          </w:tcPr>
          <w:p>
            <w:pPr>
              <w:pStyle w:val="14"/>
              <w:spacing w:before="197"/>
              <w:ind w:left="108"/>
              <w:rPr>
                <w:sz w:val="22"/>
              </w:rPr>
            </w:pPr>
            <w:r>
              <w:rPr>
                <w:w w:val="10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316" w:type="dxa"/>
            <w:vAlign w:val="top"/>
          </w:tcPr>
          <w:p>
            <w:pPr>
              <w:pStyle w:val="14"/>
              <w:spacing w:before="37" w:line="263" w:lineRule="exact"/>
              <w:ind w:left="383"/>
              <w:rPr>
                <w:sz w:val="22"/>
              </w:rPr>
            </w:pPr>
            <w:r>
              <w:rPr>
                <w:sz w:val="22"/>
              </w:rPr>
              <w:t>1.1.5</w:t>
            </w:r>
          </w:p>
        </w:tc>
        <w:tc>
          <w:tcPr>
            <w:tcW w:w="1729" w:type="dxa"/>
            <w:gridSpan w:val="2"/>
            <w:vAlign w:val="top"/>
          </w:tcPr>
          <w:p>
            <w:pPr>
              <w:pStyle w:val="14"/>
              <w:spacing w:before="37" w:line="263" w:lineRule="exact"/>
              <w:ind w:left="423"/>
              <w:rPr>
                <w:sz w:val="22"/>
              </w:rPr>
            </w:pPr>
            <w:r>
              <w:rPr>
                <w:sz w:val="22"/>
              </w:rPr>
              <w:t>建设地点</w:t>
            </w:r>
          </w:p>
        </w:tc>
        <w:tc>
          <w:tcPr>
            <w:tcW w:w="6873" w:type="dxa"/>
            <w:vAlign w:val="top"/>
          </w:tcPr>
          <w:p>
            <w:pPr>
              <w:snapToGrid w:val="0"/>
              <w:spacing w:before="0" w:beforeAutospacing="0" w:after="0" w:afterAutospacing="0" w:line="360" w:lineRule="auto"/>
              <w:jc w:val="left"/>
              <w:textAlignment w:val="baseline"/>
              <w:rPr>
                <w:rFonts w:hint="eastAsia" w:ascii="宋体" w:hAnsi="宋体"/>
                <w:b w:val="0"/>
                <w:i w:val="0"/>
                <w:caps w:val="0"/>
                <w:spacing w:val="0"/>
                <w:w w:val="100"/>
                <w:kern w:val="0"/>
                <w:sz w:val="24"/>
                <w:szCs w:val="24"/>
                <w:u w:val="none" w:color="auto"/>
              </w:rPr>
            </w:pPr>
            <w:r>
              <w:rPr>
                <w:rFonts w:ascii="宋体" w:hAnsi="宋体" w:cs="宋体"/>
                <w:b w:val="0"/>
                <w:i w:val="0"/>
                <w:caps w:val="0"/>
                <w:color w:val="000000"/>
                <w:spacing w:val="0"/>
                <w:w w:val="100"/>
                <w:sz w:val="24"/>
                <w:szCs w:val="24"/>
                <w:u w:val="none" w:color="auto"/>
              </w:rPr>
              <w:t>青岛西海岸新区茂山路373号</w:t>
            </w:r>
          </w:p>
          <w:p>
            <w:pPr>
              <w:pStyle w:val="14"/>
              <w:spacing w:before="37" w:line="263" w:lineRule="exact"/>
              <w:ind w:left="108"/>
              <w:rPr>
                <w:b/>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6" w:hRule="atLeast"/>
        </w:trPr>
        <w:tc>
          <w:tcPr>
            <w:tcW w:w="1316" w:type="dxa"/>
            <w:vAlign w:val="top"/>
          </w:tcPr>
          <w:p>
            <w:pPr>
              <w:pStyle w:val="14"/>
              <w:spacing w:before="55"/>
              <w:ind w:left="383"/>
              <w:rPr>
                <w:sz w:val="22"/>
              </w:rPr>
            </w:pPr>
            <w:r>
              <w:rPr>
                <w:sz w:val="22"/>
              </w:rPr>
              <w:t>1.1.6</w:t>
            </w:r>
          </w:p>
        </w:tc>
        <w:tc>
          <w:tcPr>
            <w:tcW w:w="1729" w:type="dxa"/>
            <w:gridSpan w:val="2"/>
            <w:vAlign w:val="top"/>
          </w:tcPr>
          <w:p>
            <w:pPr>
              <w:pStyle w:val="14"/>
              <w:spacing w:before="55"/>
              <w:ind w:left="423"/>
              <w:rPr>
                <w:sz w:val="22"/>
              </w:rPr>
            </w:pPr>
            <w:r>
              <w:rPr>
                <w:sz w:val="22"/>
              </w:rPr>
              <w:t>建设规模</w:t>
            </w:r>
          </w:p>
        </w:tc>
        <w:tc>
          <w:tcPr>
            <w:tcW w:w="6873" w:type="dxa"/>
            <w:vAlign w:val="top"/>
          </w:tcPr>
          <w:p>
            <w:pPr>
              <w:pStyle w:val="14"/>
              <w:spacing w:before="55"/>
              <w:ind w:left="108"/>
              <w:rPr>
                <w:sz w:val="22"/>
              </w:rPr>
            </w:pPr>
            <w:r>
              <w:rPr>
                <w:sz w:val="22"/>
              </w:rPr>
              <w:t>详见工程量清单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316" w:type="dxa"/>
            <w:vMerge w:val="restart"/>
            <w:vAlign w:val="top"/>
          </w:tcPr>
          <w:p>
            <w:pPr>
              <w:pStyle w:val="14"/>
              <w:rPr>
                <w:b/>
                <w:sz w:val="22"/>
              </w:rPr>
            </w:pPr>
          </w:p>
          <w:p>
            <w:pPr>
              <w:pStyle w:val="14"/>
              <w:rPr>
                <w:b/>
                <w:sz w:val="22"/>
              </w:rPr>
            </w:pPr>
          </w:p>
          <w:p>
            <w:pPr>
              <w:pStyle w:val="14"/>
              <w:spacing w:before="5"/>
              <w:rPr>
                <w:b/>
                <w:sz w:val="23"/>
              </w:rPr>
            </w:pPr>
          </w:p>
          <w:p>
            <w:pPr>
              <w:pStyle w:val="14"/>
              <w:ind w:left="383"/>
              <w:rPr>
                <w:sz w:val="22"/>
              </w:rPr>
            </w:pPr>
            <w:r>
              <w:rPr>
                <w:sz w:val="22"/>
              </w:rPr>
              <w:t>1.1.7</w:t>
            </w:r>
          </w:p>
        </w:tc>
        <w:tc>
          <w:tcPr>
            <w:tcW w:w="613" w:type="dxa"/>
            <w:vMerge w:val="restart"/>
            <w:vAlign w:val="top"/>
          </w:tcPr>
          <w:p>
            <w:pPr>
              <w:pStyle w:val="14"/>
              <w:spacing w:before="62" w:line="273" w:lineRule="auto"/>
              <w:ind w:left="195" w:right="184"/>
              <w:jc w:val="both"/>
              <w:rPr>
                <w:sz w:val="22"/>
              </w:rPr>
            </w:pPr>
            <w:r>
              <w:rPr>
                <w:sz w:val="22"/>
              </w:rPr>
              <w:t>项目相关单</w:t>
            </w:r>
          </w:p>
          <w:p>
            <w:pPr>
              <w:pStyle w:val="14"/>
              <w:spacing w:line="276" w:lineRule="exact"/>
              <w:ind w:left="195"/>
              <w:rPr>
                <w:sz w:val="22"/>
              </w:rPr>
            </w:pPr>
            <w:r>
              <w:rPr>
                <w:w w:val="100"/>
                <w:sz w:val="22"/>
              </w:rPr>
              <w:t>位</w:t>
            </w:r>
          </w:p>
        </w:tc>
        <w:tc>
          <w:tcPr>
            <w:tcW w:w="1116" w:type="dxa"/>
            <w:vAlign w:val="top"/>
          </w:tcPr>
          <w:p>
            <w:pPr>
              <w:pStyle w:val="14"/>
              <w:spacing w:before="132"/>
              <w:ind w:left="117"/>
              <w:rPr>
                <w:sz w:val="22"/>
              </w:rPr>
            </w:pPr>
            <w:r>
              <w:rPr>
                <w:sz w:val="22"/>
              </w:rPr>
              <w:t>管理单位</w:t>
            </w:r>
          </w:p>
        </w:tc>
        <w:tc>
          <w:tcPr>
            <w:tcW w:w="6873" w:type="dxa"/>
            <w:vAlign w:val="top"/>
          </w:tcPr>
          <w:p>
            <w:pPr>
              <w:pStyle w:val="14"/>
              <w:spacing w:before="132"/>
              <w:ind w:left="108"/>
              <w:rPr>
                <w:sz w:val="22"/>
              </w:rPr>
            </w:pPr>
            <w:r>
              <w:rPr>
                <w:rFonts w:ascii="宋体" w:hAnsi="宋体" w:cs="宋体"/>
                <w:b w:val="0"/>
                <w:i w:val="0"/>
                <w:caps w:val="0"/>
                <w:color w:val="000000"/>
                <w:spacing w:val="0"/>
                <w:w w:val="100"/>
                <w:sz w:val="24"/>
                <w:szCs w:val="24"/>
                <w:u w:val="none" w:color="auto"/>
              </w:rPr>
              <w:t>寰宇东方国际集装箱（青岛）有限公司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316" w:type="dxa"/>
            <w:vMerge w:val="continue"/>
            <w:tcBorders>
              <w:top w:val="nil"/>
            </w:tcBorders>
            <w:vAlign w:val="top"/>
          </w:tcPr>
          <w:p>
            <w:pPr>
              <w:rPr>
                <w:sz w:val="2"/>
                <w:szCs w:val="2"/>
              </w:rPr>
            </w:pPr>
          </w:p>
        </w:tc>
        <w:tc>
          <w:tcPr>
            <w:tcW w:w="613" w:type="dxa"/>
            <w:vMerge w:val="continue"/>
            <w:tcBorders>
              <w:top w:val="nil"/>
            </w:tcBorders>
            <w:vAlign w:val="top"/>
          </w:tcPr>
          <w:p>
            <w:pPr>
              <w:rPr>
                <w:sz w:val="2"/>
                <w:szCs w:val="2"/>
              </w:rPr>
            </w:pPr>
          </w:p>
        </w:tc>
        <w:tc>
          <w:tcPr>
            <w:tcW w:w="1116" w:type="dxa"/>
            <w:vAlign w:val="top"/>
          </w:tcPr>
          <w:p>
            <w:pPr>
              <w:pStyle w:val="14"/>
              <w:spacing w:before="132"/>
              <w:ind w:left="117"/>
              <w:rPr>
                <w:sz w:val="22"/>
              </w:rPr>
            </w:pPr>
            <w:r>
              <w:rPr>
                <w:sz w:val="22"/>
              </w:rPr>
              <w:t>设计单位</w:t>
            </w:r>
          </w:p>
        </w:tc>
        <w:tc>
          <w:tcPr>
            <w:tcW w:w="6873" w:type="dxa"/>
            <w:vAlign w:val="top"/>
          </w:tcPr>
          <w:p>
            <w:pPr>
              <w:pStyle w:val="14"/>
              <w:spacing w:before="132"/>
              <w:ind w:left="108"/>
              <w:rPr>
                <w:sz w:val="22"/>
              </w:rPr>
            </w:pPr>
            <w:r>
              <w:rPr>
                <w:sz w:val="22"/>
              </w:rPr>
              <w:t>中</w:t>
            </w:r>
            <w:r>
              <w:rPr>
                <w:rFonts w:hint="eastAsia"/>
                <w:sz w:val="22"/>
              </w:rPr>
              <w:t>京方正</w:t>
            </w:r>
            <w:r>
              <w:rPr>
                <w:rFonts w:hint="eastAsia"/>
                <w:sz w:val="22"/>
                <w:lang w:val="en-US" w:eastAsia="zh-CN"/>
              </w:rPr>
              <w:t>(北京)工程技术</w:t>
            </w:r>
            <w:r>
              <w:rPr>
                <w:sz w:val="22"/>
              </w:rPr>
              <w:t>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2" w:hRule="atLeast"/>
        </w:trPr>
        <w:tc>
          <w:tcPr>
            <w:tcW w:w="1316" w:type="dxa"/>
            <w:vMerge w:val="continue"/>
            <w:tcBorders>
              <w:top w:val="nil"/>
            </w:tcBorders>
            <w:vAlign w:val="top"/>
          </w:tcPr>
          <w:p>
            <w:pPr>
              <w:rPr>
                <w:sz w:val="2"/>
                <w:szCs w:val="2"/>
              </w:rPr>
            </w:pPr>
          </w:p>
        </w:tc>
        <w:tc>
          <w:tcPr>
            <w:tcW w:w="613" w:type="dxa"/>
            <w:vMerge w:val="continue"/>
            <w:tcBorders>
              <w:top w:val="nil"/>
            </w:tcBorders>
            <w:vAlign w:val="top"/>
          </w:tcPr>
          <w:p>
            <w:pPr>
              <w:rPr>
                <w:sz w:val="2"/>
                <w:szCs w:val="2"/>
              </w:rPr>
            </w:pPr>
          </w:p>
        </w:tc>
        <w:tc>
          <w:tcPr>
            <w:tcW w:w="1116" w:type="dxa"/>
            <w:vAlign w:val="top"/>
          </w:tcPr>
          <w:p>
            <w:pPr>
              <w:pStyle w:val="14"/>
              <w:spacing w:before="83"/>
              <w:ind w:left="117"/>
              <w:rPr>
                <w:sz w:val="22"/>
              </w:rPr>
            </w:pPr>
            <w:r>
              <w:rPr>
                <w:sz w:val="22"/>
              </w:rPr>
              <w:t>勘察单位</w:t>
            </w:r>
          </w:p>
        </w:tc>
        <w:tc>
          <w:tcPr>
            <w:tcW w:w="6873" w:type="dxa"/>
            <w:vAlign w:val="top"/>
          </w:tcPr>
          <w:p>
            <w:pPr>
              <w:pStyle w:val="14"/>
              <w:spacing w:before="83"/>
              <w:ind w:left="108"/>
              <w:rPr>
                <w:sz w:val="22"/>
              </w:rPr>
            </w:pPr>
            <w:r>
              <w:rPr>
                <w:w w:val="100"/>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316" w:type="dxa"/>
            <w:vMerge w:val="continue"/>
            <w:tcBorders>
              <w:top w:val="nil"/>
            </w:tcBorders>
            <w:vAlign w:val="top"/>
          </w:tcPr>
          <w:p>
            <w:pPr>
              <w:rPr>
                <w:sz w:val="2"/>
                <w:szCs w:val="2"/>
              </w:rPr>
            </w:pPr>
          </w:p>
        </w:tc>
        <w:tc>
          <w:tcPr>
            <w:tcW w:w="613" w:type="dxa"/>
            <w:vMerge w:val="continue"/>
            <w:tcBorders>
              <w:top w:val="nil"/>
            </w:tcBorders>
            <w:vAlign w:val="top"/>
          </w:tcPr>
          <w:p>
            <w:pPr>
              <w:rPr>
                <w:sz w:val="2"/>
                <w:szCs w:val="2"/>
              </w:rPr>
            </w:pPr>
          </w:p>
        </w:tc>
        <w:tc>
          <w:tcPr>
            <w:tcW w:w="1116" w:type="dxa"/>
            <w:vAlign w:val="top"/>
          </w:tcPr>
          <w:p>
            <w:pPr>
              <w:pStyle w:val="14"/>
              <w:spacing w:before="133"/>
              <w:ind w:left="117"/>
              <w:rPr>
                <w:sz w:val="22"/>
              </w:rPr>
            </w:pPr>
            <w:r>
              <w:rPr>
                <w:sz w:val="22"/>
              </w:rPr>
              <w:t>监理单位</w:t>
            </w:r>
          </w:p>
        </w:tc>
        <w:tc>
          <w:tcPr>
            <w:tcW w:w="6873" w:type="dxa"/>
            <w:vAlign w:val="top"/>
          </w:tcPr>
          <w:p>
            <w:pPr>
              <w:pStyle w:val="14"/>
              <w:spacing w:before="133"/>
              <w:ind w:left="108"/>
              <w:rPr>
                <w:rFonts w:hint="default" w:eastAsia="宋体"/>
                <w:sz w:val="22"/>
                <w:lang w:val="en-US" w:eastAsia="zh-CN"/>
              </w:rPr>
            </w:pPr>
            <w:r>
              <w:rPr>
                <w:rFonts w:hint="eastAsia"/>
                <w:sz w:val="2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316" w:type="dxa"/>
            <w:vAlign w:val="top"/>
          </w:tcPr>
          <w:p>
            <w:pPr>
              <w:pStyle w:val="14"/>
              <w:spacing w:before="37" w:line="262" w:lineRule="exact"/>
              <w:ind w:left="383"/>
              <w:rPr>
                <w:sz w:val="22"/>
              </w:rPr>
            </w:pPr>
            <w:r>
              <w:rPr>
                <w:sz w:val="22"/>
              </w:rPr>
              <w:t>1.2.1</w:t>
            </w:r>
          </w:p>
        </w:tc>
        <w:tc>
          <w:tcPr>
            <w:tcW w:w="1729" w:type="dxa"/>
            <w:gridSpan w:val="2"/>
            <w:vAlign w:val="top"/>
          </w:tcPr>
          <w:p>
            <w:pPr>
              <w:pStyle w:val="14"/>
              <w:spacing w:before="37" w:line="262" w:lineRule="exact"/>
              <w:ind w:left="202"/>
              <w:rPr>
                <w:sz w:val="22"/>
              </w:rPr>
            </w:pPr>
            <w:r>
              <w:rPr>
                <w:sz w:val="22"/>
              </w:rPr>
              <w:t>建设资金来源</w:t>
            </w:r>
          </w:p>
        </w:tc>
        <w:tc>
          <w:tcPr>
            <w:tcW w:w="6873" w:type="dxa"/>
            <w:vAlign w:val="top"/>
          </w:tcPr>
          <w:p>
            <w:pPr>
              <w:pStyle w:val="14"/>
              <w:spacing w:before="21" w:line="279" w:lineRule="exact"/>
              <w:ind w:left="108"/>
              <w:rPr>
                <w:sz w:val="22"/>
              </w:rPr>
            </w:pPr>
            <w:r>
              <w:rPr>
                <w:sz w:val="22"/>
              </w:rPr>
              <w:t>国有企业事业单位资金投资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316" w:type="dxa"/>
            <w:vAlign w:val="top"/>
          </w:tcPr>
          <w:p>
            <w:pPr>
              <w:pStyle w:val="14"/>
              <w:spacing w:before="36" w:line="263" w:lineRule="exact"/>
              <w:ind w:left="383"/>
              <w:rPr>
                <w:sz w:val="22"/>
              </w:rPr>
            </w:pPr>
            <w:r>
              <w:rPr>
                <w:sz w:val="22"/>
              </w:rPr>
              <w:t>3.2.1</w:t>
            </w:r>
          </w:p>
        </w:tc>
        <w:tc>
          <w:tcPr>
            <w:tcW w:w="1729" w:type="dxa"/>
            <w:gridSpan w:val="2"/>
            <w:vAlign w:val="top"/>
          </w:tcPr>
          <w:p>
            <w:pPr>
              <w:pStyle w:val="14"/>
              <w:spacing w:before="36" w:line="263" w:lineRule="exact"/>
              <w:ind w:left="202"/>
              <w:rPr>
                <w:b/>
                <w:sz w:val="22"/>
              </w:rPr>
            </w:pPr>
            <w:r>
              <w:rPr>
                <w:b/>
                <w:sz w:val="22"/>
              </w:rPr>
              <w:t>最高投标限价</w:t>
            </w:r>
          </w:p>
        </w:tc>
        <w:tc>
          <w:tcPr>
            <w:tcW w:w="6873" w:type="dxa"/>
            <w:vAlign w:val="top"/>
          </w:tcPr>
          <w:p>
            <w:pPr>
              <w:pStyle w:val="14"/>
              <w:spacing w:before="16" w:line="283" w:lineRule="exact"/>
              <w:ind w:left="108"/>
              <w:rPr>
                <w:sz w:val="22"/>
              </w:rPr>
            </w:pPr>
            <w:r>
              <w:rPr>
                <w:rFonts w:hint="eastAsia"/>
                <w:lang w:val="en-US" w:eastAsia="zh-CN"/>
              </w:rPr>
              <w:t>250.00</w:t>
            </w:r>
            <w:r>
              <w:rPr>
                <w:sz w:val="2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1316" w:type="dxa"/>
            <w:vAlign w:val="top"/>
          </w:tcPr>
          <w:p>
            <w:pPr>
              <w:pStyle w:val="14"/>
              <w:spacing w:before="54"/>
              <w:ind w:left="383"/>
              <w:rPr>
                <w:sz w:val="22"/>
              </w:rPr>
            </w:pPr>
            <w:r>
              <w:rPr>
                <w:sz w:val="22"/>
              </w:rPr>
              <w:t>1.2.3</w:t>
            </w:r>
          </w:p>
        </w:tc>
        <w:tc>
          <w:tcPr>
            <w:tcW w:w="1729" w:type="dxa"/>
            <w:gridSpan w:val="2"/>
            <w:vAlign w:val="top"/>
          </w:tcPr>
          <w:p>
            <w:pPr>
              <w:pStyle w:val="14"/>
              <w:spacing w:before="54"/>
              <w:ind w:left="202"/>
              <w:rPr>
                <w:sz w:val="22"/>
              </w:rPr>
            </w:pPr>
            <w:r>
              <w:rPr>
                <w:sz w:val="22"/>
              </w:rPr>
              <w:t>资金落实情况</w:t>
            </w:r>
          </w:p>
        </w:tc>
        <w:tc>
          <w:tcPr>
            <w:tcW w:w="6873" w:type="dxa"/>
            <w:vAlign w:val="top"/>
          </w:tcPr>
          <w:p>
            <w:pPr>
              <w:pStyle w:val="14"/>
              <w:spacing w:before="37"/>
              <w:ind w:left="108"/>
              <w:rPr>
                <w:sz w:val="22"/>
              </w:rPr>
            </w:pPr>
            <w:r>
              <w:rPr>
                <w:sz w:val="22"/>
              </w:rPr>
              <w:t>建设资金已落实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98" w:hRule="atLeast"/>
        </w:trPr>
        <w:tc>
          <w:tcPr>
            <w:tcW w:w="1316" w:type="dxa"/>
            <w:vAlign w:val="top"/>
          </w:tcPr>
          <w:p>
            <w:pPr>
              <w:pStyle w:val="14"/>
              <w:rPr>
                <w:b/>
                <w:sz w:val="22"/>
              </w:rPr>
            </w:pPr>
          </w:p>
          <w:p>
            <w:pPr>
              <w:pStyle w:val="14"/>
              <w:spacing w:before="145"/>
              <w:ind w:left="383"/>
              <w:rPr>
                <w:sz w:val="22"/>
              </w:rPr>
            </w:pPr>
            <w:r>
              <w:rPr>
                <w:sz w:val="22"/>
              </w:rPr>
              <w:t>1.3.1</w:t>
            </w:r>
          </w:p>
        </w:tc>
        <w:tc>
          <w:tcPr>
            <w:tcW w:w="1729" w:type="dxa"/>
            <w:gridSpan w:val="2"/>
            <w:vAlign w:val="top"/>
          </w:tcPr>
          <w:p>
            <w:pPr>
              <w:pStyle w:val="14"/>
              <w:rPr>
                <w:b/>
                <w:sz w:val="22"/>
              </w:rPr>
            </w:pPr>
          </w:p>
          <w:p>
            <w:pPr>
              <w:pStyle w:val="14"/>
              <w:spacing w:before="145"/>
              <w:ind w:left="423"/>
              <w:rPr>
                <w:sz w:val="22"/>
              </w:rPr>
            </w:pPr>
            <w:r>
              <w:rPr>
                <w:sz w:val="22"/>
              </w:rPr>
              <w:t>招标范围</w:t>
            </w:r>
          </w:p>
        </w:tc>
        <w:tc>
          <w:tcPr>
            <w:tcW w:w="6873" w:type="dxa"/>
            <w:vAlign w:val="top"/>
          </w:tcPr>
          <w:p>
            <w:pPr>
              <w:pStyle w:val="14"/>
              <w:spacing w:before="105" w:line="273" w:lineRule="auto"/>
              <w:ind w:left="108" w:right="94"/>
              <w:jc w:val="both"/>
              <w:rPr>
                <w:sz w:val="22"/>
              </w:rPr>
            </w:pPr>
            <w:r>
              <w:rPr>
                <w:sz w:val="22"/>
              </w:rPr>
              <w:t>由招标人所提供的本工程招标图纸所显示的施工内容及本招标文件所要求的工作内容等，关于招标范围的详细说明见第七章“技术标准和要求”。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0" w:hRule="atLeast"/>
        </w:trPr>
        <w:tc>
          <w:tcPr>
            <w:tcW w:w="1316" w:type="dxa"/>
            <w:vAlign w:val="top"/>
          </w:tcPr>
          <w:p>
            <w:pPr>
              <w:pStyle w:val="14"/>
              <w:rPr>
                <w:b/>
                <w:sz w:val="22"/>
              </w:rPr>
            </w:pPr>
          </w:p>
          <w:p>
            <w:pPr>
              <w:pStyle w:val="14"/>
              <w:spacing w:before="3"/>
              <w:rPr>
                <w:b/>
                <w:sz w:val="18"/>
              </w:rPr>
            </w:pPr>
          </w:p>
          <w:p>
            <w:pPr>
              <w:pStyle w:val="14"/>
              <w:spacing w:before="1"/>
              <w:ind w:left="383"/>
              <w:rPr>
                <w:sz w:val="22"/>
              </w:rPr>
            </w:pPr>
            <w:r>
              <w:rPr>
                <w:sz w:val="22"/>
              </w:rPr>
              <w:t>1.3.2</w:t>
            </w:r>
          </w:p>
        </w:tc>
        <w:tc>
          <w:tcPr>
            <w:tcW w:w="1729" w:type="dxa"/>
            <w:gridSpan w:val="2"/>
            <w:vAlign w:val="top"/>
          </w:tcPr>
          <w:p>
            <w:pPr>
              <w:pStyle w:val="14"/>
              <w:rPr>
                <w:b/>
                <w:sz w:val="22"/>
              </w:rPr>
            </w:pPr>
          </w:p>
          <w:p>
            <w:pPr>
              <w:pStyle w:val="14"/>
              <w:spacing w:before="3"/>
              <w:rPr>
                <w:b/>
                <w:sz w:val="18"/>
              </w:rPr>
            </w:pPr>
          </w:p>
          <w:p>
            <w:pPr>
              <w:pStyle w:val="14"/>
              <w:spacing w:before="1"/>
              <w:ind w:left="423"/>
              <w:rPr>
                <w:sz w:val="22"/>
              </w:rPr>
            </w:pPr>
            <w:r>
              <w:rPr>
                <w:sz w:val="22"/>
              </w:rPr>
              <w:t>计划工期</w:t>
            </w:r>
          </w:p>
        </w:tc>
        <w:tc>
          <w:tcPr>
            <w:tcW w:w="6873" w:type="dxa"/>
            <w:vAlign w:val="top"/>
          </w:tcPr>
          <w:p>
            <w:pPr>
              <w:pStyle w:val="14"/>
              <w:spacing w:before="36"/>
              <w:ind w:left="108"/>
              <w:rPr>
                <w:sz w:val="22"/>
              </w:rPr>
            </w:pPr>
            <w:r>
              <w:rPr>
                <w:spacing w:val="-2"/>
                <w:sz w:val="22"/>
              </w:rPr>
              <w:t>计划工期：</w:t>
            </w:r>
            <w:r>
              <w:rPr>
                <w:sz w:val="22"/>
              </w:rPr>
              <w:t>45</w:t>
            </w:r>
            <w:r>
              <w:rPr>
                <w:spacing w:val="-55"/>
                <w:sz w:val="22"/>
              </w:rPr>
              <w:t xml:space="preserve"> </w:t>
            </w:r>
            <w:r>
              <w:rPr>
                <w:sz w:val="22"/>
                <w:u w:val="single"/>
              </w:rPr>
              <w:t>天</w:t>
            </w:r>
          </w:p>
          <w:p>
            <w:pPr>
              <w:pStyle w:val="14"/>
              <w:spacing w:before="40"/>
              <w:ind w:left="108"/>
              <w:rPr>
                <w:sz w:val="22"/>
              </w:rPr>
            </w:pPr>
            <w:r>
              <w:rPr>
                <w:sz w:val="22"/>
              </w:rPr>
              <w:t>计划开工日期：</w:t>
            </w:r>
            <w:r>
              <w:rPr>
                <w:sz w:val="22"/>
                <w:u w:val="single"/>
              </w:rPr>
              <w:t>2021</w:t>
            </w:r>
            <w:r>
              <w:rPr>
                <w:sz w:val="22"/>
              </w:rPr>
              <w:t xml:space="preserve"> 年</w:t>
            </w:r>
            <w:r>
              <w:rPr>
                <w:rFonts w:hint="eastAsia"/>
                <w:sz w:val="22"/>
                <w:lang w:val="en-US" w:eastAsia="zh-CN"/>
              </w:rPr>
              <w:t>9</w:t>
            </w:r>
            <w:r>
              <w:rPr>
                <w:sz w:val="22"/>
              </w:rPr>
              <w:t xml:space="preserve">月 </w:t>
            </w:r>
            <w:r>
              <w:rPr>
                <w:rFonts w:hint="eastAsia"/>
                <w:sz w:val="22"/>
                <w:lang w:val="en-US" w:eastAsia="zh-CN"/>
              </w:rPr>
              <w:t>4</w:t>
            </w:r>
            <w:r>
              <w:rPr>
                <w:sz w:val="22"/>
              </w:rPr>
              <w:t>日(以合同签署之日为准)</w:t>
            </w:r>
          </w:p>
          <w:p>
            <w:pPr>
              <w:pStyle w:val="14"/>
              <w:spacing w:before="37"/>
              <w:ind w:left="108"/>
              <w:rPr>
                <w:sz w:val="22"/>
              </w:rPr>
            </w:pPr>
            <w:r>
              <w:rPr>
                <w:sz w:val="22"/>
              </w:rPr>
              <w:t>计划竣工日期：</w:t>
            </w:r>
            <w:r>
              <w:rPr>
                <w:sz w:val="22"/>
                <w:u w:val="single"/>
              </w:rPr>
              <w:t>2021</w:t>
            </w:r>
            <w:r>
              <w:rPr>
                <w:sz w:val="22"/>
              </w:rPr>
              <w:t xml:space="preserve"> 年 </w:t>
            </w:r>
            <w:r>
              <w:rPr>
                <w:rFonts w:hint="eastAsia"/>
                <w:sz w:val="22"/>
                <w:lang w:val="en-US" w:eastAsia="zh-CN"/>
              </w:rPr>
              <w:t>10</w:t>
            </w:r>
            <w:r>
              <w:rPr>
                <w:sz w:val="22"/>
              </w:rPr>
              <w:t>月</w:t>
            </w:r>
            <w:r>
              <w:rPr>
                <w:rFonts w:hint="eastAsia"/>
                <w:sz w:val="22"/>
                <w:lang w:val="en-US" w:eastAsia="zh-CN"/>
              </w:rPr>
              <w:t>19</w:t>
            </w:r>
            <w:r>
              <w:rPr>
                <w:sz w:val="22"/>
              </w:rPr>
              <w:t>日</w:t>
            </w:r>
          </w:p>
          <w:p>
            <w:pPr>
              <w:pStyle w:val="14"/>
              <w:spacing w:before="37" w:line="264" w:lineRule="exact"/>
              <w:ind w:left="108"/>
              <w:rPr>
                <w:sz w:val="22"/>
              </w:rPr>
            </w:pPr>
            <w:r>
              <w:rPr>
                <w:sz w:val="22"/>
              </w:rPr>
              <w:t>有关工期的详细要求见第七章“技术标准和要求”。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2" w:hRule="atLeast"/>
        </w:trPr>
        <w:tc>
          <w:tcPr>
            <w:tcW w:w="1316" w:type="dxa"/>
            <w:vAlign w:val="top"/>
          </w:tcPr>
          <w:p>
            <w:pPr>
              <w:pStyle w:val="14"/>
              <w:spacing w:before="6"/>
              <w:rPr>
                <w:b/>
                <w:sz w:val="15"/>
              </w:rPr>
            </w:pPr>
          </w:p>
          <w:p>
            <w:pPr>
              <w:pStyle w:val="14"/>
              <w:ind w:left="383"/>
              <w:rPr>
                <w:sz w:val="22"/>
              </w:rPr>
            </w:pPr>
            <w:r>
              <w:rPr>
                <w:sz w:val="22"/>
              </w:rPr>
              <w:t>1.3.3</w:t>
            </w:r>
          </w:p>
        </w:tc>
        <w:tc>
          <w:tcPr>
            <w:tcW w:w="1729" w:type="dxa"/>
            <w:gridSpan w:val="2"/>
            <w:vAlign w:val="top"/>
          </w:tcPr>
          <w:p>
            <w:pPr>
              <w:pStyle w:val="14"/>
              <w:spacing w:before="6"/>
              <w:rPr>
                <w:b/>
                <w:sz w:val="15"/>
              </w:rPr>
            </w:pPr>
          </w:p>
          <w:p>
            <w:pPr>
              <w:pStyle w:val="14"/>
              <w:ind w:left="423"/>
              <w:rPr>
                <w:sz w:val="22"/>
              </w:rPr>
            </w:pPr>
            <w:r>
              <w:rPr>
                <w:sz w:val="22"/>
              </w:rPr>
              <w:t>质量要求</w:t>
            </w:r>
          </w:p>
        </w:tc>
        <w:tc>
          <w:tcPr>
            <w:tcW w:w="6873" w:type="dxa"/>
            <w:vAlign w:val="top"/>
          </w:tcPr>
          <w:p>
            <w:pPr>
              <w:pStyle w:val="14"/>
              <w:spacing w:before="37"/>
              <w:ind w:left="108"/>
              <w:rPr>
                <w:sz w:val="22"/>
              </w:rPr>
            </w:pPr>
            <w:r>
              <w:rPr>
                <w:sz w:val="22"/>
              </w:rPr>
              <w:t>质量标准：一次性验收合格率 100%；</w:t>
            </w:r>
          </w:p>
          <w:p>
            <w:pPr>
              <w:pStyle w:val="14"/>
              <w:spacing w:before="40" w:line="263" w:lineRule="exact"/>
              <w:ind w:left="108"/>
              <w:rPr>
                <w:sz w:val="22"/>
              </w:rPr>
            </w:pPr>
            <w:r>
              <w:rPr>
                <w:sz w:val="22"/>
              </w:rPr>
              <w:t>关于质量要求的详细说明见第七章“技术标准和要求”。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1316" w:type="dxa"/>
            <w:vAlign w:val="top"/>
          </w:tcPr>
          <w:p>
            <w:pPr>
              <w:pStyle w:val="14"/>
              <w:spacing w:before="197"/>
              <w:ind w:left="383"/>
              <w:rPr>
                <w:sz w:val="22"/>
              </w:rPr>
            </w:pPr>
            <w:r>
              <w:rPr>
                <w:sz w:val="22"/>
              </w:rPr>
              <w:t>1.4.3</w:t>
            </w:r>
          </w:p>
        </w:tc>
        <w:tc>
          <w:tcPr>
            <w:tcW w:w="1729" w:type="dxa"/>
            <w:gridSpan w:val="2"/>
            <w:vAlign w:val="top"/>
          </w:tcPr>
          <w:p>
            <w:pPr>
              <w:pStyle w:val="14"/>
              <w:spacing w:before="36"/>
              <w:ind w:left="202"/>
              <w:rPr>
                <w:sz w:val="22"/>
              </w:rPr>
            </w:pPr>
            <w:r>
              <w:rPr>
                <w:sz w:val="22"/>
              </w:rPr>
              <w:t>投标人应具备</w:t>
            </w:r>
          </w:p>
          <w:p>
            <w:pPr>
              <w:pStyle w:val="14"/>
              <w:spacing w:before="39" w:line="262" w:lineRule="exact"/>
              <w:ind w:left="313"/>
              <w:rPr>
                <w:sz w:val="22"/>
              </w:rPr>
            </w:pPr>
            <w:r>
              <w:rPr>
                <w:sz w:val="22"/>
              </w:rPr>
              <w:t>的资质条件</w:t>
            </w:r>
          </w:p>
        </w:tc>
        <w:tc>
          <w:tcPr>
            <w:tcW w:w="6873" w:type="dxa"/>
            <w:vAlign w:val="top"/>
          </w:tcPr>
          <w:p>
            <w:pPr>
              <w:pStyle w:val="14"/>
              <w:spacing w:before="1"/>
              <w:rPr>
                <w:b/>
                <w:sz w:val="16"/>
              </w:rPr>
            </w:pPr>
          </w:p>
          <w:p>
            <w:pPr>
              <w:pStyle w:val="14"/>
              <w:spacing w:before="1"/>
              <w:ind w:left="108"/>
              <w:rPr>
                <w:b/>
                <w:sz w:val="21"/>
              </w:rPr>
            </w:pPr>
            <w:r>
              <w:rPr>
                <w:b/>
                <w:sz w:val="21"/>
              </w:rPr>
              <w:t>详见“招标公告”：二、合格的投标人必须具备以下条件 之内容。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1316" w:type="dxa"/>
            <w:vAlign w:val="top"/>
          </w:tcPr>
          <w:p>
            <w:pPr>
              <w:pStyle w:val="14"/>
              <w:spacing w:before="197"/>
              <w:ind w:left="383"/>
              <w:rPr>
                <w:sz w:val="22"/>
              </w:rPr>
            </w:pPr>
            <w:r>
              <w:rPr>
                <w:sz w:val="22"/>
              </w:rPr>
              <w:t>1.9.1</w:t>
            </w:r>
          </w:p>
        </w:tc>
        <w:tc>
          <w:tcPr>
            <w:tcW w:w="1729" w:type="dxa"/>
            <w:gridSpan w:val="2"/>
            <w:vAlign w:val="top"/>
          </w:tcPr>
          <w:p>
            <w:pPr>
              <w:pStyle w:val="14"/>
              <w:spacing w:before="36"/>
              <w:ind w:left="183" w:right="176"/>
              <w:jc w:val="center"/>
              <w:rPr>
                <w:sz w:val="22"/>
              </w:rPr>
            </w:pPr>
            <w:r>
              <w:rPr>
                <w:sz w:val="22"/>
              </w:rPr>
              <w:t>是否组织踏勘</w:t>
            </w:r>
          </w:p>
          <w:p>
            <w:pPr>
              <w:pStyle w:val="14"/>
              <w:spacing w:before="40" w:line="262" w:lineRule="exact"/>
              <w:ind w:left="183" w:right="172"/>
              <w:jc w:val="center"/>
              <w:rPr>
                <w:sz w:val="22"/>
              </w:rPr>
            </w:pPr>
            <w:r>
              <w:rPr>
                <w:sz w:val="22"/>
              </w:rPr>
              <w:t>现场</w:t>
            </w:r>
          </w:p>
        </w:tc>
        <w:tc>
          <w:tcPr>
            <w:tcW w:w="6873" w:type="dxa"/>
            <w:vAlign w:val="top"/>
          </w:tcPr>
          <w:p>
            <w:pPr>
              <w:pStyle w:val="14"/>
              <w:spacing w:before="19"/>
              <w:ind w:left="108"/>
              <w:rPr>
                <w:sz w:val="22"/>
              </w:rPr>
            </w:pPr>
            <w:r>
              <w:rPr>
                <w:rFonts w:ascii="Segoe UI Symbol" w:hAnsi="Segoe UI Symbol" w:eastAsia="Segoe UI Symbol"/>
                <w:sz w:val="22"/>
              </w:rPr>
              <w:t xml:space="preserve">☑ </w:t>
            </w:r>
            <w:r>
              <w:rPr>
                <w:sz w:val="22"/>
              </w:rPr>
              <w:t>不组织，自行踏勘。</w:t>
            </w:r>
          </w:p>
          <w:p>
            <w:pPr>
              <w:pStyle w:val="14"/>
              <w:spacing w:before="39" w:line="262" w:lineRule="exact"/>
              <w:ind w:left="108"/>
              <w:rPr>
                <w:sz w:val="22"/>
              </w:rPr>
            </w:pPr>
            <w:r>
              <w:rPr>
                <w:rFonts w:hint="eastAsia" w:ascii="MS Gothic" w:hAnsi="MS Gothic" w:eastAsia="MS Gothic"/>
                <w:sz w:val="22"/>
              </w:rPr>
              <w:t>□</w:t>
            </w:r>
            <w:r>
              <w:rPr>
                <w:sz w:val="22"/>
              </w:rPr>
              <w:t>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5" w:hRule="atLeast"/>
        </w:trPr>
        <w:tc>
          <w:tcPr>
            <w:tcW w:w="1316" w:type="dxa"/>
            <w:vAlign w:val="top"/>
          </w:tcPr>
          <w:p>
            <w:pPr>
              <w:pStyle w:val="14"/>
              <w:spacing w:before="11"/>
              <w:rPr>
                <w:b/>
                <w:sz w:val="19"/>
              </w:rPr>
            </w:pPr>
          </w:p>
          <w:p>
            <w:pPr>
              <w:pStyle w:val="14"/>
              <w:ind w:left="328"/>
              <w:rPr>
                <w:sz w:val="22"/>
              </w:rPr>
            </w:pPr>
            <w:r>
              <w:rPr>
                <w:sz w:val="22"/>
              </w:rPr>
              <w:t>1.10.2</w:t>
            </w:r>
          </w:p>
        </w:tc>
        <w:tc>
          <w:tcPr>
            <w:tcW w:w="1729" w:type="dxa"/>
            <w:gridSpan w:val="2"/>
            <w:vAlign w:val="top"/>
          </w:tcPr>
          <w:p>
            <w:pPr>
              <w:pStyle w:val="14"/>
              <w:spacing w:before="96" w:line="271" w:lineRule="auto"/>
              <w:ind w:left="202" w:right="193"/>
              <w:rPr>
                <w:sz w:val="22"/>
              </w:rPr>
            </w:pPr>
            <w:r>
              <w:rPr>
                <w:sz w:val="22"/>
              </w:rPr>
              <w:t>投标人提出问题的截止时间</w:t>
            </w:r>
          </w:p>
        </w:tc>
        <w:tc>
          <w:tcPr>
            <w:tcW w:w="6873" w:type="dxa"/>
            <w:vAlign w:val="top"/>
          </w:tcPr>
          <w:p>
            <w:pPr>
              <w:pStyle w:val="14"/>
              <w:spacing w:before="11"/>
              <w:rPr>
                <w:b/>
                <w:sz w:val="19"/>
              </w:rPr>
            </w:pPr>
          </w:p>
          <w:p>
            <w:pPr>
              <w:pStyle w:val="14"/>
              <w:ind w:left="108"/>
              <w:rPr>
                <w:sz w:val="22"/>
              </w:rPr>
            </w:pPr>
            <w:r>
              <w:rPr>
                <w:w w:val="100"/>
                <w:sz w:val="22"/>
              </w:rPr>
              <w:t>/</w:t>
            </w:r>
          </w:p>
        </w:tc>
      </w:tr>
    </w:tbl>
    <w:p>
      <w:pPr>
        <w:spacing w:after="0"/>
        <w:rPr>
          <w:sz w:val="22"/>
        </w:rPr>
        <w:sectPr>
          <w:pgSz w:w="11910" w:h="16840"/>
          <w:pgMar w:top="1100" w:right="660" w:bottom="1180" w:left="800" w:header="878" w:footer="852" w:gutter="0"/>
          <w:cols w:space="720" w:num="1"/>
        </w:sectPr>
      </w:pPr>
    </w:p>
    <w:p>
      <w:pPr>
        <w:pStyle w:val="9"/>
        <w:rPr>
          <w:rFonts w:ascii="Times New Roman"/>
          <w:sz w:val="26"/>
        </w:rPr>
      </w:pPr>
    </w:p>
    <w:tbl>
      <w:tblPr>
        <w:tblW w:w="9918"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6"/>
        <w:gridCol w:w="1729"/>
        <w:gridCol w:w="113"/>
        <w:gridCol w:w="2679"/>
        <w:gridCol w:w="2915"/>
        <w:gridCol w:w="1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2" w:hRule="atLeast"/>
        </w:trPr>
        <w:tc>
          <w:tcPr>
            <w:tcW w:w="1316" w:type="dxa"/>
            <w:vAlign w:val="top"/>
          </w:tcPr>
          <w:p>
            <w:pPr>
              <w:pStyle w:val="14"/>
              <w:spacing w:before="3"/>
              <w:rPr>
                <w:rFonts w:ascii="Times New Roman"/>
                <w:sz w:val="22"/>
              </w:rPr>
            </w:pPr>
          </w:p>
          <w:p>
            <w:pPr>
              <w:pStyle w:val="14"/>
              <w:ind w:left="88" w:right="77"/>
              <w:jc w:val="center"/>
              <w:rPr>
                <w:sz w:val="22"/>
              </w:rPr>
            </w:pPr>
            <w:r>
              <w:rPr>
                <w:sz w:val="22"/>
              </w:rPr>
              <w:t>1.10.3</w:t>
            </w:r>
          </w:p>
        </w:tc>
        <w:tc>
          <w:tcPr>
            <w:tcW w:w="1729" w:type="dxa"/>
            <w:vAlign w:val="top"/>
          </w:tcPr>
          <w:p>
            <w:pPr>
              <w:pStyle w:val="14"/>
              <w:spacing w:before="57" w:line="320" w:lineRule="atLeast"/>
              <w:ind w:left="313" w:right="193" w:hanging="111"/>
              <w:rPr>
                <w:sz w:val="22"/>
              </w:rPr>
            </w:pPr>
            <w:r>
              <w:rPr>
                <w:sz w:val="22"/>
              </w:rPr>
              <w:t>补充招标文件发出的时间</w:t>
            </w:r>
          </w:p>
        </w:tc>
        <w:tc>
          <w:tcPr>
            <w:tcW w:w="6873" w:type="dxa"/>
            <w:gridSpan w:val="4"/>
            <w:vAlign w:val="top"/>
          </w:tcPr>
          <w:p>
            <w:pPr>
              <w:pStyle w:val="14"/>
              <w:spacing w:before="3"/>
              <w:rPr>
                <w:rFonts w:ascii="Times New Roman"/>
                <w:sz w:val="22"/>
              </w:rPr>
            </w:pPr>
          </w:p>
          <w:p>
            <w:pPr>
              <w:pStyle w:val="14"/>
              <w:ind w:left="107"/>
              <w:rPr>
                <w:sz w:val="22"/>
              </w:rPr>
            </w:pPr>
            <w:r>
              <w:rPr>
                <w:rFonts w:ascii="Times New Roman" w:eastAsia="Times New Roman"/>
                <w:w w:val="100"/>
                <w:sz w:val="22"/>
                <w:u w:val="single"/>
              </w:rPr>
              <w:t xml:space="preserve"> </w:t>
            </w:r>
            <w:r>
              <w:rPr>
                <w:rFonts w:ascii="Times New Roman" w:eastAsia="Times New Roman"/>
                <w:sz w:val="22"/>
                <w:u w:val="single"/>
              </w:rPr>
              <w:t xml:space="preserve"> </w:t>
            </w:r>
            <w:r>
              <w:rPr>
                <w:sz w:val="22"/>
                <w:u w:val="single"/>
              </w:rPr>
              <w:t>如有，另行通知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2" w:hRule="atLeast"/>
        </w:trPr>
        <w:tc>
          <w:tcPr>
            <w:tcW w:w="1316" w:type="dxa"/>
            <w:vMerge w:val="restart"/>
            <w:vAlign w:val="top"/>
          </w:tcPr>
          <w:p>
            <w:pPr>
              <w:pStyle w:val="14"/>
              <w:rPr>
                <w:rFonts w:ascii="Times New Roman"/>
                <w:sz w:val="22"/>
              </w:rPr>
            </w:pPr>
          </w:p>
          <w:p>
            <w:pPr>
              <w:pStyle w:val="14"/>
              <w:rPr>
                <w:rFonts w:ascii="Times New Roman"/>
                <w:sz w:val="22"/>
              </w:rPr>
            </w:pPr>
          </w:p>
          <w:p>
            <w:pPr>
              <w:pStyle w:val="14"/>
              <w:rPr>
                <w:rFonts w:ascii="Times New Roman"/>
                <w:sz w:val="22"/>
              </w:rPr>
            </w:pPr>
          </w:p>
          <w:p>
            <w:pPr>
              <w:pStyle w:val="14"/>
              <w:spacing w:before="155"/>
              <w:ind w:left="328"/>
              <w:rPr>
                <w:sz w:val="22"/>
              </w:rPr>
            </w:pPr>
            <w:r>
              <w:rPr>
                <w:sz w:val="22"/>
              </w:rPr>
              <w:t>1.11.1</w:t>
            </w:r>
          </w:p>
        </w:tc>
        <w:tc>
          <w:tcPr>
            <w:tcW w:w="1729" w:type="dxa"/>
            <w:vMerge w:val="restart"/>
            <w:vAlign w:val="top"/>
          </w:tcPr>
          <w:p>
            <w:pPr>
              <w:pStyle w:val="14"/>
              <w:rPr>
                <w:rFonts w:ascii="Times New Roman"/>
                <w:sz w:val="22"/>
              </w:rPr>
            </w:pPr>
          </w:p>
          <w:p>
            <w:pPr>
              <w:pStyle w:val="14"/>
              <w:spacing w:before="8"/>
              <w:rPr>
                <w:rFonts w:ascii="Times New Roman"/>
                <w:sz w:val="29"/>
              </w:rPr>
            </w:pPr>
          </w:p>
          <w:p>
            <w:pPr>
              <w:pStyle w:val="14"/>
              <w:spacing w:line="271" w:lineRule="auto"/>
              <w:ind w:left="202" w:right="193"/>
              <w:jc w:val="center"/>
              <w:rPr>
                <w:sz w:val="22"/>
              </w:rPr>
            </w:pPr>
            <w:r>
              <w:rPr>
                <w:sz w:val="22"/>
              </w:rPr>
              <w:t>工程量清单中给定的专业工程暂估价</w:t>
            </w:r>
          </w:p>
        </w:tc>
        <w:tc>
          <w:tcPr>
            <w:tcW w:w="113" w:type="dxa"/>
            <w:vMerge w:val="restart"/>
            <w:tcBorders>
              <w:bottom w:val="nil"/>
            </w:tcBorders>
            <w:vAlign w:val="top"/>
          </w:tcPr>
          <w:p>
            <w:pPr>
              <w:pStyle w:val="14"/>
              <w:rPr>
                <w:rFonts w:ascii="Times New Roman"/>
                <w:sz w:val="20"/>
              </w:rPr>
            </w:pPr>
          </w:p>
        </w:tc>
        <w:tc>
          <w:tcPr>
            <w:tcW w:w="2679" w:type="dxa"/>
            <w:tcBorders>
              <w:top w:val="single" w:color="000000" w:sz="8" w:space="0"/>
            </w:tcBorders>
            <w:vAlign w:val="top"/>
          </w:tcPr>
          <w:p>
            <w:pPr>
              <w:pStyle w:val="14"/>
              <w:spacing w:before="100"/>
              <w:ind w:left="679"/>
              <w:rPr>
                <w:sz w:val="22"/>
              </w:rPr>
            </w:pPr>
            <w:r>
              <w:rPr>
                <w:sz w:val="22"/>
              </w:rPr>
              <w:t>专业工程名称</w:t>
            </w:r>
          </w:p>
        </w:tc>
        <w:tc>
          <w:tcPr>
            <w:tcW w:w="2915" w:type="dxa"/>
            <w:tcBorders>
              <w:top w:val="single" w:color="000000" w:sz="8" w:space="0"/>
            </w:tcBorders>
            <w:vAlign w:val="top"/>
          </w:tcPr>
          <w:p>
            <w:pPr>
              <w:pStyle w:val="14"/>
              <w:spacing w:before="100"/>
              <w:ind w:left="337" w:right="327"/>
              <w:jc w:val="center"/>
              <w:rPr>
                <w:sz w:val="22"/>
              </w:rPr>
            </w:pPr>
            <w:r>
              <w:rPr>
                <w:sz w:val="22"/>
              </w:rPr>
              <w:t>专业工程暂估价(万元)</w:t>
            </w:r>
          </w:p>
        </w:tc>
        <w:tc>
          <w:tcPr>
            <w:tcW w:w="1166" w:type="dxa"/>
            <w:vMerge w:val="restart"/>
            <w:tcBorders>
              <w:bottom w:val="nil"/>
            </w:tcBorders>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1316" w:type="dxa"/>
            <w:vMerge w:val="continue"/>
            <w:tcBorders>
              <w:top w:val="nil"/>
            </w:tcBorders>
            <w:vAlign w:val="top"/>
          </w:tcPr>
          <w:p>
            <w:pPr>
              <w:rPr>
                <w:sz w:val="2"/>
                <w:szCs w:val="2"/>
              </w:rPr>
            </w:pPr>
          </w:p>
        </w:tc>
        <w:tc>
          <w:tcPr>
            <w:tcW w:w="1729" w:type="dxa"/>
            <w:vMerge w:val="continue"/>
            <w:tcBorders>
              <w:top w:val="nil"/>
            </w:tcBorders>
            <w:vAlign w:val="top"/>
          </w:tcPr>
          <w:p>
            <w:pPr>
              <w:rPr>
                <w:sz w:val="2"/>
                <w:szCs w:val="2"/>
              </w:rPr>
            </w:pPr>
          </w:p>
        </w:tc>
        <w:tc>
          <w:tcPr>
            <w:tcW w:w="113" w:type="dxa"/>
            <w:vMerge w:val="continue"/>
            <w:tcBorders>
              <w:top w:val="nil"/>
              <w:bottom w:val="nil"/>
            </w:tcBorders>
            <w:vAlign w:val="top"/>
          </w:tcPr>
          <w:p>
            <w:pPr>
              <w:rPr>
                <w:sz w:val="2"/>
                <w:szCs w:val="2"/>
              </w:rPr>
            </w:pPr>
          </w:p>
        </w:tc>
        <w:tc>
          <w:tcPr>
            <w:tcW w:w="2679" w:type="dxa"/>
            <w:vAlign w:val="top"/>
          </w:tcPr>
          <w:p>
            <w:pPr>
              <w:pStyle w:val="14"/>
              <w:spacing w:before="95"/>
              <w:ind w:left="230"/>
              <w:jc w:val="center"/>
              <w:rPr>
                <w:sz w:val="22"/>
              </w:rPr>
            </w:pPr>
            <w:r>
              <w:rPr>
                <w:w w:val="100"/>
                <w:sz w:val="22"/>
              </w:rPr>
              <w:t>无</w:t>
            </w:r>
          </w:p>
        </w:tc>
        <w:tc>
          <w:tcPr>
            <w:tcW w:w="2915" w:type="dxa"/>
            <w:vAlign w:val="top"/>
          </w:tcPr>
          <w:p>
            <w:pPr>
              <w:pStyle w:val="14"/>
              <w:spacing w:before="95"/>
              <w:ind w:left="7"/>
              <w:jc w:val="center"/>
              <w:rPr>
                <w:sz w:val="22"/>
              </w:rPr>
            </w:pPr>
            <w:r>
              <w:rPr>
                <w:w w:val="100"/>
                <w:sz w:val="22"/>
              </w:rPr>
              <w:t>\</w:t>
            </w:r>
          </w:p>
        </w:tc>
        <w:tc>
          <w:tcPr>
            <w:tcW w:w="1166" w:type="dxa"/>
            <w:vMerge w:val="continue"/>
            <w:tcBorders>
              <w:top w:val="nil"/>
              <w:bottom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316" w:type="dxa"/>
            <w:vMerge w:val="continue"/>
            <w:tcBorders>
              <w:top w:val="nil"/>
            </w:tcBorders>
            <w:vAlign w:val="top"/>
          </w:tcPr>
          <w:p>
            <w:pPr>
              <w:rPr>
                <w:sz w:val="2"/>
                <w:szCs w:val="2"/>
              </w:rPr>
            </w:pPr>
          </w:p>
        </w:tc>
        <w:tc>
          <w:tcPr>
            <w:tcW w:w="1729" w:type="dxa"/>
            <w:vMerge w:val="continue"/>
            <w:tcBorders>
              <w:top w:val="nil"/>
            </w:tcBorders>
            <w:vAlign w:val="top"/>
          </w:tcPr>
          <w:p>
            <w:pPr>
              <w:rPr>
                <w:sz w:val="2"/>
                <w:szCs w:val="2"/>
              </w:rPr>
            </w:pPr>
          </w:p>
        </w:tc>
        <w:tc>
          <w:tcPr>
            <w:tcW w:w="113" w:type="dxa"/>
            <w:vMerge w:val="continue"/>
            <w:tcBorders>
              <w:top w:val="nil"/>
              <w:bottom w:val="nil"/>
            </w:tcBorders>
            <w:vAlign w:val="top"/>
          </w:tcPr>
          <w:p>
            <w:pPr>
              <w:rPr>
                <w:sz w:val="2"/>
                <w:szCs w:val="2"/>
              </w:rPr>
            </w:pPr>
          </w:p>
        </w:tc>
        <w:tc>
          <w:tcPr>
            <w:tcW w:w="2679" w:type="dxa"/>
            <w:vAlign w:val="top"/>
          </w:tcPr>
          <w:p>
            <w:pPr>
              <w:pStyle w:val="14"/>
              <w:spacing w:before="94"/>
              <w:ind w:left="1099" w:right="1090"/>
              <w:jc w:val="center"/>
              <w:rPr>
                <w:sz w:val="22"/>
              </w:rPr>
            </w:pPr>
            <w:r>
              <w:rPr>
                <w:sz w:val="22"/>
              </w:rPr>
              <w:t>合计</w:t>
            </w:r>
          </w:p>
        </w:tc>
        <w:tc>
          <w:tcPr>
            <w:tcW w:w="2915" w:type="dxa"/>
            <w:vAlign w:val="top"/>
          </w:tcPr>
          <w:p>
            <w:pPr>
              <w:pStyle w:val="14"/>
              <w:spacing w:before="94"/>
              <w:ind w:left="7"/>
              <w:jc w:val="center"/>
              <w:rPr>
                <w:sz w:val="22"/>
              </w:rPr>
            </w:pPr>
            <w:r>
              <w:rPr>
                <w:w w:val="100"/>
                <w:sz w:val="22"/>
              </w:rPr>
              <w:t>\</w:t>
            </w:r>
          </w:p>
        </w:tc>
        <w:tc>
          <w:tcPr>
            <w:tcW w:w="1166" w:type="dxa"/>
            <w:vMerge w:val="continue"/>
            <w:tcBorders>
              <w:top w:val="nil"/>
              <w:bottom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1316" w:type="dxa"/>
            <w:vMerge w:val="continue"/>
            <w:tcBorders>
              <w:top w:val="nil"/>
            </w:tcBorders>
            <w:vAlign w:val="top"/>
          </w:tcPr>
          <w:p>
            <w:pPr>
              <w:rPr>
                <w:sz w:val="2"/>
                <w:szCs w:val="2"/>
              </w:rPr>
            </w:pPr>
          </w:p>
        </w:tc>
        <w:tc>
          <w:tcPr>
            <w:tcW w:w="1729" w:type="dxa"/>
            <w:vMerge w:val="continue"/>
            <w:tcBorders>
              <w:top w:val="nil"/>
            </w:tcBorders>
            <w:vAlign w:val="top"/>
          </w:tcPr>
          <w:p>
            <w:pPr>
              <w:rPr>
                <w:sz w:val="2"/>
                <w:szCs w:val="2"/>
              </w:rPr>
            </w:pPr>
          </w:p>
        </w:tc>
        <w:tc>
          <w:tcPr>
            <w:tcW w:w="6873" w:type="dxa"/>
            <w:gridSpan w:val="4"/>
            <w:tcBorders>
              <w:top w:val="nil"/>
            </w:tcBorders>
            <w:vAlign w:val="top"/>
          </w:tcPr>
          <w:p>
            <w:pPr>
              <w:pStyle w:val="14"/>
              <w:tabs>
                <w:tab w:val="left" w:pos="2416"/>
                <w:tab w:val="left" w:pos="4617"/>
                <w:tab w:val="left" w:pos="5166"/>
              </w:tabs>
              <w:spacing w:before="36"/>
              <w:ind w:left="108"/>
              <w:rPr>
                <w:sz w:val="22"/>
              </w:rPr>
            </w:pPr>
            <w:r>
              <w:rPr>
                <w:sz w:val="22"/>
              </w:rPr>
              <w:t>专</w:t>
            </w:r>
            <w:r>
              <w:rPr>
                <w:spacing w:val="-3"/>
                <w:sz w:val="22"/>
              </w:rPr>
              <w:t>业</w:t>
            </w:r>
            <w:r>
              <w:rPr>
                <w:sz w:val="22"/>
              </w:rPr>
              <w:t>工程</w:t>
            </w:r>
            <w:r>
              <w:rPr>
                <w:spacing w:val="-3"/>
                <w:sz w:val="22"/>
              </w:rPr>
              <w:t>暂</w:t>
            </w:r>
            <w:r>
              <w:rPr>
                <w:sz w:val="22"/>
              </w:rPr>
              <w:t>估</w:t>
            </w:r>
            <w:r>
              <w:rPr>
                <w:spacing w:val="-3"/>
                <w:sz w:val="22"/>
              </w:rPr>
              <w:t>价</w:t>
            </w:r>
            <w:r>
              <w:rPr>
                <w:spacing w:val="-3"/>
                <w:sz w:val="22"/>
                <w:u w:val="single"/>
              </w:rPr>
              <w:t xml:space="preserve"> </w:t>
            </w:r>
            <w:r>
              <w:rPr>
                <w:spacing w:val="5"/>
                <w:sz w:val="22"/>
                <w:u w:val="single"/>
              </w:rPr>
              <w:t xml:space="preserve"> </w:t>
            </w:r>
            <w:r>
              <w:rPr>
                <w:sz w:val="22"/>
                <w:u w:val="single"/>
              </w:rPr>
              <w:t>\</w:t>
            </w:r>
            <w:r>
              <w:rPr>
                <w:sz w:val="22"/>
                <w:u w:val="single"/>
              </w:rPr>
              <w:tab/>
            </w:r>
            <w:r>
              <w:rPr>
                <w:sz w:val="22"/>
              </w:rPr>
              <w:t>万</w:t>
            </w:r>
            <w:r>
              <w:rPr>
                <w:spacing w:val="-3"/>
                <w:sz w:val="22"/>
              </w:rPr>
              <w:t>元</w:t>
            </w:r>
            <w:r>
              <w:rPr>
                <w:sz w:val="22"/>
              </w:rPr>
              <w:t>，材</w:t>
            </w:r>
            <w:r>
              <w:rPr>
                <w:spacing w:val="-3"/>
                <w:sz w:val="22"/>
              </w:rPr>
              <w:t>料</w:t>
            </w:r>
            <w:r>
              <w:rPr>
                <w:sz w:val="22"/>
              </w:rPr>
              <w:t>暂估价</w:t>
            </w:r>
            <w:r>
              <w:rPr>
                <w:sz w:val="22"/>
                <w:u w:val="single"/>
              </w:rPr>
              <w:t xml:space="preserve"> </w:t>
            </w:r>
            <w:r>
              <w:rPr>
                <w:sz w:val="22"/>
                <w:u w:val="single"/>
              </w:rPr>
              <w:tab/>
            </w:r>
            <w:r>
              <w:rPr>
                <w:sz w:val="22"/>
                <w:u w:val="single"/>
              </w:rPr>
              <w:t>\</w:t>
            </w:r>
            <w:r>
              <w:rPr>
                <w:sz w:val="22"/>
                <w:u w:val="single"/>
              </w:rPr>
              <w:tab/>
            </w:r>
            <w:r>
              <w:rPr>
                <w:sz w:val="22"/>
              </w:rPr>
              <w:t>万</w:t>
            </w:r>
            <w:r>
              <w:rPr>
                <w:spacing w:val="-3"/>
                <w:sz w:val="22"/>
              </w:rPr>
              <w:t>元</w:t>
            </w:r>
            <w:r>
              <w:rPr>
                <w:sz w:val="22"/>
              </w:rPr>
              <w:t>。</w:t>
            </w:r>
          </w:p>
          <w:p>
            <w:pPr>
              <w:pStyle w:val="14"/>
              <w:tabs>
                <w:tab w:val="left" w:pos="1538"/>
                <w:tab w:val="left" w:pos="2198"/>
              </w:tabs>
              <w:spacing w:before="40" w:line="262" w:lineRule="exact"/>
              <w:ind w:left="108"/>
              <w:rPr>
                <w:sz w:val="22"/>
              </w:rPr>
            </w:pPr>
            <w:r>
              <w:rPr>
                <w:sz w:val="22"/>
              </w:rPr>
              <w:t>暂</w:t>
            </w:r>
            <w:r>
              <w:rPr>
                <w:spacing w:val="-3"/>
                <w:sz w:val="22"/>
              </w:rPr>
              <w:t>估</w:t>
            </w:r>
            <w:r>
              <w:rPr>
                <w:sz w:val="22"/>
              </w:rPr>
              <w:t>价合</w:t>
            </w:r>
            <w:r>
              <w:rPr>
                <w:spacing w:val="-4"/>
                <w:sz w:val="22"/>
              </w:rPr>
              <w:t>计</w:t>
            </w:r>
            <w:r>
              <w:rPr>
                <w:spacing w:val="-4"/>
                <w:sz w:val="22"/>
                <w:u w:val="single"/>
              </w:rPr>
              <w:t xml:space="preserve"> </w:t>
            </w:r>
            <w:r>
              <w:rPr>
                <w:spacing w:val="-4"/>
                <w:sz w:val="22"/>
                <w:u w:val="single"/>
              </w:rPr>
              <w:tab/>
            </w:r>
            <w:r>
              <w:rPr>
                <w:sz w:val="22"/>
                <w:u w:val="single"/>
              </w:rPr>
              <w:t>\</w:t>
            </w:r>
            <w:r>
              <w:rPr>
                <w:sz w:val="22"/>
                <w:u w:val="single"/>
              </w:rPr>
              <w:tab/>
            </w:r>
            <w:r>
              <w:rPr>
                <w:sz w:val="22"/>
              </w:rPr>
              <w:t>万</w:t>
            </w:r>
            <w:r>
              <w:rPr>
                <w:spacing w:val="-3"/>
                <w:sz w:val="22"/>
              </w:rPr>
              <w:t>元</w:t>
            </w:r>
            <w:r>
              <w:rPr>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7" w:hRule="atLeast"/>
        </w:trPr>
        <w:tc>
          <w:tcPr>
            <w:tcW w:w="1316" w:type="dxa"/>
            <w:vAlign w:val="top"/>
          </w:tcPr>
          <w:p>
            <w:pPr>
              <w:pStyle w:val="14"/>
              <w:rPr>
                <w:rFonts w:ascii="Times New Roman"/>
                <w:sz w:val="23"/>
              </w:rPr>
            </w:pPr>
          </w:p>
          <w:p>
            <w:pPr>
              <w:pStyle w:val="14"/>
              <w:ind w:left="88" w:right="77"/>
              <w:jc w:val="center"/>
              <w:rPr>
                <w:sz w:val="22"/>
              </w:rPr>
            </w:pPr>
            <w:r>
              <w:rPr>
                <w:sz w:val="22"/>
              </w:rPr>
              <w:t>2.1.1（9）</w:t>
            </w:r>
          </w:p>
        </w:tc>
        <w:tc>
          <w:tcPr>
            <w:tcW w:w="1729" w:type="dxa"/>
            <w:vAlign w:val="top"/>
          </w:tcPr>
          <w:p>
            <w:pPr>
              <w:pStyle w:val="14"/>
              <w:spacing w:before="104" w:line="273" w:lineRule="auto"/>
              <w:ind w:left="313" w:right="193" w:hanging="111"/>
              <w:rPr>
                <w:sz w:val="22"/>
              </w:rPr>
            </w:pPr>
            <w:r>
              <w:rPr>
                <w:sz w:val="22"/>
              </w:rPr>
              <w:t>构成招标文件的其他材料</w:t>
            </w:r>
          </w:p>
        </w:tc>
        <w:tc>
          <w:tcPr>
            <w:tcW w:w="6873" w:type="dxa"/>
            <w:gridSpan w:val="4"/>
            <w:vAlign w:val="top"/>
          </w:tcPr>
          <w:p>
            <w:pPr>
              <w:pStyle w:val="14"/>
              <w:spacing w:before="104"/>
              <w:ind w:left="108"/>
              <w:rPr>
                <w:sz w:val="22"/>
              </w:rPr>
            </w:pPr>
            <w:r>
              <w:rPr>
                <w:sz w:val="22"/>
                <w:u w:val="single"/>
              </w:rPr>
              <w:t>招标图纸电子文件；</w:t>
            </w:r>
          </w:p>
          <w:p>
            <w:pPr>
              <w:pStyle w:val="14"/>
              <w:spacing w:before="39"/>
              <w:ind w:left="108"/>
              <w:rPr>
                <w:sz w:val="22"/>
              </w:rPr>
            </w:pPr>
            <w:r>
              <w:rPr>
                <w:sz w:val="22"/>
                <w:u w:val="single"/>
              </w:rPr>
              <w:t>招标工程量清单电子文件；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9" w:hRule="atLeast"/>
        </w:trPr>
        <w:tc>
          <w:tcPr>
            <w:tcW w:w="1316" w:type="dxa"/>
            <w:vAlign w:val="top"/>
          </w:tcPr>
          <w:p>
            <w:pPr>
              <w:pStyle w:val="14"/>
              <w:rPr>
                <w:rFonts w:ascii="Times New Roman"/>
                <w:sz w:val="22"/>
              </w:rPr>
            </w:pPr>
          </w:p>
          <w:p>
            <w:pPr>
              <w:pStyle w:val="14"/>
              <w:rPr>
                <w:rFonts w:ascii="Times New Roman"/>
                <w:sz w:val="22"/>
              </w:rPr>
            </w:pPr>
          </w:p>
          <w:p>
            <w:pPr>
              <w:pStyle w:val="14"/>
              <w:rPr>
                <w:rFonts w:ascii="Times New Roman"/>
                <w:sz w:val="22"/>
              </w:rPr>
            </w:pPr>
          </w:p>
          <w:p>
            <w:pPr>
              <w:pStyle w:val="14"/>
              <w:spacing w:before="8"/>
              <w:rPr>
                <w:rFonts w:ascii="Times New Roman"/>
                <w:sz w:val="20"/>
              </w:rPr>
            </w:pPr>
          </w:p>
          <w:p>
            <w:pPr>
              <w:pStyle w:val="14"/>
              <w:ind w:left="383"/>
              <w:rPr>
                <w:sz w:val="22"/>
              </w:rPr>
            </w:pPr>
            <w:r>
              <w:rPr>
                <w:sz w:val="22"/>
              </w:rPr>
              <w:t>3.1.1</w:t>
            </w:r>
          </w:p>
          <w:p>
            <w:pPr>
              <w:pStyle w:val="14"/>
              <w:spacing w:before="37"/>
              <w:ind w:left="383"/>
              <w:rPr>
                <w:sz w:val="22"/>
              </w:rPr>
            </w:pPr>
            <w:r>
              <w:rPr>
                <w:sz w:val="22"/>
              </w:rPr>
              <w:t>（8）</w:t>
            </w:r>
          </w:p>
        </w:tc>
        <w:tc>
          <w:tcPr>
            <w:tcW w:w="1729" w:type="dxa"/>
            <w:vAlign w:val="top"/>
          </w:tcPr>
          <w:p>
            <w:pPr>
              <w:pStyle w:val="14"/>
              <w:rPr>
                <w:rFonts w:ascii="Times New Roman"/>
                <w:sz w:val="22"/>
              </w:rPr>
            </w:pPr>
          </w:p>
          <w:p>
            <w:pPr>
              <w:pStyle w:val="14"/>
              <w:rPr>
                <w:rFonts w:ascii="Times New Roman"/>
                <w:sz w:val="22"/>
              </w:rPr>
            </w:pPr>
          </w:p>
          <w:p>
            <w:pPr>
              <w:pStyle w:val="14"/>
              <w:spacing w:before="8"/>
              <w:rPr>
                <w:rFonts w:ascii="Times New Roman"/>
                <w:sz w:val="28"/>
              </w:rPr>
            </w:pPr>
          </w:p>
          <w:p>
            <w:pPr>
              <w:pStyle w:val="14"/>
              <w:spacing w:line="273" w:lineRule="auto"/>
              <w:ind w:left="202" w:right="193"/>
              <w:jc w:val="center"/>
              <w:rPr>
                <w:sz w:val="22"/>
              </w:rPr>
            </w:pPr>
            <w:r>
              <w:rPr>
                <w:sz w:val="22"/>
              </w:rPr>
              <w:t>投标人基本资料所附支持性材料</w:t>
            </w:r>
          </w:p>
        </w:tc>
        <w:tc>
          <w:tcPr>
            <w:tcW w:w="6873" w:type="dxa"/>
            <w:gridSpan w:val="4"/>
            <w:vAlign w:val="top"/>
          </w:tcPr>
          <w:p>
            <w:pPr>
              <w:pStyle w:val="14"/>
              <w:spacing w:before="37"/>
              <w:ind w:left="108"/>
              <w:rPr>
                <w:sz w:val="22"/>
              </w:rPr>
            </w:pPr>
            <w:r>
              <w:rPr>
                <w:sz w:val="22"/>
              </w:rPr>
              <w:t>□无需提供</w:t>
            </w:r>
          </w:p>
          <w:p>
            <w:pPr>
              <w:pStyle w:val="14"/>
              <w:spacing w:before="37"/>
              <w:ind w:left="108"/>
              <w:rPr>
                <w:sz w:val="22"/>
              </w:rPr>
            </w:pPr>
            <w:r>
              <w:rPr>
                <w:rFonts w:hint="eastAsia" w:ascii="MS Gothic" w:hAnsi="MS Gothic" w:eastAsia="MS Gothic"/>
                <w:sz w:val="22"/>
              </w:rPr>
              <w:t>☑</w:t>
            </w:r>
            <w:r>
              <w:rPr>
                <w:sz w:val="22"/>
              </w:rPr>
              <w:t>需要提供，包括内容：</w:t>
            </w:r>
          </w:p>
          <w:p>
            <w:pPr>
              <w:pStyle w:val="14"/>
              <w:spacing w:before="40" w:line="271" w:lineRule="auto"/>
              <w:ind w:left="108" w:right="42" w:firstLine="218"/>
              <w:rPr>
                <w:sz w:val="22"/>
              </w:rPr>
            </w:pPr>
            <w:r>
              <w:rPr>
                <w:rFonts w:hint="eastAsia" w:ascii="MS Gothic" w:hAnsi="MS Gothic" w:eastAsia="MS Gothic"/>
                <w:sz w:val="22"/>
              </w:rPr>
              <w:t xml:space="preserve">☑ </w:t>
            </w:r>
            <w:r>
              <w:rPr>
                <w:sz w:val="22"/>
              </w:rPr>
              <w:t>“项目负责人简历表”中项目负责人任职业绩所附支持性材料： 合同协议书、竣工验收证明材料的复印件。</w:t>
            </w:r>
          </w:p>
          <w:p>
            <w:pPr>
              <w:pStyle w:val="14"/>
              <w:spacing w:before="1" w:line="273" w:lineRule="auto"/>
              <w:ind w:left="108" w:right="30" w:firstLine="218"/>
              <w:rPr>
                <w:sz w:val="22"/>
              </w:rPr>
            </w:pPr>
            <w:r>
              <w:rPr>
                <w:rFonts w:hint="eastAsia" w:ascii="MS Gothic" w:hAnsi="MS Gothic" w:eastAsia="MS Gothic"/>
                <w:sz w:val="22"/>
              </w:rPr>
              <w:t xml:space="preserve">☑ </w:t>
            </w:r>
            <w:r>
              <w:rPr>
                <w:sz w:val="22"/>
              </w:rPr>
              <w:t>“近年完成的类似项目情况表”中近年完成的类似项目所附支持性材料：竣工验收证明材料的复印件。</w:t>
            </w:r>
          </w:p>
          <w:p>
            <w:pPr>
              <w:pStyle w:val="14"/>
              <w:spacing w:line="280" w:lineRule="exact"/>
              <w:ind w:left="326"/>
              <w:rPr>
                <w:sz w:val="22"/>
              </w:rPr>
            </w:pPr>
            <w:r>
              <w:rPr>
                <w:rFonts w:hint="eastAsia" w:ascii="MS Gothic" w:hAnsi="MS Gothic" w:eastAsia="MS Gothic"/>
                <w:sz w:val="22"/>
              </w:rPr>
              <w:t xml:space="preserve">☑ </w:t>
            </w:r>
            <w:r>
              <w:rPr>
                <w:sz w:val="22"/>
              </w:rPr>
              <w:t>“正在施工和新承接的项目情况表”中正在施工和新承接的项目</w:t>
            </w:r>
          </w:p>
          <w:p>
            <w:pPr>
              <w:pStyle w:val="14"/>
              <w:spacing w:before="37" w:line="264" w:lineRule="exact"/>
              <w:ind w:left="108"/>
              <w:rPr>
                <w:sz w:val="22"/>
              </w:rPr>
            </w:pPr>
            <w:r>
              <w:rPr>
                <w:sz w:val="22"/>
              </w:rPr>
              <w:t>所附支持性材料：中标通知书和合同协议书复印件。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37" w:hRule="atLeast"/>
        </w:trPr>
        <w:tc>
          <w:tcPr>
            <w:tcW w:w="1316" w:type="dxa"/>
            <w:vAlign w:val="top"/>
          </w:tcPr>
          <w:p>
            <w:pPr>
              <w:pStyle w:val="14"/>
              <w:rPr>
                <w:rFonts w:ascii="Times New Roman"/>
                <w:sz w:val="22"/>
              </w:rPr>
            </w:pPr>
          </w:p>
          <w:p>
            <w:pPr>
              <w:pStyle w:val="14"/>
              <w:spacing w:before="142"/>
              <w:ind w:left="88" w:right="77"/>
              <w:jc w:val="center"/>
              <w:rPr>
                <w:sz w:val="22"/>
              </w:rPr>
            </w:pPr>
            <w:r>
              <w:rPr>
                <w:sz w:val="22"/>
              </w:rPr>
              <w:t>3.1.4</w:t>
            </w:r>
          </w:p>
        </w:tc>
        <w:tc>
          <w:tcPr>
            <w:tcW w:w="1729" w:type="dxa"/>
            <w:vAlign w:val="top"/>
          </w:tcPr>
          <w:p>
            <w:pPr>
              <w:pStyle w:val="14"/>
              <w:spacing w:before="4"/>
              <w:rPr>
                <w:rFonts w:ascii="Times New Roman"/>
                <w:sz w:val="20"/>
              </w:rPr>
            </w:pPr>
          </w:p>
          <w:p>
            <w:pPr>
              <w:pStyle w:val="14"/>
              <w:spacing w:line="273" w:lineRule="auto"/>
              <w:ind w:left="106" w:right="95"/>
              <w:rPr>
                <w:sz w:val="22"/>
              </w:rPr>
            </w:pPr>
            <w:r>
              <w:rPr>
                <w:sz w:val="22"/>
              </w:rPr>
              <w:t>投标文件电子版内容</w:t>
            </w:r>
          </w:p>
        </w:tc>
        <w:tc>
          <w:tcPr>
            <w:tcW w:w="6873" w:type="dxa"/>
            <w:gridSpan w:val="4"/>
            <w:vAlign w:val="top"/>
          </w:tcPr>
          <w:p>
            <w:pPr>
              <w:pStyle w:val="14"/>
              <w:spacing w:before="66" w:line="266" w:lineRule="auto"/>
              <w:ind w:left="108" w:right="94"/>
              <w:rPr>
                <w:sz w:val="22"/>
              </w:rPr>
            </w:pPr>
            <w:r>
              <w:rPr>
                <w:rFonts w:hint="eastAsia" w:ascii="MS Gothic" w:hAnsi="MS Gothic" w:eastAsia="MS Gothic"/>
                <w:sz w:val="22"/>
              </w:rPr>
              <w:t>☑</w:t>
            </w:r>
            <w:r>
              <w:rPr>
                <w:sz w:val="22"/>
              </w:rPr>
              <w:t>商务标，投标报价电子文件应符合《</w:t>
            </w:r>
            <w:r>
              <w:rPr>
                <w:rFonts w:hint="eastAsia"/>
                <w:sz w:val="22"/>
              </w:rPr>
              <w:t>青岛</w:t>
            </w:r>
            <w:r>
              <w:rPr>
                <w:sz w:val="22"/>
              </w:rPr>
              <w:t>市建设工程工程量数据文件标准》</w:t>
            </w:r>
          </w:p>
          <w:p>
            <w:pPr>
              <w:pStyle w:val="14"/>
              <w:spacing w:line="280" w:lineRule="exact"/>
              <w:ind w:left="218"/>
              <w:rPr>
                <w:sz w:val="22"/>
              </w:rPr>
            </w:pPr>
            <w:r>
              <w:rPr>
                <w:rFonts w:hint="eastAsia" w:ascii="MS Gothic" w:hAnsi="MS Gothic" w:eastAsia="MS Gothic"/>
                <w:sz w:val="22"/>
              </w:rPr>
              <w:t>☑</w:t>
            </w:r>
            <w:r>
              <w:rPr>
                <w:sz w:val="22"/>
              </w:rPr>
              <w:t>技术标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3" w:hRule="atLeast"/>
        </w:trPr>
        <w:tc>
          <w:tcPr>
            <w:tcW w:w="1316" w:type="dxa"/>
            <w:vAlign w:val="top"/>
          </w:tcPr>
          <w:p>
            <w:pPr>
              <w:pStyle w:val="14"/>
              <w:spacing w:before="128"/>
              <w:ind w:left="88" w:right="77"/>
              <w:jc w:val="center"/>
              <w:rPr>
                <w:sz w:val="22"/>
              </w:rPr>
            </w:pPr>
            <w:r>
              <w:rPr>
                <w:sz w:val="22"/>
              </w:rPr>
              <w:t>3.3.1</w:t>
            </w:r>
          </w:p>
        </w:tc>
        <w:tc>
          <w:tcPr>
            <w:tcW w:w="1729" w:type="dxa"/>
            <w:vAlign w:val="top"/>
          </w:tcPr>
          <w:p>
            <w:pPr>
              <w:pStyle w:val="14"/>
              <w:spacing w:before="128"/>
              <w:ind w:left="183" w:right="174"/>
              <w:jc w:val="center"/>
              <w:rPr>
                <w:sz w:val="22"/>
              </w:rPr>
            </w:pPr>
            <w:r>
              <w:rPr>
                <w:sz w:val="22"/>
              </w:rPr>
              <w:t>投标有效期</w:t>
            </w:r>
          </w:p>
        </w:tc>
        <w:tc>
          <w:tcPr>
            <w:tcW w:w="6873" w:type="dxa"/>
            <w:gridSpan w:val="4"/>
            <w:vAlign w:val="top"/>
          </w:tcPr>
          <w:p>
            <w:pPr>
              <w:pStyle w:val="14"/>
              <w:spacing w:before="128"/>
              <w:ind w:left="107"/>
              <w:rPr>
                <w:sz w:val="22"/>
              </w:rPr>
            </w:pPr>
            <w:r>
              <w:rPr>
                <w:rFonts w:ascii="Times New Roman" w:eastAsia="Times New Roman"/>
                <w:w w:val="100"/>
                <w:sz w:val="22"/>
                <w:u w:val="single"/>
              </w:rPr>
              <w:t xml:space="preserve"> </w:t>
            </w:r>
            <w:r>
              <w:rPr>
                <w:rFonts w:ascii="Times New Roman" w:eastAsia="Times New Roman"/>
                <w:sz w:val="22"/>
                <w:u w:val="single"/>
              </w:rPr>
              <w:t xml:space="preserve"> </w:t>
            </w:r>
            <w:r>
              <w:rPr>
                <w:sz w:val="22"/>
                <w:u w:val="single"/>
              </w:rPr>
              <w:t>90</w:t>
            </w:r>
            <w:r>
              <w:rPr>
                <w:sz w:val="22"/>
              </w:rPr>
              <w:t xml:space="preserve"> 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40" w:hRule="atLeast"/>
        </w:trPr>
        <w:tc>
          <w:tcPr>
            <w:tcW w:w="1316" w:type="dxa"/>
            <w:vAlign w:val="top"/>
          </w:tcPr>
          <w:p>
            <w:pPr>
              <w:pStyle w:val="14"/>
              <w:rPr>
                <w:rFonts w:ascii="Times New Roman"/>
                <w:sz w:val="22"/>
              </w:rPr>
            </w:pPr>
          </w:p>
          <w:p>
            <w:pPr>
              <w:pStyle w:val="14"/>
              <w:rPr>
                <w:rFonts w:ascii="Times New Roman"/>
                <w:sz w:val="22"/>
              </w:rPr>
            </w:pPr>
          </w:p>
          <w:p>
            <w:pPr>
              <w:pStyle w:val="14"/>
              <w:rPr>
                <w:rFonts w:ascii="Times New Roman"/>
                <w:sz w:val="22"/>
              </w:rPr>
            </w:pPr>
          </w:p>
          <w:p>
            <w:pPr>
              <w:pStyle w:val="14"/>
              <w:spacing w:before="7"/>
              <w:rPr>
                <w:rFonts w:ascii="Times New Roman"/>
                <w:sz w:val="20"/>
              </w:rPr>
            </w:pPr>
          </w:p>
          <w:p>
            <w:pPr>
              <w:pStyle w:val="14"/>
              <w:ind w:left="88" w:right="77"/>
              <w:jc w:val="center"/>
              <w:rPr>
                <w:sz w:val="22"/>
              </w:rPr>
            </w:pPr>
            <w:r>
              <w:rPr>
                <w:sz w:val="22"/>
              </w:rPr>
              <w:t>3.4.1</w:t>
            </w:r>
          </w:p>
        </w:tc>
        <w:tc>
          <w:tcPr>
            <w:tcW w:w="1729" w:type="dxa"/>
            <w:vAlign w:val="top"/>
          </w:tcPr>
          <w:p>
            <w:pPr>
              <w:pStyle w:val="14"/>
              <w:rPr>
                <w:rFonts w:ascii="Times New Roman"/>
                <w:sz w:val="22"/>
              </w:rPr>
            </w:pPr>
          </w:p>
          <w:p>
            <w:pPr>
              <w:pStyle w:val="14"/>
              <w:rPr>
                <w:rFonts w:ascii="Times New Roman"/>
                <w:sz w:val="22"/>
              </w:rPr>
            </w:pPr>
          </w:p>
          <w:p>
            <w:pPr>
              <w:pStyle w:val="14"/>
              <w:rPr>
                <w:rFonts w:ascii="Times New Roman"/>
                <w:sz w:val="22"/>
              </w:rPr>
            </w:pPr>
          </w:p>
          <w:p>
            <w:pPr>
              <w:pStyle w:val="14"/>
              <w:spacing w:before="7"/>
              <w:rPr>
                <w:rFonts w:ascii="Times New Roman"/>
                <w:sz w:val="20"/>
              </w:rPr>
            </w:pPr>
          </w:p>
          <w:p>
            <w:pPr>
              <w:pStyle w:val="14"/>
              <w:ind w:left="183" w:right="174"/>
              <w:jc w:val="center"/>
              <w:rPr>
                <w:sz w:val="22"/>
              </w:rPr>
            </w:pPr>
            <w:r>
              <w:rPr>
                <w:sz w:val="22"/>
              </w:rPr>
              <w:t>投标保证金</w:t>
            </w:r>
          </w:p>
        </w:tc>
        <w:tc>
          <w:tcPr>
            <w:tcW w:w="6873" w:type="dxa"/>
            <w:gridSpan w:val="4"/>
            <w:vAlign w:val="top"/>
          </w:tcPr>
          <w:p>
            <w:pPr>
              <w:pStyle w:val="14"/>
              <w:spacing w:before="36"/>
              <w:ind w:left="108"/>
              <w:rPr>
                <w:sz w:val="22"/>
              </w:rPr>
            </w:pPr>
            <w:r>
              <w:rPr>
                <w:sz w:val="22"/>
              </w:rPr>
              <w:t>投标保证金金额：</w:t>
            </w:r>
            <w:r>
              <w:rPr>
                <w:rFonts w:hint="eastAsia"/>
                <w:sz w:val="22"/>
                <w:lang w:val="en-US" w:eastAsia="zh-CN"/>
              </w:rPr>
              <w:t>5</w:t>
            </w:r>
            <w:r>
              <w:rPr>
                <w:sz w:val="22"/>
              </w:rPr>
              <w:t>万元(人民币</w:t>
            </w:r>
            <w:r>
              <w:rPr>
                <w:rFonts w:hint="eastAsia"/>
                <w:sz w:val="22"/>
              </w:rPr>
              <w:t>伍</w:t>
            </w:r>
            <w:r>
              <w:rPr>
                <w:sz w:val="22"/>
              </w:rPr>
              <w:t>万元整)；</w:t>
            </w:r>
          </w:p>
          <w:p>
            <w:pPr>
              <w:snapToGrid/>
              <w:spacing w:before="0" w:beforeAutospacing="0" w:after="0" w:afterAutospacing="0" w:line="240" w:lineRule="auto"/>
              <w:jc w:val="both"/>
              <w:textAlignment w:val="baseline"/>
              <w:rPr>
                <w:spacing w:val="-8"/>
                <w:sz w:val="22"/>
              </w:rPr>
            </w:pPr>
            <w:r>
              <w:rPr>
                <w:spacing w:val="-8"/>
                <w:sz w:val="22"/>
              </w:rPr>
              <w:t>投标保证金提交方式：转账、汇款、支票或代理单位接受的其他方式。</w:t>
            </w:r>
          </w:p>
          <w:p>
            <w:pPr>
              <w:snapToGrid/>
              <w:spacing w:before="0" w:beforeAutospacing="0" w:after="0" w:afterAutospacing="0" w:line="240" w:lineRule="auto"/>
              <w:jc w:val="both"/>
              <w:textAlignment w:val="baseline"/>
              <w:rPr>
                <w:rFonts w:ascii="宋体" w:hAnsi="宋体" w:eastAsia="宋体"/>
                <w:b w:val="0"/>
                <w:i w:val="0"/>
                <w:caps w:val="0"/>
                <w:spacing w:val="0"/>
                <w:w w:val="100"/>
                <w:sz w:val="22"/>
              </w:rPr>
            </w:pPr>
            <w:r>
              <w:rPr>
                <w:rFonts w:hint="eastAsia" w:ascii="宋体" w:hAnsi="宋体" w:eastAsia="宋体"/>
                <w:b w:val="0"/>
                <w:i w:val="0"/>
                <w:caps w:val="0"/>
                <w:spacing w:val="0"/>
                <w:w w:val="100"/>
                <w:sz w:val="22"/>
              </w:rPr>
              <w:t>收款单位：寰宇东方国际集装箱（青岛）有限公司</w:t>
            </w:r>
          </w:p>
          <w:p>
            <w:pPr>
              <w:snapToGrid/>
              <w:spacing w:before="0" w:beforeAutospacing="0" w:after="0" w:afterAutospacing="0" w:line="240" w:lineRule="auto"/>
              <w:jc w:val="both"/>
              <w:textAlignment w:val="baseline"/>
              <w:rPr>
                <w:rFonts w:ascii="宋体" w:hAnsi="宋体" w:eastAsia="宋体"/>
                <w:b w:val="0"/>
                <w:i w:val="0"/>
                <w:caps w:val="0"/>
                <w:spacing w:val="0"/>
                <w:w w:val="100"/>
                <w:sz w:val="22"/>
              </w:rPr>
            </w:pPr>
            <w:r>
              <w:rPr>
                <w:rFonts w:hint="eastAsia" w:ascii="宋体" w:hAnsi="宋体" w:eastAsia="宋体"/>
                <w:b w:val="0"/>
                <w:i w:val="0"/>
                <w:caps w:val="0"/>
                <w:spacing w:val="0"/>
                <w:w w:val="100"/>
                <w:sz w:val="22"/>
              </w:rPr>
              <w:t>开户银行：招商银行股份有限公司青岛经济技术开发区支行</w:t>
            </w:r>
          </w:p>
          <w:p>
            <w:pPr>
              <w:pStyle w:val="14"/>
              <w:spacing w:before="40"/>
              <w:ind w:left="108"/>
              <w:rPr>
                <w:sz w:val="22"/>
              </w:rPr>
            </w:pPr>
            <w:r>
              <w:rPr>
                <w:rFonts w:hint="eastAsia" w:ascii="宋体" w:hAnsi="宋体" w:eastAsia="宋体"/>
                <w:b w:val="0"/>
                <w:i w:val="0"/>
                <w:caps w:val="0"/>
                <w:spacing w:val="0"/>
                <w:w w:val="100"/>
                <w:sz w:val="22"/>
              </w:rPr>
              <w:t>账号：642781502810001</w:t>
            </w:r>
            <w:r>
              <w:rPr>
                <w:rFonts w:hint="eastAsia" w:ascii="宋体" w:hAnsi="宋体"/>
                <w:b w:val="0"/>
                <w:i w:val="0"/>
                <w:caps w:val="0"/>
                <w:spacing w:val="0"/>
                <w:w w:val="100"/>
                <w:kern w:val="0"/>
                <w:sz w:val="21"/>
                <w:szCs w:val="28"/>
              </w:rPr>
              <w:t>。</w:t>
            </w:r>
          </w:p>
          <w:p>
            <w:pPr>
              <w:pStyle w:val="14"/>
              <w:spacing w:line="320" w:lineRule="atLeast"/>
              <w:ind w:left="108" w:right="94"/>
              <w:rPr>
                <w:sz w:val="22"/>
              </w:rPr>
            </w:pPr>
            <w:r>
              <w:rPr>
                <w:spacing w:val="-4"/>
                <w:sz w:val="22"/>
                <w:u w:val="single"/>
              </w:rPr>
              <w:t>保证金递交截止时间：</w:t>
            </w:r>
            <w:r>
              <w:rPr>
                <w:spacing w:val="-5"/>
                <w:sz w:val="22"/>
                <w:u w:val="single"/>
              </w:rPr>
              <w:t>2021</w:t>
            </w:r>
            <w:r>
              <w:rPr>
                <w:spacing w:val="-18"/>
                <w:sz w:val="22"/>
                <w:u w:val="single"/>
              </w:rPr>
              <w:t xml:space="preserve"> 年 </w:t>
            </w:r>
            <w:r>
              <w:rPr>
                <w:sz w:val="22"/>
                <w:u w:val="single"/>
              </w:rPr>
              <w:t>0</w:t>
            </w:r>
            <w:r>
              <w:rPr>
                <w:rFonts w:hint="eastAsia"/>
                <w:sz w:val="22"/>
                <w:u w:val="single"/>
                <w:lang w:val="en-US" w:eastAsia="zh-CN"/>
              </w:rPr>
              <w:t>8</w:t>
            </w:r>
            <w:r>
              <w:rPr>
                <w:spacing w:val="-18"/>
                <w:sz w:val="22"/>
                <w:u w:val="single"/>
              </w:rPr>
              <w:t xml:space="preserve">月 </w:t>
            </w:r>
            <w:r>
              <w:rPr>
                <w:rFonts w:hint="eastAsia"/>
                <w:sz w:val="22"/>
                <w:u w:val="single"/>
                <w:lang w:val="en-US" w:eastAsia="zh-CN"/>
              </w:rPr>
              <w:t>27</w:t>
            </w:r>
            <w:r>
              <w:rPr>
                <w:spacing w:val="-11"/>
                <w:sz w:val="22"/>
                <w:u w:val="single"/>
              </w:rPr>
              <w:t xml:space="preserve">日上午 </w:t>
            </w:r>
            <w:r>
              <w:rPr>
                <w:spacing w:val="-5"/>
                <w:sz w:val="22"/>
                <w:u w:val="single"/>
              </w:rPr>
              <w:t>10：00</w:t>
            </w:r>
            <w:r>
              <w:rPr>
                <w:spacing w:val="-12"/>
                <w:sz w:val="22"/>
                <w:u w:val="single"/>
              </w:rPr>
              <w:t xml:space="preserve"> 前，以保证金</w:t>
            </w:r>
            <w:r>
              <w:rPr>
                <w:spacing w:val="-210"/>
                <w:sz w:val="22"/>
                <w:u w:val="single"/>
              </w:rPr>
              <w:t>实际</w:t>
            </w:r>
            <w:r>
              <w:rPr>
                <w:spacing w:val="-1"/>
                <w:sz w:val="22"/>
                <w:u w:val="single"/>
              </w:rPr>
              <w:t>到账为准。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20" w:hRule="atLeast"/>
        </w:trPr>
        <w:tc>
          <w:tcPr>
            <w:tcW w:w="1316" w:type="dxa"/>
            <w:vAlign w:val="top"/>
          </w:tcPr>
          <w:p>
            <w:pPr>
              <w:pStyle w:val="14"/>
              <w:rPr>
                <w:rFonts w:ascii="Times New Roman"/>
                <w:sz w:val="22"/>
              </w:rPr>
            </w:pPr>
          </w:p>
          <w:p>
            <w:pPr>
              <w:pStyle w:val="14"/>
              <w:rPr>
                <w:rFonts w:ascii="Times New Roman"/>
                <w:sz w:val="22"/>
              </w:rPr>
            </w:pPr>
          </w:p>
          <w:p>
            <w:pPr>
              <w:pStyle w:val="14"/>
              <w:spacing w:before="8"/>
              <w:rPr>
                <w:rFonts w:ascii="Times New Roman"/>
                <w:sz w:val="28"/>
              </w:rPr>
            </w:pPr>
          </w:p>
          <w:p>
            <w:pPr>
              <w:pStyle w:val="14"/>
              <w:spacing w:before="1"/>
              <w:ind w:left="88" w:right="77"/>
              <w:jc w:val="center"/>
              <w:rPr>
                <w:sz w:val="22"/>
              </w:rPr>
            </w:pPr>
            <w:r>
              <w:rPr>
                <w:sz w:val="22"/>
              </w:rPr>
              <w:t>3.4.2</w:t>
            </w:r>
          </w:p>
        </w:tc>
        <w:tc>
          <w:tcPr>
            <w:tcW w:w="1729" w:type="dxa"/>
            <w:vAlign w:val="top"/>
          </w:tcPr>
          <w:p>
            <w:pPr>
              <w:pStyle w:val="14"/>
              <w:rPr>
                <w:rFonts w:ascii="Times New Roman"/>
                <w:sz w:val="22"/>
              </w:rPr>
            </w:pPr>
          </w:p>
          <w:p>
            <w:pPr>
              <w:pStyle w:val="14"/>
              <w:rPr>
                <w:rFonts w:ascii="Times New Roman"/>
                <w:sz w:val="23"/>
              </w:rPr>
            </w:pPr>
          </w:p>
          <w:p>
            <w:pPr>
              <w:pStyle w:val="14"/>
              <w:spacing w:line="271" w:lineRule="auto"/>
              <w:ind w:left="106" w:right="69" w:hanging="29"/>
              <w:jc w:val="center"/>
              <w:rPr>
                <w:sz w:val="22"/>
              </w:rPr>
            </w:pPr>
            <w:r>
              <w:rPr>
                <w:spacing w:val="-3"/>
                <w:sz w:val="22"/>
              </w:rPr>
              <w:t xml:space="preserve">获取招标文件 </w:t>
            </w:r>
            <w:r>
              <w:rPr>
                <w:spacing w:val="-5"/>
                <w:sz w:val="22"/>
              </w:rPr>
              <w:t>的形式、时间、</w:t>
            </w:r>
            <w:r>
              <w:rPr>
                <w:sz w:val="22"/>
              </w:rPr>
              <w:t>地点</w:t>
            </w:r>
          </w:p>
        </w:tc>
        <w:tc>
          <w:tcPr>
            <w:tcW w:w="6873" w:type="dxa"/>
            <w:gridSpan w:val="4"/>
            <w:vAlign w:val="top"/>
          </w:tcPr>
          <w:p>
            <w:pPr>
              <w:pStyle w:val="14"/>
              <w:spacing w:before="37"/>
              <w:ind w:left="108" w:right="-15"/>
              <w:rPr>
                <w:sz w:val="22"/>
              </w:rPr>
            </w:pPr>
            <w:r>
              <w:rPr>
                <w:spacing w:val="-3"/>
                <w:sz w:val="22"/>
              </w:rPr>
              <w:t xml:space="preserve">获取时间： </w:t>
            </w:r>
            <w:r>
              <w:rPr>
                <w:sz w:val="22"/>
              </w:rPr>
              <w:t>2021</w:t>
            </w:r>
            <w:r>
              <w:rPr>
                <w:spacing w:val="-23"/>
                <w:sz w:val="22"/>
              </w:rPr>
              <w:t xml:space="preserve"> 年 </w:t>
            </w:r>
            <w:r>
              <w:rPr>
                <w:sz w:val="22"/>
              </w:rPr>
              <w:t>0</w:t>
            </w:r>
            <w:r>
              <w:rPr>
                <w:rFonts w:hint="eastAsia"/>
                <w:sz w:val="22"/>
                <w:lang w:val="en-US" w:eastAsia="zh-CN"/>
              </w:rPr>
              <w:t>7</w:t>
            </w:r>
            <w:r>
              <w:rPr>
                <w:spacing w:val="-41"/>
                <w:sz w:val="22"/>
              </w:rPr>
              <w:t xml:space="preserve">月 </w:t>
            </w:r>
            <w:r>
              <w:rPr>
                <w:rFonts w:hint="eastAsia"/>
                <w:sz w:val="22"/>
                <w:lang w:val="en-US" w:eastAsia="zh-CN"/>
              </w:rPr>
              <w:t>30</w:t>
            </w:r>
            <w:r>
              <w:rPr>
                <w:spacing w:val="-32"/>
                <w:sz w:val="22"/>
              </w:rPr>
              <w:t xml:space="preserve"> 日</w:t>
            </w:r>
            <w:r>
              <w:rPr>
                <w:sz w:val="22"/>
              </w:rPr>
              <w:t>-2021</w:t>
            </w:r>
            <w:r>
              <w:rPr>
                <w:spacing w:val="-42"/>
                <w:sz w:val="22"/>
              </w:rPr>
              <w:t xml:space="preserve"> 年 </w:t>
            </w:r>
            <w:r>
              <w:rPr>
                <w:sz w:val="22"/>
              </w:rPr>
              <w:t>0</w:t>
            </w:r>
            <w:r>
              <w:rPr>
                <w:rFonts w:hint="eastAsia"/>
                <w:sz w:val="22"/>
                <w:lang w:val="en-US" w:eastAsia="zh-CN"/>
              </w:rPr>
              <w:t>8</w:t>
            </w:r>
            <w:r>
              <w:rPr>
                <w:spacing w:val="-42"/>
                <w:sz w:val="22"/>
              </w:rPr>
              <w:t>月</w:t>
            </w:r>
            <w:r>
              <w:rPr>
                <w:rFonts w:hint="eastAsia"/>
                <w:spacing w:val="-42"/>
                <w:sz w:val="22"/>
                <w:lang w:val="en-US" w:eastAsia="zh-CN"/>
              </w:rPr>
              <w:t xml:space="preserve"> 3 </w:t>
            </w:r>
            <w:r>
              <w:rPr>
                <w:spacing w:val="-27"/>
                <w:sz w:val="22"/>
              </w:rPr>
              <w:t xml:space="preserve">日上午 </w:t>
            </w:r>
            <w:r>
              <w:rPr>
                <w:sz w:val="22"/>
              </w:rPr>
              <w:t>9:30-11:30，</w:t>
            </w:r>
          </w:p>
          <w:p>
            <w:pPr>
              <w:pStyle w:val="14"/>
              <w:tabs>
                <w:tab w:val="left" w:pos="768"/>
              </w:tabs>
              <w:spacing w:before="38" w:line="271" w:lineRule="auto"/>
              <w:ind w:left="108" w:right="1417"/>
              <w:rPr>
                <w:sz w:val="22"/>
              </w:rPr>
            </w:pPr>
            <w:r>
              <w:rPr>
                <w:sz w:val="22"/>
              </w:rPr>
              <w:t>下午</w:t>
            </w:r>
            <w:r>
              <w:rPr>
                <w:spacing w:val="-3"/>
                <w:sz w:val="22"/>
              </w:rPr>
              <w:t xml:space="preserve"> </w:t>
            </w:r>
            <w:r>
              <w:rPr>
                <w:sz w:val="22"/>
              </w:rPr>
              <w:t>13:00-16:30</w:t>
            </w:r>
            <w:r>
              <w:rPr>
                <w:spacing w:val="-58"/>
                <w:sz w:val="22"/>
              </w:rPr>
              <w:t xml:space="preserve"> </w:t>
            </w:r>
            <w:r>
              <w:rPr>
                <w:sz w:val="22"/>
              </w:rPr>
              <w:t>时</w:t>
            </w:r>
            <w:r>
              <w:rPr>
                <w:spacing w:val="-3"/>
                <w:sz w:val="22"/>
              </w:rPr>
              <w:t>（</w:t>
            </w:r>
            <w:r>
              <w:rPr>
                <w:sz w:val="22"/>
              </w:rPr>
              <w:t>双休</w:t>
            </w:r>
            <w:r>
              <w:rPr>
                <w:spacing w:val="-3"/>
                <w:sz w:val="22"/>
              </w:rPr>
              <w:t>日</w:t>
            </w:r>
            <w:r>
              <w:rPr>
                <w:sz w:val="22"/>
              </w:rPr>
              <w:t>及国</w:t>
            </w:r>
            <w:r>
              <w:rPr>
                <w:spacing w:val="-3"/>
                <w:sz w:val="22"/>
              </w:rPr>
              <w:t>定</w:t>
            </w:r>
            <w:r>
              <w:rPr>
                <w:sz w:val="22"/>
              </w:rPr>
              <w:t>假日</w:t>
            </w:r>
            <w:r>
              <w:rPr>
                <w:spacing w:val="-3"/>
                <w:sz w:val="22"/>
              </w:rPr>
              <w:t>不</w:t>
            </w:r>
            <w:r>
              <w:rPr>
                <w:sz w:val="22"/>
              </w:rPr>
              <w:t>接受</w:t>
            </w:r>
            <w:r>
              <w:rPr>
                <w:spacing w:val="-3"/>
                <w:sz w:val="22"/>
              </w:rPr>
              <w:t>报</w:t>
            </w:r>
            <w:r>
              <w:rPr>
                <w:sz w:val="22"/>
              </w:rPr>
              <w:t>名） 地</w:t>
            </w:r>
            <w:r>
              <w:rPr>
                <w:sz w:val="22"/>
              </w:rPr>
              <w:tab/>
            </w:r>
            <w:r>
              <w:rPr>
                <w:sz w:val="22"/>
              </w:rPr>
              <w:t>址</w:t>
            </w:r>
            <w:r>
              <w:rPr>
                <w:spacing w:val="-3"/>
                <w:sz w:val="22"/>
              </w:rPr>
              <w:t xml:space="preserve"> </w:t>
            </w:r>
            <w:r>
              <w:rPr>
                <w:sz w:val="22"/>
              </w:rPr>
              <w:t>:</w:t>
            </w:r>
            <w:r>
              <w:rPr>
                <w:rFonts w:hint="eastAsia" w:ascii="宋体" w:hAnsi="宋体"/>
                <w:b w:val="0"/>
                <w:i w:val="0"/>
                <w:caps w:val="0"/>
                <w:spacing w:val="0"/>
                <w:w w:val="100"/>
                <w:kern w:val="0"/>
                <w:sz w:val="21"/>
                <w:szCs w:val="21"/>
                <w:lang w:eastAsia="zh-CN"/>
              </w:rPr>
              <w:t>青岛市崂山区海尔路</w:t>
            </w:r>
            <w:r>
              <w:rPr>
                <w:rFonts w:hint="eastAsia" w:ascii="宋体" w:hAnsi="宋体"/>
                <w:b w:val="0"/>
                <w:i w:val="0"/>
                <w:caps w:val="0"/>
                <w:spacing w:val="0"/>
                <w:w w:val="100"/>
                <w:kern w:val="0"/>
                <w:sz w:val="21"/>
                <w:szCs w:val="21"/>
                <w:lang w:val="en-US" w:eastAsia="zh-CN"/>
              </w:rPr>
              <w:t>61号天宝国际大厦2号楼8层804</w:t>
            </w:r>
          </w:p>
          <w:p>
            <w:pPr>
              <w:pStyle w:val="14"/>
              <w:spacing w:before="3"/>
              <w:ind w:left="108"/>
              <w:rPr>
                <w:sz w:val="22"/>
              </w:rPr>
            </w:pPr>
            <w:r>
              <w:rPr>
                <w:sz w:val="22"/>
              </w:rPr>
              <w:t xml:space="preserve">联 系 人： </w:t>
            </w:r>
            <w:r>
              <w:rPr>
                <w:rFonts w:hint="eastAsia"/>
                <w:sz w:val="22"/>
              </w:rPr>
              <w:t>孙国成</w:t>
            </w:r>
          </w:p>
          <w:p>
            <w:pPr>
              <w:pStyle w:val="14"/>
              <w:tabs>
                <w:tab w:val="left" w:pos="768"/>
              </w:tabs>
              <w:spacing w:before="38"/>
              <w:ind w:left="108"/>
              <w:rPr>
                <w:rFonts w:hint="default" w:eastAsia="宋体"/>
                <w:sz w:val="22"/>
                <w:lang w:val="en-US" w:eastAsia="zh-CN"/>
              </w:rPr>
            </w:pPr>
            <w:r>
              <w:rPr>
                <w:sz w:val="22"/>
              </w:rPr>
              <w:t>电</w:t>
            </w:r>
            <w:r>
              <w:rPr>
                <w:sz w:val="22"/>
              </w:rPr>
              <w:tab/>
            </w:r>
            <w:r>
              <w:rPr>
                <w:sz w:val="22"/>
              </w:rPr>
              <w:t>话：</w:t>
            </w:r>
            <w:r>
              <w:rPr>
                <w:rFonts w:hint="eastAsia"/>
                <w:sz w:val="22"/>
                <w:lang w:val="en-US" w:eastAsia="zh-CN"/>
              </w:rPr>
              <w:t>13601798043</w:t>
            </w:r>
          </w:p>
          <w:p>
            <w:pPr>
              <w:pStyle w:val="14"/>
              <w:spacing w:before="37" w:line="264" w:lineRule="exact"/>
              <w:ind w:left="108"/>
              <w:rPr>
                <w:sz w:val="22"/>
              </w:rPr>
            </w:pPr>
            <w:r>
              <w:rPr>
                <w:sz w:val="22"/>
              </w:rPr>
              <w:t>招标文件售价/工本费：</w:t>
            </w:r>
            <w:r>
              <w:rPr>
                <w:rFonts w:hint="eastAsia"/>
                <w:sz w:val="22"/>
                <w:lang w:val="en-US" w:eastAsia="zh-CN"/>
              </w:rPr>
              <w:t>10</w:t>
            </w:r>
            <w:r>
              <w:rPr>
                <w:sz w:val="22"/>
              </w:rPr>
              <w:t>00 元/册。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17" w:hRule="atLeast"/>
        </w:trPr>
        <w:tc>
          <w:tcPr>
            <w:tcW w:w="1316" w:type="dxa"/>
            <w:vAlign w:val="top"/>
          </w:tcPr>
          <w:p>
            <w:pPr>
              <w:pStyle w:val="14"/>
              <w:rPr>
                <w:rFonts w:ascii="Times New Roman"/>
                <w:sz w:val="22"/>
              </w:rPr>
            </w:pPr>
          </w:p>
          <w:p>
            <w:pPr>
              <w:pStyle w:val="14"/>
              <w:rPr>
                <w:rFonts w:ascii="Times New Roman"/>
                <w:sz w:val="22"/>
              </w:rPr>
            </w:pPr>
          </w:p>
          <w:p>
            <w:pPr>
              <w:pStyle w:val="14"/>
              <w:spacing w:before="8"/>
              <w:rPr>
                <w:rFonts w:ascii="Times New Roman"/>
                <w:sz w:val="28"/>
              </w:rPr>
            </w:pPr>
          </w:p>
          <w:p>
            <w:pPr>
              <w:pStyle w:val="14"/>
              <w:ind w:left="88" w:right="77"/>
              <w:jc w:val="center"/>
              <w:rPr>
                <w:sz w:val="22"/>
              </w:rPr>
            </w:pPr>
            <w:r>
              <w:rPr>
                <w:sz w:val="22"/>
              </w:rPr>
              <w:t>3.5.2（1）</w:t>
            </w:r>
          </w:p>
        </w:tc>
        <w:tc>
          <w:tcPr>
            <w:tcW w:w="1729" w:type="dxa"/>
            <w:vAlign w:val="top"/>
          </w:tcPr>
          <w:p>
            <w:pPr>
              <w:pStyle w:val="14"/>
              <w:spacing w:before="198" w:line="271" w:lineRule="auto"/>
              <w:ind w:left="202" w:right="193"/>
              <w:jc w:val="center"/>
              <w:rPr>
                <w:sz w:val="22"/>
              </w:rPr>
            </w:pPr>
            <w:r>
              <w:rPr>
                <w:sz w:val="22"/>
              </w:rPr>
              <w:t>类似项目定义及项目负责人近年负责的类似项目的年份要求</w:t>
            </w:r>
          </w:p>
        </w:tc>
        <w:tc>
          <w:tcPr>
            <w:tcW w:w="6873" w:type="dxa"/>
            <w:gridSpan w:val="4"/>
            <w:vAlign w:val="top"/>
          </w:tcPr>
          <w:p>
            <w:pPr>
              <w:pStyle w:val="14"/>
              <w:spacing w:before="37"/>
              <w:ind w:left="108"/>
              <w:rPr>
                <w:sz w:val="22"/>
              </w:rPr>
            </w:pPr>
            <w:r>
              <w:rPr>
                <w:sz w:val="22"/>
              </w:rPr>
              <w:t>类似项目是指</w:t>
            </w:r>
            <w:r>
              <w:rPr>
                <w:sz w:val="21"/>
                <w:u w:val="single"/>
              </w:rPr>
              <w:t xml:space="preserve">修缮工程 </w:t>
            </w:r>
            <w:r>
              <w:rPr>
                <w:sz w:val="22"/>
              </w:rPr>
              <w:t>。</w:t>
            </w:r>
          </w:p>
          <w:p>
            <w:pPr>
              <w:pStyle w:val="14"/>
              <w:spacing w:before="37"/>
              <w:ind w:left="108"/>
              <w:rPr>
                <w:sz w:val="22"/>
              </w:rPr>
            </w:pPr>
            <w:r>
              <w:rPr>
                <w:spacing w:val="-11"/>
                <w:sz w:val="22"/>
              </w:rPr>
              <w:t xml:space="preserve">年份要求：指 </w:t>
            </w:r>
            <w:r>
              <w:rPr>
                <w:sz w:val="22"/>
                <w:u w:val="single"/>
              </w:rPr>
              <w:t>2018</w:t>
            </w:r>
            <w:r>
              <w:rPr>
                <w:spacing w:val="-37"/>
                <w:sz w:val="22"/>
              </w:rPr>
              <w:t xml:space="preserve"> 年 </w:t>
            </w:r>
            <w:r>
              <w:rPr>
                <w:sz w:val="22"/>
                <w:u w:val="single"/>
              </w:rPr>
              <w:t>6</w:t>
            </w:r>
            <w:r>
              <w:rPr>
                <w:spacing w:val="-36"/>
                <w:sz w:val="22"/>
              </w:rPr>
              <w:t xml:space="preserve"> 月 </w:t>
            </w:r>
            <w:r>
              <w:rPr>
                <w:sz w:val="22"/>
                <w:u w:val="single"/>
              </w:rPr>
              <w:t>1</w:t>
            </w:r>
            <w:r>
              <w:rPr>
                <w:spacing w:val="-8"/>
                <w:sz w:val="22"/>
              </w:rPr>
              <w:t xml:space="preserve"> 日起至今，以下列资料载明的日期为准。</w:t>
            </w:r>
          </w:p>
          <w:p>
            <w:pPr>
              <w:pStyle w:val="14"/>
              <w:spacing w:before="40"/>
              <w:ind w:left="108"/>
              <w:rPr>
                <w:sz w:val="22"/>
              </w:rPr>
            </w:pPr>
            <w:r>
              <w:rPr>
                <w:rFonts w:hint="eastAsia" w:ascii="MS Gothic" w:hAnsi="MS Gothic" w:eastAsia="MS Gothic"/>
                <w:sz w:val="22"/>
              </w:rPr>
              <w:t>☑</w:t>
            </w:r>
            <w:r>
              <w:rPr>
                <w:sz w:val="22"/>
              </w:rPr>
              <w:t>竣工验收证明材料（已完成项目）</w:t>
            </w:r>
          </w:p>
          <w:p>
            <w:pPr>
              <w:pStyle w:val="14"/>
              <w:spacing w:before="37"/>
              <w:ind w:left="108"/>
              <w:rPr>
                <w:sz w:val="22"/>
              </w:rPr>
            </w:pPr>
            <w:r>
              <w:rPr>
                <w:rFonts w:hint="eastAsia" w:ascii="MS Gothic" w:hAnsi="MS Gothic" w:eastAsia="MS Gothic"/>
                <w:sz w:val="22"/>
              </w:rPr>
              <w:t>☑</w:t>
            </w:r>
            <w:r>
              <w:rPr>
                <w:sz w:val="22"/>
              </w:rPr>
              <w:t>合同协议书（已承接项目）</w:t>
            </w:r>
          </w:p>
          <w:p>
            <w:pPr>
              <w:pStyle w:val="14"/>
              <w:spacing w:line="322" w:lineRule="exact"/>
              <w:ind w:left="768" w:right="70" w:hanging="660"/>
              <w:rPr>
                <w:b/>
                <w:sz w:val="22"/>
              </w:rPr>
            </w:pPr>
            <w:r>
              <w:rPr>
                <w:b/>
                <w:spacing w:val="-10"/>
                <w:sz w:val="22"/>
              </w:rPr>
              <w:t>注：必须提供以上文件证明并且合同协议须提供合同内容首页</w:t>
            </w:r>
            <w:r>
              <w:rPr>
                <w:b/>
                <w:sz w:val="22"/>
              </w:rPr>
              <w:t>\双方签</w:t>
            </w:r>
            <w:r>
              <w:rPr>
                <w:b/>
                <w:spacing w:val="-1"/>
                <w:sz w:val="22"/>
              </w:rPr>
              <w:t>字盖章页 项目负责人页方为有效,</w:t>
            </w:r>
          </w:p>
        </w:tc>
      </w:tr>
    </w:tbl>
    <w:p>
      <w:pPr>
        <w:spacing w:after="0" w:line="322" w:lineRule="exact"/>
        <w:rPr>
          <w:sz w:val="22"/>
        </w:rPr>
        <w:sectPr>
          <w:pgSz w:w="11910" w:h="16840"/>
          <w:pgMar w:top="1100" w:right="660" w:bottom="1180" w:left="800" w:header="878" w:footer="852" w:gutter="0"/>
          <w:cols w:space="720" w:num="1"/>
        </w:sectPr>
      </w:pPr>
    </w:p>
    <w:p>
      <w:pPr>
        <w:pStyle w:val="9"/>
        <w:rPr>
          <w:rFonts w:ascii="Times New Roman"/>
          <w:sz w:val="26"/>
        </w:rPr>
      </w:pPr>
    </w:p>
    <w:tbl>
      <w:tblPr>
        <w:tblW w:w="9918"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6"/>
        <w:gridCol w:w="1729"/>
        <w:gridCol w:w="6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0" w:hRule="atLeast"/>
        </w:trPr>
        <w:tc>
          <w:tcPr>
            <w:tcW w:w="1316" w:type="dxa"/>
            <w:vAlign w:val="top"/>
          </w:tcPr>
          <w:p>
            <w:pPr>
              <w:pStyle w:val="14"/>
              <w:rPr>
                <w:rFonts w:ascii="Times New Roman"/>
                <w:sz w:val="31"/>
              </w:rPr>
            </w:pPr>
          </w:p>
          <w:p>
            <w:pPr>
              <w:pStyle w:val="14"/>
              <w:ind w:left="383"/>
              <w:rPr>
                <w:sz w:val="22"/>
              </w:rPr>
            </w:pPr>
            <w:r>
              <w:rPr>
                <w:sz w:val="22"/>
              </w:rPr>
              <w:t>3.5.3</w:t>
            </w:r>
          </w:p>
        </w:tc>
        <w:tc>
          <w:tcPr>
            <w:tcW w:w="1729" w:type="dxa"/>
            <w:vAlign w:val="top"/>
          </w:tcPr>
          <w:p>
            <w:pPr>
              <w:pStyle w:val="14"/>
              <w:spacing w:line="320" w:lineRule="atLeast"/>
              <w:ind w:left="202" w:right="193"/>
              <w:jc w:val="center"/>
              <w:rPr>
                <w:sz w:val="22"/>
              </w:rPr>
            </w:pPr>
            <w:r>
              <w:rPr>
                <w:sz w:val="22"/>
              </w:rPr>
              <w:t>近年完成的类似项目的年份要求</w:t>
            </w:r>
          </w:p>
        </w:tc>
        <w:tc>
          <w:tcPr>
            <w:tcW w:w="6873" w:type="dxa"/>
            <w:vAlign w:val="top"/>
          </w:tcPr>
          <w:p>
            <w:pPr>
              <w:pStyle w:val="14"/>
              <w:spacing w:before="196" w:line="273" w:lineRule="auto"/>
              <w:ind w:left="768" w:right="94" w:hanging="660"/>
              <w:rPr>
                <w:sz w:val="22"/>
              </w:rPr>
            </w:pPr>
            <w:r>
              <w:rPr>
                <w:spacing w:val="-15"/>
                <w:sz w:val="22"/>
              </w:rPr>
              <w:t xml:space="preserve">年份要求：指 </w:t>
            </w:r>
            <w:r>
              <w:rPr>
                <w:sz w:val="22"/>
                <w:u w:val="single"/>
              </w:rPr>
              <w:t>2018</w:t>
            </w:r>
            <w:r>
              <w:rPr>
                <w:spacing w:val="-36"/>
                <w:sz w:val="22"/>
              </w:rPr>
              <w:t xml:space="preserve"> 年 </w:t>
            </w:r>
            <w:r>
              <w:rPr>
                <w:sz w:val="22"/>
                <w:u w:val="single"/>
              </w:rPr>
              <w:t>6</w:t>
            </w:r>
            <w:r>
              <w:rPr>
                <w:spacing w:val="-36"/>
                <w:sz w:val="22"/>
              </w:rPr>
              <w:t xml:space="preserve"> 月 </w:t>
            </w:r>
            <w:r>
              <w:rPr>
                <w:sz w:val="22"/>
                <w:u w:val="single"/>
              </w:rPr>
              <w:t>1</w:t>
            </w:r>
            <w:r>
              <w:rPr>
                <w:spacing w:val="-10"/>
                <w:sz w:val="22"/>
              </w:rPr>
              <w:t xml:space="preserve"> 日起至今，以竣工验收证明材料的日期为准。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2" w:hRule="atLeast"/>
        </w:trPr>
        <w:tc>
          <w:tcPr>
            <w:tcW w:w="1316" w:type="dxa"/>
            <w:vAlign w:val="top"/>
          </w:tcPr>
          <w:p>
            <w:pPr>
              <w:pStyle w:val="14"/>
              <w:spacing w:before="93"/>
              <w:ind w:left="383"/>
              <w:rPr>
                <w:sz w:val="22"/>
              </w:rPr>
            </w:pPr>
            <w:r>
              <w:rPr>
                <w:sz w:val="22"/>
              </w:rPr>
              <w:t>3.6.3</w:t>
            </w:r>
          </w:p>
        </w:tc>
        <w:tc>
          <w:tcPr>
            <w:tcW w:w="1729" w:type="dxa"/>
            <w:vAlign w:val="top"/>
          </w:tcPr>
          <w:p>
            <w:pPr>
              <w:pStyle w:val="14"/>
              <w:spacing w:before="93"/>
              <w:ind w:left="183" w:right="174"/>
              <w:jc w:val="center"/>
              <w:rPr>
                <w:sz w:val="22"/>
              </w:rPr>
            </w:pPr>
            <w:r>
              <w:rPr>
                <w:sz w:val="22"/>
              </w:rPr>
              <w:t>技术标页数</w:t>
            </w:r>
          </w:p>
        </w:tc>
        <w:tc>
          <w:tcPr>
            <w:tcW w:w="6873" w:type="dxa"/>
            <w:vAlign w:val="top"/>
          </w:tcPr>
          <w:p>
            <w:pPr>
              <w:pStyle w:val="14"/>
              <w:spacing w:before="93"/>
              <w:ind w:left="108"/>
              <w:rPr>
                <w:sz w:val="22"/>
              </w:rPr>
            </w:pPr>
            <w:r>
              <w:rPr>
                <w:sz w:val="22"/>
              </w:rPr>
              <w:t>不应超过</w:t>
            </w:r>
            <w:r>
              <w:rPr>
                <w:sz w:val="22"/>
                <w:u w:val="single"/>
              </w:rPr>
              <w:t xml:space="preserve"> </w:t>
            </w:r>
            <w:r>
              <w:rPr>
                <w:rFonts w:hint="eastAsia"/>
                <w:sz w:val="22"/>
                <w:u w:val="single"/>
                <w:lang w:val="en-US" w:eastAsia="zh-CN"/>
              </w:rPr>
              <w:t>5</w:t>
            </w:r>
            <w:r>
              <w:rPr>
                <w:sz w:val="22"/>
                <w:u w:val="single"/>
              </w:rPr>
              <w:t xml:space="preserve">0 </w:t>
            </w:r>
            <w:r>
              <w:rPr>
                <w:sz w:val="22"/>
              </w:rPr>
              <w:t>页（不包括封面、图表、封底）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00" w:hRule="atLeast"/>
        </w:trPr>
        <w:tc>
          <w:tcPr>
            <w:tcW w:w="1316" w:type="dxa"/>
            <w:vAlign w:val="top"/>
          </w:tcPr>
          <w:p>
            <w:pPr>
              <w:pStyle w:val="14"/>
              <w:rPr>
                <w:rFonts w:ascii="Times New Roman"/>
                <w:sz w:val="22"/>
              </w:rPr>
            </w:pPr>
          </w:p>
          <w:p>
            <w:pPr>
              <w:pStyle w:val="14"/>
              <w:rPr>
                <w:rFonts w:ascii="Times New Roman"/>
                <w:sz w:val="22"/>
              </w:rPr>
            </w:pPr>
          </w:p>
          <w:p>
            <w:pPr>
              <w:pStyle w:val="14"/>
              <w:spacing w:before="172"/>
              <w:ind w:left="383"/>
              <w:rPr>
                <w:sz w:val="22"/>
              </w:rPr>
            </w:pPr>
            <w:r>
              <w:rPr>
                <w:sz w:val="22"/>
              </w:rPr>
              <w:t>3.6.4</w:t>
            </w:r>
          </w:p>
        </w:tc>
        <w:tc>
          <w:tcPr>
            <w:tcW w:w="1729" w:type="dxa"/>
            <w:vAlign w:val="top"/>
          </w:tcPr>
          <w:p>
            <w:pPr>
              <w:pStyle w:val="14"/>
              <w:rPr>
                <w:rFonts w:ascii="Times New Roman"/>
                <w:sz w:val="22"/>
              </w:rPr>
            </w:pPr>
          </w:p>
          <w:p>
            <w:pPr>
              <w:pStyle w:val="14"/>
              <w:spacing w:before="11"/>
              <w:rPr>
                <w:rFonts w:ascii="Times New Roman"/>
                <w:sz w:val="22"/>
              </w:rPr>
            </w:pPr>
          </w:p>
          <w:p>
            <w:pPr>
              <w:pStyle w:val="14"/>
              <w:spacing w:line="271" w:lineRule="auto"/>
              <w:ind w:left="752" w:right="193" w:hanging="550"/>
              <w:rPr>
                <w:sz w:val="22"/>
              </w:rPr>
            </w:pPr>
            <w:r>
              <w:rPr>
                <w:sz w:val="22"/>
              </w:rPr>
              <w:t>盖章和签字要求</w:t>
            </w:r>
          </w:p>
        </w:tc>
        <w:tc>
          <w:tcPr>
            <w:tcW w:w="6873" w:type="dxa"/>
            <w:vAlign w:val="top"/>
          </w:tcPr>
          <w:p>
            <w:pPr>
              <w:pStyle w:val="14"/>
              <w:spacing w:before="37" w:line="271" w:lineRule="auto"/>
              <w:ind w:left="108" w:right="97"/>
              <w:rPr>
                <w:sz w:val="22"/>
              </w:rPr>
            </w:pPr>
            <w:r>
              <w:rPr>
                <w:sz w:val="22"/>
              </w:rPr>
              <w:t>盖章页：第五章“工程量清单”、第八章“投标文件格式”中标明必须签字和盖章的章页。</w:t>
            </w:r>
          </w:p>
          <w:p>
            <w:pPr>
              <w:pStyle w:val="14"/>
              <w:spacing w:before="4"/>
              <w:ind w:left="108"/>
              <w:rPr>
                <w:sz w:val="22"/>
              </w:rPr>
            </w:pPr>
            <w:r>
              <w:rPr>
                <w:sz w:val="22"/>
              </w:rPr>
              <w:t>盖章和签字要求：投标人单位公章和法定代表人章（或签字）或其委</w:t>
            </w:r>
          </w:p>
          <w:p>
            <w:pPr>
              <w:pStyle w:val="14"/>
              <w:spacing w:line="320" w:lineRule="atLeast"/>
              <w:ind w:left="108" w:right="95"/>
              <w:rPr>
                <w:sz w:val="22"/>
              </w:rPr>
            </w:pPr>
            <w:r>
              <w:rPr>
                <w:sz w:val="22"/>
              </w:rPr>
              <w:t>托代理人章（或签字）；造价人员签字；项目负责人章（或签字）并盖执业章。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40" w:hRule="atLeast"/>
        </w:trPr>
        <w:tc>
          <w:tcPr>
            <w:tcW w:w="1316" w:type="dxa"/>
            <w:vAlign w:val="top"/>
          </w:tcPr>
          <w:p>
            <w:pPr>
              <w:pStyle w:val="14"/>
              <w:rPr>
                <w:rFonts w:ascii="Times New Roman"/>
                <w:sz w:val="22"/>
              </w:rPr>
            </w:pPr>
          </w:p>
          <w:p>
            <w:pPr>
              <w:pStyle w:val="14"/>
              <w:rPr>
                <w:rFonts w:ascii="Times New Roman"/>
                <w:sz w:val="22"/>
              </w:rPr>
            </w:pPr>
          </w:p>
          <w:p>
            <w:pPr>
              <w:pStyle w:val="14"/>
              <w:rPr>
                <w:rFonts w:ascii="Times New Roman"/>
                <w:sz w:val="22"/>
              </w:rPr>
            </w:pPr>
          </w:p>
          <w:p>
            <w:pPr>
              <w:pStyle w:val="14"/>
              <w:spacing w:before="8"/>
              <w:rPr>
                <w:rFonts w:ascii="Times New Roman"/>
                <w:sz w:val="20"/>
              </w:rPr>
            </w:pPr>
          </w:p>
          <w:p>
            <w:pPr>
              <w:pStyle w:val="14"/>
              <w:ind w:left="383"/>
              <w:rPr>
                <w:sz w:val="22"/>
              </w:rPr>
            </w:pPr>
            <w:r>
              <w:rPr>
                <w:sz w:val="22"/>
              </w:rPr>
              <w:t>3.6.5</w:t>
            </w:r>
          </w:p>
        </w:tc>
        <w:tc>
          <w:tcPr>
            <w:tcW w:w="1729" w:type="dxa"/>
            <w:vAlign w:val="top"/>
          </w:tcPr>
          <w:p>
            <w:pPr>
              <w:pStyle w:val="14"/>
              <w:rPr>
                <w:rFonts w:ascii="Times New Roman"/>
                <w:sz w:val="22"/>
              </w:rPr>
            </w:pPr>
          </w:p>
          <w:p>
            <w:pPr>
              <w:pStyle w:val="14"/>
              <w:rPr>
                <w:rFonts w:ascii="Times New Roman"/>
                <w:sz w:val="22"/>
              </w:rPr>
            </w:pPr>
          </w:p>
          <w:p>
            <w:pPr>
              <w:pStyle w:val="14"/>
              <w:rPr>
                <w:rFonts w:ascii="Times New Roman"/>
                <w:sz w:val="22"/>
              </w:rPr>
            </w:pPr>
          </w:p>
          <w:p>
            <w:pPr>
              <w:pStyle w:val="14"/>
              <w:spacing w:before="8"/>
              <w:rPr>
                <w:rFonts w:ascii="Times New Roman"/>
                <w:sz w:val="20"/>
              </w:rPr>
            </w:pPr>
          </w:p>
          <w:p>
            <w:pPr>
              <w:pStyle w:val="14"/>
              <w:ind w:left="183" w:right="176"/>
              <w:jc w:val="center"/>
              <w:rPr>
                <w:sz w:val="22"/>
              </w:rPr>
            </w:pPr>
            <w:r>
              <w:rPr>
                <w:sz w:val="22"/>
              </w:rPr>
              <w:t>投标文件份数</w:t>
            </w:r>
          </w:p>
        </w:tc>
        <w:tc>
          <w:tcPr>
            <w:tcW w:w="6873" w:type="dxa"/>
            <w:vAlign w:val="top"/>
          </w:tcPr>
          <w:p>
            <w:pPr>
              <w:pStyle w:val="14"/>
              <w:numPr>
                <w:ilvl w:val="0"/>
                <w:numId w:val="7"/>
              </w:numPr>
              <w:tabs>
                <w:tab w:val="left" w:pos="829"/>
              </w:tabs>
              <w:spacing w:before="37" w:after="0" w:line="271" w:lineRule="auto"/>
              <w:ind w:left="828" w:right="94" w:hanging="720"/>
              <w:jc w:val="left"/>
              <w:rPr>
                <w:sz w:val="22"/>
              </w:rPr>
            </w:pPr>
            <w:r>
              <w:rPr>
                <w:spacing w:val="13"/>
                <w:sz w:val="22"/>
              </w:rPr>
              <w:t>投标公函及附册(投标人基本资料所附支持性材料,合并装</w:t>
            </w:r>
            <w:r>
              <w:rPr>
                <w:spacing w:val="-12"/>
                <w:sz w:val="22"/>
              </w:rPr>
              <w:t xml:space="preserve">订)：正本 </w:t>
            </w:r>
            <w:r>
              <w:rPr>
                <w:sz w:val="22"/>
              </w:rPr>
              <w:t>1</w:t>
            </w:r>
            <w:r>
              <w:rPr>
                <w:spacing w:val="-20"/>
                <w:sz w:val="22"/>
              </w:rPr>
              <w:t xml:space="preserve"> 份，副本 </w:t>
            </w:r>
            <w:r>
              <w:rPr>
                <w:sz w:val="22"/>
              </w:rPr>
              <w:t>4</w:t>
            </w:r>
            <w:r>
              <w:rPr>
                <w:spacing w:val="-19"/>
                <w:sz w:val="22"/>
              </w:rPr>
              <w:t xml:space="preserve"> 份；</w:t>
            </w:r>
          </w:p>
          <w:p>
            <w:pPr>
              <w:pStyle w:val="14"/>
              <w:numPr>
                <w:ilvl w:val="0"/>
                <w:numId w:val="7"/>
              </w:numPr>
              <w:tabs>
                <w:tab w:val="left" w:pos="660"/>
              </w:tabs>
              <w:spacing w:before="2" w:after="0" w:line="273" w:lineRule="auto"/>
              <w:ind w:left="768" w:right="262" w:hanging="660"/>
              <w:jc w:val="left"/>
              <w:rPr>
                <w:sz w:val="22"/>
              </w:rPr>
            </w:pPr>
            <w:r>
              <w:rPr>
                <w:spacing w:val="-11"/>
                <w:sz w:val="22"/>
              </w:rPr>
              <w:t xml:space="preserve">商务标：正本 </w:t>
            </w:r>
            <w:r>
              <w:rPr>
                <w:sz w:val="22"/>
              </w:rPr>
              <w:t>1</w:t>
            </w:r>
            <w:r>
              <w:rPr>
                <w:spacing w:val="-20"/>
                <w:sz w:val="22"/>
              </w:rPr>
              <w:t xml:space="preserve"> 份，副本 </w:t>
            </w:r>
            <w:r>
              <w:rPr>
                <w:sz w:val="22"/>
              </w:rPr>
              <w:t>4</w:t>
            </w:r>
            <w:r>
              <w:rPr>
                <w:spacing w:val="-10"/>
                <w:sz w:val="22"/>
              </w:rPr>
              <w:t xml:space="preserve"> 份；包括：</w:t>
            </w:r>
            <w:r>
              <w:rPr>
                <w:sz w:val="22"/>
              </w:rPr>
              <w:t>a</w:t>
            </w:r>
            <w:r>
              <w:rPr>
                <w:spacing w:val="-3"/>
                <w:sz w:val="22"/>
              </w:rPr>
              <w:t>.已标价工程量清单； b.书面工程量清单组价文件；</w:t>
            </w:r>
          </w:p>
          <w:p>
            <w:pPr>
              <w:pStyle w:val="14"/>
              <w:numPr>
                <w:ilvl w:val="0"/>
                <w:numId w:val="7"/>
              </w:numPr>
              <w:tabs>
                <w:tab w:val="left" w:pos="660"/>
              </w:tabs>
              <w:spacing w:before="0" w:after="0" w:line="280" w:lineRule="exact"/>
              <w:ind w:left="659" w:right="0" w:hanging="552"/>
              <w:jc w:val="left"/>
              <w:rPr>
                <w:sz w:val="22"/>
              </w:rPr>
            </w:pPr>
            <w:r>
              <w:rPr>
                <w:spacing w:val="-11"/>
                <w:sz w:val="22"/>
              </w:rPr>
              <w:t xml:space="preserve">技术标：正本 </w:t>
            </w:r>
            <w:r>
              <w:rPr>
                <w:sz w:val="22"/>
              </w:rPr>
              <w:t>1</w:t>
            </w:r>
            <w:r>
              <w:rPr>
                <w:spacing w:val="-20"/>
                <w:sz w:val="22"/>
              </w:rPr>
              <w:t xml:space="preserve"> 份，副本 </w:t>
            </w:r>
            <w:r>
              <w:rPr>
                <w:sz w:val="22"/>
              </w:rPr>
              <w:t>4</w:t>
            </w:r>
            <w:r>
              <w:rPr>
                <w:spacing w:val="-19"/>
                <w:sz w:val="22"/>
              </w:rPr>
              <w:t xml:space="preserve"> 份；</w:t>
            </w:r>
          </w:p>
          <w:p>
            <w:pPr>
              <w:pStyle w:val="14"/>
              <w:numPr>
                <w:ilvl w:val="0"/>
                <w:numId w:val="7"/>
              </w:numPr>
              <w:tabs>
                <w:tab w:val="left" w:pos="662"/>
              </w:tabs>
              <w:spacing w:before="0" w:after="0" w:line="322" w:lineRule="exact"/>
              <w:ind w:left="108" w:right="97" w:firstLine="0"/>
              <w:jc w:val="left"/>
              <w:rPr>
                <w:sz w:val="22"/>
              </w:rPr>
            </w:pPr>
            <w:r>
              <w:rPr>
                <w:sz w:val="22"/>
              </w:rPr>
              <w:t>电子文件：提供投标文件(含技术\商务标)电子版及已标价工程</w:t>
            </w:r>
            <w:r>
              <w:rPr>
                <w:spacing w:val="-3"/>
                <w:sz w:val="22"/>
              </w:rPr>
              <w:t>量清单文件</w:t>
            </w:r>
            <w:r>
              <w:rPr>
                <w:sz w:val="22"/>
              </w:rPr>
              <w:t>（</w:t>
            </w:r>
            <w:r>
              <w:rPr>
                <w:spacing w:val="11"/>
                <w:sz w:val="22"/>
              </w:rPr>
              <w:t>后缀名为</w:t>
            </w:r>
            <w:r>
              <w:rPr>
                <w:sz w:val="22"/>
              </w:rPr>
              <w:t>TBQD</w:t>
            </w:r>
            <w:r>
              <w:rPr>
                <w:spacing w:val="-2"/>
                <w:sz w:val="22"/>
              </w:rPr>
              <w:t xml:space="preserve"> 和</w:t>
            </w:r>
            <w:r>
              <w:rPr>
                <w:sz w:val="22"/>
              </w:rPr>
              <w:t>GBQ6）1</w:t>
            </w:r>
            <w:r>
              <w:rPr>
                <w:spacing w:val="-9"/>
                <w:sz w:val="22"/>
              </w:rPr>
              <w:t xml:space="preserve"> 份，电子文件载入光盘。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7" w:hRule="atLeast"/>
        </w:trPr>
        <w:tc>
          <w:tcPr>
            <w:tcW w:w="1316" w:type="dxa"/>
            <w:vAlign w:val="top"/>
          </w:tcPr>
          <w:p>
            <w:pPr>
              <w:pStyle w:val="14"/>
              <w:rPr>
                <w:rFonts w:ascii="Times New Roman"/>
                <w:sz w:val="22"/>
              </w:rPr>
            </w:pPr>
          </w:p>
          <w:p>
            <w:pPr>
              <w:pStyle w:val="14"/>
              <w:rPr>
                <w:rFonts w:ascii="Times New Roman"/>
                <w:sz w:val="22"/>
              </w:rPr>
            </w:pPr>
          </w:p>
          <w:p>
            <w:pPr>
              <w:pStyle w:val="14"/>
              <w:spacing w:before="168"/>
              <w:ind w:left="383"/>
              <w:rPr>
                <w:sz w:val="22"/>
              </w:rPr>
            </w:pPr>
            <w:r>
              <w:rPr>
                <w:sz w:val="22"/>
              </w:rPr>
              <w:t>3.6.6</w:t>
            </w:r>
          </w:p>
        </w:tc>
        <w:tc>
          <w:tcPr>
            <w:tcW w:w="1729" w:type="dxa"/>
            <w:vAlign w:val="top"/>
          </w:tcPr>
          <w:p>
            <w:pPr>
              <w:pStyle w:val="14"/>
              <w:rPr>
                <w:rFonts w:ascii="Times New Roman"/>
                <w:sz w:val="22"/>
              </w:rPr>
            </w:pPr>
          </w:p>
          <w:p>
            <w:pPr>
              <w:pStyle w:val="14"/>
              <w:spacing w:before="7"/>
              <w:rPr>
                <w:rFonts w:ascii="Times New Roman"/>
                <w:sz w:val="22"/>
              </w:rPr>
            </w:pPr>
          </w:p>
          <w:p>
            <w:pPr>
              <w:pStyle w:val="14"/>
              <w:spacing w:line="273" w:lineRule="auto"/>
              <w:ind w:left="644" w:right="193" w:hanging="442"/>
              <w:rPr>
                <w:sz w:val="22"/>
              </w:rPr>
            </w:pPr>
            <w:r>
              <w:rPr>
                <w:sz w:val="22"/>
              </w:rPr>
              <w:t>投标文件装订要求</w:t>
            </w:r>
          </w:p>
        </w:tc>
        <w:tc>
          <w:tcPr>
            <w:tcW w:w="6873" w:type="dxa"/>
            <w:vAlign w:val="top"/>
          </w:tcPr>
          <w:p>
            <w:pPr>
              <w:pStyle w:val="14"/>
              <w:numPr>
                <w:ilvl w:val="0"/>
                <w:numId w:val="8"/>
              </w:numPr>
              <w:tabs>
                <w:tab w:val="left" w:pos="331"/>
              </w:tabs>
              <w:spacing w:before="33" w:after="0" w:line="273" w:lineRule="auto"/>
              <w:ind w:left="108" w:right="97" w:firstLine="0"/>
              <w:jc w:val="left"/>
              <w:rPr>
                <w:sz w:val="22"/>
              </w:rPr>
            </w:pPr>
            <w:r>
              <w:rPr>
                <w:sz w:val="22"/>
              </w:rPr>
              <w:t>投标文件可分册装订，商务标\技术标\投标公函(含附册)三类文件</w:t>
            </w:r>
            <w:r>
              <w:rPr>
                <w:spacing w:val="-3"/>
                <w:sz w:val="22"/>
              </w:rPr>
              <w:t>独立成册装订，并在文件封面标注明确“正本”、“副本”；</w:t>
            </w:r>
          </w:p>
          <w:p>
            <w:pPr>
              <w:pStyle w:val="14"/>
              <w:numPr>
                <w:ilvl w:val="0"/>
                <w:numId w:val="8"/>
              </w:numPr>
              <w:tabs>
                <w:tab w:val="left" w:pos="331"/>
              </w:tabs>
              <w:spacing w:before="0" w:after="0" w:line="280" w:lineRule="exact"/>
              <w:ind w:left="330" w:right="0" w:hanging="223"/>
              <w:jc w:val="left"/>
              <w:rPr>
                <w:sz w:val="22"/>
              </w:rPr>
            </w:pPr>
            <w:r>
              <w:rPr>
                <w:spacing w:val="-3"/>
                <w:sz w:val="22"/>
              </w:rPr>
              <w:t>电子版文件刻录在光盘内提交；</w:t>
            </w:r>
          </w:p>
          <w:p>
            <w:pPr>
              <w:pStyle w:val="14"/>
              <w:numPr>
                <w:ilvl w:val="0"/>
                <w:numId w:val="8"/>
              </w:numPr>
              <w:tabs>
                <w:tab w:val="left" w:pos="331"/>
              </w:tabs>
              <w:spacing w:before="0" w:after="0" w:line="322" w:lineRule="exact"/>
              <w:ind w:left="108" w:right="-15" w:firstLine="0"/>
              <w:jc w:val="left"/>
              <w:rPr>
                <w:sz w:val="22"/>
              </w:rPr>
            </w:pPr>
            <w:r>
              <w:rPr>
                <w:spacing w:val="-7"/>
                <w:sz w:val="22"/>
              </w:rPr>
              <w:t xml:space="preserve">所有投标文件装订均应牢固、不易拆散和换页，不得采用活页装订， </w:t>
            </w:r>
            <w:r>
              <w:rPr>
                <w:spacing w:val="-3"/>
                <w:sz w:val="22"/>
              </w:rPr>
              <w:t>不得采用硬封面装订，否则按无效投标处理。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1" w:hRule="atLeast"/>
        </w:trPr>
        <w:tc>
          <w:tcPr>
            <w:tcW w:w="1316" w:type="dxa"/>
            <w:vAlign w:val="top"/>
          </w:tcPr>
          <w:p>
            <w:pPr>
              <w:pStyle w:val="14"/>
              <w:spacing w:before="9"/>
              <w:rPr>
                <w:rFonts w:ascii="Times New Roman"/>
                <w:sz w:val="32"/>
              </w:rPr>
            </w:pPr>
          </w:p>
          <w:p>
            <w:pPr>
              <w:pStyle w:val="14"/>
              <w:ind w:left="383"/>
              <w:rPr>
                <w:sz w:val="22"/>
              </w:rPr>
            </w:pPr>
            <w:r>
              <w:rPr>
                <w:sz w:val="22"/>
              </w:rPr>
              <w:t>4.1.1</w:t>
            </w:r>
          </w:p>
        </w:tc>
        <w:tc>
          <w:tcPr>
            <w:tcW w:w="1729" w:type="dxa"/>
            <w:vAlign w:val="top"/>
          </w:tcPr>
          <w:p>
            <w:pPr>
              <w:pStyle w:val="14"/>
              <w:spacing w:before="9"/>
              <w:rPr>
                <w:rFonts w:ascii="Times New Roman"/>
                <w:sz w:val="18"/>
              </w:rPr>
            </w:pPr>
          </w:p>
          <w:p>
            <w:pPr>
              <w:pStyle w:val="14"/>
              <w:spacing w:before="1" w:line="271" w:lineRule="auto"/>
              <w:ind w:left="644" w:right="193" w:hanging="442"/>
              <w:rPr>
                <w:sz w:val="22"/>
              </w:rPr>
            </w:pPr>
            <w:r>
              <w:rPr>
                <w:sz w:val="22"/>
              </w:rPr>
              <w:t>投标文件包装要求</w:t>
            </w:r>
          </w:p>
        </w:tc>
        <w:tc>
          <w:tcPr>
            <w:tcW w:w="6873" w:type="dxa"/>
            <w:vAlign w:val="top"/>
          </w:tcPr>
          <w:p>
            <w:pPr>
              <w:pStyle w:val="14"/>
              <w:spacing w:before="56"/>
              <w:ind w:left="108"/>
              <w:rPr>
                <w:sz w:val="22"/>
              </w:rPr>
            </w:pPr>
            <w:r>
              <w:rPr>
                <w:sz w:val="22"/>
              </w:rPr>
              <w:t>所有包装必须均为密封包装，封口处均需加盖投标人单位公章和法定</w:t>
            </w:r>
          </w:p>
          <w:p>
            <w:pPr>
              <w:pStyle w:val="14"/>
              <w:spacing w:before="1" w:line="320" w:lineRule="atLeast"/>
              <w:ind w:left="108" w:right="95"/>
              <w:rPr>
                <w:sz w:val="22"/>
              </w:rPr>
            </w:pPr>
            <w:r>
              <w:rPr>
                <w:sz w:val="22"/>
              </w:rPr>
              <w:t>代表人或其委托代理人章（或签字）。具体是否分开包装由投标人自行确定。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60" w:hRule="atLeast"/>
        </w:trPr>
        <w:tc>
          <w:tcPr>
            <w:tcW w:w="1316" w:type="dxa"/>
            <w:vAlign w:val="top"/>
          </w:tcPr>
          <w:p>
            <w:pPr>
              <w:pStyle w:val="14"/>
              <w:rPr>
                <w:rFonts w:ascii="Times New Roman"/>
                <w:sz w:val="22"/>
              </w:rPr>
            </w:pPr>
          </w:p>
          <w:p>
            <w:pPr>
              <w:pStyle w:val="14"/>
              <w:rPr>
                <w:rFonts w:ascii="Times New Roman"/>
                <w:sz w:val="22"/>
              </w:rPr>
            </w:pPr>
          </w:p>
          <w:p>
            <w:pPr>
              <w:pStyle w:val="14"/>
              <w:rPr>
                <w:rFonts w:ascii="Times New Roman"/>
                <w:sz w:val="22"/>
              </w:rPr>
            </w:pPr>
          </w:p>
          <w:p>
            <w:pPr>
              <w:pStyle w:val="14"/>
              <w:rPr>
                <w:rFonts w:ascii="Times New Roman"/>
                <w:sz w:val="22"/>
              </w:rPr>
            </w:pPr>
          </w:p>
          <w:p>
            <w:pPr>
              <w:pStyle w:val="14"/>
              <w:spacing w:before="195"/>
              <w:ind w:left="383"/>
              <w:rPr>
                <w:sz w:val="22"/>
              </w:rPr>
            </w:pPr>
            <w:r>
              <w:rPr>
                <w:sz w:val="22"/>
              </w:rPr>
              <w:t>4.1.2</w:t>
            </w:r>
          </w:p>
        </w:tc>
        <w:tc>
          <w:tcPr>
            <w:tcW w:w="1729" w:type="dxa"/>
            <w:vAlign w:val="top"/>
          </w:tcPr>
          <w:p>
            <w:pPr>
              <w:pStyle w:val="14"/>
              <w:rPr>
                <w:rFonts w:ascii="Times New Roman"/>
                <w:sz w:val="22"/>
              </w:rPr>
            </w:pPr>
          </w:p>
          <w:p>
            <w:pPr>
              <w:pStyle w:val="14"/>
              <w:rPr>
                <w:rFonts w:ascii="Times New Roman"/>
                <w:sz w:val="22"/>
              </w:rPr>
            </w:pPr>
          </w:p>
          <w:p>
            <w:pPr>
              <w:pStyle w:val="14"/>
              <w:rPr>
                <w:rFonts w:ascii="Times New Roman"/>
                <w:sz w:val="22"/>
              </w:rPr>
            </w:pPr>
          </w:p>
          <w:p>
            <w:pPr>
              <w:pStyle w:val="14"/>
              <w:spacing w:before="11"/>
              <w:rPr>
                <w:rFonts w:ascii="Times New Roman"/>
                <w:sz w:val="24"/>
              </w:rPr>
            </w:pPr>
          </w:p>
          <w:p>
            <w:pPr>
              <w:pStyle w:val="14"/>
              <w:spacing w:line="273" w:lineRule="auto"/>
              <w:ind w:left="644" w:right="193" w:hanging="442"/>
              <w:rPr>
                <w:sz w:val="22"/>
              </w:rPr>
            </w:pPr>
            <w:r>
              <w:rPr>
                <w:sz w:val="22"/>
              </w:rPr>
              <w:t>投标文件封套标记</w:t>
            </w:r>
          </w:p>
        </w:tc>
        <w:tc>
          <w:tcPr>
            <w:tcW w:w="6873" w:type="dxa"/>
            <w:vAlign w:val="top"/>
          </w:tcPr>
          <w:p>
            <w:pPr>
              <w:pStyle w:val="14"/>
              <w:spacing w:before="93"/>
              <w:ind w:left="108"/>
              <w:rPr>
                <w:sz w:val="22"/>
              </w:rPr>
            </w:pPr>
            <w:r>
              <w:rPr>
                <w:sz w:val="22"/>
              </w:rPr>
              <w:t>招标人：</w:t>
            </w:r>
            <w:r>
              <w:rPr>
                <w:rFonts w:hint="eastAsia" w:ascii="宋体" w:hAnsi="宋体" w:eastAsia="宋体"/>
                <w:b w:val="0"/>
                <w:i w:val="0"/>
                <w:caps w:val="0"/>
                <w:spacing w:val="0"/>
                <w:w w:val="100"/>
                <w:sz w:val="22"/>
              </w:rPr>
              <w:t>寰宇东方国际集装箱（青岛）有限公司</w:t>
            </w:r>
          </w:p>
          <w:p>
            <w:pPr>
              <w:pStyle w:val="14"/>
              <w:spacing w:before="186" w:line="398" w:lineRule="auto"/>
              <w:ind w:left="1344" w:leftChars="448" w:right="1333" w:hanging="358" w:hangingChars="163"/>
              <w:rPr>
                <w:sz w:val="22"/>
              </w:rPr>
            </w:pPr>
            <w:r>
              <w:rPr>
                <w:rFonts w:hint="eastAsia"/>
                <w:sz w:val="22"/>
                <w:lang w:val="en-US" w:eastAsia="zh-CN"/>
              </w:rPr>
              <w:t>干箱A岀口箱改造</w:t>
            </w:r>
            <w:r>
              <w:rPr>
                <w:sz w:val="22"/>
                <w:lang w:val="en-US" w:eastAsia="zh-CN"/>
              </w:rPr>
              <w:t>工程</w:t>
            </w:r>
            <w:r>
              <w:rPr>
                <w:sz w:val="22"/>
              </w:rPr>
              <w:t>项目</w:t>
            </w:r>
          </w:p>
          <w:p>
            <w:pPr>
              <w:pStyle w:val="14"/>
              <w:spacing w:before="186" w:line="398" w:lineRule="auto"/>
              <w:ind w:left="1426" w:leftChars="648" w:right="1333" w:firstLine="519" w:firstLineChars="236"/>
              <w:rPr>
                <w:sz w:val="22"/>
              </w:rPr>
            </w:pPr>
            <w:r>
              <w:rPr>
                <w:sz w:val="22"/>
              </w:rPr>
              <w:t>投标文件</w:t>
            </w:r>
          </w:p>
          <w:p>
            <w:pPr>
              <w:pStyle w:val="14"/>
              <w:ind w:left="794"/>
              <w:rPr>
                <w:sz w:val="22"/>
              </w:rPr>
            </w:pPr>
            <w:r>
              <w:rPr>
                <w:sz w:val="22"/>
              </w:rPr>
              <w:t>在</w:t>
            </w:r>
            <w:r>
              <w:rPr>
                <w:sz w:val="22"/>
                <w:u w:val="single"/>
              </w:rPr>
              <w:t>2021</w:t>
            </w:r>
            <w:r>
              <w:rPr>
                <w:sz w:val="22"/>
              </w:rPr>
              <w:t>年0</w:t>
            </w:r>
            <w:r>
              <w:rPr>
                <w:rFonts w:hint="eastAsia"/>
                <w:sz w:val="22"/>
                <w:lang w:val="en-US" w:eastAsia="zh-CN"/>
              </w:rPr>
              <w:t>8</w:t>
            </w:r>
            <w:r>
              <w:rPr>
                <w:sz w:val="22"/>
              </w:rPr>
              <w:t>月</w:t>
            </w:r>
            <w:r>
              <w:rPr>
                <w:rFonts w:hint="eastAsia"/>
                <w:sz w:val="22"/>
                <w:lang w:val="en-US" w:eastAsia="zh-CN"/>
              </w:rPr>
              <w:t>27</w:t>
            </w:r>
            <w:r>
              <w:rPr>
                <w:sz w:val="22"/>
              </w:rPr>
              <w:t>日</w:t>
            </w:r>
            <w:r>
              <w:rPr>
                <w:rFonts w:hint="eastAsia"/>
                <w:sz w:val="22"/>
                <w:lang w:val="en-US" w:eastAsia="zh-CN"/>
              </w:rPr>
              <w:t>14</w:t>
            </w:r>
            <w:r>
              <w:rPr>
                <w:sz w:val="22"/>
              </w:rPr>
              <w:t>时00分（即开标时间）前不得开启</w:t>
            </w:r>
          </w:p>
          <w:p>
            <w:pPr>
              <w:pStyle w:val="14"/>
              <w:tabs>
                <w:tab w:val="left" w:pos="5992"/>
              </w:tabs>
              <w:spacing w:before="58" w:line="410" w:lineRule="atLeast"/>
              <w:ind w:left="108" w:right="868" w:firstLine="2308"/>
              <w:rPr>
                <w:sz w:val="22"/>
              </w:rPr>
            </w:pPr>
            <w:r>
              <w:rPr>
                <w:spacing w:val="-1"/>
                <w:sz w:val="22"/>
              </w:rPr>
              <w:t>投</w:t>
            </w:r>
            <w:r>
              <w:rPr>
                <w:spacing w:val="-3"/>
                <w:sz w:val="22"/>
              </w:rPr>
              <w:t>标</w:t>
            </w:r>
            <w:r>
              <w:rPr>
                <w:spacing w:val="-1"/>
                <w:sz w:val="22"/>
              </w:rPr>
              <w:t>人:</w:t>
            </w:r>
            <w:r>
              <w:rPr>
                <w:spacing w:val="-1"/>
                <w:sz w:val="22"/>
                <w:u w:val="single"/>
              </w:rPr>
              <w:tab/>
            </w:r>
            <w:r>
              <w:rPr>
                <w:sz w:val="22"/>
                <w:u w:val="single"/>
              </w:rPr>
              <w:t xml:space="preserve"> </w:t>
            </w:r>
            <w:r>
              <w:rPr>
                <w:sz w:val="22"/>
              </w:rPr>
              <w:t>投</w:t>
            </w:r>
            <w:r>
              <w:rPr>
                <w:spacing w:val="-3"/>
                <w:sz w:val="22"/>
              </w:rPr>
              <w:t>标</w:t>
            </w:r>
            <w:r>
              <w:rPr>
                <w:sz w:val="22"/>
              </w:rPr>
              <w:t>文件</w:t>
            </w:r>
            <w:r>
              <w:rPr>
                <w:spacing w:val="-3"/>
                <w:sz w:val="22"/>
              </w:rPr>
              <w:t>电</w:t>
            </w:r>
            <w:r>
              <w:rPr>
                <w:sz w:val="22"/>
              </w:rPr>
              <w:t>子版</w:t>
            </w:r>
            <w:r>
              <w:rPr>
                <w:spacing w:val="-3"/>
                <w:sz w:val="22"/>
              </w:rPr>
              <w:t>封</w:t>
            </w:r>
            <w:r>
              <w:rPr>
                <w:sz w:val="22"/>
              </w:rPr>
              <w:t>套上</w:t>
            </w:r>
            <w:r>
              <w:rPr>
                <w:spacing w:val="-3"/>
                <w:sz w:val="22"/>
              </w:rPr>
              <w:t>还</w:t>
            </w:r>
            <w:r>
              <w:rPr>
                <w:sz w:val="22"/>
              </w:rPr>
              <w:t>应清</w:t>
            </w:r>
            <w:r>
              <w:rPr>
                <w:spacing w:val="-3"/>
                <w:sz w:val="22"/>
              </w:rPr>
              <w:t>楚</w:t>
            </w:r>
            <w:r>
              <w:rPr>
                <w:sz w:val="22"/>
              </w:rPr>
              <w:t>地标</w:t>
            </w:r>
            <w:r>
              <w:rPr>
                <w:spacing w:val="-3"/>
                <w:sz w:val="22"/>
              </w:rPr>
              <w:t>明</w:t>
            </w:r>
            <w:r>
              <w:rPr>
                <w:sz w:val="22"/>
              </w:rPr>
              <w:t>“电</w:t>
            </w:r>
            <w:r>
              <w:rPr>
                <w:spacing w:val="-3"/>
                <w:sz w:val="22"/>
              </w:rPr>
              <w:t>子</w:t>
            </w:r>
            <w:r>
              <w:rPr>
                <w:sz w:val="22"/>
              </w:rPr>
              <w:t>版</w:t>
            </w:r>
            <w:r>
              <w:rPr>
                <w:spacing w:val="-3"/>
                <w:sz w:val="22"/>
              </w:rPr>
              <w:t>”</w:t>
            </w:r>
            <w:r>
              <w:rPr>
                <w:sz w:val="22"/>
              </w:rPr>
              <w:t>字</w:t>
            </w:r>
            <w:r>
              <w:rPr>
                <w:spacing w:val="-3"/>
                <w:sz w:val="22"/>
              </w:rPr>
              <w:t>样</w:t>
            </w:r>
            <w:r>
              <w:rPr>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1316" w:type="dxa"/>
            <w:vAlign w:val="top"/>
          </w:tcPr>
          <w:p>
            <w:pPr>
              <w:pStyle w:val="14"/>
              <w:spacing w:before="197"/>
              <w:ind w:left="383"/>
              <w:rPr>
                <w:sz w:val="22"/>
              </w:rPr>
            </w:pPr>
            <w:r>
              <w:rPr>
                <w:sz w:val="22"/>
              </w:rPr>
              <w:t>4.2.1</w:t>
            </w:r>
          </w:p>
        </w:tc>
        <w:tc>
          <w:tcPr>
            <w:tcW w:w="1729" w:type="dxa"/>
            <w:vAlign w:val="top"/>
          </w:tcPr>
          <w:p>
            <w:pPr>
              <w:pStyle w:val="14"/>
              <w:spacing w:before="1" w:line="320" w:lineRule="exact"/>
              <w:ind w:left="534" w:right="193" w:hanging="332"/>
              <w:rPr>
                <w:sz w:val="22"/>
              </w:rPr>
            </w:pPr>
            <w:r>
              <w:rPr>
                <w:sz w:val="22"/>
              </w:rPr>
              <w:t>投标截止及开标时间</w:t>
            </w:r>
          </w:p>
        </w:tc>
        <w:tc>
          <w:tcPr>
            <w:tcW w:w="6873" w:type="dxa"/>
            <w:vAlign w:val="top"/>
          </w:tcPr>
          <w:p>
            <w:pPr>
              <w:pStyle w:val="14"/>
              <w:spacing w:before="197"/>
              <w:ind w:left="108"/>
              <w:rPr>
                <w:sz w:val="22"/>
              </w:rPr>
            </w:pPr>
            <w:r>
              <w:rPr>
                <w:sz w:val="22"/>
                <w:u w:val="single"/>
              </w:rPr>
              <w:t>2021</w:t>
            </w:r>
            <w:r>
              <w:rPr>
                <w:sz w:val="22"/>
              </w:rPr>
              <w:t xml:space="preserve"> 年 0</w:t>
            </w:r>
            <w:r>
              <w:rPr>
                <w:rFonts w:hint="eastAsia"/>
                <w:sz w:val="22"/>
                <w:lang w:val="en-US" w:eastAsia="zh-CN"/>
              </w:rPr>
              <w:t>8</w:t>
            </w:r>
            <w:r>
              <w:rPr>
                <w:sz w:val="22"/>
              </w:rPr>
              <w:t xml:space="preserve"> 月</w:t>
            </w:r>
            <w:r>
              <w:rPr>
                <w:rFonts w:hint="eastAsia"/>
                <w:sz w:val="22"/>
                <w:lang w:val="en-US" w:eastAsia="zh-CN"/>
              </w:rPr>
              <w:t>27</w:t>
            </w:r>
            <w:r>
              <w:rPr>
                <w:sz w:val="22"/>
              </w:rPr>
              <w:t xml:space="preserve"> 日 1</w:t>
            </w:r>
            <w:r>
              <w:rPr>
                <w:rFonts w:hint="eastAsia"/>
                <w:sz w:val="22"/>
                <w:lang w:val="en-US" w:eastAsia="zh-CN"/>
              </w:rPr>
              <w:t>4</w:t>
            </w:r>
            <w:r>
              <w:rPr>
                <w:sz w:val="22"/>
              </w:rPr>
              <w:t xml:space="preserve"> 时 00 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9" w:hRule="atLeast"/>
        </w:trPr>
        <w:tc>
          <w:tcPr>
            <w:tcW w:w="1316" w:type="dxa"/>
            <w:vAlign w:val="top"/>
          </w:tcPr>
          <w:p>
            <w:pPr>
              <w:pStyle w:val="14"/>
              <w:spacing w:before="197"/>
              <w:ind w:left="383"/>
              <w:rPr>
                <w:sz w:val="22"/>
              </w:rPr>
            </w:pPr>
            <w:r>
              <w:rPr>
                <w:sz w:val="22"/>
              </w:rPr>
              <w:t>4.2.2</w:t>
            </w:r>
          </w:p>
        </w:tc>
        <w:tc>
          <w:tcPr>
            <w:tcW w:w="1729" w:type="dxa"/>
            <w:vAlign w:val="top"/>
          </w:tcPr>
          <w:p>
            <w:pPr>
              <w:pStyle w:val="14"/>
              <w:spacing w:line="320" w:lineRule="exact"/>
              <w:ind w:left="202" w:right="193"/>
              <w:rPr>
                <w:sz w:val="22"/>
              </w:rPr>
            </w:pPr>
            <w:r>
              <w:rPr>
                <w:sz w:val="22"/>
              </w:rPr>
              <w:t>递交投标文件及开标地点）</w:t>
            </w:r>
          </w:p>
        </w:tc>
        <w:tc>
          <w:tcPr>
            <w:tcW w:w="6873" w:type="dxa"/>
            <w:vAlign w:val="top"/>
          </w:tcPr>
          <w:p>
            <w:pPr>
              <w:snapToGrid w:val="0"/>
              <w:spacing w:before="0" w:beforeAutospacing="0" w:after="0" w:afterAutospacing="0" w:line="360" w:lineRule="auto"/>
              <w:jc w:val="left"/>
              <w:textAlignment w:val="baseline"/>
              <w:rPr>
                <w:sz w:val="22"/>
              </w:rPr>
            </w:pPr>
            <w:r>
              <w:rPr>
                <w:rFonts w:ascii="宋体" w:hAnsi="宋体" w:cs="宋体"/>
                <w:b w:val="0"/>
                <w:i w:val="0"/>
                <w:caps w:val="0"/>
                <w:color w:val="000000"/>
                <w:spacing w:val="0"/>
                <w:w w:val="100"/>
                <w:sz w:val="24"/>
                <w:szCs w:val="24"/>
                <w:u w:val="none" w:color="auto"/>
              </w:rPr>
              <w:t>青岛西海岸新区茂山路373号</w:t>
            </w:r>
            <w:r>
              <w:rPr>
                <w:sz w:val="22"/>
                <w:u w:val="none"/>
              </w:rPr>
              <w:t>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9" w:hRule="atLeast"/>
        </w:trPr>
        <w:tc>
          <w:tcPr>
            <w:tcW w:w="1316" w:type="dxa"/>
            <w:vAlign w:val="top"/>
          </w:tcPr>
          <w:p>
            <w:pPr>
              <w:pStyle w:val="14"/>
              <w:spacing w:before="195"/>
              <w:ind w:left="383"/>
              <w:rPr>
                <w:sz w:val="22"/>
              </w:rPr>
            </w:pPr>
            <w:r>
              <w:rPr>
                <w:sz w:val="22"/>
              </w:rPr>
              <w:t>4.2.3</w:t>
            </w:r>
          </w:p>
        </w:tc>
        <w:tc>
          <w:tcPr>
            <w:tcW w:w="1729" w:type="dxa"/>
            <w:vAlign w:val="top"/>
          </w:tcPr>
          <w:p>
            <w:pPr>
              <w:pStyle w:val="14"/>
              <w:spacing w:line="320" w:lineRule="exact"/>
              <w:ind w:left="644" w:right="193" w:hanging="442"/>
              <w:rPr>
                <w:sz w:val="22"/>
              </w:rPr>
            </w:pPr>
            <w:r>
              <w:rPr>
                <w:sz w:val="22"/>
              </w:rPr>
              <w:t>是否退还投标文件</w:t>
            </w:r>
          </w:p>
        </w:tc>
        <w:tc>
          <w:tcPr>
            <w:tcW w:w="6873" w:type="dxa"/>
            <w:vAlign w:val="top"/>
          </w:tcPr>
          <w:p>
            <w:pPr>
              <w:pStyle w:val="14"/>
              <w:spacing w:before="36"/>
              <w:ind w:left="108"/>
              <w:rPr>
                <w:sz w:val="22"/>
              </w:rPr>
            </w:pPr>
            <w:r>
              <w:rPr>
                <w:rFonts w:hint="eastAsia" w:ascii="MS Gothic" w:hAnsi="MS Gothic" w:eastAsia="MS Gothic"/>
                <w:sz w:val="22"/>
              </w:rPr>
              <w:t>☑</w:t>
            </w:r>
            <w:r>
              <w:rPr>
                <w:sz w:val="22"/>
              </w:rPr>
              <w:t>否</w:t>
            </w:r>
          </w:p>
          <w:p>
            <w:pPr>
              <w:pStyle w:val="14"/>
              <w:tabs>
                <w:tab w:val="left" w:pos="5221"/>
              </w:tabs>
              <w:spacing w:before="38" w:line="263" w:lineRule="exact"/>
              <w:ind w:left="108"/>
              <w:rPr>
                <w:rFonts w:ascii="Times New Roman" w:hAnsi="Times New Roman" w:eastAsia="Times New Roman"/>
                <w:sz w:val="22"/>
              </w:rPr>
            </w:pPr>
            <w:r>
              <w:rPr>
                <w:spacing w:val="-3"/>
                <w:sz w:val="22"/>
              </w:rPr>
              <w:t>□</w:t>
            </w:r>
            <w:r>
              <w:rPr>
                <w:spacing w:val="-1"/>
                <w:sz w:val="22"/>
              </w:rPr>
              <w:t>是</w:t>
            </w:r>
            <w:r>
              <w:rPr>
                <w:spacing w:val="-3"/>
                <w:sz w:val="22"/>
              </w:rPr>
              <w:t>，</w:t>
            </w:r>
            <w:r>
              <w:rPr>
                <w:spacing w:val="-1"/>
                <w:sz w:val="22"/>
              </w:rPr>
              <w:t>退还</w:t>
            </w:r>
            <w:r>
              <w:rPr>
                <w:spacing w:val="-3"/>
                <w:sz w:val="22"/>
              </w:rPr>
              <w:t>安</w:t>
            </w:r>
            <w:r>
              <w:rPr>
                <w:spacing w:val="-1"/>
                <w:sz w:val="22"/>
              </w:rPr>
              <w:t>排：</w:t>
            </w:r>
            <w:r>
              <w:rPr>
                <w:rFonts w:ascii="Times New Roman" w:hAnsi="Times New Roman" w:eastAsia="Times New Roman"/>
                <w:sz w:val="22"/>
                <w:u w:val="single"/>
              </w:rPr>
              <w:t xml:space="preserve"> </w:t>
            </w:r>
            <w:r>
              <w:rPr>
                <w:rFonts w:ascii="Times New Roman" w:hAnsi="Times New Roman" w:eastAsia="Times New Roman"/>
                <w:sz w:val="22"/>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0" w:hRule="atLeast"/>
        </w:trPr>
        <w:tc>
          <w:tcPr>
            <w:tcW w:w="1316" w:type="dxa"/>
            <w:vAlign w:val="top"/>
          </w:tcPr>
          <w:p>
            <w:pPr>
              <w:pStyle w:val="14"/>
              <w:rPr>
                <w:rFonts w:ascii="Times New Roman"/>
                <w:sz w:val="22"/>
              </w:rPr>
            </w:pPr>
          </w:p>
          <w:p>
            <w:pPr>
              <w:pStyle w:val="14"/>
              <w:spacing w:before="2"/>
              <w:rPr>
                <w:rFonts w:ascii="Times New Roman"/>
                <w:sz w:val="28"/>
              </w:rPr>
            </w:pPr>
          </w:p>
          <w:p>
            <w:pPr>
              <w:pStyle w:val="14"/>
              <w:ind w:left="383"/>
              <w:rPr>
                <w:sz w:val="22"/>
              </w:rPr>
            </w:pPr>
            <w:r>
              <w:rPr>
                <w:sz w:val="22"/>
              </w:rPr>
              <w:t>5.1.0</w:t>
            </w:r>
          </w:p>
        </w:tc>
        <w:tc>
          <w:tcPr>
            <w:tcW w:w="1729" w:type="dxa"/>
            <w:vAlign w:val="top"/>
          </w:tcPr>
          <w:p>
            <w:pPr>
              <w:pStyle w:val="14"/>
              <w:spacing w:before="4"/>
              <w:rPr>
                <w:rFonts w:ascii="Times New Roman"/>
                <w:sz w:val="22"/>
              </w:rPr>
            </w:pPr>
          </w:p>
          <w:p>
            <w:pPr>
              <w:pStyle w:val="14"/>
              <w:spacing w:before="1" w:line="271" w:lineRule="auto"/>
              <w:ind w:left="752" w:right="193" w:hanging="550"/>
              <w:rPr>
                <w:sz w:val="22"/>
              </w:rPr>
            </w:pPr>
            <w:r>
              <w:rPr>
                <w:sz w:val="22"/>
              </w:rPr>
              <w:t>开标人代表要求</w:t>
            </w:r>
          </w:p>
        </w:tc>
        <w:tc>
          <w:tcPr>
            <w:tcW w:w="6873" w:type="dxa"/>
            <w:vAlign w:val="top"/>
          </w:tcPr>
          <w:p>
            <w:pPr>
              <w:pStyle w:val="14"/>
              <w:spacing w:before="92" w:line="398" w:lineRule="auto"/>
              <w:ind w:left="108" w:right="95"/>
              <w:rPr>
                <w:sz w:val="22"/>
              </w:rPr>
            </w:pPr>
            <w:r>
              <w:rPr>
                <w:sz w:val="22"/>
              </w:rPr>
              <w:t>参加开标的投标人代表可以是投标人的法定代表人或授权委托人。其中，授权委托人要求：</w:t>
            </w:r>
          </w:p>
          <w:p>
            <w:pPr>
              <w:pStyle w:val="14"/>
              <w:ind w:left="108"/>
              <w:rPr>
                <w:sz w:val="22"/>
              </w:rPr>
            </w:pPr>
            <w:r>
              <w:rPr>
                <w:rFonts w:hint="eastAsia" w:ascii="MS Gothic" w:hAnsi="MS Gothic" w:eastAsia="MS Gothic"/>
                <w:sz w:val="22"/>
              </w:rPr>
              <w:t>☑</w:t>
            </w:r>
            <w:r>
              <w:rPr>
                <w:sz w:val="22"/>
              </w:rPr>
              <w:t>本单位工作人员</w:t>
            </w:r>
          </w:p>
        </w:tc>
      </w:tr>
    </w:tbl>
    <w:p>
      <w:pPr>
        <w:spacing w:after="0"/>
        <w:rPr>
          <w:sz w:val="22"/>
        </w:rPr>
        <w:sectPr>
          <w:pgSz w:w="11910" w:h="16840"/>
          <w:pgMar w:top="1100" w:right="660" w:bottom="1180" w:left="800" w:header="878" w:footer="852" w:gutter="0"/>
          <w:cols w:space="720" w:num="1"/>
        </w:sectPr>
      </w:pPr>
    </w:p>
    <w:p>
      <w:pPr>
        <w:pStyle w:val="9"/>
        <w:rPr>
          <w:rFonts w:ascii="Times New Roman"/>
          <w:sz w:val="26"/>
        </w:rPr>
      </w:pPr>
    </w:p>
    <w:tbl>
      <w:tblPr>
        <w:tblW w:w="9918"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6"/>
        <w:gridCol w:w="1729"/>
        <w:gridCol w:w="6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316" w:type="dxa"/>
            <w:vAlign w:val="top"/>
          </w:tcPr>
          <w:p>
            <w:pPr>
              <w:pStyle w:val="14"/>
              <w:rPr>
                <w:rFonts w:ascii="Times New Roman"/>
                <w:sz w:val="20"/>
              </w:rPr>
            </w:pPr>
          </w:p>
        </w:tc>
        <w:tc>
          <w:tcPr>
            <w:tcW w:w="1729" w:type="dxa"/>
            <w:vAlign w:val="top"/>
          </w:tcPr>
          <w:p>
            <w:pPr>
              <w:pStyle w:val="14"/>
              <w:rPr>
                <w:rFonts w:ascii="Times New Roman"/>
                <w:sz w:val="20"/>
              </w:rPr>
            </w:pPr>
          </w:p>
        </w:tc>
        <w:tc>
          <w:tcPr>
            <w:tcW w:w="6873" w:type="dxa"/>
            <w:vAlign w:val="top"/>
          </w:tcPr>
          <w:p>
            <w:pPr>
              <w:pStyle w:val="14"/>
              <w:spacing w:before="93"/>
              <w:ind w:left="108" w:right="-15"/>
              <w:rPr>
                <w:sz w:val="22"/>
              </w:rPr>
            </w:pPr>
            <w:r>
              <w:rPr>
                <w:spacing w:val="-6"/>
                <w:sz w:val="22"/>
              </w:rPr>
              <w:t>□技术负责人</w:t>
            </w:r>
            <w:r>
              <w:rPr>
                <w:spacing w:val="-3"/>
                <w:sz w:val="22"/>
              </w:rPr>
              <w:t>（资质证书为准</w:t>
            </w:r>
            <w:r>
              <w:rPr>
                <w:spacing w:val="-20"/>
                <w:sz w:val="22"/>
              </w:rPr>
              <w:t>）</w:t>
            </w:r>
            <w:r>
              <w:rPr>
                <w:spacing w:val="-5"/>
                <w:sz w:val="22"/>
              </w:rPr>
              <w:t>或者拟任该项目的负责人</w:t>
            </w:r>
            <w:r>
              <w:rPr>
                <w:sz w:val="22"/>
              </w:rPr>
              <w:t>（</w:t>
            </w:r>
            <w:r>
              <w:rPr>
                <w:spacing w:val="-2"/>
                <w:sz w:val="22"/>
              </w:rPr>
              <w:t>项目经理</w:t>
            </w:r>
            <w:r>
              <w:rPr>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7" w:hRule="atLeast"/>
        </w:trPr>
        <w:tc>
          <w:tcPr>
            <w:tcW w:w="1316" w:type="dxa"/>
            <w:vAlign w:val="top"/>
          </w:tcPr>
          <w:p>
            <w:pPr>
              <w:pStyle w:val="14"/>
              <w:rPr>
                <w:rFonts w:ascii="Times New Roman"/>
                <w:sz w:val="22"/>
              </w:rPr>
            </w:pPr>
          </w:p>
          <w:p>
            <w:pPr>
              <w:pStyle w:val="14"/>
              <w:rPr>
                <w:rFonts w:ascii="Times New Roman"/>
                <w:sz w:val="22"/>
              </w:rPr>
            </w:pPr>
          </w:p>
          <w:p>
            <w:pPr>
              <w:pStyle w:val="14"/>
              <w:rPr>
                <w:rFonts w:ascii="Times New Roman"/>
                <w:sz w:val="22"/>
              </w:rPr>
            </w:pPr>
          </w:p>
          <w:p>
            <w:pPr>
              <w:pStyle w:val="14"/>
              <w:rPr>
                <w:rFonts w:ascii="Times New Roman"/>
                <w:sz w:val="22"/>
              </w:rPr>
            </w:pPr>
          </w:p>
          <w:p>
            <w:pPr>
              <w:pStyle w:val="14"/>
              <w:rPr>
                <w:rFonts w:ascii="Times New Roman"/>
                <w:sz w:val="22"/>
              </w:rPr>
            </w:pPr>
          </w:p>
          <w:p>
            <w:pPr>
              <w:pStyle w:val="14"/>
              <w:spacing w:before="196"/>
              <w:ind w:left="88" w:right="77"/>
              <w:jc w:val="center"/>
              <w:rPr>
                <w:sz w:val="22"/>
              </w:rPr>
            </w:pPr>
            <w:r>
              <w:rPr>
                <w:sz w:val="22"/>
              </w:rPr>
              <w:t>5.1.1</w:t>
            </w:r>
          </w:p>
        </w:tc>
        <w:tc>
          <w:tcPr>
            <w:tcW w:w="1729" w:type="dxa"/>
            <w:vAlign w:val="top"/>
          </w:tcPr>
          <w:p>
            <w:pPr>
              <w:pStyle w:val="14"/>
              <w:rPr>
                <w:rFonts w:ascii="Times New Roman"/>
                <w:sz w:val="22"/>
              </w:rPr>
            </w:pPr>
          </w:p>
          <w:p>
            <w:pPr>
              <w:pStyle w:val="14"/>
              <w:rPr>
                <w:rFonts w:ascii="Times New Roman"/>
                <w:sz w:val="22"/>
              </w:rPr>
            </w:pPr>
          </w:p>
          <w:p>
            <w:pPr>
              <w:pStyle w:val="14"/>
              <w:rPr>
                <w:rFonts w:ascii="Times New Roman"/>
                <w:sz w:val="22"/>
              </w:rPr>
            </w:pPr>
          </w:p>
          <w:p>
            <w:pPr>
              <w:pStyle w:val="14"/>
              <w:rPr>
                <w:rFonts w:ascii="Times New Roman"/>
                <w:sz w:val="22"/>
              </w:rPr>
            </w:pPr>
          </w:p>
          <w:p>
            <w:pPr>
              <w:pStyle w:val="14"/>
              <w:spacing w:before="129" w:line="271" w:lineRule="auto"/>
              <w:ind w:left="202" w:right="193"/>
              <w:jc w:val="center"/>
              <w:rPr>
                <w:sz w:val="22"/>
              </w:rPr>
            </w:pPr>
            <w:r>
              <w:rPr>
                <w:sz w:val="22"/>
              </w:rPr>
              <w:t>投标人代表出席开标会需提交的材料</w:t>
            </w:r>
          </w:p>
        </w:tc>
        <w:tc>
          <w:tcPr>
            <w:tcW w:w="6873" w:type="dxa"/>
            <w:vAlign w:val="top"/>
          </w:tcPr>
          <w:p>
            <w:pPr>
              <w:pStyle w:val="14"/>
              <w:spacing w:before="95"/>
              <w:ind w:left="108"/>
              <w:rPr>
                <w:sz w:val="22"/>
              </w:rPr>
            </w:pPr>
            <w:r>
              <w:rPr>
                <w:sz w:val="22"/>
              </w:rPr>
              <w:t>1、法定代表人出席需携带：</w:t>
            </w:r>
          </w:p>
          <w:p>
            <w:pPr>
              <w:pStyle w:val="14"/>
              <w:numPr>
                <w:ilvl w:val="0"/>
                <w:numId w:val="9"/>
              </w:numPr>
              <w:tabs>
                <w:tab w:val="left" w:pos="660"/>
              </w:tabs>
              <w:spacing w:before="128" w:after="0" w:line="240" w:lineRule="auto"/>
              <w:ind w:left="659" w:right="0" w:hanging="552"/>
              <w:jc w:val="left"/>
              <w:rPr>
                <w:sz w:val="22"/>
              </w:rPr>
            </w:pPr>
            <w:r>
              <w:rPr>
                <w:spacing w:val="-3"/>
                <w:sz w:val="22"/>
              </w:rPr>
              <w:t>法定代表人证明原件；</w:t>
            </w:r>
          </w:p>
          <w:p>
            <w:pPr>
              <w:pStyle w:val="14"/>
              <w:numPr>
                <w:ilvl w:val="0"/>
                <w:numId w:val="9"/>
              </w:numPr>
              <w:tabs>
                <w:tab w:val="left" w:pos="660"/>
              </w:tabs>
              <w:spacing w:before="38" w:after="0" w:line="240" w:lineRule="auto"/>
              <w:ind w:left="659" w:right="0" w:hanging="552"/>
              <w:jc w:val="left"/>
              <w:rPr>
                <w:sz w:val="22"/>
              </w:rPr>
            </w:pPr>
            <w:r>
              <w:rPr>
                <w:spacing w:val="-3"/>
                <w:sz w:val="22"/>
              </w:rPr>
              <w:t>法定代表人身份证明原件及复印件；</w:t>
            </w:r>
          </w:p>
          <w:p>
            <w:pPr>
              <w:pStyle w:val="14"/>
              <w:numPr>
                <w:ilvl w:val="0"/>
                <w:numId w:val="9"/>
              </w:numPr>
              <w:tabs>
                <w:tab w:val="left" w:pos="660"/>
              </w:tabs>
              <w:spacing w:before="18" w:after="0" w:line="331" w:lineRule="auto"/>
              <w:ind w:left="108" w:right="812" w:firstLine="0"/>
              <w:jc w:val="left"/>
              <w:rPr>
                <w:sz w:val="22"/>
              </w:rPr>
            </w:pPr>
            <w:r>
              <w:rPr>
                <w:spacing w:val="-3"/>
                <w:sz w:val="22"/>
              </w:rPr>
              <w:t>盖章的投标保证金提交凭证及</w:t>
            </w:r>
            <w:r>
              <w:rPr>
                <w:sz w:val="21"/>
              </w:rPr>
              <w:t>基本账户相关证明复印件</w:t>
            </w:r>
            <w:r>
              <w:rPr>
                <w:sz w:val="22"/>
              </w:rPr>
              <w:t>。2</w:t>
            </w:r>
            <w:r>
              <w:rPr>
                <w:spacing w:val="-3"/>
                <w:sz w:val="22"/>
              </w:rPr>
              <w:t>、委托代理人出席需携带：</w:t>
            </w:r>
          </w:p>
          <w:p>
            <w:pPr>
              <w:pStyle w:val="14"/>
              <w:numPr>
                <w:ilvl w:val="0"/>
                <w:numId w:val="10"/>
              </w:numPr>
              <w:tabs>
                <w:tab w:val="left" w:pos="660"/>
              </w:tabs>
              <w:spacing w:before="21" w:after="0" w:line="240" w:lineRule="auto"/>
              <w:ind w:left="659" w:right="0" w:hanging="552"/>
              <w:jc w:val="left"/>
              <w:rPr>
                <w:sz w:val="22"/>
              </w:rPr>
            </w:pPr>
            <w:r>
              <w:rPr>
                <w:spacing w:val="-3"/>
                <w:sz w:val="22"/>
              </w:rPr>
              <w:t>投标人的法定代表人证明原件；</w:t>
            </w:r>
          </w:p>
          <w:p>
            <w:pPr>
              <w:pStyle w:val="14"/>
              <w:numPr>
                <w:ilvl w:val="0"/>
                <w:numId w:val="10"/>
              </w:numPr>
              <w:tabs>
                <w:tab w:val="left" w:pos="660"/>
              </w:tabs>
              <w:spacing w:before="40" w:after="0" w:line="240" w:lineRule="auto"/>
              <w:ind w:left="659" w:right="0" w:hanging="552"/>
              <w:jc w:val="left"/>
              <w:rPr>
                <w:sz w:val="22"/>
              </w:rPr>
            </w:pPr>
            <w:r>
              <w:rPr>
                <w:spacing w:val="-3"/>
                <w:sz w:val="22"/>
              </w:rPr>
              <w:t>法定代表人授权委托书原件；</w:t>
            </w:r>
          </w:p>
          <w:p>
            <w:pPr>
              <w:pStyle w:val="14"/>
              <w:numPr>
                <w:ilvl w:val="0"/>
                <w:numId w:val="10"/>
              </w:numPr>
              <w:tabs>
                <w:tab w:val="left" w:pos="660"/>
              </w:tabs>
              <w:spacing w:before="37" w:after="0" w:line="240" w:lineRule="auto"/>
              <w:ind w:left="659" w:right="0" w:hanging="552"/>
              <w:jc w:val="left"/>
              <w:rPr>
                <w:sz w:val="22"/>
              </w:rPr>
            </w:pPr>
            <w:r>
              <w:rPr>
                <w:spacing w:val="-3"/>
                <w:sz w:val="22"/>
              </w:rPr>
              <w:t>委托代理人身份证明原件及复印件；</w:t>
            </w:r>
          </w:p>
          <w:p>
            <w:pPr>
              <w:pStyle w:val="14"/>
              <w:numPr>
                <w:ilvl w:val="0"/>
                <w:numId w:val="10"/>
              </w:numPr>
              <w:tabs>
                <w:tab w:val="left" w:pos="660"/>
              </w:tabs>
              <w:spacing w:before="37" w:after="0" w:line="264" w:lineRule="exact"/>
              <w:ind w:left="659" w:right="0" w:hanging="552"/>
              <w:jc w:val="left"/>
              <w:rPr>
                <w:sz w:val="22"/>
              </w:rPr>
            </w:pPr>
            <w:r>
              <w:rPr>
                <w:spacing w:val="-3"/>
                <w:sz w:val="22"/>
              </w:rPr>
              <w:t>盖章的投标保证金提交凭证及</w:t>
            </w:r>
            <w:r>
              <w:rPr>
                <w:sz w:val="21"/>
              </w:rPr>
              <w:t>基本账户相关证明复印件</w:t>
            </w:r>
            <w:r>
              <w:rPr>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4" w:hRule="atLeast"/>
        </w:trPr>
        <w:tc>
          <w:tcPr>
            <w:tcW w:w="1316" w:type="dxa"/>
            <w:vAlign w:val="top"/>
          </w:tcPr>
          <w:p>
            <w:pPr>
              <w:pStyle w:val="14"/>
              <w:spacing w:before="7"/>
              <w:rPr>
                <w:rFonts w:ascii="Times New Roman"/>
                <w:sz w:val="18"/>
              </w:rPr>
            </w:pPr>
          </w:p>
          <w:p>
            <w:pPr>
              <w:pStyle w:val="14"/>
              <w:spacing w:before="1"/>
              <w:ind w:left="88" w:right="77"/>
              <w:jc w:val="center"/>
              <w:rPr>
                <w:sz w:val="22"/>
              </w:rPr>
            </w:pPr>
            <w:r>
              <w:rPr>
                <w:sz w:val="22"/>
              </w:rPr>
              <w:t>5.1.2</w:t>
            </w:r>
          </w:p>
        </w:tc>
        <w:tc>
          <w:tcPr>
            <w:tcW w:w="1729" w:type="dxa"/>
            <w:vAlign w:val="top"/>
          </w:tcPr>
          <w:p>
            <w:pPr>
              <w:pStyle w:val="14"/>
              <w:spacing w:before="16" w:line="320" w:lineRule="atLeast"/>
              <w:ind w:left="534" w:right="193" w:hanging="332"/>
              <w:rPr>
                <w:sz w:val="22"/>
              </w:rPr>
            </w:pPr>
            <w:r>
              <w:rPr>
                <w:sz w:val="22"/>
              </w:rPr>
              <w:t>开标前密封情况检查</w:t>
            </w:r>
          </w:p>
        </w:tc>
        <w:tc>
          <w:tcPr>
            <w:tcW w:w="6873" w:type="dxa"/>
            <w:vAlign w:val="top"/>
          </w:tcPr>
          <w:p>
            <w:pPr>
              <w:pStyle w:val="14"/>
              <w:spacing w:before="16" w:line="320" w:lineRule="atLeast"/>
              <w:ind w:left="108" w:right="95"/>
              <w:rPr>
                <w:sz w:val="22"/>
              </w:rPr>
            </w:pPr>
            <w:r>
              <w:rPr>
                <w:sz w:val="22"/>
              </w:rPr>
              <w:t>投标文件是否密封，封口处是否加盖了投标人单位公章和法定代表人章或委托代理人章（或签字）。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2" w:hRule="atLeast"/>
        </w:trPr>
        <w:tc>
          <w:tcPr>
            <w:tcW w:w="1316" w:type="dxa"/>
            <w:vAlign w:val="top"/>
          </w:tcPr>
          <w:p>
            <w:pPr>
              <w:pStyle w:val="14"/>
              <w:spacing w:before="5"/>
              <w:rPr>
                <w:rFonts w:ascii="Times New Roman"/>
                <w:sz w:val="18"/>
              </w:rPr>
            </w:pPr>
          </w:p>
          <w:p>
            <w:pPr>
              <w:pStyle w:val="14"/>
              <w:ind w:left="88" w:right="77"/>
              <w:jc w:val="center"/>
              <w:rPr>
                <w:sz w:val="22"/>
              </w:rPr>
            </w:pPr>
            <w:r>
              <w:rPr>
                <w:sz w:val="22"/>
              </w:rPr>
              <w:t>5.3.5（5）</w:t>
            </w:r>
          </w:p>
        </w:tc>
        <w:tc>
          <w:tcPr>
            <w:tcW w:w="1729" w:type="dxa"/>
            <w:vAlign w:val="top"/>
          </w:tcPr>
          <w:p>
            <w:pPr>
              <w:pStyle w:val="14"/>
              <w:spacing w:before="16" w:line="320" w:lineRule="atLeast"/>
              <w:ind w:left="644" w:right="193" w:hanging="442"/>
              <w:rPr>
                <w:sz w:val="22"/>
              </w:rPr>
            </w:pPr>
            <w:r>
              <w:rPr>
                <w:sz w:val="22"/>
              </w:rPr>
              <w:t>投标文件开标顺序</w:t>
            </w:r>
          </w:p>
        </w:tc>
        <w:tc>
          <w:tcPr>
            <w:tcW w:w="6873" w:type="dxa"/>
            <w:vAlign w:val="top"/>
          </w:tcPr>
          <w:p>
            <w:pPr>
              <w:pStyle w:val="14"/>
              <w:spacing w:before="54"/>
              <w:ind w:left="108"/>
              <w:rPr>
                <w:sz w:val="22"/>
              </w:rPr>
            </w:pPr>
            <w:r>
              <w:rPr>
                <w:spacing w:val="-3"/>
                <w:sz w:val="22"/>
              </w:rPr>
              <w:t>□先到先开</w:t>
            </w:r>
          </w:p>
          <w:p>
            <w:pPr>
              <w:pStyle w:val="14"/>
              <w:spacing w:before="37" w:line="279" w:lineRule="exact"/>
              <w:ind w:left="108"/>
              <w:rPr>
                <w:sz w:val="22"/>
              </w:rPr>
            </w:pPr>
            <w:r>
              <w:rPr>
                <w:rFonts w:hint="eastAsia" w:ascii="MS Gothic" w:hAnsi="MS Gothic" w:eastAsia="MS Gothic"/>
                <w:spacing w:val="-3"/>
                <w:sz w:val="22"/>
              </w:rPr>
              <w:t>☑</w:t>
            </w:r>
            <w:r>
              <w:rPr>
                <w:spacing w:val="-2"/>
                <w:sz w:val="22"/>
              </w:rPr>
              <w:t>后到先开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1316" w:type="dxa"/>
            <w:vAlign w:val="top"/>
          </w:tcPr>
          <w:p>
            <w:pPr>
              <w:pStyle w:val="14"/>
              <w:spacing w:before="197"/>
              <w:ind w:left="88" w:right="77"/>
              <w:jc w:val="center"/>
              <w:rPr>
                <w:sz w:val="22"/>
              </w:rPr>
            </w:pPr>
            <w:r>
              <w:rPr>
                <w:sz w:val="22"/>
              </w:rPr>
              <w:t>6.1.1</w:t>
            </w:r>
          </w:p>
        </w:tc>
        <w:tc>
          <w:tcPr>
            <w:tcW w:w="1729" w:type="dxa"/>
            <w:vAlign w:val="top"/>
          </w:tcPr>
          <w:p>
            <w:pPr>
              <w:pStyle w:val="14"/>
              <w:spacing w:line="320" w:lineRule="exact"/>
              <w:ind w:left="752" w:right="193" w:hanging="550"/>
              <w:rPr>
                <w:sz w:val="22"/>
              </w:rPr>
            </w:pPr>
            <w:r>
              <w:rPr>
                <w:sz w:val="22"/>
              </w:rPr>
              <w:t>评标委员会组成</w:t>
            </w:r>
          </w:p>
        </w:tc>
        <w:tc>
          <w:tcPr>
            <w:tcW w:w="6873" w:type="dxa"/>
            <w:vAlign w:val="top"/>
          </w:tcPr>
          <w:p>
            <w:pPr>
              <w:pStyle w:val="14"/>
              <w:spacing w:before="197"/>
              <w:ind w:left="108"/>
              <w:rPr>
                <w:sz w:val="22"/>
              </w:rPr>
            </w:pPr>
            <w:r>
              <w:rPr>
                <w:sz w:val="22"/>
              </w:rPr>
              <w:t>依法组建，成员为 5 人及以上的单数组成。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1316" w:type="dxa"/>
            <w:vAlign w:val="top"/>
          </w:tcPr>
          <w:p>
            <w:pPr>
              <w:pStyle w:val="14"/>
              <w:spacing w:before="198"/>
              <w:ind w:left="88" w:right="77"/>
              <w:jc w:val="center"/>
              <w:rPr>
                <w:sz w:val="22"/>
              </w:rPr>
            </w:pPr>
            <w:r>
              <w:rPr>
                <w:sz w:val="22"/>
              </w:rPr>
              <w:t>7.1.1</w:t>
            </w:r>
          </w:p>
        </w:tc>
        <w:tc>
          <w:tcPr>
            <w:tcW w:w="1729" w:type="dxa"/>
            <w:vAlign w:val="top"/>
          </w:tcPr>
          <w:p>
            <w:pPr>
              <w:pStyle w:val="14"/>
              <w:spacing w:before="198"/>
              <w:ind w:left="183" w:right="174"/>
              <w:jc w:val="center"/>
              <w:rPr>
                <w:sz w:val="22"/>
              </w:rPr>
            </w:pPr>
            <w:r>
              <w:rPr>
                <w:sz w:val="22"/>
              </w:rPr>
              <w:t>定标方式</w:t>
            </w:r>
          </w:p>
        </w:tc>
        <w:tc>
          <w:tcPr>
            <w:tcW w:w="6873" w:type="dxa"/>
            <w:vAlign w:val="top"/>
          </w:tcPr>
          <w:p>
            <w:pPr>
              <w:pStyle w:val="14"/>
              <w:spacing w:line="320" w:lineRule="atLeast"/>
              <w:ind w:left="108" w:right="31"/>
              <w:rPr>
                <w:sz w:val="22"/>
              </w:rPr>
            </w:pPr>
            <w:r>
              <w:rPr>
                <w:sz w:val="22"/>
              </w:rPr>
              <w:t>评标委员会推荐 3 名中标候选人，并确定评审得分排名第一的候选人为中标人。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316" w:type="dxa"/>
            <w:vAlign w:val="top"/>
          </w:tcPr>
          <w:p>
            <w:pPr>
              <w:pStyle w:val="14"/>
              <w:spacing w:before="119"/>
              <w:ind w:left="88" w:right="77"/>
              <w:jc w:val="center"/>
              <w:rPr>
                <w:sz w:val="22"/>
              </w:rPr>
            </w:pPr>
            <w:r>
              <w:rPr>
                <w:sz w:val="22"/>
              </w:rPr>
              <w:t>7.4.1</w:t>
            </w:r>
          </w:p>
        </w:tc>
        <w:tc>
          <w:tcPr>
            <w:tcW w:w="1729" w:type="dxa"/>
            <w:vAlign w:val="top"/>
          </w:tcPr>
          <w:p>
            <w:pPr>
              <w:pStyle w:val="14"/>
              <w:spacing w:before="119"/>
              <w:ind w:left="183" w:right="174"/>
              <w:jc w:val="center"/>
              <w:rPr>
                <w:sz w:val="22"/>
              </w:rPr>
            </w:pPr>
            <w:r>
              <w:rPr>
                <w:sz w:val="22"/>
              </w:rPr>
              <w:t>履约保证金</w:t>
            </w:r>
          </w:p>
        </w:tc>
        <w:tc>
          <w:tcPr>
            <w:tcW w:w="6873" w:type="dxa"/>
            <w:vAlign w:val="top"/>
          </w:tcPr>
          <w:p>
            <w:pPr>
              <w:pStyle w:val="14"/>
              <w:spacing w:before="119"/>
              <w:ind w:left="108"/>
              <w:rPr>
                <w:sz w:val="22"/>
              </w:rPr>
            </w:pPr>
            <w:r>
              <w:rPr>
                <w:rFonts w:hint="eastAsia" w:ascii="MS Gothic" w:hAnsi="MS Gothic" w:eastAsia="MS Gothic"/>
                <w:sz w:val="22"/>
              </w:rPr>
              <w:t>☑</w:t>
            </w:r>
            <w:r>
              <w:rPr>
                <w:sz w:val="22"/>
              </w:rPr>
              <w:t>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2" w:hRule="atLeast"/>
        </w:trPr>
        <w:tc>
          <w:tcPr>
            <w:tcW w:w="1316" w:type="dxa"/>
            <w:vAlign w:val="top"/>
          </w:tcPr>
          <w:p>
            <w:pPr>
              <w:pStyle w:val="14"/>
              <w:rPr>
                <w:rFonts w:ascii="Times New Roman"/>
                <w:sz w:val="32"/>
              </w:rPr>
            </w:pPr>
          </w:p>
          <w:p>
            <w:pPr>
              <w:pStyle w:val="14"/>
              <w:ind w:left="88" w:right="77"/>
              <w:jc w:val="center"/>
              <w:rPr>
                <w:sz w:val="22"/>
              </w:rPr>
            </w:pPr>
            <w:r>
              <w:rPr>
                <w:sz w:val="22"/>
              </w:rPr>
              <w:t>7.5.3</w:t>
            </w:r>
          </w:p>
        </w:tc>
        <w:tc>
          <w:tcPr>
            <w:tcW w:w="1729" w:type="dxa"/>
            <w:vAlign w:val="top"/>
          </w:tcPr>
          <w:p>
            <w:pPr>
              <w:pStyle w:val="14"/>
              <w:rPr>
                <w:rFonts w:ascii="Times New Roman"/>
                <w:sz w:val="32"/>
              </w:rPr>
            </w:pPr>
          </w:p>
          <w:p>
            <w:pPr>
              <w:pStyle w:val="14"/>
              <w:ind w:left="183" w:right="174"/>
              <w:jc w:val="center"/>
              <w:rPr>
                <w:sz w:val="22"/>
              </w:rPr>
            </w:pPr>
            <w:r>
              <w:rPr>
                <w:sz w:val="22"/>
              </w:rPr>
              <w:t>合同形式</w:t>
            </w:r>
          </w:p>
        </w:tc>
        <w:tc>
          <w:tcPr>
            <w:tcW w:w="6873" w:type="dxa"/>
            <w:vAlign w:val="top"/>
          </w:tcPr>
          <w:p>
            <w:pPr>
              <w:pStyle w:val="14"/>
              <w:spacing w:before="49"/>
              <w:ind w:left="108"/>
              <w:rPr>
                <w:sz w:val="22"/>
              </w:rPr>
            </w:pPr>
            <w:r>
              <w:rPr>
                <w:rFonts w:hint="eastAsia" w:ascii="MS Gothic" w:hAnsi="MS Gothic" w:eastAsia="MS Gothic"/>
                <w:spacing w:val="-3"/>
                <w:sz w:val="22"/>
              </w:rPr>
              <w:t>☑</w:t>
            </w:r>
            <w:r>
              <w:rPr>
                <w:spacing w:val="-2"/>
                <w:sz w:val="22"/>
              </w:rPr>
              <w:t>单价合同</w:t>
            </w:r>
          </w:p>
          <w:p>
            <w:pPr>
              <w:pStyle w:val="14"/>
              <w:spacing w:before="37"/>
              <w:ind w:left="108"/>
              <w:rPr>
                <w:sz w:val="22"/>
              </w:rPr>
            </w:pPr>
            <w:r>
              <w:rPr>
                <w:spacing w:val="-3"/>
                <w:sz w:val="22"/>
              </w:rPr>
              <w:t>□总价合同</w:t>
            </w:r>
          </w:p>
          <w:p>
            <w:pPr>
              <w:pStyle w:val="14"/>
              <w:tabs>
                <w:tab w:val="left" w:pos="2913"/>
              </w:tabs>
              <w:spacing w:before="37" w:line="276" w:lineRule="exact"/>
              <w:ind w:left="108"/>
              <w:rPr>
                <w:rFonts w:ascii="Times New Roman" w:hAnsi="Times New Roman" w:eastAsia="Times New Roman"/>
                <w:sz w:val="22"/>
              </w:rPr>
            </w:pPr>
            <w:r>
              <w:rPr>
                <w:spacing w:val="-3"/>
                <w:sz w:val="22"/>
              </w:rPr>
              <w:t>□</w:t>
            </w:r>
            <w:r>
              <w:rPr>
                <w:spacing w:val="-1"/>
                <w:sz w:val="22"/>
              </w:rPr>
              <w:t>其</w:t>
            </w:r>
            <w:r>
              <w:rPr>
                <w:spacing w:val="-3"/>
                <w:sz w:val="22"/>
              </w:rPr>
              <w:t>他</w:t>
            </w:r>
            <w:r>
              <w:rPr>
                <w:spacing w:val="-1"/>
                <w:sz w:val="22"/>
              </w:rPr>
              <w:t>：</w:t>
            </w:r>
            <w:r>
              <w:rPr>
                <w:rFonts w:ascii="Times New Roman" w:hAnsi="Times New Roman" w:eastAsia="Times New Roman"/>
                <w:sz w:val="22"/>
                <w:u w:val="single"/>
              </w:rPr>
              <w:t xml:space="preserve"> </w:t>
            </w:r>
            <w:r>
              <w:rPr>
                <w:rFonts w:ascii="Times New Roman" w:hAnsi="Times New Roman" w:eastAsia="Times New Roman"/>
                <w:sz w:val="22"/>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1316" w:type="dxa"/>
            <w:vAlign w:val="top"/>
          </w:tcPr>
          <w:p>
            <w:pPr>
              <w:pStyle w:val="14"/>
              <w:spacing w:before="37" w:line="262" w:lineRule="exact"/>
              <w:ind w:left="85" w:right="77"/>
              <w:jc w:val="center"/>
              <w:rPr>
                <w:sz w:val="22"/>
              </w:rPr>
            </w:pPr>
            <w:r>
              <w:rPr>
                <w:sz w:val="22"/>
              </w:rPr>
              <w:t>11</w:t>
            </w:r>
          </w:p>
        </w:tc>
        <w:tc>
          <w:tcPr>
            <w:tcW w:w="1729" w:type="dxa"/>
            <w:vAlign w:val="top"/>
          </w:tcPr>
          <w:p>
            <w:pPr>
              <w:pStyle w:val="14"/>
              <w:spacing w:before="37" w:line="262" w:lineRule="exact"/>
              <w:ind w:left="183" w:right="176"/>
              <w:jc w:val="center"/>
              <w:rPr>
                <w:sz w:val="22"/>
              </w:rPr>
            </w:pPr>
            <w:r>
              <w:rPr>
                <w:sz w:val="22"/>
              </w:rPr>
              <w:t>其他注意事项</w:t>
            </w:r>
          </w:p>
        </w:tc>
        <w:tc>
          <w:tcPr>
            <w:tcW w:w="6873" w:type="dxa"/>
            <w:vAlign w:val="top"/>
          </w:tcPr>
          <w:p>
            <w:pPr>
              <w:pStyle w:val="14"/>
              <w:spacing w:before="37" w:line="262" w:lineRule="exact"/>
              <w:ind w:left="108"/>
              <w:rPr>
                <w:sz w:val="22"/>
              </w:rPr>
            </w:pPr>
            <w:r>
              <w:rPr>
                <w:sz w:val="22"/>
              </w:rPr>
              <w:t>1、否决投标评审条款以评标办法中列明的为准。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40" w:hRule="atLeast"/>
        </w:trPr>
        <w:tc>
          <w:tcPr>
            <w:tcW w:w="1316" w:type="dxa"/>
            <w:vAlign w:val="top"/>
          </w:tcPr>
          <w:p>
            <w:pPr>
              <w:pStyle w:val="14"/>
              <w:rPr>
                <w:rFonts w:ascii="Times New Roman"/>
                <w:sz w:val="22"/>
              </w:rPr>
            </w:pPr>
          </w:p>
          <w:p>
            <w:pPr>
              <w:pStyle w:val="14"/>
              <w:rPr>
                <w:rFonts w:ascii="Times New Roman"/>
                <w:sz w:val="22"/>
              </w:rPr>
            </w:pPr>
          </w:p>
          <w:p>
            <w:pPr>
              <w:pStyle w:val="14"/>
              <w:rPr>
                <w:rFonts w:ascii="Times New Roman"/>
                <w:sz w:val="22"/>
              </w:rPr>
            </w:pPr>
          </w:p>
          <w:p>
            <w:pPr>
              <w:pStyle w:val="14"/>
              <w:spacing w:before="7"/>
              <w:rPr>
                <w:rFonts w:ascii="Times New Roman"/>
                <w:sz w:val="20"/>
              </w:rPr>
            </w:pPr>
          </w:p>
          <w:p>
            <w:pPr>
              <w:pStyle w:val="14"/>
              <w:ind w:left="85" w:right="77"/>
              <w:jc w:val="center"/>
              <w:rPr>
                <w:sz w:val="22"/>
              </w:rPr>
            </w:pPr>
            <w:r>
              <w:rPr>
                <w:sz w:val="22"/>
              </w:rPr>
              <w:t>12</w:t>
            </w:r>
          </w:p>
        </w:tc>
        <w:tc>
          <w:tcPr>
            <w:tcW w:w="1729" w:type="dxa"/>
            <w:vAlign w:val="top"/>
          </w:tcPr>
          <w:p>
            <w:pPr>
              <w:pStyle w:val="14"/>
              <w:rPr>
                <w:rFonts w:ascii="Times New Roman"/>
                <w:sz w:val="22"/>
              </w:rPr>
            </w:pPr>
          </w:p>
          <w:p>
            <w:pPr>
              <w:pStyle w:val="14"/>
              <w:rPr>
                <w:rFonts w:ascii="Times New Roman"/>
                <w:sz w:val="22"/>
              </w:rPr>
            </w:pPr>
          </w:p>
          <w:p>
            <w:pPr>
              <w:pStyle w:val="14"/>
              <w:spacing w:before="10"/>
              <w:rPr>
                <w:rFonts w:ascii="Times New Roman"/>
                <w:sz w:val="28"/>
              </w:rPr>
            </w:pPr>
          </w:p>
          <w:p>
            <w:pPr>
              <w:pStyle w:val="14"/>
              <w:spacing w:line="271" w:lineRule="auto"/>
              <w:ind w:left="752" w:right="193" w:hanging="550"/>
              <w:rPr>
                <w:sz w:val="22"/>
              </w:rPr>
            </w:pPr>
            <w:r>
              <w:rPr>
                <w:sz w:val="22"/>
              </w:rPr>
              <w:t>招标代理服务费</w:t>
            </w:r>
          </w:p>
        </w:tc>
        <w:tc>
          <w:tcPr>
            <w:tcW w:w="6873" w:type="dxa"/>
            <w:vAlign w:val="top"/>
          </w:tcPr>
          <w:p>
            <w:pPr>
              <w:pStyle w:val="14"/>
              <w:spacing w:line="271" w:lineRule="auto"/>
              <w:ind w:left="108" w:right="97"/>
              <w:jc w:val="both"/>
              <w:rPr>
                <w:sz w:val="22"/>
              </w:rPr>
            </w:pPr>
            <w:r>
              <w:rPr>
                <w:rFonts w:hint="eastAsia" w:ascii="MS Gothic" w:hAnsi="MS Gothic" w:eastAsia="MS Gothic"/>
                <w:sz w:val="22"/>
              </w:rPr>
              <w:t>☑</w:t>
            </w:r>
            <w:r>
              <w:rPr>
                <w:rFonts w:ascii="宋体" w:hAnsi="宋体" w:cs="宋体"/>
                <w:b w:val="0"/>
                <w:i w:val="0"/>
                <w:caps w:val="0"/>
                <w:color w:val="auto"/>
                <w:spacing w:val="0"/>
                <w:w w:val="100"/>
                <w:sz w:val="21"/>
                <w:u w:val="single" w:color="000000"/>
              </w:rPr>
              <w:t>招标代理服务费，按</w:t>
            </w:r>
            <w:r>
              <w:rPr>
                <w:rFonts w:hint="eastAsia" w:ascii="宋体" w:hAnsi="宋体" w:cs="宋体"/>
                <w:b w:val="0"/>
                <w:i w:val="0"/>
                <w:caps w:val="0"/>
                <w:color w:val="auto"/>
                <w:spacing w:val="0"/>
                <w:w w:val="100"/>
                <w:sz w:val="21"/>
                <w:u w:val="single" w:color="000000"/>
                <w:lang w:eastAsia="zh-CN"/>
              </w:rPr>
              <w:t>上海东方投资监理有限公司与招标人签订协议为准，代理费为中标价</w:t>
            </w:r>
            <w:r>
              <w:rPr>
                <w:rFonts w:hint="eastAsia" w:ascii="宋体" w:hAnsi="宋体" w:cs="宋体"/>
                <w:b w:val="0"/>
                <w:i w:val="0"/>
                <w:caps w:val="0"/>
                <w:color w:val="auto"/>
                <w:spacing w:val="0"/>
                <w:w w:val="100"/>
                <w:sz w:val="21"/>
                <w:u w:val="single" w:color="000000"/>
                <w:lang w:val="en-US" w:eastAsia="zh-CN"/>
              </w:rPr>
              <w:t>2</w:t>
            </w:r>
            <w:r>
              <w:rPr>
                <w:rFonts w:ascii="宋体" w:hAnsi="宋体" w:cs="宋体"/>
                <w:b w:val="0"/>
                <w:i w:val="0"/>
                <w:caps w:val="0"/>
                <w:color w:val="auto"/>
                <w:spacing w:val="0"/>
                <w:w w:val="100"/>
                <w:sz w:val="21"/>
                <w:u w:val="single" w:color="000000"/>
              </w:rPr>
              <w:t>%计取</w:t>
            </w:r>
            <w:r>
              <w:rPr>
                <w:rFonts w:ascii="宋体" w:hAnsi="宋体" w:cs="宋体"/>
                <w:b w:val="0"/>
                <w:i w:val="0"/>
                <w:caps w:val="0"/>
                <w:color w:val="000000"/>
                <w:spacing w:val="0"/>
                <w:w w:val="100"/>
                <w:sz w:val="21"/>
                <w:u w:val="single" w:color="000000"/>
              </w:rPr>
              <w:t>，</w:t>
            </w:r>
            <w:r>
              <w:rPr>
                <w:spacing w:val="-11"/>
                <w:sz w:val="22"/>
                <w:u w:val="single"/>
              </w:rPr>
              <w:t xml:space="preserve">另收取专家费 </w:t>
            </w:r>
            <w:r>
              <w:rPr>
                <w:sz w:val="22"/>
                <w:u w:val="single"/>
              </w:rPr>
              <w:t>3300</w:t>
            </w:r>
            <w:r>
              <w:rPr>
                <w:rFonts w:hint="eastAsia"/>
                <w:sz w:val="22"/>
                <w:u w:val="single"/>
              </w:rPr>
              <w:t>元</w:t>
            </w:r>
            <w:r>
              <w:rPr>
                <w:rFonts w:ascii="宋体" w:hAnsi="宋体" w:cs="宋体"/>
                <w:b w:val="0"/>
                <w:i w:val="0"/>
                <w:caps w:val="0"/>
                <w:color w:val="000000"/>
                <w:spacing w:val="0"/>
                <w:w w:val="100"/>
                <w:sz w:val="21"/>
                <w:u w:val="single" w:color="000000"/>
              </w:rPr>
              <w:t>由中标单位支付。投标单位在报价中综合考虑，本次报价时不需单独列支。</w:t>
            </w:r>
          </w:p>
          <w:p>
            <w:pPr>
              <w:pStyle w:val="14"/>
              <w:spacing w:line="264" w:lineRule="exact"/>
              <w:ind w:left="108"/>
              <w:rPr>
                <w:sz w:val="22"/>
              </w:rPr>
            </w:pPr>
            <w:r>
              <w:rPr>
                <w:sz w:val="22"/>
              </w:rPr>
              <w:t>招标代理服务费由招标代理机构直接向中标单位收取。</w:t>
            </w:r>
          </w:p>
          <w:p>
            <w:pPr>
              <w:pStyle w:val="14"/>
              <w:spacing w:line="264" w:lineRule="exact"/>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1316" w:type="dxa"/>
            <w:vAlign w:val="top"/>
          </w:tcPr>
          <w:p>
            <w:pPr>
              <w:pStyle w:val="14"/>
              <w:spacing w:before="196"/>
              <w:ind w:left="85" w:right="77"/>
              <w:jc w:val="center"/>
              <w:rPr>
                <w:sz w:val="22"/>
              </w:rPr>
            </w:pPr>
            <w:r>
              <w:rPr>
                <w:sz w:val="22"/>
              </w:rPr>
              <w:t>13</w:t>
            </w:r>
          </w:p>
        </w:tc>
        <w:tc>
          <w:tcPr>
            <w:tcW w:w="1729" w:type="dxa"/>
            <w:vAlign w:val="top"/>
          </w:tcPr>
          <w:p>
            <w:pPr>
              <w:pStyle w:val="14"/>
              <w:spacing w:line="320" w:lineRule="atLeast"/>
              <w:ind w:left="534" w:right="193" w:hanging="332"/>
              <w:rPr>
                <w:sz w:val="22"/>
              </w:rPr>
            </w:pPr>
            <w:r>
              <w:rPr>
                <w:sz w:val="22"/>
              </w:rPr>
              <w:t>招投标信息发布媒体</w:t>
            </w:r>
          </w:p>
        </w:tc>
        <w:tc>
          <w:tcPr>
            <w:tcW w:w="6873" w:type="dxa"/>
            <w:vAlign w:val="top"/>
          </w:tcPr>
          <w:p>
            <w:pPr>
              <w:pStyle w:val="14"/>
              <w:spacing w:before="196"/>
              <w:ind w:left="108"/>
              <w:rPr>
                <w:sz w:val="22"/>
              </w:rPr>
            </w:pPr>
            <w:r>
              <w:rPr>
                <w:rFonts w:hint="eastAsia"/>
                <w:sz w:val="22"/>
              </w:rPr>
              <w:t>http://gs.coscoshipping.com/</w:t>
            </w:r>
            <w:bookmarkStart w:id="155" w:name="_GoBack"/>
            <w:bookmarkEnd w:id="155"/>
          </w:p>
        </w:tc>
      </w:tr>
    </w:tbl>
    <w:p>
      <w:pPr>
        <w:spacing w:after="0"/>
        <w:rPr>
          <w:sz w:val="22"/>
        </w:rPr>
        <w:sectPr>
          <w:pgSz w:w="11910" w:h="16840"/>
          <w:pgMar w:top="1100" w:right="660" w:bottom="1180" w:left="800" w:header="878" w:footer="852" w:gutter="0"/>
          <w:cols w:space="720" w:num="1"/>
        </w:sectPr>
      </w:pPr>
    </w:p>
    <w:p>
      <w:pPr>
        <w:pStyle w:val="9"/>
        <w:rPr>
          <w:rFonts w:ascii="Times New Roman"/>
          <w:sz w:val="20"/>
        </w:rPr>
      </w:pPr>
    </w:p>
    <w:p>
      <w:pPr>
        <w:pStyle w:val="9"/>
        <w:rPr>
          <w:rFonts w:ascii="Times New Roman"/>
          <w:sz w:val="20"/>
        </w:rPr>
      </w:pPr>
    </w:p>
    <w:p>
      <w:pPr>
        <w:pStyle w:val="9"/>
        <w:spacing w:before="10"/>
        <w:rPr>
          <w:rFonts w:ascii="Times New Roman"/>
          <w:sz w:val="15"/>
        </w:rPr>
      </w:pPr>
    </w:p>
    <w:p>
      <w:pPr>
        <w:spacing w:before="49"/>
        <w:ind w:left="448" w:right="727" w:firstLine="0"/>
        <w:jc w:val="center"/>
        <w:rPr>
          <w:sz w:val="36"/>
        </w:rPr>
      </w:pPr>
      <w:r>
        <w:rPr>
          <w:sz w:val="36"/>
        </w:rPr>
        <w:t>投标人须知正文</w:t>
      </w:r>
    </w:p>
    <w:p>
      <w:pPr>
        <w:pStyle w:val="9"/>
        <w:rPr>
          <w:sz w:val="20"/>
        </w:rPr>
      </w:pPr>
    </w:p>
    <w:p>
      <w:pPr>
        <w:pStyle w:val="3"/>
        <w:numPr>
          <w:ilvl w:val="0"/>
          <w:numId w:val="11"/>
        </w:numPr>
        <w:tabs>
          <w:tab w:val="left" w:pos="814"/>
        </w:tabs>
        <w:spacing w:before="194" w:after="0" w:line="240" w:lineRule="auto"/>
        <w:ind w:left="813" w:right="0" w:hanging="482"/>
        <w:jc w:val="left"/>
        <w:rPr>
          <w:sz w:val="30"/>
        </w:rPr>
      </w:pPr>
      <w:bookmarkStart w:id="18" w:name="_bookmark3"/>
      <w:bookmarkEnd w:id="18"/>
      <w:bookmarkStart w:id="19" w:name="1．总则"/>
      <w:bookmarkEnd w:id="19"/>
      <w:r>
        <w:t>总则</w:t>
      </w:r>
    </w:p>
    <w:p>
      <w:pPr>
        <w:pStyle w:val="9"/>
        <w:spacing w:before="12"/>
        <w:rPr>
          <w:sz w:val="36"/>
        </w:rPr>
      </w:pPr>
    </w:p>
    <w:p>
      <w:pPr>
        <w:pStyle w:val="13"/>
        <w:numPr>
          <w:ilvl w:val="1"/>
          <w:numId w:val="11"/>
        </w:numPr>
        <w:tabs>
          <w:tab w:val="left" w:pos="895"/>
        </w:tabs>
        <w:spacing w:before="0" w:after="0" w:line="240" w:lineRule="auto"/>
        <w:ind w:left="894" w:right="0" w:hanging="563"/>
        <w:jc w:val="left"/>
        <w:rPr>
          <w:sz w:val="32"/>
        </w:rPr>
      </w:pPr>
      <w:r>
        <w:rPr>
          <w:sz w:val="32"/>
        </w:rPr>
        <w:t>项目概况</w:t>
      </w:r>
    </w:p>
    <w:p>
      <w:pPr>
        <w:pStyle w:val="13"/>
        <w:numPr>
          <w:ilvl w:val="2"/>
          <w:numId w:val="11"/>
        </w:numPr>
        <w:tabs>
          <w:tab w:val="left" w:pos="1360"/>
        </w:tabs>
        <w:spacing w:before="139" w:after="0" w:line="290" w:lineRule="auto"/>
        <w:ind w:left="332" w:right="609" w:firstLine="422"/>
        <w:jc w:val="both"/>
        <w:rPr>
          <w:sz w:val="22"/>
        </w:rPr>
      </w:pPr>
      <w:r>
        <w:rPr>
          <w:spacing w:val="-11"/>
          <w:sz w:val="22"/>
        </w:rPr>
        <w:t>根据《中华人民共和国招标投标法》、《中华人民共和国招标投标法实施条例》、《上海</w:t>
      </w:r>
      <w:r>
        <w:rPr>
          <w:spacing w:val="-1"/>
          <w:sz w:val="22"/>
        </w:rPr>
        <w:t>市建设工程招标投标管理办法》等有关法律、法规和规章的规定，本招标项目已具备招标条件，现</w:t>
      </w:r>
      <w:r>
        <w:rPr>
          <w:spacing w:val="-3"/>
          <w:sz w:val="22"/>
        </w:rPr>
        <w:t>对本标段施工进行招标。</w:t>
      </w:r>
    </w:p>
    <w:p>
      <w:pPr>
        <w:pStyle w:val="13"/>
        <w:numPr>
          <w:ilvl w:val="2"/>
          <w:numId w:val="12"/>
        </w:numPr>
        <w:tabs>
          <w:tab w:val="left" w:pos="1419"/>
        </w:tabs>
        <w:spacing w:before="4" w:after="0" w:line="240" w:lineRule="auto"/>
        <w:ind w:left="1418" w:right="0" w:hanging="664"/>
        <w:jc w:val="left"/>
        <w:rPr>
          <w:sz w:val="22"/>
        </w:rPr>
      </w:pPr>
      <w:r>
        <w:rPr>
          <w:spacing w:val="-3"/>
          <w:sz w:val="22"/>
        </w:rPr>
        <w:t>本招标项目招标人：见投标人须知前附表。</w:t>
      </w:r>
    </w:p>
    <w:p>
      <w:pPr>
        <w:pStyle w:val="13"/>
        <w:numPr>
          <w:ilvl w:val="2"/>
          <w:numId w:val="12"/>
        </w:numPr>
        <w:tabs>
          <w:tab w:val="left" w:pos="1419"/>
        </w:tabs>
        <w:spacing w:before="61" w:after="0" w:line="240" w:lineRule="auto"/>
        <w:ind w:left="1418" w:right="0" w:hanging="664"/>
        <w:jc w:val="left"/>
        <w:rPr>
          <w:sz w:val="22"/>
        </w:rPr>
      </w:pPr>
      <w:r>
        <w:rPr>
          <w:spacing w:val="-3"/>
          <w:sz w:val="22"/>
        </w:rPr>
        <w:t>本标段招标代理机构：见投标人须知前附表。</w:t>
      </w:r>
    </w:p>
    <w:p>
      <w:pPr>
        <w:pStyle w:val="9"/>
        <w:spacing w:before="64" w:line="292" w:lineRule="auto"/>
        <w:ind w:left="332" w:right="612" w:firstLine="422"/>
      </w:pPr>
      <w:r>
        <w:t>本标段招标工程师：指具有所在招标代理机构注册的相关专业职业资格或岗位证书，受招标代理机构授权，主持本标段招标代理工作的代表。</w:t>
      </w:r>
    </w:p>
    <w:p>
      <w:pPr>
        <w:pStyle w:val="13"/>
        <w:numPr>
          <w:ilvl w:val="2"/>
          <w:numId w:val="13"/>
        </w:numPr>
        <w:tabs>
          <w:tab w:val="left" w:pos="1360"/>
        </w:tabs>
        <w:spacing w:before="0" w:after="0" w:line="278" w:lineRule="exact"/>
        <w:ind w:left="1360" w:right="0" w:hanging="605"/>
        <w:jc w:val="left"/>
        <w:rPr>
          <w:sz w:val="22"/>
        </w:rPr>
      </w:pPr>
      <w:r>
        <w:rPr>
          <w:spacing w:val="-3"/>
          <w:sz w:val="22"/>
        </w:rPr>
        <w:t>本招标项目名称、立项文件及文号：见投标人须知前附表。</w:t>
      </w:r>
    </w:p>
    <w:p>
      <w:pPr>
        <w:pStyle w:val="13"/>
        <w:numPr>
          <w:ilvl w:val="2"/>
          <w:numId w:val="13"/>
        </w:numPr>
        <w:tabs>
          <w:tab w:val="left" w:pos="1360"/>
        </w:tabs>
        <w:spacing w:before="61" w:after="0" w:line="240" w:lineRule="auto"/>
        <w:ind w:left="1360" w:right="0" w:hanging="605"/>
        <w:jc w:val="left"/>
        <w:rPr>
          <w:sz w:val="22"/>
        </w:rPr>
      </w:pPr>
      <w:r>
        <w:rPr>
          <w:spacing w:val="-3"/>
          <w:sz w:val="22"/>
        </w:rPr>
        <w:t>本标段建设地点：见投标人须知前附表。</w:t>
      </w:r>
    </w:p>
    <w:p>
      <w:pPr>
        <w:pStyle w:val="13"/>
        <w:numPr>
          <w:ilvl w:val="2"/>
          <w:numId w:val="13"/>
        </w:numPr>
        <w:tabs>
          <w:tab w:val="left" w:pos="1360"/>
        </w:tabs>
        <w:spacing w:before="62" w:after="0" w:line="240" w:lineRule="auto"/>
        <w:ind w:left="1360" w:right="0" w:hanging="605"/>
        <w:jc w:val="left"/>
        <w:rPr>
          <w:sz w:val="22"/>
        </w:rPr>
      </w:pPr>
      <w:r>
        <w:rPr>
          <w:spacing w:val="-3"/>
          <w:sz w:val="22"/>
        </w:rPr>
        <w:t>本标段建设规模：见投标人须知前附表。</w:t>
      </w:r>
    </w:p>
    <w:p>
      <w:pPr>
        <w:pStyle w:val="13"/>
        <w:numPr>
          <w:ilvl w:val="2"/>
          <w:numId w:val="13"/>
        </w:numPr>
        <w:tabs>
          <w:tab w:val="left" w:pos="1360"/>
        </w:tabs>
        <w:spacing w:before="63" w:after="0" w:line="240" w:lineRule="auto"/>
        <w:ind w:left="1360" w:right="0" w:hanging="605"/>
        <w:jc w:val="left"/>
        <w:rPr>
          <w:sz w:val="22"/>
        </w:rPr>
      </w:pPr>
      <w:r>
        <w:rPr>
          <w:spacing w:val="-3"/>
          <w:sz w:val="22"/>
        </w:rPr>
        <w:t>本标段的项目相关单位：见投标人须知前附表。其中：</w:t>
      </w:r>
    </w:p>
    <w:p>
      <w:pPr>
        <w:pStyle w:val="9"/>
        <w:spacing w:before="62" w:line="290" w:lineRule="auto"/>
        <w:ind w:left="332" w:right="612" w:firstLine="422"/>
      </w:pPr>
      <w:r>
        <w:t>本标段的项目管理单位是指本标段的代建人，或为本标段提供项目管理咨询服务的单位。（如有）</w:t>
      </w:r>
    </w:p>
    <w:p>
      <w:pPr>
        <w:pStyle w:val="9"/>
        <w:spacing w:before="2" w:line="292" w:lineRule="auto"/>
        <w:ind w:left="332" w:right="612" w:firstLine="422"/>
      </w:pPr>
      <w:r>
        <w:t>本标段的监理单位是指为本标段提供施工监理服务的监理人和提供工程全过程造价咨询服务的财务监理人。（如已确定）</w:t>
      </w:r>
    </w:p>
    <w:p>
      <w:pPr>
        <w:pStyle w:val="13"/>
        <w:numPr>
          <w:ilvl w:val="1"/>
          <w:numId w:val="11"/>
        </w:numPr>
        <w:tabs>
          <w:tab w:val="left" w:pos="895"/>
        </w:tabs>
        <w:spacing w:before="76" w:after="0" w:line="240" w:lineRule="auto"/>
        <w:ind w:left="894" w:right="0" w:hanging="563"/>
        <w:jc w:val="left"/>
        <w:rPr>
          <w:sz w:val="32"/>
        </w:rPr>
      </w:pPr>
      <w:r>
        <w:rPr>
          <w:sz w:val="32"/>
        </w:rPr>
        <w:t>资金来源和落实情况</w:t>
      </w:r>
    </w:p>
    <w:p>
      <w:pPr>
        <w:pStyle w:val="13"/>
        <w:numPr>
          <w:ilvl w:val="2"/>
          <w:numId w:val="11"/>
        </w:numPr>
        <w:tabs>
          <w:tab w:val="left" w:pos="1360"/>
        </w:tabs>
        <w:spacing w:before="139" w:after="0" w:line="240" w:lineRule="auto"/>
        <w:ind w:left="1360" w:right="0" w:hanging="605"/>
        <w:jc w:val="left"/>
        <w:rPr>
          <w:sz w:val="22"/>
        </w:rPr>
      </w:pPr>
      <w:r>
        <w:rPr>
          <w:spacing w:val="-3"/>
          <w:sz w:val="22"/>
        </w:rPr>
        <w:t>本招标项目的资金来源：见投标人须知前附表。</w:t>
      </w:r>
    </w:p>
    <w:p>
      <w:pPr>
        <w:pStyle w:val="13"/>
        <w:numPr>
          <w:ilvl w:val="2"/>
          <w:numId w:val="11"/>
        </w:numPr>
        <w:tabs>
          <w:tab w:val="left" w:pos="1360"/>
        </w:tabs>
        <w:spacing w:before="61" w:after="0" w:line="240" w:lineRule="auto"/>
        <w:ind w:left="1360" w:right="0" w:hanging="605"/>
        <w:jc w:val="left"/>
        <w:rPr>
          <w:sz w:val="22"/>
        </w:rPr>
      </w:pPr>
      <w:r>
        <w:rPr>
          <w:spacing w:val="-3"/>
          <w:sz w:val="22"/>
        </w:rPr>
        <w:t>本招标项目的出资比例：见投标人须知前附表。</w:t>
      </w:r>
    </w:p>
    <w:p>
      <w:pPr>
        <w:pStyle w:val="13"/>
        <w:numPr>
          <w:ilvl w:val="2"/>
          <w:numId w:val="11"/>
        </w:numPr>
        <w:tabs>
          <w:tab w:val="left" w:pos="1360"/>
        </w:tabs>
        <w:spacing w:before="59" w:after="0" w:line="240" w:lineRule="auto"/>
        <w:ind w:left="1360" w:right="0" w:hanging="605"/>
        <w:jc w:val="left"/>
        <w:rPr>
          <w:sz w:val="22"/>
        </w:rPr>
      </w:pPr>
      <w:r>
        <w:rPr>
          <w:spacing w:val="-3"/>
          <w:sz w:val="22"/>
        </w:rPr>
        <w:t>本招标项目的资金落实情况：见投标人须知前附表。</w:t>
      </w:r>
    </w:p>
    <w:p>
      <w:pPr>
        <w:pStyle w:val="13"/>
        <w:numPr>
          <w:ilvl w:val="1"/>
          <w:numId w:val="11"/>
        </w:numPr>
        <w:tabs>
          <w:tab w:val="left" w:pos="895"/>
        </w:tabs>
        <w:spacing w:before="139" w:after="0" w:line="240" w:lineRule="auto"/>
        <w:ind w:left="894" w:right="0" w:hanging="563"/>
        <w:jc w:val="left"/>
        <w:rPr>
          <w:sz w:val="32"/>
        </w:rPr>
      </w:pPr>
      <w:r>
        <w:rPr>
          <w:sz w:val="32"/>
        </w:rPr>
        <w:t>招标范围、计划工期和质量要求</w:t>
      </w:r>
    </w:p>
    <w:p>
      <w:pPr>
        <w:pStyle w:val="13"/>
        <w:numPr>
          <w:ilvl w:val="2"/>
          <w:numId w:val="11"/>
        </w:numPr>
        <w:tabs>
          <w:tab w:val="left" w:pos="1360"/>
        </w:tabs>
        <w:spacing w:before="136" w:after="0" w:line="240" w:lineRule="auto"/>
        <w:ind w:left="1360" w:right="0" w:hanging="605"/>
        <w:jc w:val="left"/>
        <w:rPr>
          <w:sz w:val="22"/>
        </w:rPr>
      </w:pPr>
      <w:r>
        <w:rPr>
          <w:spacing w:val="-3"/>
          <w:sz w:val="22"/>
        </w:rPr>
        <w:t>本次招标范围：见投标人须知前附表。</w:t>
      </w:r>
    </w:p>
    <w:p>
      <w:pPr>
        <w:pStyle w:val="13"/>
        <w:numPr>
          <w:ilvl w:val="2"/>
          <w:numId w:val="11"/>
        </w:numPr>
        <w:tabs>
          <w:tab w:val="left" w:pos="1360"/>
        </w:tabs>
        <w:spacing w:before="61" w:after="0" w:line="240" w:lineRule="auto"/>
        <w:ind w:left="1360" w:right="0" w:hanging="605"/>
        <w:jc w:val="left"/>
        <w:rPr>
          <w:sz w:val="22"/>
        </w:rPr>
      </w:pPr>
      <w:r>
        <w:rPr>
          <w:spacing w:val="-3"/>
          <w:sz w:val="22"/>
        </w:rPr>
        <w:t>本标段的计划工期：见投标人须知前附表。</w:t>
      </w:r>
    </w:p>
    <w:p>
      <w:pPr>
        <w:pStyle w:val="13"/>
        <w:numPr>
          <w:ilvl w:val="2"/>
          <w:numId w:val="11"/>
        </w:numPr>
        <w:tabs>
          <w:tab w:val="left" w:pos="1360"/>
        </w:tabs>
        <w:spacing w:before="64" w:after="0" w:line="240" w:lineRule="auto"/>
        <w:ind w:left="1360" w:right="0" w:hanging="605"/>
        <w:jc w:val="left"/>
        <w:rPr>
          <w:sz w:val="22"/>
        </w:rPr>
      </w:pPr>
      <w:r>
        <w:rPr>
          <w:spacing w:val="-3"/>
          <w:sz w:val="22"/>
        </w:rPr>
        <w:t>本标段的质量要求：见投标人须知前附表。</w:t>
      </w:r>
    </w:p>
    <w:p>
      <w:pPr>
        <w:pStyle w:val="13"/>
        <w:numPr>
          <w:ilvl w:val="1"/>
          <w:numId w:val="11"/>
        </w:numPr>
        <w:tabs>
          <w:tab w:val="left" w:pos="895"/>
        </w:tabs>
        <w:spacing w:before="137" w:after="0" w:line="240" w:lineRule="auto"/>
        <w:ind w:left="894" w:right="0" w:hanging="563"/>
        <w:jc w:val="left"/>
        <w:rPr>
          <w:sz w:val="32"/>
        </w:rPr>
      </w:pPr>
      <w:r>
        <w:rPr>
          <w:sz w:val="32"/>
        </w:rPr>
        <w:t>投标人资格要求</w:t>
      </w:r>
    </w:p>
    <w:p>
      <w:pPr>
        <w:pStyle w:val="13"/>
        <w:numPr>
          <w:ilvl w:val="2"/>
          <w:numId w:val="11"/>
        </w:numPr>
        <w:tabs>
          <w:tab w:val="left" w:pos="1360"/>
        </w:tabs>
        <w:spacing w:before="138" w:after="0" w:line="240" w:lineRule="auto"/>
        <w:ind w:left="1360" w:right="0" w:hanging="605"/>
        <w:jc w:val="left"/>
        <w:rPr>
          <w:sz w:val="22"/>
        </w:rPr>
      </w:pPr>
      <w:r>
        <w:rPr>
          <w:spacing w:val="-3"/>
          <w:sz w:val="22"/>
        </w:rPr>
        <w:t>投标人应具备承担本标段施工的条件：</w:t>
      </w:r>
    </w:p>
    <w:p>
      <w:pPr>
        <w:pStyle w:val="13"/>
        <w:numPr>
          <w:ilvl w:val="0"/>
          <w:numId w:val="14"/>
        </w:numPr>
        <w:tabs>
          <w:tab w:val="left" w:pos="1309"/>
        </w:tabs>
        <w:spacing w:before="59" w:after="0" w:line="240" w:lineRule="auto"/>
        <w:ind w:left="1308" w:right="0" w:hanging="554"/>
        <w:jc w:val="left"/>
        <w:rPr>
          <w:sz w:val="22"/>
        </w:rPr>
      </w:pPr>
      <w:r>
        <w:rPr>
          <w:spacing w:val="-3"/>
          <w:sz w:val="22"/>
        </w:rPr>
        <w:t>资质条件：见投标人须知前附表。</w:t>
      </w:r>
    </w:p>
    <w:p>
      <w:pPr>
        <w:pStyle w:val="13"/>
        <w:numPr>
          <w:ilvl w:val="0"/>
          <w:numId w:val="14"/>
        </w:numPr>
        <w:tabs>
          <w:tab w:val="left" w:pos="1309"/>
        </w:tabs>
        <w:spacing w:before="62" w:after="0" w:line="240" w:lineRule="auto"/>
        <w:ind w:left="1308" w:right="0" w:hanging="554"/>
        <w:jc w:val="left"/>
        <w:rPr>
          <w:sz w:val="22"/>
        </w:rPr>
      </w:pPr>
      <w:r>
        <w:rPr>
          <w:spacing w:val="-3"/>
          <w:sz w:val="22"/>
        </w:rPr>
        <w:t>项目负责人资格：见投标人须知前附表。</w:t>
      </w:r>
    </w:p>
    <w:p>
      <w:pPr>
        <w:pStyle w:val="13"/>
        <w:numPr>
          <w:ilvl w:val="0"/>
          <w:numId w:val="14"/>
        </w:numPr>
        <w:tabs>
          <w:tab w:val="left" w:pos="1309"/>
        </w:tabs>
        <w:spacing w:before="61" w:after="0" w:line="240" w:lineRule="auto"/>
        <w:ind w:left="1308" w:right="0" w:hanging="554"/>
        <w:jc w:val="left"/>
        <w:rPr>
          <w:sz w:val="22"/>
        </w:rPr>
      </w:pPr>
      <w:r>
        <w:rPr>
          <w:spacing w:val="-3"/>
          <w:sz w:val="22"/>
        </w:rPr>
        <w:t>业绩要求：见投标人须知前附表。</w:t>
      </w:r>
    </w:p>
    <w:p>
      <w:pPr>
        <w:pStyle w:val="13"/>
        <w:numPr>
          <w:ilvl w:val="0"/>
          <w:numId w:val="14"/>
        </w:numPr>
        <w:tabs>
          <w:tab w:val="left" w:pos="1309"/>
        </w:tabs>
        <w:spacing w:before="64" w:after="0" w:line="240" w:lineRule="auto"/>
        <w:ind w:left="1308" w:right="0" w:hanging="554"/>
        <w:jc w:val="left"/>
        <w:rPr>
          <w:sz w:val="22"/>
        </w:rPr>
      </w:pPr>
      <w:r>
        <w:rPr>
          <w:spacing w:val="-3"/>
          <w:sz w:val="22"/>
        </w:rPr>
        <w:t>其他要求：见投标人须知前附表。</w:t>
      </w:r>
    </w:p>
    <w:p>
      <w:pPr>
        <w:pStyle w:val="13"/>
        <w:numPr>
          <w:ilvl w:val="2"/>
          <w:numId w:val="11"/>
        </w:numPr>
        <w:tabs>
          <w:tab w:val="left" w:pos="1360"/>
        </w:tabs>
        <w:spacing w:before="61" w:after="0" w:line="240" w:lineRule="auto"/>
        <w:ind w:left="1360" w:right="0" w:hanging="605"/>
        <w:jc w:val="left"/>
        <w:rPr>
          <w:sz w:val="22"/>
        </w:rPr>
      </w:pPr>
      <w:r>
        <w:rPr>
          <w:spacing w:val="-3"/>
          <w:sz w:val="22"/>
        </w:rPr>
        <w:t>本项目不接受联合体投标。</w:t>
      </w:r>
    </w:p>
    <w:p>
      <w:pPr>
        <w:spacing w:after="0" w:line="240" w:lineRule="auto"/>
        <w:jc w:val="left"/>
        <w:rPr>
          <w:sz w:val="22"/>
        </w:rPr>
        <w:sectPr>
          <w:pgSz w:w="11910" w:h="16840"/>
          <w:pgMar w:top="1100" w:right="660" w:bottom="1180" w:left="800" w:header="878" w:footer="852" w:gutter="0"/>
          <w:cols w:space="720" w:num="1"/>
        </w:sectPr>
      </w:pPr>
    </w:p>
    <w:p>
      <w:pPr>
        <w:pStyle w:val="9"/>
        <w:spacing w:before="9"/>
        <w:rPr>
          <w:sz w:val="20"/>
        </w:rPr>
      </w:pPr>
    </w:p>
    <w:p>
      <w:pPr>
        <w:pStyle w:val="13"/>
        <w:numPr>
          <w:ilvl w:val="2"/>
          <w:numId w:val="11"/>
        </w:numPr>
        <w:tabs>
          <w:tab w:val="left" w:pos="1315"/>
        </w:tabs>
        <w:spacing w:before="70" w:after="0" w:line="307" w:lineRule="auto"/>
        <w:ind w:left="332" w:right="611" w:firstLine="403"/>
        <w:jc w:val="left"/>
        <w:rPr>
          <w:sz w:val="21"/>
        </w:rPr>
      </w:pPr>
      <w:r>
        <w:rPr>
          <w:spacing w:val="-8"/>
          <w:w w:val="95"/>
          <w:sz w:val="21"/>
        </w:rPr>
        <w:t xml:space="preserve">采用投标人筛选时，投标人符合投标筛选条件的招标人将发售招标文件，不符合筛选条件的招   </w:t>
      </w:r>
      <w:r>
        <w:rPr>
          <w:spacing w:val="-8"/>
          <w:sz w:val="21"/>
        </w:rPr>
        <w:t>标人则不发售招标文件。</w:t>
      </w:r>
    </w:p>
    <w:p>
      <w:pPr>
        <w:pStyle w:val="13"/>
        <w:numPr>
          <w:ilvl w:val="2"/>
          <w:numId w:val="11"/>
        </w:numPr>
        <w:tabs>
          <w:tab w:val="left" w:pos="1360"/>
        </w:tabs>
        <w:spacing w:before="0" w:after="0" w:line="274" w:lineRule="exact"/>
        <w:ind w:left="1360" w:right="0" w:hanging="605"/>
        <w:jc w:val="left"/>
        <w:rPr>
          <w:sz w:val="22"/>
        </w:rPr>
      </w:pPr>
      <w:r>
        <w:rPr>
          <w:spacing w:val="-3"/>
          <w:sz w:val="22"/>
        </w:rPr>
        <w:t>投标人不得存在下列情形之一：</w:t>
      </w:r>
    </w:p>
    <w:p>
      <w:pPr>
        <w:pStyle w:val="13"/>
        <w:numPr>
          <w:ilvl w:val="0"/>
          <w:numId w:val="15"/>
        </w:numPr>
        <w:tabs>
          <w:tab w:val="left" w:pos="1263"/>
        </w:tabs>
        <w:spacing w:before="67" w:after="0" w:line="240" w:lineRule="auto"/>
        <w:ind w:left="1262" w:right="0" w:hanging="527"/>
        <w:jc w:val="left"/>
        <w:rPr>
          <w:sz w:val="21"/>
        </w:rPr>
      </w:pPr>
      <w:r>
        <w:rPr>
          <w:sz w:val="21"/>
        </w:rPr>
        <w:t>为招标人不具有独立法人资格的附属机构（单位）；</w:t>
      </w:r>
    </w:p>
    <w:p>
      <w:pPr>
        <w:pStyle w:val="13"/>
        <w:numPr>
          <w:ilvl w:val="0"/>
          <w:numId w:val="15"/>
        </w:numPr>
        <w:tabs>
          <w:tab w:val="left" w:pos="1263"/>
        </w:tabs>
        <w:spacing w:before="74" w:after="0" w:line="240" w:lineRule="auto"/>
        <w:ind w:left="1262" w:right="0" w:hanging="527"/>
        <w:jc w:val="left"/>
        <w:rPr>
          <w:sz w:val="21"/>
        </w:rPr>
      </w:pPr>
      <w:r>
        <w:rPr>
          <w:sz w:val="21"/>
        </w:rPr>
        <w:t>为承担建设工程的前期设计、造价咨询、监理业务的单位；</w:t>
      </w:r>
    </w:p>
    <w:p>
      <w:pPr>
        <w:pStyle w:val="13"/>
        <w:numPr>
          <w:ilvl w:val="0"/>
          <w:numId w:val="15"/>
        </w:numPr>
        <w:tabs>
          <w:tab w:val="left" w:pos="1263"/>
        </w:tabs>
        <w:spacing w:before="74" w:after="0" w:line="240" w:lineRule="auto"/>
        <w:ind w:left="1262" w:right="0" w:hanging="527"/>
        <w:jc w:val="left"/>
        <w:rPr>
          <w:sz w:val="21"/>
        </w:rPr>
      </w:pPr>
      <w:r>
        <w:rPr>
          <w:sz w:val="21"/>
        </w:rPr>
        <w:t>为本标段的代建人或招标代理机构的；</w:t>
      </w:r>
    </w:p>
    <w:p>
      <w:pPr>
        <w:pStyle w:val="13"/>
        <w:numPr>
          <w:ilvl w:val="0"/>
          <w:numId w:val="15"/>
        </w:numPr>
        <w:tabs>
          <w:tab w:val="left" w:pos="1263"/>
        </w:tabs>
        <w:spacing w:before="74" w:after="0" w:line="240" w:lineRule="auto"/>
        <w:ind w:left="1262" w:right="0" w:hanging="527"/>
        <w:jc w:val="left"/>
        <w:rPr>
          <w:sz w:val="21"/>
        </w:rPr>
      </w:pPr>
      <w:r>
        <w:rPr>
          <w:sz w:val="21"/>
        </w:rPr>
        <w:t>与本标段的监理人或代建人或招标代理机构为同为一个法定代表人的；</w:t>
      </w:r>
    </w:p>
    <w:p>
      <w:pPr>
        <w:pStyle w:val="13"/>
        <w:numPr>
          <w:ilvl w:val="0"/>
          <w:numId w:val="15"/>
        </w:numPr>
        <w:tabs>
          <w:tab w:val="left" w:pos="1263"/>
        </w:tabs>
        <w:spacing w:before="74" w:after="0" w:line="240" w:lineRule="auto"/>
        <w:ind w:left="1262" w:right="0" w:hanging="527"/>
        <w:jc w:val="left"/>
        <w:rPr>
          <w:sz w:val="21"/>
        </w:rPr>
      </w:pPr>
      <w:r>
        <w:rPr>
          <w:w w:val="95"/>
          <w:sz w:val="21"/>
        </w:rPr>
        <w:t>与本标段的监理人或代建人或招标代理机构相互控股或参股的；</w:t>
      </w:r>
    </w:p>
    <w:p>
      <w:pPr>
        <w:pStyle w:val="13"/>
        <w:numPr>
          <w:ilvl w:val="0"/>
          <w:numId w:val="15"/>
        </w:numPr>
        <w:tabs>
          <w:tab w:val="left" w:pos="1263"/>
        </w:tabs>
        <w:spacing w:before="74" w:after="0" w:line="240" w:lineRule="auto"/>
        <w:ind w:left="1262" w:right="0" w:hanging="527"/>
        <w:jc w:val="left"/>
        <w:rPr>
          <w:sz w:val="21"/>
        </w:rPr>
      </w:pPr>
      <w:r>
        <w:rPr>
          <w:w w:val="95"/>
          <w:sz w:val="21"/>
        </w:rPr>
        <w:t>与本标段的监理人或代建人或招标代理机构相互任职或工作的；</w:t>
      </w:r>
    </w:p>
    <w:p>
      <w:pPr>
        <w:pStyle w:val="13"/>
        <w:numPr>
          <w:ilvl w:val="0"/>
          <w:numId w:val="15"/>
        </w:numPr>
        <w:tabs>
          <w:tab w:val="left" w:pos="1263"/>
        </w:tabs>
        <w:spacing w:before="75" w:after="0" w:line="240" w:lineRule="auto"/>
        <w:ind w:left="1262" w:right="0" w:hanging="527"/>
        <w:jc w:val="left"/>
        <w:rPr>
          <w:sz w:val="21"/>
        </w:rPr>
      </w:pPr>
      <w:r>
        <w:rPr>
          <w:sz w:val="21"/>
        </w:rPr>
        <w:t>单位负责人为同一人或者存在控股、管理关系的不同单位，同时参加本标段投标的；</w:t>
      </w:r>
    </w:p>
    <w:p>
      <w:pPr>
        <w:pStyle w:val="13"/>
        <w:numPr>
          <w:ilvl w:val="0"/>
          <w:numId w:val="15"/>
        </w:numPr>
        <w:tabs>
          <w:tab w:val="left" w:pos="1263"/>
        </w:tabs>
        <w:spacing w:before="74" w:after="0" w:line="240" w:lineRule="auto"/>
        <w:ind w:left="1262" w:right="0" w:hanging="527"/>
        <w:jc w:val="left"/>
        <w:rPr>
          <w:sz w:val="21"/>
        </w:rPr>
      </w:pPr>
      <w:r>
        <w:rPr>
          <w:sz w:val="21"/>
        </w:rPr>
        <w:t>被责令停业的；</w:t>
      </w:r>
    </w:p>
    <w:p>
      <w:pPr>
        <w:pStyle w:val="13"/>
        <w:numPr>
          <w:ilvl w:val="0"/>
          <w:numId w:val="15"/>
        </w:numPr>
        <w:tabs>
          <w:tab w:val="left" w:pos="1263"/>
        </w:tabs>
        <w:spacing w:before="74" w:after="0" w:line="240" w:lineRule="auto"/>
        <w:ind w:left="1262" w:right="0" w:hanging="527"/>
        <w:jc w:val="left"/>
        <w:rPr>
          <w:sz w:val="21"/>
        </w:rPr>
      </w:pPr>
      <w:r>
        <w:rPr>
          <w:sz w:val="21"/>
        </w:rPr>
        <w:t>被暂停或取消投标资格的；</w:t>
      </w:r>
    </w:p>
    <w:p>
      <w:pPr>
        <w:pStyle w:val="13"/>
        <w:numPr>
          <w:ilvl w:val="0"/>
          <w:numId w:val="15"/>
        </w:numPr>
        <w:tabs>
          <w:tab w:val="left" w:pos="1366"/>
        </w:tabs>
        <w:spacing w:before="74" w:after="0" w:line="240" w:lineRule="auto"/>
        <w:ind w:left="1366" w:right="0" w:hanging="630"/>
        <w:jc w:val="left"/>
        <w:rPr>
          <w:sz w:val="21"/>
        </w:rPr>
      </w:pPr>
      <w:r>
        <w:rPr>
          <w:sz w:val="21"/>
        </w:rPr>
        <w:t>财产被接管或冻结的；</w:t>
      </w:r>
    </w:p>
    <w:p>
      <w:pPr>
        <w:pStyle w:val="13"/>
        <w:numPr>
          <w:ilvl w:val="0"/>
          <w:numId w:val="15"/>
        </w:numPr>
        <w:tabs>
          <w:tab w:val="left" w:pos="1366"/>
        </w:tabs>
        <w:spacing w:before="74" w:after="0" w:line="240" w:lineRule="auto"/>
        <w:ind w:left="1366" w:right="0" w:hanging="630"/>
        <w:jc w:val="left"/>
        <w:rPr>
          <w:sz w:val="21"/>
        </w:rPr>
      </w:pPr>
      <w:r>
        <w:rPr>
          <w:sz w:val="21"/>
        </w:rPr>
        <w:t>在最近三年内有骗取中标或重大工程质量问题的；</w:t>
      </w:r>
    </w:p>
    <w:p>
      <w:pPr>
        <w:pStyle w:val="13"/>
        <w:numPr>
          <w:ilvl w:val="0"/>
          <w:numId w:val="15"/>
        </w:numPr>
        <w:tabs>
          <w:tab w:val="left" w:pos="1366"/>
        </w:tabs>
        <w:spacing w:before="74" w:after="0" w:line="240" w:lineRule="auto"/>
        <w:ind w:left="1366" w:right="0" w:hanging="630"/>
        <w:jc w:val="left"/>
        <w:rPr>
          <w:sz w:val="21"/>
        </w:rPr>
      </w:pPr>
      <w:r>
        <w:rPr>
          <w:sz w:val="21"/>
        </w:rPr>
        <w:t>拖欠工人工资，情节严重被市建设行政管理部门向社会公布且在公布的期限内的；</w:t>
      </w:r>
    </w:p>
    <w:p>
      <w:pPr>
        <w:pStyle w:val="13"/>
        <w:numPr>
          <w:ilvl w:val="0"/>
          <w:numId w:val="15"/>
        </w:numPr>
        <w:tabs>
          <w:tab w:val="left" w:pos="1387"/>
        </w:tabs>
        <w:spacing w:before="74" w:after="0" w:line="307" w:lineRule="auto"/>
        <w:ind w:left="332" w:right="614" w:firstLine="420"/>
        <w:jc w:val="left"/>
        <w:rPr>
          <w:sz w:val="21"/>
        </w:rPr>
      </w:pPr>
      <w:r>
        <w:rPr>
          <w:sz w:val="21"/>
        </w:rPr>
        <w:t>投标人违反法律、法规、规章或者无正当理由放弃投标、中标资格，招标人重新招标时，该投标人不得再参加该工程的投标。</w:t>
      </w:r>
    </w:p>
    <w:p>
      <w:pPr>
        <w:pStyle w:val="13"/>
        <w:numPr>
          <w:ilvl w:val="1"/>
          <w:numId w:val="11"/>
        </w:numPr>
        <w:tabs>
          <w:tab w:val="left" w:pos="895"/>
        </w:tabs>
        <w:spacing w:before="70" w:after="0" w:line="240" w:lineRule="auto"/>
        <w:ind w:left="894" w:right="0" w:hanging="563"/>
        <w:jc w:val="left"/>
        <w:rPr>
          <w:sz w:val="32"/>
        </w:rPr>
      </w:pPr>
      <w:r>
        <w:rPr>
          <w:sz w:val="32"/>
        </w:rPr>
        <w:t>费用承担</w:t>
      </w:r>
    </w:p>
    <w:p>
      <w:pPr>
        <w:pStyle w:val="9"/>
        <w:spacing w:before="137"/>
        <w:ind w:left="755"/>
      </w:pPr>
      <w:r>
        <w:t>投标人准备和参加投标活动发生的费用自理。</w:t>
      </w:r>
    </w:p>
    <w:p>
      <w:pPr>
        <w:pStyle w:val="13"/>
        <w:numPr>
          <w:ilvl w:val="1"/>
          <w:numId w:val="11"/>
        </w:numPr>
        <w:tabs>
          <w:tab w:val="left" w:pos="895"/>
        </w:tabs>
        <w:spacing w:before="136" w:after="0" w:line="240" w:lineRule="auto"/>
        <w:ind w:left="894" w:right="0" w:hanging="563"/>
        <w:jc w:val="left"/>
        <w:rPr>
          <w:sz w:val="32"/>
        </w:rPr>
      </w:pPr>
      <w:r>
        <w:rPr>
          <w:sz w:val="32"/>
        </w:rPr>
        <w:t>知识产权和保密</w:t>
      </w:r>
    </w:p>
    <w:p>
      <w:pPr>
        <w:pStyle w:val="13"/>
        <w:numPr>
          <w:ilvl w:val="2"/>
          <w:numId w:val="11"/>
        </w:numPr>
        <w:tabs>
          <w:tab w:val="left" w:pos="1360"/>
        </w:tabs>
        <w:spacing w:before="259" w:after="0" w:line="292" w:lineRule="auto"/>
        <w:ind w:left="332" w:right="611" w:firstLine="422"/>
        <w:jc w:val="both"/>
        <w:rPr>
          <w:sz w:val="22"/>
        </w:rPr>
      </w:pPr>
      <w:r>
        <w:rPr>
          <w:spacing w:val="-9"/>
          <w:sz w:val="22"/>
        </w:rPr>
        <w:t>构成本招标文件各个组成部分的文件，未经招标人书面同意，投标人不得擅自复印和用于</w:t>
      </w:r>
      <w:r>
        <w:rPr>
          <w:spacing w:val="-1"/>
          <w:sz w:val="22"/>
        </w:rPr>
        <w:t>非本招标项目所需的其他目的。招标人全部或者部分使用未中标人投标文件中的技术成果或技术方</w:t>
      </w:r>
      <w:r>
        <w:rPr>
          <w:spacing w:val="-3"/>
          <w:sz w:val="22"/>
        </w:rPr>
        <w:t>案时，需征得其书面同意，并不得擅自复印或提供给第三人。</w:t>
      </w:r>
    </w:p>
    <w:p>
      <w:pPr>
        <w:pStyle w:val="13"/>
        <w:numPr>
          <w:ilvl w:val="2"/>
          <w:numId w:val="11"/>
        </w:numPr>
        <w:tabs>
          <w:tab w:val="left" w:pos="1360"/>
        </w:tabs>
        <w:spacing w:before="0" w:after="0" w:line="292" w:lineRule="auto"/>
        <w:ind w:left="332" w:right="611" w:firstLine="422"/>
        <w:jc w:val="both"/>
        <w:rPr>
          <w:sz w:val="22"/>
        </w:rPr>
      </w:pPr>
      <w:r>
        <w:rPr>
          <w:spacing w:val="-7"/>
          <w:sz w:val="22"/>
        </w:rPr>
        <w:t>参与招标投标活动的各方应对招标文件和投标文件中的商业和技术等秘密保密，违者应对</w:t>
      </w:r>
      <w:r>
        <w:rPr>
          <w:spacing w:val="-3"/>
          <w:sz w:val="22"/>
        </w:rPr>
        <w:t>由此造成的后果承担法律责任。</w:t>
      </w:r>
    </w:p>
    <w:p>
      <w:pPr>
        <w:pStyle w:val="13"/>
        <w:numPr>
          <w:ilvl w:val="1"/>
          <w:numId w:val="11"/>
        </w:numPr>
        <w:tabs>
          <w:tab w:val="left" w:pos="895"/>
        </w:tabs>
        <w:spacing w:before="72" w:after="0" w:line="240" w:lineRule="auto"/>
        <w:ind w:left="894" w:right="0" w:hanging="563"/>
        <w:jc w:val="left"/>
        <w:rPr>
          <w:sz w:val="32"/>
        </w:rPr>
      </w:pPr>
      <w:r>
        <w:rPr>
          <w:sz w:val="32"/>
        </w:rPr>
        <w:t>语言文字</w:t>
      </w:r>
    </w:p>
    <w:p>
      <w:pPr>
        <w:pStyle w:val="9"/>
        <w:spacing w:before="139"/>
        <w:ind w:left="755"/>
      </w:pPr>
      <w:r>
        <w:t>除专用术语外，与招标投标有关的语言均使用中文。必要时专用术语应附有中文注释。</w:t>
      </w:r>
    </w:p>
    <w:p>
      <w:pPr>
        <w:pStyle w:val="13"/>
        <w:numPr>
          <w:ilvl w:val="1"/>
          <w:numId w:val="11"/>
        </w:numPr>
        <w:tabs>
          <w:tab w:val="left" w:pos="895"/>
        </w:tabs>
        <w:spacing w:before="136" w:after="0" w:line="240" w:lineRule="auto"/>
        <w:ind w:left="894" w:right="0" w:hanging="563"/>
        <w:jc w:val="left"/>
        <w:rPr>
          <w:sz w:val="32"/>
        </w:rPr>
      </w:pPr>
      <w:r>
        <w:rPr>
          <w:sz w:val="32"/>
        </w:rPr>
        <w:t>计量单位</w:t>
      </w:r>
    </w:p>
    <w:p>
      <w:pPr>
        <w:pStyle w:val="9"/>
        <w:spacing w:before="139"/>
        <w:ind w:left="755"/>
      </w:pPr>
      <w:r>
        <w:t>所有计量均采用中华人民共和国法定计量单位。</w:t>
      </w:r>
    </w:p>
    <w:p>
      <w:pPr>
        <w:pStyle w:val="13"/>
        <w:numPr>
          <w:ilvl w:val="1"/>
          <w:numId w:val="11"/>
        </w:numPr>
        <w:tabs>
          <w:tab w:val="left" w:pos="895"/>
        </w:tabs>
        <w:spacing w:before="139" w:after="0" w:line="240" w:lineRule="auto"/>
        <w:ind w:left="894" w:right="0" w:hanging="563"/>
        <w:jc w:val="left"/>
        <w:rPr>
          <w:sz w:val="32"/>
        </w:rPr>
      </w:pPr>
      <w:r>
        <w:rPr>
          <w:sz w:val="32"/>
        </w:rPr>
        <w:t>踏勘现场</w:t>
      </w:r>
    </w:p>
    <w:p>
      <w:pPr>
        <w:pStyle w:val="13"/>
        <w:numPr>
          <w:ilvl w:val="2"/>
          <w:numId w:val="11"/>
        </w:numPr>
        <w:tabs>
          <w:tab w:val="left" w:pos="1360"/>
        </w:tabs>
        <w:spacing w:before="136" w:after="0" w:line="292" w:lineRule="auto"/>
        <w:ind w:left="332" w:right="501" w:firstLine="422"/>
        <w:jc w:val="left"/>
        <w:rPr>
          <w:sz w:val="22"/>
        </w:rPr>
      </w:pPr>
      <w:r>
        <w:rPr>
          <w:spacing w:val="-3"/>
          <w:sz w:val="22"/>
        </w:rPr>
        <w:t>投标人须知前附表规定组织踏勘现场的，投标人应按投标人须知前附表规定的踏勘时间、踏勘集中地点参加招标人组织的项目现场踏勘。</w:t>
      </w:r>
    </w:p>
    <w:p>
      <w:pPr>
        <w:pStyle w:val="13"/>
        <w:numPr>
          <w:ilvl w:val="2"/>
          <w:numId w:val="11"/>
        </w:numPr>
        <w:tabs>
          <w:tab w:val="left" w:pos="1360"/>
        </w:tabs>
        <w:spacing w:before="0" w:after="0" w:line="280" w:lineRule="exact"/>
        <w:ind w:left="1360" w:right="0" w:hanging="605"/>
        <w:jc w:val="left"/>
        <w:rPr>
          <w:sz w:val="22"/>
        </w:rPr>
      </w:pPr>
      <w:r>
        <w:rPr>
          <w:spacing w:val="-3"/>
          <w:sz w:val="22"/>
        </w:rPr>
        <w:t>投标人踏勘现场发生的费用自理。</w:t>
      </w:r>
    </w:p>
    <w:p>
      <w:pPr>
        <w:pStyle w:val="13"/>
        <w:numPr>
          <w:ilvl w:val="2"/>
          <w:numId w:val="11"/>
        </w:numPr>
        <w:tabs>
          <w:tab w:val="left" w:pos="1360"/>
        </w:tabs>
        <w:spacing w:before="62" w:after="0" w:line="240" w:lineRule="auto"/>
        <w:ind w:left="1360" w:right="0" w:hanging="605"/>
        <w:jc w:val="left"/>
        <w:rPr>
          <w:sz w:val="22"/>
        </w:rPr>
      </w:pPr>
      <w:r>
        <w:rPr>
          <w:spacing w:val="-3"/>
          <w:sz w:val="22"/>
        </w:rPr>
        <w:t>除招标人的原因外，投标人自行负责在踏勘现场中所发生的人员伤亡和财产损失。</w:t>
      </w:r>
    </w:p>
    <w:p>
      <w:pPr>
        <w:pStyle w:val="13"/>
        <w:numPr>
          <w:ilvl w:val="2"/>
          <w:numId w:val="11"/>
        </w:numPr>
        <w:tabs>
          <w:tab w:val="left" w:pos="1360"/>
        </w:tabs>
        <w:spacing w:before="61" w:after="0" w:line="292" w:lineRule="auto"/>
        <w:ind w:left="332" w:right="611" w:firstLine="422"/>
        <w:jc w:val="left"/>
        <w:rPr>
          <w:sz w:val="22"/>
        </w:rPr>
      </w:pPr>
      <w:r>
        <w:rPr>
          <w:spacing w:val="-7"/>
          <w:sz w:val="22"/>
        </w:rPr>
        <w:t>招标人在踏勘现场中介绍的工程场地和相关的周边环境情况，仅供投标人在编制投标文件</w:t>
      </w:r>
      <w:r>
        <w:rPr>
          <w:spacing w:val="-3"/>
          <w:sz w:val="22"/>
        </w:rPr>
        <w:t>时参考，招标人不对投标人据此作出的判断和决策负责。</w:t>
      </w:r>
    </w:p>
    <w:p>
      <w:pPr>
        <w:spacing w:after="0" w:line="292" w:lineRule="auto"/>
        <w:jc w:val="left"/>
        <w:rPr>
          <w:sz w:val="22"/>
        </w:rPr>
        <w:sectPr>
          <w:footerReference r:id="rId7" w:type="default"/>
          <w:pgSz w:w="11910" w:h="16840"/>
          <w:pgMar w:top="1100" w:right="660" w:bottom="1180" w:left="800" w:header="878" w:footer="993" w:gutter="0"/>
          <w:pgNumType w:start="10"/>
          <w:cols w:space="720" w:num="1"/>
        </w:sectPr>
      </w:pPr>
    </w:p>
    <w:p>
      <w:pPr>
        <w:pStyle w:val="9"/>
        <w:spacing w:before="4"/>
        <w:rPr>
          <w:sz w:val="20"/>
        </w:rPr>
      </w:pPr>
    </w:p>
    <w:p>
      <w:pPr>
        <w:pStyle w:val="13"/>
        <w:numPr>
          <w:ilvl w:val="2"/>
          <w:numId w:val="11"/>
        </w:numPr>
        <w:tabs>
          <w:tab w:val="left" w:pos="1360"/>
        </w:tabs>
        <w:spacing w:before="70" w:after="0" w:line="240" w:lineRule="auto"/>
        <w:ind w:left="1360" w:right="0" w:hanging="605"/>
        <w:jc w:val="left"/>
        <w:rPr>
          <w:sz w:val="22"/>
        </w:rPr>
      </w:pPr>
      <w:r>
        <w:rPr>
          <w:spacing w:val="-3"/>
          <w:sz w:val="22"/>
        </w:rPr>
        <w:t>本项目拆除费用及垃圾清运费用包干使用，结算时不做调整，故投标人须认真踏勘现场。</w:t>
      </w:r>
    </w:p>
    <w:p>
      <w:pPr>
        <w:pStyle w:val="13"/>
        <w:numPr>
          <w:ilvl w:val="1"/>
          <w:numId w:val="11"/>
        </w:numPr>
        <w:tabs>
          <w:tab w:val="left" w:pos="1053"/>
        </w:tabs>
        <w:spacing w:before="139" w:after="0" w:line="240" w:lineRule="auto"/>
        <w:ind w:left="1052" w:right="0" w:hanging="721"/>
        <w:jc w:val="left"/>
        <w:rPr>
          <w:sz w:val="32"/>
        </w:rPr>
      </w:pPr>
      <w:r>
        <w:rPr>
          <w:sz w:val="32"/>
        </w:rPr>
        <w:t>投标预备会</w:t>
      </w:r>
    </w:p>
    <w:p>
      <w:pPr>
        <w:pStyle w:val="13"/>
        <w:numPr>
          <w:ilvl w:val="2"/>
          <w:numId w:val="11"/>
        </w:numPr>
        <w:tabs>
          <w:tab w:val="left" w:pos="1471"/>
        </w:tabs>
        <w:spacing w:before="136" w:after="0" w:line="292" w:lineRule="auto"/>
        <w:ind w:left="332" w:right="611" w:firstLine="422"/>
        <w:jc w:val="left"/>
        <w:rPr>
          <w:sz w:val="22"/>
        </w:rPr>
      </w:pPr>
      <w:r>
        <w:rPr>
          <w:spacing w:val="-3"/>
          <w:sz w:val="22"/>
        </w:rPr>
        <w:t>投标人须知前附表规定召开投标预备会的，投标人应按投标人须知前附表规定的召开时间和召开地点参加投标预备会。</w:t>
      </w:r>
    </w:p>
    <w:p>
      <w:pPr>
        <w:pStyle w:val="13"/>
        <w:numPr>
          <w:ilvl w:val="2"/>
          <w:numId w:val="11"/>
        </w:numPr>
        <w:tabs>
          <w:tab w:val="left" w:pos="1471"/>
        </w:tabs>
        <w:spacing w:before="0" w:after="0" w:line="292" w:lineRule="auto"/>
        <w:ind w:left="332" w:right="501" w:firstLine="422"/>
        <w:jc w:val="left"/>
        <w:rPr>
          <w:sz w:val="22"/>
        </w:rPr>
      </w:pPr>
      <w:r>
        <w:rPr>
          <w:spacing w:val="-3"/>
          <w:sz w:val="22"/>
        </w:rPr>
        <w:t>投标人应仔细阅读和检查招标文件的全部内容。如发现缺页或附件不全，应及时向招标</w:t>
      </w:r>
      <w:r>
        <w:rPr>
          <w:spacing w:val="-11"/>
          <w:sz w:val="22"/>
        </w:rPr>
        <w:t>人提出，以便补齐。如有疑问，投标人应在投标人须知前附表规定的投标人提出问题的截止时间前， 以书面形式（包括信函、传真等）将提出的问题送达招标人或招标代理机构，以便招标人在会议期</w:t>
      </w:r>
      <w:r>
        <w:rPr>
          <w:spacing w:val="-5"/>
          <w:sz w:val="22"/>
        </w:rPr>
        <w:t>间澄清、解答。</w:t>
      </w:r>
    </w:p>
    <w:p>
      <w:pPr>
        <w:pStyle w:val="13"/>
        <w:numPr>
          <w:ilvl w:val="2"/>
          <w:numId w:val="11"/>
        </w:numPr>
        <w:tabs>
          <w:tab w:val="left" w:pos="1471"/>
        </w:tabs>
        <w:spacing w:before="0" w:after="0" w:line="292" w:lineRule="auto"/>
        <w:ind w:left="332" w:right="609" w:firstLine="422"/>
        <w:jc w:val="both"/>
        <w:rPr>
          <w:sz w:val="22"/>
        </w:rPr>
      </w:pPr>
      <w:r>
        <w:rPr>
          <w:spacing w:val="-3"/>
          <w:sz w:val="22"/>
        </w:rPr>
        <w:t>投标预备会后，招标文件的澄清将被作为补充招标文件在投标人须知前附表规定的补充</w:t>
      </w:r>
      <w:r>
        <w:rPr>
          <w:spacing w:val="-1"/>
          <w:sz w:val="22"/>
        </w:rPr>
        <w:t>招标文件发出的时间，以书面形式发给所有购买招标文件的投标人，但不指明澄清问题的来源。如</w:t>
      </w:r>
      <w:r>
        <w:rPr>
          <w:spacing w:val="-5"/>
          <w:sz w:val="22"/>
        </w:rPr>
        <w:t xml:space="preserve">果补充招标文件发出的时间距投标人须知前附表规定的投标截止时间不足 </w:t>
      </w:r>
      <w:r>
        <w:rPr>
          <w:sz w:val="22"/>
        </w:rPr>
        <w:t>15</w:t>
      </w:r>
      <w:r>
        <w:rPr>
          <w:spacing w:val="-14"/>
          <w:sz w:val="22"/>
        </w:rPr>
        <w:t xml:space="preserve"> 天，则相应延长投标截</w:t>
      </w:r>
      <w:r>
        <w:rPr>
          <w:spacing w:val="-5"/>
          <w:sz w:val="22"/>
        </w:rPr>
        <w:t>止时间。</w:t>
      </w:r>
    </w:p>
    <w:p>
      <w:pPr>
        <w:pStyle w:val="8"/>
        <w:numPr>
          <w:ilvl w:val="2"/>
          <w:numId w:val="11"/>
        </w:numPr>
        <w:tabs>
          <w:tab w:val="left" w:pos="1480"/>
        </w:tabs>
        <w:spacing w:before="0" w:after="0" w:line="292" w:lineRule="auto"/>
        <w:ind w:left="332" w:right="575" w:firstLine="422"/>
        <w:jc w:val="both"/>
      </w:pPr>
      <w:r>
        <w:t>投标人应认真踏勘现场并对招标文件及相关图纸和文件认真研读,如其中有错误、前后矛盾及不尽之处及时提出，如中标后提出，招标人将可能以最不利于投标人的解释签入合同，中标人均不得以任何理由拒绝。</w:t>
      </w:r>
    </w:p>
    <w:p>
      <w:pPr>
        <w:pStyle w:val="13"/>
        <w:numPr>
          <w:ilvl w:val="1"/>
          <w:numId w:val="16"/>
        </w:numPr>
        <w:tabs>
          <w:tab w:val="left" w:pos="1135"/>
        </w:tabs>
        <w:spacing w:before="67" w:after="0" w:line="240" w:lineRule="auto"/>
        <w:ind w:left="1134" w:right="0" w:hanging="803"/>
        <w:jc w:val="left"/>
        <w:rPr>
          <w:sz w:val="32"/>
        </w:rPr>
      </w:pPr>
      <w:r>
        <w:rPr>
          <w:sz w:val="32"/>
        </w:rPr>
        <w:t>分包</w:t>
      </w:r>
    </w:p>
    <w:p>
      <w:pPr>
        <w:pStyle w:val="13"/>
        <w:numPr>
          <w:ilvl w:val="2"/>
          <w:numId w:val="16"/>
        </w:numPr>
        <w:tabs>
          <w:tab w:val="left" w:pos="1471"/>
        </w:tabs>
        <w:spacing w:before="138" w:after="0" w:line="240" w:lineRule="auto"/>
        <w:ind w:left="1470" w:right="0" w:hanging="716"/>
        <w:jc w:val="left"/>
        <w:rPr>
          <w:sz w:val="22"/>
        </w:rPr>
      </w:pPr>
      <w:r>
        <w:rPr>
          <w:spacing w:val="-3"/>
          <w:sz w:val="22"/>
        </w:rPr>
        <w:t>本项目不得分包。</w:t>
      </w:r>
    </w:p>
    <w:p>
      <w:pPr>
        <w:pStyle w:val="13"/>
        <w:numPr>
          <w:ilvl w:val="1"/>
          <w:numId w:val="17"/>
        </w:numPr>
        <w:tabs>
          <w:tab w:val="left" w:pos="1135"/>
        </w:tabs>
        <w:spacing w:before="139" w:after="0" w:line="240" w:lineRule="auto"/>
        <w:ind w:left="1134" w:right="0" w:hanging="803"/>
        <w:jc w:val="left"/>
        <w:rPr>
          <w:sz w:val="32"/>
        </w:rPr>
      </w:pPr>
      <w:r>
        <w:rPr>
          <w:sz w:val="32"/>
        </w:rPr>
        <w:t>偏离</w:t>
      </w:r>
    </w:p>
    <w:p>
      <w:pPr>
        <w:pStyle w:val="9"/>
        <w:spacing w:before="137" w:line="292" w:lineRule="auto"/>
        <w:ind w:left="332" w:right="612" w:firstLine="422"/>
      </w:pPr>
      <w:r>
        <w:t>投标文件的所有内容均应满足招标文件中规定的实质性要求和条件；投标人在响应招标文件实质性要求和条件的基础上，可以在投标函附录中作出其他更有利于招标人的承诺。</w:t>
      </w:r>
    </w:p>
    <w:p>
      <w:pPr>
        <w:pStyle w:val="13"/>
        <w:numPr>
          <w:ilvl w:val="1"/>
          <w:numId w:val="17"/>
        </w:numPr>
        <w:tabs>
          <w:tab w:val="left" w:pos="1135"/>
        </w:tabs>
        <w:spacing w:before="196" w:after="0" w:line="240" w:lineRule="auto"/>
        <w:ind w:left="1134" w:right="0" w:hanging="803"/>
        <w:jc w:val="left"/>
        <w:rPr>
          <w:sz w:val="32"/>
        </w:rPr>
      </w:pPr>
      <w:r>
        <w:rPr>
          <w:sz w:val="32"/>
        </w:rPr>
        <w:t>同义词语</w:t>
      </w:r>
    </w:p>
    <w:p>
      <w:pPr>
        <w:pStyle w:val="9"/>
        <w:spacing w:before="136" w:line="292" w:lineRule="auto"/>
        <w:ind w:left="332" w:right="608" w:firstLine="422"/>
        <w:jc w:val="both"/>
      </w:pPr>
      <w:r>
        <w:t>构成招标文件组成部分的“合同条款及格式”、“工程量清单”和“技术标准和要求”等章节</w:t>
      </w:r>
      <w:r>
        <w:rPr>
          <w:spacing w:val="-16"/>
        </w:rPr>
        <w:t>中出现的措辞“发包人”和“承包人”、“中标人”，在招标投标阶段应当分别按“招标人”和“投</w:t>
      </w:r>
      <w:r>
        <w:rPr>
          <w:spacing w:val="-6"/>
        </w:rPr>
        <w:t>标人”进行理解。</w:t>
      </w:r>
    </w:p>
    <w:p>
      <w:pPr>
        <w:pStyle w:val="9"/>
        <w:spacing w:before="2"/>
        <w:rPr>
          <w:sz w:val="26"/>
        </w:rPr>
      </w:pPr>
    </w:p>
    <w:p>
      <w:pPr>
        <w:pStyle w:val="3"/>
        <w:numPr>
          <w:ilvl w:val="0"/>
          <w:numId w:val="11"/>
        </w:numPr>
        <w:tabs>
          <w:tab w:val="left" w:pos="814"/>
        </w:tabs>
        <w:spacing w:before="0" w:after="0" w:line="240" w:lineRule="auto"/>
        <w:ind w:left="813" w:right="0" w:hanging="482"/>
        <w:jc w:val="left"/>
        <w:rPr>
          <w:sz w:val="30"/>
        </w:rPr>
      </w:pPr>
      <w:bookmarkStart w:id="20" w:name="2．招标文件"/>
      <w:bookmarkEnd w:id="20"/>
      <w:bookmarkStart w:id="21" w:name="_bookmark4"/>
      <w:bookmarkEnd w:id="21"/>
      <w:r>
        <w:t>招标文件</w:t>
      </w:r>
    </w:p>
    <w:p>
      <w:pPr>
        <w:pStyle w:val="9"/>
        <w:spacing w:before="12"/>
        <w:rPr>
          <w:sz w:val="36"/>
        </w:rPr>
      </w:pPr>
    </w:p>
    <w:p>
      <w:pPr>
        <w:pStyle w:val="13"/>
        <w:numPr>
          <w:ilvl w:val="1"/>
          <w:numId w:val="11"/>
        </w:numPr>
        <w:tabs>
          <w:tab w:val="left" w:pos="895"/>
        </w:tabs>
        <w:spacing w:before="0" w:after="0" w:line="240" w:lineRule="auto"/>
        <w:ind w:left="894" w:right="0" w:hanging="563"/>
        <w:jc w:val="left"/>
        <w:rPr>
          <w:sz w:val="32"/>
        </w:rPr>
      </w:pPr>
      <w:r>
        <w:rPr>
          <w:sz w:val="32"/>
        </w:rPr>
        <w:t>招标文件的组成</w:t>
      </w:r>
    </w:p>
    <w:p>
      <w:pPr>
        <w:pStyle w:val="13"/>
        <w:numPr>
          <w:ilvl w:val="2"/>
          <w:numId w:val="11"/>
        </w:numPr>
        <w:tabs>
          <w:tab w:val="left" w:pos="1221"/>
        </w:tabs>
        <w:spacing w:before="139" w:after="0" w:line="240" w:lineRule="auto"/>
        <w:ind w:left="1220" w:right="0" w:hanging="606"/>
        <w:jc w:val="left"/>
        <w:rPr>
          <w:sz w:val="22"/>
        </w:rPr>
      </w:pPr>
      <w:r>
        <w:rPr>
          <w:spacing w:val="-3"/>
          <w:sz w:val="22"/>
        </w:rPr>
        <w:t>招标文件包括：</w:t>
      </w:r>
    </w:p>
    <w:p>
      <w:pPr>
        <w:pStyle w:val="13"/>
        <w:numPr>
          <w:ilvl w:val="0"/>
          <w:numId w:val="18"/>
        </w:numPr>
        <w:tabs>
          <w:tab w:val="left" w:pos="1167"/>
        </w:tabs>
        <w:spacing w:before="61" w:after="0" w:line="240" w:lineRule="auto"/>
        <w:ind w:left="1166" w:right="0" w:hanging="552"/>
        <w:jc w:val="left"/>
        <w:rPr>
          <w:sz w:val="22"/>
        </w:rPr>
      </w:pPr>
      <w:r>
        <w:rPr>
          <w:spacing w:val="-3"/>
          <w:sz w:val="22"/>
        </w:rPr>
        <w:t>招标公告；</w:t>
      </w:r>
    </w:p>
    <w:p>
      <w:pPr>
        <w:pStyle w:val="13"/>
        <w:numPr>
          <w:ilvl w:val="0"/>
          <w:numId w:val="18"/>
        </w:numPr>
        <w:tabs>
          <w:tab w:val="left" w:pos="1167"/>
        </w:tabs>
        <w:spacing w:before="59" w:after="0" w:line="240" w:lineRule="auto"/>
        <w:ind w:left="1166" w:right="0" w:hanging="552"/>
        <w:jc w:val="left"/>
        <w:rPr>
          <w:sz w:val="22"/>
        </w:rPr>
      </w:pPr>
      <w:r>
        <w:rPr>
          <w:spacing w:val="-3"/>
          <w:sz w:val="22"/>
        </w:rPr>
        <w:t>投标人须知；</w:t>
      </w:r>
    </w:p>
    <w:p>
      <w:pPr>
        <w:pStyle w:val="13"/>
        <w:numPr>
          <w:ilvl w:val="0"/>
          <w:numId w:val="18"/>
        </w:numPr>
        <w:tabs>
          <w:tab w:val="left" w:pos="1167"/>
        </w:tabs>
        <w:spacing w:before="61" w:after="0" w:line="240" w:lineRule="auto"/>
        <w:ind w:left="1166" w:right="0" w:hanging="552"/>
        <w:jc w:val="left"/>
        <w:rPr>
          <w:sz w:val="22"/>
        </w:rPr>
      </w:pPr>
      <w:r>
        <w:rPr>
          <w:spacing w:val="-3"/>
          <w:sz w:val="22"/>
        </w:rPr>
        <w:t>评标办法；</w:t>
      </w:r>
    </w:p>
    <w:p>
      <w:pPr>
        <w:pStyle w:val="13"/>
        <w:numPr>
          <w:ilvl w:val="0"/>
          <w:numId w:val="18"/>
        </w:numPr>
        <w:tabs>
          <w:tab w:val="left" w:pos="1167"/>
        </w:tabs>
        <w:spacing w:before="62" w:after="0" w:line="240" w:lineRule="auto"/>
        <w:ind w:left="1166" w:right="0" w:hanging="552"/>
        <w:jc w:val="left"/>
        <w:rPr>
          <w:sz w:val="22"/>
        </w:rPr>
      </w:pPr>
      <w:r>
        <w:rPr>
          <w:spacing w:val="-3"/>
          <w:sz w:val="22"/>
        </w:rPr>
        <w:t>合同条款及格式；</w:t>
      </w:r>
    </w:p>
    <w:p>
      <w:pPr>
        <w:pStyle w:val="13"/>
        <w:numPr>
          <w:ilvl w:val="0"/>
          <w:numId w:val="18"/>
        </w:numPr>
        <w:tabs>
          <w:tab w:val="left" w:pos="1167"/>
        </w:tabs>
        <w:spacing w:before="63" w:after="0" w:line="240" w:lineRule="auto"/>
        <w:ind w:left="1166" w:right="0" w:hanging="552"/>
        <w:jc w:val="left"/>
        <w:rPr>
          <w:sz w:val="22"/>
        </w:rPr>
      </w:pPr>
      <w:r>
        <w:rPr>
          <w:spacing w:val="-3"/>
          <w:sz w:val="22"/>
        </w:rPr>
        <w:t>工程量清单；</w:t>
      </w:r>
    </w:p>
    <w:p>
      <w:pPr>
        <w:pStyle w:val="13"/>
        <w:numPr>
          <w:ilvl w:val="0"/>
          <w:numId w:val="18"/>
        </w:numPr>
        <w:tabs>
          <w:tab w:val="left" w:pos="1167"/>
        </w:tabs>
        <w:spacing w:before="62" w:after="0" w:line="240" w:lineRule="auto"/>
        <w:ind w:left="1166" w:right="0" w:hanging="552"/>
        <w:jc w:val="left"/>
        <w:rPr>
          <w:sz w:val="22"/>
        </w:rPr>
      </w:pPr>
      <w:r>
        <w:rPr>
          <w:spacing w:val="-2"/>
          <w:sz w:val="22"/>
        </w:rPr>
        <w:t>图纸；</w:t>
      </w:r>
    </w:p>
    <w:p>
      <w:pPr>
        <w:pStyle w:val="13"/>
        <w:numPr>
          <w:ilvl w:val="0"/>
          <w:numId w:val="18"/>
        </w:numPr>
        <w:tabs>
          <w:tab w:val="left" w:pos="1167"/>
        </w:tabs>
        <w:spacing w:before="59" w:after="0" w:line="240" w:lineRule="auto"/>
        <w:ind w:left="1166" w:right="0" w:hanging="552"/>
        <w:jc w:val="left"/>
        <w:rPr>
          <w:sz w:val="22"/>
        </w:rPr>
      </w:pPr>
      <w:r>
        <w:rPr>
          <w:spacing w:val="-3"/>
          <w:sz w:val="22"/>
        </w:rPr>
        <w:t>技术标准和要求；</w:t>
      </w:r>
    </w:p>
    <w:p>
      <w:pPr>
        <w:spacing w:after="0" w:line="240" w:lineRule="auto"/>
        <w:jc w:val="left"/>
        <w:rPr>
          <w:sz w:val="22"/>
        </w:rPr>
        <w:sectPr>
          <w:pgSz w:w="11910" w:h="16840"/>
          <w:pgMar w:top="1100" w:right="660" w:bottom="1180" w:left="800" w:header="878" w:footer="993" w:gutter="0"/>
          <w:cols w:space="720" w:num="1"/>
        </w:sectPr>
      </w:pPr>
    </w:p>
    <w:p>
      <w:pPr>
        <w:pStyle w:val="9"/>
        <w:spacing w:before="4"/>
        <w:rPr>
          <w:sz w:val="20"/>
        </w:rPr>
      </w:pPr>
    </w:p>
    <w:p>
      <w:pPr>
        <w:pStyle w:val="13"/>
        <w:numPr>
          <w:ilvl w:val="0"/>
          <w:numId w:val="18"/>
        </w:numPr>
        <w:tabs>
          <w:tab w:val="left" w:pos="1167"/>
        </w:tabs>
        <w:spacing w:before="70" w:after="0" w:line="240" w:lineRule="auto"/>
        <w:ind w:left="1166" w:right="0" w:hanging="552"/>
        <w:jc w:val="left"/>
        <w:rPr>
          <w:sz w:val="22"/>
        </w:rPr>
      </w:pPr>
      <w:r>
        <w:rPr>
          <w:spacing w:val="-3"/>
          <w:sz w:val="22"/>
        </w:rPr>
        <w:t>投标文件格式；</w:t>
      </w:r>
    </w:p>
    <w:p>
      <w:pPr>
        <w:pStyle w:val="13"/>
        <w:numPr>
          <w:ilvl w:val="0"/>
          <w:numId w:val="18"/>
        </w:numPr>
        <w:tabs>
          <w:tab w:val="left" w:pos="1167"/>
        </w:tabs>
        <w:spacing w:before="61" w:after="0" w:line="240" w:lineRule="auto"/>
        <w:ind w:left="1166" w:right="0" w:hanging="552"/>
        <w:jc w:val="left"/>
        <w:rPr>
          <w:sz w:val="22"/>
        </w:rPr>
      </w:pPr>
      <w:r>
        <w:rPr>
          <w:spacing w:val="-3"/>
          <w:sz w:val="22"/>
        </w:rPr>
        <w:t>投标人须知前附表规定的构成招标文件的其他材料。</w:t>
      </w:r>
    </w:p>
    <w:p>
      <w:pPr>
        <w:pStyle w:val="13"/>
        <w:numPr>
          <w:ilvl w:val="2"/>
          <w:numId w:val="11"/>
        </w:numPr>
        <w:tabs>
          <w:tab w:val="left" w:pos="1329"/>
        </w:tabs>
        <w:spacing w:before="62" w:after="0" w:line="240" w:lineRule="auto"/>
        <w:ind w:left="1328" w:right="0" w:hanging="605"/>
        <w:jc w:val="left"/>
        <w:rPr>
          <w:sz w:val="22"/>
        </w:rPr>
      </w:pPr>
      <w:r>
        <w:rPr>
          <w:spacing w:val="-12"/>
          <w:sz w:val="22"/>
        </w:rPr>
        <w:t xml:space="preserve">根据本章第 </w:t>
      </w:r>
      <w:r>
        <w:rPr>
          <w:sz w:val="22"/>
        </w:rPr>
        <w:t>1.10</w:t>
      </w:r>
      <w:r>
        <w:rPr>
          <w:spacing w:val="-24"/>
          <w:sz w:val="22"/>
        </w:rPr>
        <w:t xml:space="preserve"> 款和第 </w:t>
      </w:r>
      <w:r>
        <w:rPr>
          <w:sz w:val="22"/>
        </w:rPr>
        <w:t>2.3</w:t>
      </w:r>
      <w:r>
        <w:rPr>
          <w:spacing w:val="-9"/>
          <w:sz w:val="22"/>
        </w:rPr>
        <w:t xml:space="preserve"> 款发出的所有补充招标文件，均构成招标文件的组成部分。</w:t>
      </w:r>
    </w:p>
    <w:p>
      <w:pPr>
        <w:pStyle w:val="13"/>
        <w:numPr>
          <w:ilvl w:val="1"/>
          <w:numId w:val="11"/>
        </w:numPr>
        <w:tabs>
          <w:tab w:val="left" w:pos="895"/>
        </w:tabs>
        <w:spacing w:before="136" w:after="0" w:line="240" w:lineRule="auto"/>
        <w:ind w:left="894" w:right="0" w:hanging="563"/>
        <w:jc w:val="left"/>
        <w:rPr>
          <w:sz w:val="32"/>
        </w:rPr>
      </w:pPr>
      <w:r>
        <w:rPr>
          <w:sz w:val="32"/>
        </w:rPr>
        <w:t>招标文件的解释</w:t>
      </w:r>
    </w:p>
    <w:p>
      <w:pPr>
        <w:pStyle w:val="13"/>
        <w:numPr>
          <w:ilvl w:val="2"/>
          <w:numId w:val="11"/>
        </w:numPr>
        <w:tabs>
          <w:tab w:val="left" w:pos="1329"/>
        </w:tabs>
        <w:spacing w:before="139" w:after="0" w:line="292" w:lineRule="auto"/>
        <w:ind w:left="332" w:right="609" w:firstLine="391"/>
        <w:jc w:val="both"/>
        <w:rPr>
          <w:sz w:val="22"/>
        </w:rPr>
      </w:pPr>
      <w:r>
        <w:rPr>
          <w:spacing w:val="-7"/>
          <w:sz w:val="22"/>
        </w:rPr>
        <w:t>构成本招标文件的各个组成文件应互为解释，互为说明；如有不明确或不一致，构成合同</w:t>
      </w:r>
      <w:r>
        <w:rPr>
          <w:spacing w:val="-1"/>
          <w:sz w:val="22"/>
        </w:rPr>
        <w:t>文件组成内容，以合同文件约定内容为准，且以专用合同条款约定的合同文件优先顺序解释；除有特别规定外，本招标文件仅适用于招标投标阶段的规定，按招标公告、评标办法、投标人须知、投</w:t>
      </w:r>
      <w:r>
        <w:rPr>
          <w:spacing w:val="-3"/>
          <w:sz w:val="22"/>
        </w:rPr>
        <w:t>标文件格式的先后顺序解释。</w:t>
      </w:r>
    </w:p>
    <w:p>
      <w:pPr>
        <w:pStyle w:val="13"/>
        <w:numPr>
          <w:ilvl w:val="2"/>
          <w:numId w:val="11"/>
        </w:numPr>
        <w:tabs>
          <w:tab w:val="left" w:pos="1329"/>
        </w:tabs>
        <w:spacing w:before="0" w:after="0" w:line="292" w:lineRule="auto"/>
        <w:ind w:left="332" w:right="609" w:firstLine="391"/>
        <w:jc w:val="both"/>
        <w:rPr>
          <w:sz w:val="22"/>
        </w:rPr>
      </w:pPr>
      <w:r>
        <w:rPr>
          <w:spacing w:val="-6"/>
          <w:sz w:val="22"/>
        </w:rPr>
        <w:t>同一组成文件中就同一事项的规定或约定不一致的，以编排顺序在后者为准；同一组成文</w:t>
      </w:r>
      <w:r>
        <w:rPr>
          <w:spacing w:val="-3"/>
          <w:sz w:val="22"/>
        </w:rPr>
        <w:t>件不同版本之间有不一致的，以形成时间在后者为准。</w:t>
      </w:r>
    </w:p>
    <w:p>
      <w:pPr>
        <w:pStyle w:val="13"/>
        <w:numPr>
          <w:ilvl w:val="2"/>
          <w:numId w:val="11"/>
        </w:numPr>
        <w:tabs>
          <w:tab w:val="left" w:pos="1329"/>
        </w:tabs>
        <w:spacing w:before="0" w:after="0" w:line="281" w:lineRule="exact"/>
        <w:ind w:left="1328" w:right="0" w:hanging="605"/>
        <w:jc w:val="both"/>
        <w:rPr>
          <w:sz w:val="22"/>
        </w:rPr>
      </w:pPr>
      <w:r>
        <w:rPr>
          <w:spacing w:val="-14"/>
          <w:sz w:val="22"/>
        </w:rPr>
        <w:t xml:space="preserve">按本章第 </w:t>
      </w:r>
      <w:r>
        <w:rPr>
          <w:sz w:val="22"/>
        </w:rPr>
        <w:t>2.2.1</w:t>
      </w:r>
      <w:r>
        <w:rPr>
          <w:spacing w:val="-24"/>
          <w:sz w:val="22"/>
        </w:rPr>
        <w:t xml:space="preserve"> 项、第 </w:t>
      </w:r>
      <w:r>
        <w:rPr>
          <w:sz w:val="22"/>
        </w:rPr>
        <w:t>2.2.2</w:t>
      </w:r>
      <w:r>
        <w:rPr>
          <w:spacing w:val="-9"/>
          <w:sz w:val="22"/>
        </w:rPr>
        <w:t xml:space="preserve"> 项规定仍不能形成结论的，由招标人负责解释。</w:t>
      </w:r>
    </w:p>
    <w:p>
      <w:pPr>
        <w:pStyle w:val="13"/>
        <w:numPr>
          <w:ilvl w:val="1"/>
          <w:numId w:val="11"/>
        </w:numPr>
        <w:tabs>
          <w:tab w:val="left" w:pos="895"/>
        </w:tabs>
        <w:spacing w:before="136" w:after="0" w:line="240" w:lineRule="auto"/>
        <w:ind w:left="894" w:right="0" w:hanging="563"/>
        <w:jc w:val="left"/>
        <w:rPr>
          <w:sz w:val="32"/>
        </w:rPr>
      </w:pPr>
      <w:r>
        <w:rPr>
          <w:sz w:val="32"/>
        </w:rPr>
        <w:t>招标文件的修改</w:t>
      </w:r>
    </w:p>
    <w:p>
      <w:pPr>
        <w:pStyle w:val="13"/>
        <w:numPr>
          <w:ilvl w:val="2"/>
          <w:numId w:val="11"/>
        </w:numPr>
        <w:tabs>
          <w:tab w:val="left" w:pos="1329"/>
        </w:tabs>
        <w:spacing w:before="137" w:after="0" w:line="292" w:lineRule="auto"/>
        <w:ind w:left="332" w:right="609" w:firstLine="391"/>
        <w:jc w:val="both"/>
        <w:rPr>
          <w:sz w:val="22"/>
        </w:rPr>
      </w:pPr>
      <w:r>
        <w:rPr>
          <w:spacing w:val="-7"/>
          <w:sz w:val="22"/>
        </w:rPr>
        <w:t xml:space="preserve">在投标截止时间 </w:t>
      </w:r>
      <w:r>
        <w:rPr>
          <w:sz w:val="22"/>
        </w:rPr>
        <w:t>15</w:t>
      </w:r>
      <w:r>
        <w:rPr>
          <w:spacing w:val="-8"/>
          <w:sz w:val="22"/>
        </w:rPr>
        <w:t xml:space="preserve"> 天前，招标人可以书面形式修改招标文件，并作为补充招标文件发放给所有已购买招标文件的投标人。如果修改招标文件的时间距投标截止时间不足 </w:t>
      </w:r>
      <w:r>
        <w:rPr>
          <w:sz w:val="22"/>
        </w:rPr>
        <w:t>15</w:t>
      </w:r>
      <w:r>
        <w:rPr>
          <w:spacing w:val="-13"/>
          <w:sz w:val="22"/>
        </w:rPr>
        <w:t xml:space="preserve"> 天，则相应延长</w:t>
      </w:r>
      <w:r>
        <w:rPr>
          <w:spacing w:val="-5"/>
          <w:sz w:val="22"/>
        </w:rPr>
        <w:t>投标截止时间。</w:t>
      </w:r>
    </w:p>
    <w:p>
      <w:pPr>
        <w:pStyle w:val="13"/>
        <w:numPr>
          <w:ilvl w:val="2"/>
          <w:numId w:val="11"/>
        </w:numPr>
        <w:tabs>
          <w:tab w:val="left" w:pos="1329"/>
        </w:tabs>
        <w:spacing w:before="0" w:after="0" w:line="292" w:lineRule="auto"/>
        <w:ind w:left="332" w:right="611" w:firstLine="391"/>
        <w:jc w:val="both"/>
        <w:rPr>
          <w:sz w:val="22"/>
        </w:rPr>
      </w:pPr>
      <w:r>
        <w:rPr>
          <w:spacing w:val="-8"/>
          <w:sz w:val="22"/>
        </w:rPr>
        <w:t>投标人应主动领取补充招标文件。否则，投标人将被视为已理解并接受招标文件及补充招</w:t>
      </w:r>
      <w:r>
        <w:rPr>
          <w:spacing w:val="-3"/>
          <w:sz w:val="22"/>
        </w:rPr>
        <w:t>标文件的所有内容。</w:t>
      </w:r>
    </w:p>
    <w:p>
      <w:pPr>
        <w:pStyle w:val="13"/>
        <w:numPr>
          <w:ilvl w:val="2"/>
          <w:numId w:val="11"/>
        </w:numPr>
        <w:tabs>
          <w:tab w:val="left" w:pos="1329"/>
        </w:tabs>
        <w:spacing w:before="0" w:after="0" w:line="281" w:lineRule="exact"/>
        <w:ind w:left="1328" w:right="0" w:hanging="605"/>
        <w:jc w:val="both"/>
        <w:rPr>
          <w:sz w:val="22"/>
        </w:rPr>
      </w:pPr>
      <w:r>
        <w:rPr>
          <w:spacing w:val="-3"/>
          <w:sz w:val="22"/>
        </w:rPr>
        <w:t>投标人收到补充招标文件后，应及时向招标人办理签收手续或以书面方式确认其收到。</w:t>
      </w:r>
    </w:p>
    <w:p>
      <w:pPr>
        <w:pStyle w:val="9"/>
        <w:spacing w:before="11"/>
        <w:rPr>
          <w:sz w:val="30"/>
        </w:rPr>
      </w:pPr>
    </w:p>
    <w:p>
      <w:pPr>
        <w:pStyle w:val="3"/>
        <w:numPr>
          <w:ilvl w:val="0"/>
          <w:numId w:val="11"/>
        </w:numPr>
        <w:tabs>
          <w:tab w:val="left" w:pos="814"/>
        </w:tabs>
        <w:spacing w:before="0" w:after="0" w:line="240" w:lineRule="auto"/>
        <w:ind w:left="813" w:right="0" w:hanging="482"/>
        <w:jc w:val="left"/>
        <w:rPr>
          <w:sz w:val="30"/>
        </w:rPr>
      </w:pPr>
      <w:bookmarkStart w:id="22" w:name="3．投标文件"/>
      <w:bookmarkEnd w:id="22"/>
      <w:bookmarkStart w:id="23" w:name="_bookmark5"/>
      <w:bookmarkEnd w:id="23"/>
      <w:r>
        <w:t>投标文件</w:t>
      </w:r>
    </w:p>
    <w:p>
      <w:pPr>
        <w:pStyle w:val="9"/>
        <w:spacing w:before="12"/>
        <w:rPr>
          <w:sz w:val="36"/>
        </w:rPr>
      </w:pPr>
    </w:p>
    <w:p>
      <w:pPr>
        <w:pStyle w:val="13"/>
        <w:numPr>
          <w:ilvl w:val="1"/>
          <w:numId w:val="11"/>
        </w:numPr>
        <w:tabs>
          <w:tab w:val="left" w:pos="974"/>
        </w:tabs>
        <w:spacing w:before="0" w:after="0" w:line="240" w:lineRule="auto"/>
        <w:ind w:left="973" w:right="0" w:hanging="642"/>
        <w:jc w:val="left"/>
        <w:rPr>
          <w:sz w:val="32"/>
        </w:rPr>
      </w:pPr>
      <w:r>
        <w:rPr>
          <w:sz w:val="32"/>
        </w:rPr>
        <w:t>投标文件的组成</w:t>
      </w:r>
    </w:p>
    <w:p>
      <w:pPr>
        <w:pStyle w:val="13"/>
        <w:numPr>
          <w:ilvl w:val="2"/>
          <w:numId w:val="11"/>
        </w:numPr>
        <w:tabs>
          <w:tab w:val="left" w:pos="1384"/>
        </w:tabs>
        <w:spacing w:before="139" w:after="0" w:line="240" w:lineRule="auto"/>
        <w:ind w:left="1384" w:right="0" w:hanging="660"/>
        <w:jc w:val="left"/>
        <w:rPr>
          <w:sz w:val="22"/>
        </w:rPr>
      </w:pPr>
      <w:r>
        <w:rPr>
          <w:spacing w:val="-2"/>
          <w:sz w:val="22"/>
        </w:rPr>
        <w:t>投标公函</w:t>
      </w:r>
    </w:p>
    <w:p>
      <w:pPr>
        <w:pStyle w:val="9"/>
        <w:spacing w:before="59"/>
        <w:ind w:left="724"/>
      </w:pPr>
      <w:r>
        <w:t>1）投标承诺书投标函投标函附录 A（上海市建设工程施工投标标书情况汇总表）、投标函附录</w:t>
      </w:r>
    </w:p>
    <w:p>
      <w:pPr>
        <w:pStyle w:val="9"/>
        <w:spacing w:before="61"/>
        <w:ind w:left="332"/>
      </w:pPr>
      <w:r>
        <w:t>B；</w:t>
      </w:r>
    </w:p>
    <w:p>
      <w:pPr>
        <w:pStyle w:val="13"/>
        <w:numPr>
          <w:ilvl w:val="1"/>
          <w:numId w:val="18"/>
        </w:numPr>
        <w:tabs>
          <w:tab w:val="left" w:pos="1275"/>
        </w:tabs>
        <w:spacing w:before="62" w:after="0" w:line="240" w:lineRule="auto"/>
        <w:ind w:left="1274" w:right="0" w:hanging="551"/>
        <w:jc w:val="left"/>
        <w:rPr>
          <w:sz w:val="22"/>
        </w:rPr>
      </w:pPr>
      <w:r>
        <w:rPr>
          <w:spacing w:val="-3"/>
          <w:sz w:val="22"/>
        </w:rPr>
        <w:t>法定代表人证明、法定代表人授权委托书、附委托代理人的身份证明；</w:t>
      </w:r>
    </w:p>
    <w:p>
      <w:pPr>
        <w:pStyle w:val="13"/>
        <w:numPr>
          <w:ilvl w:val="1"/>
          <w:numId w:val="18"/>
        </w:numPr>
        <w:tabs>
          <w:tab w:val="left" w:pos="1275"/>
        </w:tabs>
        <w:spacing w:before="63" w:after="0" w:line="240" w:lineRule="auto"/>
        <w:ind w:left="1274" w:right="0" w:hanging="551"/>
        <w:jc w:val="left"/>
        <w:rPr>
          <w:sz w:val="22"/>
        </w:rPr>
      </w:pPr>
      <w:r>
        <w:rPr>
          <w:spacing w:val="-3"/>
          <w:sz w:val="22"/>
        </w:rPr>
        <w:t>盖章的《投标保证金提交单》；</w:t>
      </w:r>
    </w:p>
    <w:p>
      <w:pPr>
        <w:pStyle w:val="13"/>
        <w:numPr>
          <w:ilvl w:val="1"/>
          <w:numId w:val="18"/>
        </w:numPr>
        <w:tabs>
          <w:tab w:val="left" w:pos="1275"/>
        </w:tabs>
        <w:spacing w:before="61" w:after="0" w:line="292" w:lineRule="auto"/>
        <w:ind w:left="332" w:right="607" w:firstLine="391"/>
        <w:jc w:val="left"/>
        <w:rPr>
          <w:sz w:val="22"/>
        </w:rPr>
      </w:pPr>
      <w:r>
        <w:rPr>
          <w:spacing w:val="-9"/>
          <w:sz w:val="22"/>
        </w:rPr>
        <w:t>投标人“投标单位”、“单位法定代表人”及“本项目负责人”近三年</w:t>
      </w:r>
      <w:r>
        <w:rPr>
          <w:sz w:val="22"/>
        </w:rPr>
        <w:t>（</w:t>
      </w:r>
      <w:r>
        <w:rPr>
          <w:spacing w:val="-26"/>
          <w:sz w:val="22"/>
        </w:rPr>
        <w:t xml:space="preserve">从 </w:t>
      </w:r>
      <w:r>
        <w:rPr>
          <w:sz w:val="22"/>
        </w:rPr>
        <w:t>2018</w:t>
      </w:r>
      <w:r>
        <w:rPr>
          <w:spacing w:val="-37"/>
          <w:sz w:val="22"/>
        </w:rPr>
        <w:t xml:space="preserve"> 年 </w:t>
      </w:r>
      <w:r>
        <w:rPr>
          <w:sz w:val="22"/>
        </w:rPr>
        <w:t>6</w:t>
      </w:r>
      <w:r>
        <w:rPr>
          <w:spacing w:val="-35"/>
          <w:sz w:val="22"/>
        </w:rPr>
        <w:t xml:space="preserve"> 月 </w:t>
      </w:r>
      <w:r>
        <w:rPr>
          <w:sz w:val="22"/>
        </w:rPr>
        <w:t xml:space="preserve">1 </w:t>
      </w:r>
      <w:r>
        <w:rPr>
          <w:spacing w:val="-2"/>
          <w:sz w:val="22"/>
        </w:rPr>
        <w:t>日至今</w:t>
      </w:r>
      <w:r>
        <w:rPr>
          <w:sz w:val="22"/>
        </w:rPr>
        <w:t>）</w:t>
      </w:r>
      <w:r>
        <w:rPr>
          <w:spacing w:val="-3"/>
          <w:sz w:val="22"/>
        </w:rPr>
        <w:t>无行贿犯罪记录，以中国裁判文书网</w:t>
      </w:r>
      <w:r>
        <w:rPr>
          <w:sz w:val="22"/>
        </w:rPr>
        <w:t>（</w:t>
      </w:r>
      <w:r>
        <w:fldChar w:fldCharType="begin"/>
      </w:r>
      <w:r>
        <w:instrText xml:space="preserve"> HYPERLINK "http://wenshu.court.gov.cn/" \h </w:instrText>
      </w:r>
      <w:r>
        <w:fldChar w:fldCharType="separate"/>
      </w:r>
      <w:r>
        <w:rPr>
          <w:sz w:val="22"/>
        </w:rPr>
        <w:t>http://wenshu.court.gov.cn/</w:t>
      </w:r>
      <w:r>
        <w:rPr>
          <w:sz w:val="22"/>
        </w:rPr>
        <w:fldChar w:fldCharType="end"/>
      </w:r>
      <w:r>
        <w:rPr>
          <w:sz w:val="22"/>
        </w:rPr>
        <w:t>）</w:t>
      </w:r>
      <w:r>
        <w:rPr>
          <w:spacing w:val="-3"/>
          <w:sz w:val="22"/>
        </w:rPr>
        <w:t>查询结果为准</w:t>
      </w:r>
    </w:p>
    <w:p>
      <w:pPr>
        <w:pStyle w:val="13"/>
        <w:numPr>
          <w:ilvl w:val="1"/>
          <w:numId w:val="18"/>
        </w:numPr>
        <w:tabs>
          <w:tab w:val="left" w:pos="1275"/>
        </w:tabs>
        <w:spacing w:before="1" w:after="0" w:line="290" w:lineRule="auto"/>
        <w:ind w:left="332" w:right="499" w:firstLine="391"/>
        <w:jc w:val="left"/>
        <w:rPr>
          <w:sz w:val="22"/>
        </w:rPr>
      </w:pPr>
      <w:r>
        <w:rPr>
          <w:spacing w:val="-21"/>
          <w:sz w:val="22"/>
        </w:rPr>
        <w:t>投标人近三年</w:t>
      </w:r>
      <w:r>
        <w:rPr>
          <w:sz w:val="22"/>
        </w:rPr>
        <w:t>（</w:t>
      </w:r>
      <w:r>
        <w:rPr>
          <w:spacing w:val="31"/>
          <w:sz w:val="22"/>
        </w:rPr>
        <w:t>从</w:t>
      </w:r>
      <w:r>
        <w:rPr>
          <w:sz w:val="22"/>
        </w:rPr>
        <w:t>2018</w:t>
      </w:r>
      <w:r>
        <w:rPr>
          <w:spacing w:val="-23"/>
          <w:sz w:val="22"/>
        </w:rPr>
        <w:t xml:space="preserve"> 年</w:t>
      </w:r>
      <w:r>
        <w:rPr>
          <w:sz w:val="22"/>
        </w:rPr>
        <w:t>6</w:t>
      </w:r>
      <w:r>
        <w:rPr>
          <w:spacing w:val="-23"/>
          <w:sz w:val="22"/>
        </w:rPr>
        <w:t xml:space="preserve"> 月</w:t>
      </w:r>
      <w:r>
        <w:rPr>
          <w:sz w:val="22"/>
        </w:rPr>
        <w:t>1</w:t>
      </w:r>
      <w:r>
        <w:rPr>
          <w:spacing w:val="-21"/>
          <w:sz w:val="22"/>
        </w:rPr>
        <w:t xml:space="preserve"> 日至今</w:t>
      </w:r>
      <w:r>
        <w:rPr>
          <w:spacing w:val="-113"/>
          <w:sz w:val="22"/>
        </w:rPr>
        <w:t>）</w:t>
      </w:r>
      <w:r>
        <w:rPr>
          <w:spacing w:val="-22"/>
          <w:sz w:val="22"/>
        </w:rPr>
        <w:t>未被列入“信用中国”网站(www.creditchina.gov.cn</w:t>
      </w:r>
      <w:r>
        <w:rPr>
          <w:spacing w:val="-6"/>
          <w:sz w:val="22"/>
        </w:rPr>
        <w:t>) “失信被执行人”、“重大税收违法案件当事人”、“政府采购严重违法失信行为”等不良记录，以上述网站查询结果为准；</w:t>
      </w:r>
    </w:p>
    <w:p>
      <w:pPr>
        <w:pStyle w:val="13"/>
        <w:numPr>
          <w:ilvl w:val="1"/>
          <w:numId w:val="18"/>
        </w:numPr>
        <w:tabs>
          <w:tab w:val="left" w:pos="1237"/>
        </w:tabs>
        <w:spacing w:before="4" w:after="0" w:line="240" w:lineRule="auto"/>
        <w:ind w:left="1236" w:right="0" w:hanging="535"/>
        <w:jc w:val="left"/>
        <w:rPr>
          <w:sz w:val="22"/>
        </w:rPr>
      </w:pPr>
      <w:r>
        <w:rPr>
          <w:spacing w:val="-15"/>
          <w:sz w:val="22"/>
        </w:rPr>
        <w:t>投标人须知前附表规定的构成投标文件投标公函的其他材料和投标人认为需要补充的其他内容。</w:t>
      </w:r>
    </w:p>
    <w:p>
      <w:pPr>
        <w:pStyle w:val="13"/>
        <w:numPr>
          <w:ilvl w:val="2"/>
          <w:numId w:val="11"/>
        </w:numPr>
        <w:tabs>
          <w:tab w:val="left" w:pos="1384"/>
        </w:tabs>
        <w:spacing w:before="61" w:after="0" w:line="240" w:lineRule="auto"/>
        <w:ind w:left="1384" w:right="0" w:hanging="660"/>
        <w:jc w:val="left"/>
        <w:rPr>
          <w:sz w:val="22"/>
        </w:rPr>
      </w:pPr>
      <w:r>
        <w:rPr>
          <w:spacing w:val="-2"/>
          <w:sz w:val="22"/>
        </w:rPr>
        <w:t>商务标</w:t>
      </w:r>
    </w:p>
    <w:p>
      <w:pPr>
        <w:pStyle w:val="13"/>
        <w:numPr>
          <w:ilvl w:val="0"/>
          <w:numId w:val="19"/>
        </w:numPr>
        <w:tabs>
          <w:tab w:val="left" w:pos="1275"/>
        </w:tabs>
        <w:spacing w:before="64" w:after="0" w:line="240" w:lineRule="auto"/>
        <w:ind w:left="1211" w:leftChars="0" w:right="0" w:hanging="551" w:firstLineChars="0"/>
        <w:jc w:val="left"/>
        <w:rPr>
          <w:sz w:val="22"/>
        </w:rPr>
      </w:pPr>
      <w:r>
        <w:rPr>
          <w:spacing w:val="-3"/>
          <w:sz w:val="22"/>
        </w:rPr>
        <w:t>已标价工程量清单；</w:t>
      </w:r>
    </w:p>
    <w:p>
      <w:pPr>
        <w:pStyle w:val="13"/>
        <w:numPr>
          <w:ilvl w:val="0"/>
          <w:numId w:val="19"/>
        </w:numPr>
        <w:tabs>
          <w:tab w:val="left" w:pos="1275"/>
        </w:tabs>
        <w:spacing w:before="61" w:after="0" w:line="240" w:lineRule="auto"/>
        <w:ind w:left="1211" w:leftChars="0" w:right="0" w:hanging="551" w:firstLineChars="0"/>
        <w:jc w:val="left"/>
        <w:rPr>
          <w:sz w:val="22"/>
        </w:rPr>
      </w:pPr>
      <w:r>
        <w:rPr>
          <w:spacing w:val="-3"/>
          <w:sz w:val="22"/>
        </w:rPr>
        <w:t>书面工程量清单组价文件</w:t>
      </w:r>
      <w:r>
        <w:rPr>
          <w:sz w:val="22"/>
        </w:rPr>
        <w:t>（1</w:t>
      </w:r>
      <w:r>
        <w:rPr>
          <w:spacing w:val="-9"/>
          <w:sz w:val="22"/>
        </w:rPr>
        <w:t xml:space="preserve"> 份：可装订在商务标正本中，也可以另行成册</w:t>
      </w:r>
      <w:r>
        <w:rPr>
          <w:sz w:val="22"/>
        </w:rPr>
        <w:t>）。</w:t>
      </w:r>
    </w:p>
    <w:p>
      <w:pPr>
        <w:spacing w:after="0" w:line="240" w:lineRule="auto"/>
        <w:jc w:val="left"/>
        <w:rPr>
          <w:sz w:val="22"/>
        </w:rPr>
        <w:sectPr>
          <w:pgSz w:w="11910" w:h="16840"/>
          <w:pgMar w:top="1100" w:right="660" w:bottom="1180" w:left="800" w:header="878" w:footer="993" w:gutter="0"/>
          <w:cols w:space="720" w:num="1"/>
        </w:sectPr>
      </w:pPr>
    </w:p>
    <w:p>
      <w:pPr>
        <w:pStyle w:val="9"/>
        <w:spacing w:before="4"/>
        <w:rPr>
          <w:sz w:val="20"/>
        </w:rPr>
      </w:pPr>
    </w:p>
    <w:p>
      <w:pPr>
        <w:pStyle w:val="13"/>
        <w:numPr>
          <w:ilvl w:val="2"/>
          <w:numId w:val="11"/>
        </w:numPr>
        <w:tabs>
          <w:tab w:val="left" w:pos="1384"/>
        </w:tabs>
        <w:spacing w:before="61" w:after="0" w:line="240" w:lineRule="auto"/>
        <w:ind w:left="1384" w:right="0" w:hanging="660"/>
        <w:jc w:val="left"/>
        <w:rPr>
          <w:sz w:val="22"/>
        </w:rPr>
      </w:pPr>
      <w:r>
        <w:rPr>
          <w:spacing w:val="-2"/>
          <w:sz w:val="22"/>
        </w:rPr>
        <w:t>技术标</w:t>
      </w:r>
      <w:r>
        <w:rPr>
          <w:sz w:val="22"/>
        </w:rPr>
        <w:t>（</w:t>
      </w:r>
      <w:r>
        <w:rPr>
          <w:spacing w:val="-3"/>
          <w:sz w:val="22"/>
        </w:rPr>
        <w:t>包括但不仅限于以下内容</w:t>
      </w:r>
      <w:r>
        <w:rPr>
          <w:sz w:val="22"/>
        </w:rPr>
        <w:t>）</w:t>
      </w:r>
    </w:p>
    <w:p>
      <w:pPr>
        <w:pStyle w:val="8"/>
        <w:numPr>
          <w:ilvl w:val="0"/>
          <w:numId w:val="20"/>
        </w:numPr>
        <w:tabs>
          <w:tab w:val="left" w:pos="1387"/>
        </w:tabs>
        <w:spacing w:before="62" w:after="0" w:line="240" w:lineRule="auto"/>
        <w:ind w:left="1386" w:right="0" w:hanging="663"/>
        <w:jc w:val="left"/>
      </w:pPr>
      <w:r>
        <w:t>标书编制说明；</w:t>
      </w:r>
    </w:p>
    <w:p>
      <w:pPr>
        <w:pStyle w:val="8"/>
        <w:numPr>
          <w:ilvl w:val="0"/>
          <w:numId w:val="20"/>
        </w:numPr>
        <w:tabs>
          <w:tab w:val="left" w:pos="1394"/>
        </w:tabs>
        <w:spacing w:before="61" w:after="0" w:line="292" w:lineRule="auto"/>
        <w:ind w:left="332" w:right="465" w:firstLine="391"/>
        <w:jc w:val="left"/>
      </w:pPr>
      <w:r>
        <w:t>施工组织设计及作业计划包括保证质量、进度的技术、服务措施，保证安全、文明生产</w:t>
      </w:r>
      <w:r>
        <w:rPr>
          <w:spacing w:val="-7"/>
        </w:rPr>
        <w:t>及环境保护的技术措施。投标人应避免把作业法、操作规程、规范要求抄入技术标</w:t>
      </w:r>
      <w:r>
        <w:t>（当采用新工艺、新技术或有特殊要求的情况除外）。</w:t>
      </w:r>
    </w:p>
    <w:p>
      <w:pPr>
        <w:pStyle w:val="8"/>
        <w:numPr>
          <w:ilvl w:val="0"/>
          <w:numId w:val="20"/>
        </w:numPr>
        <w:tabs>
          <w:tab w:val="left" w:pos="1278"/>
        </w:tabs>
        <w:spacing w:before="0" w:after="0" w:line="292" w:lineRule="auto"/>
        <w:ind w:left="332" w:right="578" w:firstLine="391"/>
        <w:jc w:val="left"/>
      </w:pPr>
      <w:r>
        <w:rPr>
          <w:spacing w:val="-1"/>
        </w:rPr>
        <w:t>拟投入本项目的项目经理及投入本项目的技术力量</w:t>
      </w:r>
      <w:r>
        <w:t>（包括项目实施人员一览表</w:t>
      </w:r>
      <w:r>
        <w:rPr>
          <w:spacing w:val="-20"/>
        </w:rPr>
        <w:t>）</w:t>
      </w:r>
      <w:r>
        <w:t>和劳动力及技术力量配备，项目管理体系；施工技术方案设计。</w:t>
      </w:r>
    </w:p>
    <w:p>
      <w:pPr>
        <w:pStyle w:val="8"/>
        <w:numPr>
          <w:ilvl w:val="0"/>
          <w:numId w:val="20"/>
        </w:numPr>
        <w:tabs>
          <w:tab w:val="left" w:pos="1275"/>
        </w:tabs>
        <w:spacing w:before="0" w:after="0" w:line="281" w:lineRule="exact"/>
        <w:ind w:left="1274" w:right="0" w:hanging="551"/>
        <w:jc w:val="left"/>
      </w:pPr>
      <w:r>
        <w:t>拟投入本项目的设备、种类、数量、性能及车辆牌照信息</w:t>
      </w:r>
    </w:p>
    <w:p>
      <w:pPr>
        <w:pStyle w:val="8"/>
        <w:numPr>
          <w:ilvl w:val="0"/>
          <w:numId w:val="20"/>
        </w:numPr>
        <w:tabs>
          <w:tab w:val="left" w:pos="1278"/>
        </w:tabs>
        <w:spacing w:before="59" w:after="0" w:line="292" w:lineRule="auto"/>
        <w:ind w:left="332" w:right="518" w:firstLine="391"/>
        <w:jc w:val="left"/>
      </w:pPr>
      <w:r>
        <w:t>根据现场踏勘情况，对照施工技术规范，确定保证工程质量，以及安全生产、文明施工、防汛防台以及紧急情况处理预案等措施和施工技术手段。</w:t>
      </w:r>
    </w:p>
    <w:p>
      <w:pPr>
        <w:pStyle w:val="8"/>
        <w:numPr>
          <w:ilvl w:val="0"/>
          <w:numId w:val="20"/>
        </w:numPr>
        <w:tabs>
          <w:tab w:val="left" w:pos="1278"/>
        </w:tabs>
        <w:spacing w:before="0" w:after="0" w:line="292" w:lineRule="auto"/>
        <w:ind w:left="332" w:right="576" w:firstLine="391"/>
        <w:jc w:val="left"/>
      </w:pPr>
      <w:r>
        <w:t>投标人须知前附表规定的构成投标文件技术标的其他材料和投标人认为需要补充的其他内容及其他需说明的问题或需采取的技术措施。</w:t>
      </w:r>
    </w:p>
    <w:p>
      <w:pPr>
        <w:pStyle w:val="13"/>
        <w:numPr>
          <w:ilvl w:val="2"/>
          <w:numId w:val="11"/>
        </w:numPr>
        <w:tabs>
          <w:tab w:val="left" w:pos="1329"/>
        </w:tabs>
        <w:spacing w:before="0" w:after="0" w:line="281" w:lineRule="exact"/>
        <w:ind w:left="1328" w:right="0" w:hanging="605"/>
        <w:jc w:val="left"/>
        <w:rPr>
          <w:sz w:val="22"/>
        </w:rPr>
      </w:pPr>
      <w:r>
        <w:rPr>
          <w:spacing w:val="-3"/>
          <w:sz w:val="22"/>
        </w:rPr>
        <w:t>投标文件电子版：投标文件电子版内容见投标人须知前附表。</w:t>
      </w:r>
    </w:p>
    <w:p>
      <w:pPr>
        <w:pStyle w:val="13"/>
        <w:numPr>
          <w:ilvl w:val="2"/>
          <w:numId w:val="11"/>
        </w:numPr>
        <w:tabs>
          <w:tab w:val="left" w:pos="1329"/>
        </w:tabs>
        <w:spacing w:before="60" w:after="0" w:line="240" w:lineRule="auto"/>
        <w:ind w:left="1328" w:right="0" w:hanging="605"/>
        <w:jc w:val="left"/>
        <w:rPr>
          <w:sz w:val="22"/>
        </w:rPr>
      </w:pPr>
      <w:r>
        <w:rPr>
          <w:spacing w:val="-3"/>
          <w:sz w:val="22"/>
        </w:rPr>
        <w:t>投标人基本材料；</w:t>
      </w:r>
    </w:p>
    <w:p>
      <w:pPr>
        <w:pStyle w:val="9"/>
        <w:spacing w:before="62"/>
        <w:ind w:left="1273"/>
      </w:pPr>
      <w:r>
        <w:t>投标人须知前附表规定需提供的投标人基本资料所附支持性材料；（如需）</w:t>
      </w:r>
    </w:p>
    <w:p>
      <w:pPr>
        <w:pStyle w:val="13"/>
        <w:numPr>
          <w:ilvl w:val="1"/>
          <w:numId w:val="11"/>
        </w:numPr>
        <w:tabs>
          <w:tab w:val="left" w:pos="974"/>
        </w:tabs>
        <w:spacing w:before="138" w:after="0" w:line="240" w:lineRule="auto"/>
        <w:ind w:left="973" w:right="0" w:hanging="642"/>
        <w:jc w:val="left"/>
        <w:rPr>
          <w:sz w:val="32"/>
        </w:rPr>
      </w:pPr>
      <w:r>
        <w:rPr>
          <w:sz w:val="32"/>
        </w:rPr>
        <w:t>投标报价</w:t>
      </w:r>
    </w:p>
    <w:p>
      <w:pPr>
        <w:pStyle w:val="13"/>
        <w:numPr>
          <w:ilvl w:val="2"/>
          <w:numId w:val="11"/>
        </w:numPr>
        <w:tabs>
          <w:tab w:val="left" w:pos="1329"/>
        </w:tabs>
        <w:spacing w:before="137" w:after="0" w:line="240" w:lineRule="auto"/>
        <w:ind w:left="1328" w:right="0" w:hanging="605"/>
        <w:jc w:val="left"/>
        <w:rPr>
          <w:sz w:val="22"/>
        </w:rPr>
      </w:pPr>
      <w:r>
        <w:rPr>
          <w:spacing w:val="-3"/>
          <w:sz w:val="22"/>
        </w:rPr>
        <w:t>投标人的投标总价应不得超出最高投标限价。</w:t>
      </w:r>
    </w:p>
    <w:p>
      <w:pPr>
        <w:pStyle w:val="13"/>
        <w:numPr>
          <w:ilvl w:val="2"/>
          <w:numId w:val="11"/>
        </w:numPr>
        <w:tabs>
          <w:tab w:val="left" w:pos="1384"/>
        </w:tabs>
        <w:spacing w:before="61" w:after="0" w:line="292" w:lineRule="auto"/>
        <w:ind w:left="332" w:right="613" w:firstLine="391"/>
        <w:jc w:val="left"/>
        <w:rPr>
          <w:sz w:val="22"/>
        </w:rPr>
      </w:pPr>
      <w:r>
        <w:rPr>
          <w:sz w:val="22"/>
        </w:rPr>
        <w:t>投标人应按第五章“工程量清单”的要求填写相应表格，并应按照本招标文件相关要求</w:t>
      </w:r>
      <w:r>
        <w:rPr>
          <w:spacing w:val="-3"/>
          <w:sz w:val="22"/>
        </w:rPr>
        <w:t>进行投标报价。</w:t>
      </w:r>
    </w:p>
    <w:p>
      <w:pPr>
        <w:pStyle w:val="13"/>
        <w:numPr>
          <w:ilvl w:val="2"/>
          <w:numId w:val="11"/>
        </w:numPr>
        <w:tabs>
          <w:tab w:val="left" w:pos="1384"/>
        </w:tabs>
        <w:spacing w:before="0" w:after="0" w:line="292" w:lineRule="auto"/>
        <w:ind w:left="332" w:right="611" w:firstLine="391"/>
        <w:jc w:val="left"/>
        <w:rPr>
          <w:sz w:val="22"/>
        </w:rPr>
      </w:pPr>
      <w:r>
        <w:rPr>
          <w:sz w:val="22"/>
        </w:rPr>
        <w:t xml:space="preserve">投标人在投标截止时间前修改投标函中的投标总价，应同时修改第五章“工程量清单” </w:t>
      </w:r>
      <w:r>
        <w:rPr>
          <w:spacing w:val="-7"/>
          <w:sz w:val="22"/>
        </w:rPr>
        <w:t xml:space="preserve">中的相应报价。此修改须符合本章第 </w:t>
      </w:r>
      <w:r>
        <w:rPr>
          <w:sz w:val="22"/>
        </w:rPr>
        <w:t>4.3</w:t>
      </w:r>
      <w:r>
        <w:rPr>
          <w:spacing w:val="-11"/>
          <w:sz w:val="22"/>
        </w:rPr>
        <w:t xml:space="preserve"> 款相关要求。</w:t>
      </w:r>
    </w:p>
    <w:p>
      <w:pPr>
        <w:pStyle w:val="8"/>
        <w:numPr>
          <w:ilvl w:val="2"/>
          <w:numId w:val="11"/>
        </w:numPr>
        <w:tabs>
          <w:tab w:val="left" w:pos="1389"/>
        </w:tabs>
        <w:spacing w:before="0" w:after="0" w:line="292" w:lineRule="auto"/>
        <w:ind w:left="332" w:right="576" w:firstLine="391"/>
        <w:jc w:val="left"/>
      </w:pPr>
      <w:r>
        <w:t>投标报价是履行合同的最终价格，除招标文件中另有说明外，投标报价应包括投标人为完成招标项目而提供服务的一切费用，包括投标人的各种成本、税金、费用和利润。</w:t>
      </w:r>
    </w:p>
    <w:p>
      <w:pPr>
        <w:pStyle w:val="8"/>
        <w:numPr>
          <w:ilvl w:val="2"/>
          <w:numId w:val="11"/>
        </w:numPr>
        <w:tabs>
          <w:tab w:val="left" w:pos="1389"/>
        </w:tabs>
        <w:spacing w:before="0" w:after="0" w:line="292" w:lineRule="auto"/>
        <w:ind w:left="332" w:right="576" w:firstLine="391"/>
        <w:jc w:val="left"/>
      </w:pPr>
      <w:r>
        <w:t>投标人应按照招标文件提供的投标文件格式完整地填写开标一览表、报价明细表和报价构成表等，说明其拟提供服务的内容、数量、价格、时间、价格构成等。</w:t>
      </w:r>
    </w:p>
    <w:p>
      <w:pPr>
        <w:pStyle w:val="8"/>
        <w:numPr>
          <w:ilvl w:val="2"/>
          <w:numId w:val="11"/>
        </w:numPr>
        <w:tabs>
          <w:tab w:val="left" w:pos="1336"/>
        </w:tabs>
        <w:spacing w:before="0" w:after="0" w:line="292" w:lineRule="auto"/>
        <w:ind w:left="332" w:right="576" w:firstLine="391"/>
        <w:jc w:val="left"/>
      </w:pPr>
      <w:r>
        <w:t>除招标文件中有说明并允许外，投标的每一种服务的单项报价以及项目的投标总价均只允许有一个报价，</w:t>
      </w:r>
      <w:r>
        <w:rPr>
          <w:u w:val="single"/>
        </w:rPr>
        <w:t>任何有选择的报价，招标人均将予以拒绝。</w:t>
      </w:r>
    </w:p>
    <w:p>
      <w:pPr>
        <w:pStyle w:val="8"/>
        <w:numPr>
          <w:ilvl w:val="2"/>
          <w:numId w:val="11"/>
        </w:numPr>
        <w:tabs>
          <w:tab w:val="left" w:pos="1332"/>
        </w:tabs>
        <w:spacing w:before="0" w:after="0" w:line="280" w:lineRule="exact"/>
        <w:ind w:left="1331" w:right="0" w:hanging="608"/>
        <w:jc w:val="left"/>
      </w:pPr>
      <w:r>
        <w:t>任何可变的或者附有条件的投标报价，招标人均将予以拒绝。</w:t>
      </w:r>
    </w:p>
    <w:p>
      <w:pPr>
        <w:pStyle w:val="8"/>
        <w:numPr>
          <w:ilvl w:val="2"/>
          <w:numId w:val="11"/>
        </w:numPr>
        <w:tabs>
          <w:tab w:val="left" w:pos="1387"/>
        </w:tabs>
        <w:spacing w:before="56" w:after="0" w:line="240" w:lineRule="auto"/>
        <w:ind w:left="1386" w:right="0" w:hanging="663"/>
        <w:jc w:val="left"/>
      </w:pPr>
      <w:r>
        <w:t>投标应以人民币报价。</w:t>
      </w:r>
    </w:p>
    <w:p>
      <w:pPr>
        <w:pStyle w:val="13"/>
        <w:numPr>
          <w:ilvl w:val="1"/>
          <w:numId w:val="11"/>
        </w:numPr>
        <w:tabs>
          <w:tab w:val="left" w:pos="974"/>
        </w:tabs>
        <w:spacing w:before="137" w:after="0" w:line="240" w:lineRule="auto"/>
        <w:ind w:left="973" w:right="0" w:hanging="642"/>
        <w:jc w:val="left"/>
        <w:rPr>
          <w:sz w:val="32"/>
        </w:rPr>
      </w:pPr>
      <w:r>
        <w:rPr>
          <w:sz w:val="32"/>
        </w:rPr>
        <w:t>投标有效期</w:t>
      </w:r>
    </w:p>
    <w:p>
      <w:pPr>
        <w:pStyle w:val="13"/>
        <w:numPr>
          <w:ilvl w:val="2"/>
          <w:numId w:val="11"/>
        </w:numPr>
        <w:tabs>
          <w:tab w:val="left" w:pos="1329"/>
        </w:tabs>
        <w:spacing w:before="138" w:after="0" w:line="240" w:lineRule="auto"/>
        <w:ind w:left="1328" w:right="0" w:hanging="605"/>
        <w:jc w:val="both"/>
        <w:rPr>
          <w:sz w:val="22"/>
        </w:rPr>
      </w:pPr>
      <w:r>
        <w:rPr>
          <w:spacing w:val="-3"/>
          <w:sz w:val="22"/>
        </w:rPr>
        <w:t>在投标人须知前附表规定的投标有效期内，投标人不得要求撤销或修改其投标文件。</w:t>
      </w:r>
    </w:p>
    <w:p>
      <w:pPr>
        <w:pStyle w:val="13"/>
        <w:numPr>
          <w:ilvl w:val="2"/>
          <w:numId w:val="11"/>
        </w:numPr>
        <w:tabs>
          <w:tab w:val="left" w:pos="1329"/>
        </w:tabs>
        <w:spacing w:before="62" w:after="0" w:line="292" w:lineRule="auto"/>
        <w:ind w:left="332" w:right="609" w:firstLine="391"/>
        <w:jc w:val="both"/>
        <w:rPr>
          <w:sz w:val="22"/>
        </w:rPr>
      </w:pPr>
      <w:r>
        <w:rPr>
          <w:spacing w:val="-9"/>
          <w:sz w:val="22"/>
        </w:rPr>
        <w:t>在原投标有效期期满前，出现特殊情况需要延长投标有效期的，招标人以书面形式通知所</w:t>
      </w:r>
      <w:r>
        <w:rPr>
          <w:spacing w:val="-1"/>
          <w:sz w:val="22"/>
        </w:rPr>
        <w:t>有投标人延长投标有效期。投标人同意延长的，应相应延长其投标保证金的有效期，但不得要求或被允许修改或撤销其投标文件；投标人拒绝延长的，其投标自原投标有效期届满时失效，但投标人</w:t>
      </w:r>
      <w:r>
        <w:rPr>
          <w:spacing w:val="-3"/>
          <w:sz w:val="22"/>
        </w:rPr>
        <w:t>有权收回其投标保证金。</w:t>
      </w:r>
    </w:p>
    <w:p>
      <w:pPr>
        <w:pStyle w:val="13"/>
        <w:numPr>
          <w:ilvl w:val="1"/>
          <w:numId w:val="11"/>
        </w:numPr>
        <w:tabs>
          <w:tab w:val="left" w:pos="974"/>
        </w:tabs>
        <w:spacing w:before="72" w:after="0" w:line="240" w:lineRule="auto"/>
        <w:ind w:left="973" w:right="0" w:hanging="642"/>
        <w:jc w:val="left"/>
        <w:rPr>
          <w:sz w:val="32"/>
        </w:rPr>
      </w:pPr>
      <w:r>
        <w:rPr>
          <w:sz w:val="32"/>
        </w:rPr>
        <w:t>投标保证金</w:t>
      </w:r>
    </w:p>
    <w:p>
      <w:pPr>
        <w:pStyle w:val="13"/>
        <w:numPr>
          <w:ilvl w:val="2"/>
          <w:numId w:val="11"/>
        </w:numPr>
        <w:tabs>
          <w:tab w:val="left" w:pos="1382"/>
        </w:tabs>
        <w:spacing w:before="139" w:after="0" w:line="240" w:lineRule="auto"/>
        <w:ind w:left="1381" w:right="0" w:hanging="608"/>
        <w:jc w:val="both"/>
        <w:rPr>
          <w:sz w:val="22"/>
        </w:rPr>
      </w:pPr>
      <w:r>
        <w:rPr>
          <w:sz w:val="22"/>
        </w:rPr>
        <w:t>投标人在提交投标文件的同时，应按投标人须知前附表规定的金额、提交形式提交投标</w:t>
      </w:r>
    </w:p>
    <w:p>
      <w:pPr>
        <w:spacing w:after="0" w:line="240" w:lineRule="auto"/>
        <w:jc w:val="both"/>
        <w:rPr>
          <w:sz w:val="22"/>
        </w:rPr>
        <w:sectPr>
          <w:pgSz w:w="11910" w:h="16840"/>
          <w:pgMar w:top="1100" w:right="660" w:bottom="1180" w:left="800" w:header="878" w:footer="993" w:gutter="0"/>
          <w:cols w:space="720" w:num="1"/>
        </w:sectPr>
      </w:pPr>
    </w:p>
    <w:p>
      <w:pPr>
        <w:pStyle w:val="9"/>
        <w:spacing w:before="4"/>
        <w:rPr>
          <w:sz w:val="20"/>
        </w:rPr>
      </w:pPr>
    </w:p>
    <w:p>
      <w:pPr>
        <w:pStyle w:val="9"/>
        <w:spacing w:before="70"/>
        <w:ind w:left="332"/>
      </w:pPr>
      <w:r>
        <w:t>保证金。以支票形式提交的投标保证金应从投标人基本账户转出。</w:t>
      </w:r>
    </w:p>
    <w:p>
      <w:pPr>
        <w:pStyle w:val="13"/>
        <w:numPr>
          <w:ilvl w:val="2"/>
          <w:numId w:val="11"/>
        </w:numPr>
        <w:tabs>
          <w:tab w:val="left" w:pos="1329"/>
        </w:tabs>
        <w:spacing w:before="61" w:after="0" w:line="292" w:lineRule="auto"/>
        <w:ind w:left="332" w:right="611" w:firstLine="391"/>
        <w:jc w:val="left"/>
        <w:rPr>
          <w:sz w:val="22"/>
        </w:rPr>
      </w:pPr>
      <w:r>
        <w:rPr>
          <w:spacing w:val="-9"/>
          <w:sz w:val="22"/>
        </w:rPr>
        <w:t xml:space="preserve">投标人不按本章第 </w:t>
      </w:r>
      <w:r>
        <w:rPr>
          <w:sz w:val="22"/>
        </w:rPr>
        <w:t>3.4.1</w:t>
      </w:r>
      <w:r>
        <w:rPr>
          <w:spacing w:val="-17"/>
          <w:sz w:val="22"/>
        </w:rPr>
        <w:t xml:space="preserve"> 项要求提交投标保证金的，按本章第 </w:t>
      </w:r>
      <w:r>
        <w:rPr>
          <w:sz w:val="22"/>
        </w:rPr>
        <w:t>5.1.1</w:t>
      </w:r>
      <w:r>
        <w:rPr>
          <w:spacing w:val="-9"/>
          <w:sz w:val="22"/>
        </w:rPr>
        <w:t xml:space="preserve"> 项规定其投标文件将</w:t>
      </w:r>
      <w:r>
        <w:rPr>
          <w:spacing w:val="-3"/>
          <w:sz w:val="22"/>
        </w:rPr>
        <w:t>被拒绝接受。</w:t>
      </w:r>
    </w:p>
    <w:p>
      <w:pPr>
        <w:pStyle w:val="13"/>
        <w:numPr>
          <w:ilvl w:val="2"/>
          <w:numId w:val="11"/>
        </w:numPr>
        <w:tabs>
          <w:tab w:val="left" w:pos="1274"/>
        </w:tabs>
        <w:spacing w:before="0" w:after="0" w:line="292" w:lineRule="auto"/>
        <w:ind w:left="1273" w:right="628" w:hanging="572"/>
        <w:jc w:val="left"/>
        <w:rPr>
          <w:sz w:val="22"/>
        </w:rPr>
      </w:pPr>
      <w:r>
        <w:rPr>
          <w:spacing w:val="-15"/>
          <w:sz w:val="22"/>
        </w:rPr>
        <w:t>招标人最迟应当在与中标人签订合同、施工材料进场后，安排向中标人无息退还投标保证金。</w:t>
      </w:r>
      <w:r>
        <w:rPr>
          <w:spacing w:val="-9"/>
          <w:sz w:val="22"/>
        </w:rPr>
        <w:t xml:space="preserve">未中标的投标人将在评标结束后 </w:t>
      </w:r>
      <w:r>
        <w:rPr>
          <w:sz w:val="22"/>
        </w:rPr>
        <w:t>7</w:t>
      </w:r>
      <w:r>
        <w:rPr>
          <w:spacing w:val="-9"/>
          <w:sz w:val="22"/>
        </w:rPr>
        <w:t xml:space="preserve"> 个工作日内无息退还其投标保证金。</w:t>
      </w:r>
    </w:p>
    <w:p>
      <w:pPr>
        <w:pStyle w:val="13"/>
        <w:numPr>
          <w:ilvl w:val="2"/>
          <w:numId w:val="11"/>
        </w:numPr>
        <w:tabs>
          <w:tab w:val="left" w:pos="1329"/>
        </w:tabs>
        <w:spacing w:before="0" w:after="0" w:line="280" w:lineRule="exact"/>
        <w:ind w:left="1328" w:right="0" w:hanging="605"/>
        <w:jc w:val="left"/>
        <w:rPr>
          <w:sz w:val="22"/>
        </w:rPr>
      </w:pPr>
      <w:r>
        <w:rPr>
          <w:spacing w:val="-3"/>
          <w:sz w:val="22"/>
        </w:rPr>
        <w:t>有下列情形之一的，投标保证金不予退还：</w:t>
      </w:r>
    </w:p>
    <w:p>
      <w:pPr>
        <w:pStyle w:val="13"/>
        <w:numPr>
          <w:ilvl w:val="0"/>
          <w:numId w:val="21"/>
        </w:numPr>
        <w:tabs>
          <w:tab w:val="left" w:pos="1275"/>
        </w:tabs>
        <w:spacing w:before="60" w:after="0" w:line="240" w:lineRule="auto"/>
        <w:ind w:left="1274" w:right="0" w:hanging="551"/>
        <w:jc w:val="left"/>
        <w:rPr>
          <w:sz w:val="22"/>
        </w:rPr>
      </w:pPr>
      <w:r>
        <w:rPr>
          <w:spacing w:val="-3"/>
          <w:sz w:val="22"/>
        </w:rPr>
        <w:t>投标人在规定的投标有效期内撤销其投标文件；</w:t>
      </w:r>
    </w:p>
    <w:p>
      <w:pPr>
        <w:pStyle w:val="13"/>
        <w:numPr>
          <w:ilvl w:val="0"/>
          <w:numId w:val="21"/>
        </w:numPr>
        <w:tabs>
          <w:tab w:val="left" w:pos="1275"/>
        </w:tabs>
        <w:spacing w:before="62" w:after="0" w:line="292" w:lineRule="auto"/>
        <w:ind w:left="332" w:right="609" w:firstLine="391"/>
        <w:jc w:val="left"/>
        <w:rPr>
          <w:sz w:val="22"/>
        </w:rPr>
      </w:pPr>
      <w:r>
        <w:rPr>
          <w:spacing w:val="-6"/>
          <w:sz w:val="22"/>
        </w:rPr>
        <w:t>中标人在收到中标通知书后，放弃中标项目的，无正当理由不与招标人签订合同的，在签</w:t>
      </w:r>
      <w:r>
        <w:rPr>
          <w:spacing w:val="-3"/>
          <w:sz w:val="22"/>
        </w:rPr>
        <w:t>订合同时向招标人提出附加条件或者更改合同实质性内容的。</w:t>
      </w:r>
    </w:p>
    <w:p>
      <w:pPr>
        <w:pStyle w:val="13"/>
        <w:numPr>
          <w:ilvl w:val="1"/>
          <w:numId w:val="11"/>
        </w:numPr>
        <w:tabs>
          <w:tab w:val="left" w:pos="974"/>
        </w:tabs>
        <w:spacing w:before="73" w:after="0" w:line="240" w:lineRule="auto"/>
        <w:ind w:left="973" w:right="0" w:hanging="642"/>
        <w:jc w:val="left"/>
        <w:rPr>
          <w:sz w:val="32"/>
        </w:rPr>
      </w:pPr>
      <w:r>
        <w:rPr>
          <w:sz w:val="32"/>
        </w:rPr>
        <w:t>投标人基本资料</w:t>
      </w:r>
    </w:p>
    <w:p>
      <w:pPr>
        <w:pStyle w:val="13"/>
        <w:numPr>
          <w:ilvl w:val="2"/>
          <w:numId w:val="11"/>
        </w:numPr>
        <w:tabs>
          <w:tab w:val="left" w:pos="1275"/>
        </w:tabs>
        <w:spacing w:before="139" w:after="0" w:line="292" w:lineRule="auto"/>
        <w:ind w:left="332" w:right="611" w:firstLine="391"/>
        <w:jc w:val="left"/>
        <w:rPr>
          <w:sz w:val="20"/>
        </w:rPr>
      </w:pPr>
      <w:r>
        <w:rPr>
          <w:spacing w:val="-5"/>
          <w:sz w:val="22"/>
        </w:rPr>
        <w:t>“投标人基本情况表”应附投标人营业执照副本及其年检合格的证明材料、企业资质证书</w:t>
      </w:r>
      <w:r>
        <w:rPr>
          <w:spacing w:val="-3"/>
          <w:sz w:val="22"/>
        </w:rPr>
        <w:t>副本、安全生产许可证等材料的复印件。</w:t>
      </w:r>
    </w:p>
    <w:p>
      <w:pPr>
        <w:pStyle w:val="13"/>
        <w:numPr>
          <w:ilvl w:val="2"/>
          <w:numId w:val="11"/>
        </w:numPr>
        <w:tabs>
          <w:tab w:val="left" w:pos="1329"/>
        </w:tabs>
        <w:spacing w:before="0" w:after="0" w:line="292" w:lineRule="auto"/>
        <w:ind w:left="332" w:right="607" w:firstLine="391"/>
        <w:jc w:val="left"/>
        <w:rPr>
          <w:sz w:val="22"/>
        </w:rPr>
      </w:pPr>
      <w:r>
        <w:rPr>
          <w:spacing w:val="-9"/>
          <w:sz w:val="22"/>
        </w:rPr>
        <w:t>项目管理机构应填写“项目管理机构组成表”及“项目负责人简历表”和“主要项目管理</w:t>
      </w:r>
      <w:r>
        <w:rPr>
          <w:spacing w:val="-3"/>
          <w:sz w:val="22"/>
        </w:rPr>
        <w:t>人员简历表”。</w:t>
      </w:r>
    </w:p>
    <w:p>
      <w:pPr>
        <w:pStyle w:val="13"/>
        <w:numPr>
          <w:ilvl w:val="0"/>
          <w:numId w:val="22"/>
        </w:numPr>
        <w:tabs>
          <w:tab w:val="left" w:pos="1275"/>
        </w:tabs>
        <w:spacing w:before="0" w:after="0" w:line="292" w:lineRule="auto"/>
        <w:ind w:left="332" w:right="609" w:firstLine="391"/>
        <w:jc w:val="right"/>
        <w:rPr>
          <w:sz w:val="22"/>
        </w:rPr>
      </w:pPr>
      <w:r>
        <w:rPr>
          <w:spacing w:val="-5"/>
          <w:sz w:val="22"/>
        </w:rPr>
        <w:t>“项目负责人简历表”应附建造师执业注册证书、安全生产考核合格证书、身份证、职称</w:t>
      </w:r>
      <w:r>
        <w:rPr>
          <w:spacing w:val="-1"/>
          <w:sz w:val="22"/>
        </w:rPr>
        <w:t>证、学历证、养老保险复印件（退休人员可提供退休证和聘用证）；类似项目限于以项目负责人身</w:t>
      </w:r>
      <w:r>
        <w:rPr>
          <w:spacing w:val="-3"/>
          <w:sz w:val="22"/>
        </w:rPr>
        <w:t>份参与的项目，类似项目定义和项目负责人近年负责的类似项目的年份要求见投标人须知前附表。投标人须知前附表规定需提供项目负责人任职业绩所附支持性材料的，应按投标人须知前附表</w:t>
      </w:r>
    </w:p>
    <w:p>
      <w:pPr>
        <w:pStyle w:val="9"/>
        <w:spacing w:line="279" w:lineRule="exact"/>
        <w:ind w:left="332"/>
      </w:pPr>
      <w:r>
        <w:t>规定附相关材料的复印件。</w:t>
      </w:r>
    </w:p>
    <w:p>
      <w:pPr>
        <w:pStyle w:val="13"/>
        <w:numPr>
          <w:ilvl w:val="0"/>
          <w:numId w:val="22"/>
        </w:numPr>
        <w:tabs>
          <w:tab w:val="left" w:pos="1275"/>
        </w:tabs>
        <w:spacing w:before="59" w:after="0" w:line="292" w:lineRule="auto"/>
        <w:ind w:left="332" w:right="609" w:firstLine="391"/>
        <w:jc w:val="both"/>
        <w:rPr>
          <w:sz w:val="22"/>
        </w:rPr>
      </w:pPr>
      <w:r>
        <w:rPr>
          <w:spacing w:val="-5"/>
          <w:sz w:val="22"/>
        </w:rPr>
        <w:t>“主要项目管理人员简历表”中的主要项目管理人员指拟任项目副经理</w:t>
      </w:r>
      <w:r>
        <w:rPr>
          <w:sz w:val="22"/>
        </w:rPr>
        <w:t>（</w:t>
      </w:r>
      <w:r>
        <w:rPr>
          <w:spacing w:val="-2"/>
          <w:sz w:val="22"/>
        </w:rPr>
        <w:t>如有</w:t>
      </w:r>
      <w:r>
        <w:rPr>
          <w:spacing w:val="-3"/>
          <w:sz w:val="22"/>
        </w:rPr>
        <w:t>）、技术负</w:t>
      </w:r>
      <w:r>
        <w:rPr>
          <w:spacing w:val="-1"/>
          <w:sz w:val="22"/>
        </w:rPr>
        <w:t>责人、专职质量管理人员、专职安全管理人员及其他关键岗位人员</w:t>
      </w:r>
      <w:r>
        <w:rPr>
          <w:sz w:val="22"/>
        </w:rPr>
        <w:t>（如施工员、材料员、预算员、</w:t>
      </w:r>
      <w:r>
        <w:rPr>
          <w:spacing w:val="-1"/>
          <w:sz w:val="22"/>
        </w:rPr>
        <w:t>资料员、测量员、试验员</w:t>
      </w:r>
      <w:r>
        <w:rPr>
          <w:sz w:val="22"/>
        </w:rPr>
        <w:t>）等。“主要项目管理人员简历表”应附执业资格或岗位证书、身份证、</w:t>
      </w:r>
      <w:r>
        <w:rPr>
          <w:spacing w:val="-1"/>
          <w:sz w:val="22"/>
        </w:rPr>
        <w:t>职称证、学历证、养老保险复印件</w:t>
      </w:r>
      <w:r>
        <w:rPr>
          <w:sz w:val="22"/>
        </w:rPr>
        <w:t>（退休人员可提供退休证和聘用证），专职安全生产管理人员应</w:t>
      </w:r>
      <w:r>
        <w:rPr>
          <w:spacing w:val="-3"/>
          <w:sz w:val="22"/>
        </w:rPr>
        <w:t>附安全生产考核合格证书复印件。</w:t>
      </w:r>
    </w:p>
    <w:p>
      <w:pPr>
        <w:pStyle w:val="9"/>
        <w:spacing w:line="292" w:lineRule="auto"/>
        <w:ind w:left="332" w:right="609" w:firstLine="391"/>
      </w:pPr>
      <w:r>
        <w:t>投标人须知前附表规定需提供主要业绩所附支持性材料的，应按投标人须知前附表规定内容另附相关材料的复印件。</w:t>
      </w:r>
    </w:p>
    <w:p>
      <w:pPr>
        <w:pStyle w:val="13"/>
        <w:numPr>
          <w:ilvl w:val="2"/>
          <w:numId w:val="11"/>
        </w:numPr>
        <w:tabs>
          <w:tab w:val="left" w:pos="1275"/>
        </w:tabs>
        <w:spacing w:before="0" w:after="0" w:line="292" w:lineRule="auto"/>
        <w:ind w:left="332" w:right="609" w:firstLine="391"/>
        <w:jc w:val="left"/>
        <w:rPr>
          <w:sz w:val="20"/>
        </w:rPr>
      </w:pPr>
      <w:r>
        <w:rPr>
          <w:spacing w:val="-7"/>
          <w:sz w:val="22"/>
        </w:rPr>
        <w:t xml:space="preserve">“近年完成的类似项目情况表”应按实填写。类似项目定义同本章第 </w:t>
      </w:r>
      <w:r>
        <w:rPr>
          <w:spacing w:val="-5"/>
          <w:sz w:val="22"/>
        </w:rPr>
        <w:t>3.5.2（1）目，近年</w:t>
      </w:r>
      <w:r>
        <w:rPr>
          <w:spacing w:val="-3"/>
          <w:sz w:val="22"/>
        </w:rPr>
        <w:t>完成的类似项目的年份要求见投标人须知前附表。每张表格只填写一个项目，并标明序号。</w:t>
      </w:r>
    </w:p>
    <w:p>
      <w:pPr>
        <w:pStyle w:val="9"/>
        <w:spacing w:line="292" w:lineRule="auto"/>
        <w:ind w:left="332" w:right="609" w:firstLine="391"/>
      </w:pPr>
      <w:r>
        <w:t>投标人须知前附表规定需提供近年完成的类似项目所附支持性材料的，应按投标人须知前附表规定内容另附相关材料的复印件。</w:t>
      </w:r>
    </w:p>
    <w:p>
      <w:pPr>
        <w:pStyle w:val="13"/>
        <w:numPr>
          <w:ilvl w:val="2"/>
          <w:numId w:val="11"/>
        </w:numPr>
        <w:tabs>
          <w:tab w:val="left" w:pos="1275"/>
        </w:tabs>
        <w:spacing w:before="0" w:after="0" w:line="292" w:lineRule="auto"/>
        <w:ind w:left="724" w:right="501" w:firstLine="0"/>
        <w:jc w:val="left"/>
        <w:rPr>
          <w:sz w:val="20"/>
        </w:rPr>
      </w:pPr>
      <w:r>
        <w:rPr>
          <w:spacing w:val="-8"/>
          <w:sz w:val="22"/>
        </w:rPr>
        <w:t xml:space="preserve">“正在施工和新承接的项目情况表”应按实填写。每张表格只填写一个项目，并标明序号 </w:t>
      </w:r>
      <w:r>
        <w:rPr>
          <w:sz w:val="22"/>
        </w:rPr>
        <w:t>。投标人须知前附表规定需提供正在施工和新承接的项目所附支持性材料的，应按投标人须知前</w:t>
      </w:r>
    </w:p>
    <w:p>
      <w:pPr>
        <w:pStyle w:val="9"/>
        <w:spacing w:line="280" w:lineRule="exact"/>
        <w:ind w:left="332"/>
      </w:pPr>
      <w:r>
        <w:t>附表规定内容另附相关材料的复印件。</w:t>
      </w:r>
    </w:p>
    <w:p>
      <w:pPr>
        <w:pStyle w:val="13"/>
        <w:numPr>
          <w:ilvl w:val="1"/>
          <w:numId w:val="11"/>
        </w:numPr>
        <w:tabs>
          <w:tab w:val="left" w:pos="974"/>
        </w:tabs>
        <w:spacing w:before="131" w:after="0" w:line="240" w:lineRule="auto"/>
        <w:ind w:left="973" w:right="0" w:hanging="642"/>
        <w:jc w:val="left"/>
        <w:rPr>
          <w:sz w:val="32"/>
        </w:rPr>
      </w:pPr>
      <w:r>
        <w:rPr>
          <w:sz w:val="32"/>
        </w:rPr>
        <w:t>投标文件的编制</w:t>
      </w:r>
    </w:p>
    <w:p>
      <w:pPr>
        <w:pStyle w:val="13"/>
        <w:numPr>
          <w:ilvl w:val="2"/>
          <w:numId w:val="11"/>
        </w:numPr>
        <w:tabs>
          <w:tab w:val="left" w:pos="1329"/>
        </w:tabs>
        <w:spacing w:before="137" w:after="0" w:line="292" w:lineRule="auto"/>
        <w:ind w:left="332" w:right="607" w:firstLine="391"/>
        <w:jc w:val="both"/>
        <w:rPr>
          <w:sz w:val="22"/>
        </w:rPr>
      </w:pPr>
      <w:r>
        <w:rPr>
          <w:spacing w:val="-9"/>
          <w:sz w:val="22"/>
        </w:rPr>
        <w:t>投标文件应按第八章“投标文件格式”进行编写，如有必要，可以增加附页，作为投标文</w:t>
      </w:r>
      <w:r>
        <w:rPr>
          <w:spacing w:val="-3"/>
          <w:sz w:val="22"/>
        </w:rPr>
        <w:t>件的组成部分。</w:t>
      </w:r>
    </w:p>
    <w:p>
      <w:pPr>
        <w:pStyle w:val="13"/>
        <w:numPr>
          <w:ilvl w:val="2"/>
          <w:numId w:val="11"/>
        </w:numPr>
        <w:tabs>
          <w:tab w:val="left" w:pos="1329"/>
        </w:tabs>
        <w:spacing w:before="0" w:after="0" w:line="292" w:lineRule="auto"/>
        <w:ind w:left="332" w:right="609" w:firstLine="391"/>
        <w:jc w:val="both"/>
        <w:rPr>
          <w:sz w:val="22"/>
        </w:rPr>
      </w:pPr>
      <w:r>
        <w:rPr>
          <w:spacing w:val="-8"/>
          <w:sz w:val="22"/>
        </w:rPr>
        <w:t>投标文件应当对招标文件的工期、投标有效期、质量要求、技术标准和要求、招标范围等</w:t>
      </w:r>
      <w:r>
        <w:rPr>
          <w:spacing w:val="-1"/>
          <w:sz w:val="22"/>
        </w:rPr>
        <w:t>实质性内容作出响应。技术标应针对本项目的关键技术、工艺、重点和难点进行编制，如果未采用新工艺、新技术、新工法的，应避免把标准、规范、规程和工法的具体内容载入技术标，且技术标</w:t>
      </w:r>
    </w:p>
    <w:p>
      <w:pPr>
        <w:spacing w:after="0" w:line="292" w:lineRule="auto"/>
        <w:jc w:val="both"/>
        <w:rPr>
          <w:sz w:val="22"/>
        </w:rPr>
        <w:sectPr>
          <w:pgSz w:w="11910" w:h="16840"/>
          <w:pgMar w:top="1100" w:right="660" w:bottom="1180" w:left="800" w:header="878" w:footer="993" w:gutter="0"/>
          <w:cols w:space="720" w:num="1"/>
        </w:sectPr>
      </w:pPr>
    </w:p>
    <w:p>
      <w:pPr>
        <w:pStyle w:val="9"/>
        <w:spacing w:before="4"/>
        <w:rPr>
          <w:sz w:val="20"/>
        </w:rPr>
      </w:pPr>
    </w:p>
    <w:p>
      <w:pPr>
        <w:pStyle w:val="9"/>
        <w:spacing w:before="70"/>
        <w:ind w:left="332"/>
      </w:pPr>
      <w:r>
        <w:t>中不得提供与本工程无关内容。</w:t>
      </w:r>
    </w:p>
    <w:p>
      <w:pPr>
        <w:pStyle w:val="13"/>
        <w:numPr>
          <w:ilvl w:val="2"/>
          <w:numId w:val="11"/>
        </w:numPr>
        <w:tabs>
          <w:tab w:val="left" w:pos="1329"/>
        </w:tabs>
        <w:spacing w:before="61" w:after="0" w:line="292" w:lineRule="auto"/>
        <w:ind w:left="332" w:right="611" w:firstLine="391"/>
        <w:jc w:val="both"/>
        <w:rPr>
          <w:sz w:val="22"/>
        </w:rPr>
      </w:pPr>
      <w:r>
        <w:rPr>
          <w:spacing w:val="-8"/>
          <w:sz w:val="22"/>
        </w:rPr>
        <w:t xml:space="preserve">技术标文字部分统一采用宋体小四号，字符间距为标准间距，行距为 </w:t>
      </w:r>
      <w:r>
        <w:rPr>
          <w:sz w:val="22"/>
        </w:rPr>
        <w:t>1.5</w:t>
      </w:r>
      <w:r>
        <w:rPr>
          <w:spacing w:val="-13"/>
          <w:sz w:val="22"/>
        </w:rPr>
        <w:t xml:space="preserve"> 倍行距，纸张规</w:t>
      </w:r>
      <w:r>
        <w:rPr>
          <w:spacing w:val="21"/>
          <w:sz w:val="22"/>
        </w:rPr>
        <w:t>格为</w:t>
      </w:r>
      <w:r>
        <w:rPr>
          <w:sz w:val="22"/>
        </w:rPr>
        <w:t>A4（</w:t>
      </w:r>
      <w:r>
        <w:rPr>
          <w:spacing w:val="-2"/>
          <w:sz w:val="22"/>
        </w:rPr>
        <w:t xml:space="preserve">除个别资料如平面布置图可采用 </w:t>
      </w:r>
      <w:r>
        <w:rPr>
          <w:sz w:val="22"/>
        </w:rPr>
        <w:t>A3</w:t>
      </w:r>
      <w:r>
        <w:rPr>
          <w:spacing w:val="-11"/>
          <w:sz w:val="22"/>
        </w:rPr>
        <w:t xml:space="preserve"> 纸</w:t>
      </w:r>
      <w:r>
        <w:rPr>
          <w:sz w:val="22"/>
        </w:rPr>
        <w:t>），页数不超过投标人须知前附表规定的页数（不</w:t>
      </w:r>
      <w:r>
        <w:rPr>
          <w:spacing w:val="-3"/>
          <w:sz w:val="22"/>
        </w:rPr>
        <w:t>包括封面、图纸、封底</w:t>
      </w:r>
      <w:r>
        <w:rPr>
          <w:sz w:val="22"/>
        </w:rPr>
        <w:t>）</w:t>
      </w:r>
    </w:p>
    <w:p>
      <w:pPr>
        <w:pStyle w:val="13"/>
        <w:numPr>
          <w:ilvl w:val="2"/>
          <w:numId w:val="11"/>
        </w:numPr>
        <w:tabs>
          <w:tab w:val="left" w:pos="1329"/>
        </w:tabs>
        <w:spacing w:before="0" w:after="0" w:line="292" w:lineRule="auto"/>
        <w:ind w:left="332" w:right="608" w:firstLine="391"/>
        <w:jc w:val="both"/>
        <w:rPr>
          <w:sz w:val="22"/>
        </w:rPr>
      </w:pPr>
      <w:r>
        <w:rPr>
          <w:spacing w:val="-5"/>
          <w:sz w:val="22"/>
        </w:rPr>
        <w:t>投标文件应用不褪色的材料书写或打印，文本内容</w:t>
      </w:r>
      <w:r>
        <w:rPr>
          <w:spacing w:val="-3"/>
          <w:sz w:val="22"/>
        </w:rPr>
        <w:t>（</w:t>
      </w:r>
      <w:r>
        <w:rPr>
          <w:spacing w:val="-7"/>
          <w:sz w:val="22"/>
        </w:rPr>
        <w:t>不包括封面、目录、封底及图纸</w:t>
      </w:r>
      <w:r>
        <w:rPr>
          <w:spacing w:val="-17"/>
          <w:sz w:val="22"/>
        </w:rPr>
        <w:t>）</w:t>
      </w:r>
      <w:r>
        <w:rPr>
          <w:sz w:val="22"/>
        </w:rPr>
        <w:t>宜</w:t>
      </w:r>
      <w:r>
        <w:rPr>
          <w:spacing w:val="-1"/>
          <w:sz w:val="22"/>
        </w:rPr>
        <w:t>双面打印或复印，需盖章和签字处应由投标人的法定代表人或其委托代理人签字或盖章并加盖单位公章。委托代理人签字或盖章的，投标文件中应附法定代表人签署的授权委托书。投标文件应尽量避免涂改、行间插字或删除，如果出现上述情况，改动之处应加盖投标人单位公章或由投标人的法</w:t>
      </w:r>
      <w:r>
        <w:rPr>
          <w:spacing w:val="-3"/>
          <w:sz w:val="22"/>
        </w:rPr>
        <w:t>定代表人或其委托代理人签字或盖章确认。签字和盖章要求见投标人须知前附表。</w:t>
      </w:r>
    </w:p>
    <w:p>
      <w:pPr>
        <w:pStyle w:val="13"/>
        <w:numPr>
          <w:ilvl w:val="2"/>
          <w:numId w:val="11"/>
        </w:numPr>
        <w:tabs>
          <w:tab w:val="left" w:pos="1329"/>
        </w:tabs>
        <w:spacing w:before="0" w:after="0" w:line="292" w:lineRule="auto"/>
        <w:ind w:left="332" w:right="607" w:firstLine="391"/>
        <w:jc w:val="both"/>
        <w:rPr>
          <w:sz w:val="22"/>
        </w:rPr>
      </w:pPr>
      <w:r>
        <w:rPr>
          <w:spacing w:val="-8"/>
          <w:sz w:val="22"/>
        </w:rPr>
        <w:t>投标文件正本和副本的封面上应清楚地标记“正本”或“副本”的字样，正本和副本不一</w:t>
      </w:r>
      <w:r>
        <w:rPr>
          <w:spacing w:val="-3"/>
          <w:sz w:val="22"/>
        </w:rPr>
        <w:t>致时，以正本为准；投标文件份数见投标人须知前附表。</w:t>
      </w:r>
    </w:p>
    <w:p>
      <w:pPr>
        <w:pStyle w:val="13"/>
        <w:numPr>
          <w:ilvl w:val="2"/>
          <w:numId w:val="11"/>
        </w:numPr>
        <w:tabs>
          <w:tab w:val="left" w:pos="1384"/>
        </w:tabs>
        <w:spacing w:before="0" w:after="0" w:line="292" w:lineRule="auto"/>
        <w:ind w:left="332" w:right="612" w:firstLine="391"/>
        <w:jc w:val="both"/>
        <w:rPr>
          <w:sz w:val="22"/>
        </w:rPr>
      </w:pPr>
      <w:r>
        <w:rPr>
          <w:sz w:val="22"/>
        </w:rPr>
        <w:t>投标文件的正本与副本应分别装订成册，并编制目录，投标文件装订要求见投标人须知</w:t>
      </w:r>
      <w:r>
        <w:rPr>
          <w:spacing w:val="-2"/>
          <w:sz w:val="22"/>
        </w:rPr>
        <w:t>前附表。</w:t>
      </w:r>
    </w:p>
    <w:p>
      <w:pPr>
        <w:pStyle w:val="9"/>
        <w:spacing w:before="8"/>
        <w:rPr>
          <w:sz w:val="25"/>
        </w:rPr>
      </w:pPr>
    </w:p>
    <w:p>
      <w:pPr>
        <w:pStyle w:val="3"/>
        <w:numPr>
          <w:ilvl w:val="0"/>
          <w:numId w:val="11"/>
        </w:numPr>
        <w:tabs>
          <w:tab w:val="left" w:pos="814"/>
        </w:tabs>
        <w:spacing w:before="1" w:after="0" w:line="240" w:lineRule="auto"/>
        <w:ind w:left="813" w:right="0" w:hanging="482"/>
        <w:jc w:val="left"/>
        <w:rPr>
          <w:sz w:val="30"/>
        </w:rPr>
      </w:pPr>
      <w:bookmarkStart w:id="24" w:name="4．投标"/>
      <w:bookmarkEnd w:id="24"/>
      <w:bookmarkStart w:id="25" w:name="_bookmark6"/>
      <w:bookmarkEnd w:id="25"/>
      <w:r>
        <w:t>投标</w:t>
      </w:r>
    </w:p>
    <w:p>
      <w:pPr>
        <w:pStyle w:val="9"/>
        <w:spacing w:before="11"/>
        <w:rPr>
          <w:sz w:val="36"/>
        </w:rPr>
      </w:pPr>
    </w:p>
    <w:p>
      <w:pPr>
        <w:pStyle w:val="13"/>
        <w:numPr>
          <w:ilvl w:val="1"/>
          <w:numId w:val="11"/>
        </w:numPr>
        <w:tabs>
          <w:tab w:val="left" w:pos="974"/>
        </w:tabs>
        <w:spacing w:before="1" w:after="0" w:line="240" w:lineRule="auto"/>
        <w:ind w:left="973" w:right="0" w:hanging="642"/>
        <w:jc w:val="left"/>
        <w:rPr>
          <w:sz w:val="32"/>
        </w:rPr>
      </w:pPr>
      <w:r>
        <w:rPr>
          <w:sz w:val="32"/>
        </w:rPr>
        <w:t>投标文件的密封和标记</w:t>
      </w:r>
    </w:p>
    <w:p>
      <w:pPr>
        <w:pStyle w:val="13"/>
        <w:numPr>
          <w:ilvl w:val="2"/>
          <w:numId w:val="11"/>
        </w:numPr>
        <w:tabs>
          <w:tab w:val="left" w:pos="1425"/>
        </w:tabs>
        <w:spacing w:before="136" w:after="0" w:line="240" w:lineRule="auto"/>
        <w:ind w:left="1424" w:right="0" w:hanging="661"/>
        <w:jc w:val="left"/>
        <w:rPr>
          <w:sz w:val="22"/>
        </w:rPr>
      </w:pPr>
      <w:r>
        <w:rPr>
          <w:spacing w:val="-3"/>
          <w:sz w:val="22"/>
        </w:rPr>
        <w:t>投标文件包装要求见投标人须知前附表。</w:t>
      </w:r>
    </w:p>
    <w:p>
      <w:pPr>
        <w:pStyle w:val="13"/>
        <w:numPr>
          <w:ilvl w:val="2"/>
          <w:numId w:val="11"/>
        </w:numPr>
        <w:tabs>
          <w:tab w:val="left" w:pos="1425"/>
        </w:tabs>
        <w:spacing w:before="61" w:after="0" w:line="240" w:lineRule="auto"/>
        <w:ind w:left="1424" w:right="0" w:hanging="661"/>
        <w:jc w:val="left"/>
        <w:rPr>
          <w:sz w:val="22"/>
        </w:rPr>
      </w:pPr>
      <w:r>
        <w:rPr>
          <w:spacing w:val="-3"/>
          <w:sz w:val="22"/>
        </w:rPr>
        <w:t>投标文件的封套标记应清晰，内容见投标人须知前附表。</w:t>
      </w:r>
    </w:p>
    <w:p>
      <w:pPr>
        <w:pStyle w:val="13"/>
        <w:numPr>
          <w:ilvl w:val="1"/>
          <w:numId w:val="11"/>
        </w:numPr>
        <w:tabs>
          <w:tab w:val="left" w:pos="974"/>
        </w:tabs>
        <w:spacing w:before="139" w:after="0" w:line="240" w:lineRule="auto"/>
        <w:ind w:left="973" w:right="0" w:hanging="642"/>
        <w:jc w:val="left"/>
        <w:rPr>
          <w:sz w:val="32"/>
        </w:rPr>
      </w:pPr>
      <w:r>
        <w:rPr>
          <w:sz w:val="32"/>
        </w:rPr>
        <w:t>投标文件的提交</w:t>
      </w:r>
    </w:p>
    <w:p>
      <w:pPr>
        <w:pStyle w:val="13"/>
        <w:numPr>
          <w:ilvl w:val="2"/>
          <w:numId w:val="11"/>
        </w:numPr>
        <w:tabs>
          <w:tab w:val="left" w:pos="1425"/>
        </w:tabs>
        <w:spacing w:before="139" w:after="0" w:line="240" w:lineRule="auto"/>
        <w:ind w:left="1424" w:right="0" w:hanging="661"/>
        <w:jc w:val="left"/>
        <w:rPr>
          <w:sz w:val="22"/>
        </w:rPr>
      </w:pPr>
      <w:r>
        <w:rPr>
          <w:spacing w:val="-3"/>
          <w:sz w:val="22"/>
        </w:rPr>
        <w:t>投标截止时间</w:t>
      </w:r>
      <w:r>
        <w:rPr>
          <w:sz w:val="22"/>
        </w:rPr>
        <w:t>（</w:t>
      </w:r>
      <w:r>
        <w:rPr>
          <w:spacing w:val="-3"/>
          <w:sz w:val="22"/>
        </w:rPr>
        <w:t>即开标时间</w:t>
      </w:r>
      <w:r>
        <w:rPr>
          <w:sz w:val="22"/>
        </w:rPr>
        <w:t>）</w:t>
      </w:r>
      <w:r>
        <w:rPr>
          <w:spacing w:val="-3"/>
          <w:sz w:val="22"/>
        </w:rPr>
        <w:t>见投标人须知前附表</w:t>
      </w:r>
    </w:p>
    <w:p>
      <w:pPr>
        <w:pStyle w:val="13"/>
        <w:numPr>
          <w:ilvl w:val="2"/>
          <w:numId w:val="11"/>
        </w:numPr>
        <w:tabs>
          <w:tab w:val="left" w:pos="1425"/>
        </w:tabs>
        <w:spacing w:before="61" w:after="0" w:line="240" w:lineRule="auto"/>
        <w:ind w:left="1424" w:right="0" w:hanging="661"/>
        <w:jc w:val="left"/>
        <w:rPr>
          <w:sz w:val="22"/>
        </w:rPr>
      </w:pPr>
      <w:r>
        <w:rPr>
          <w:spacing w:val="-3"/>
          <w:sz w:val="22"/>
        </w:rPr>
        <w:t>提交投标文件地点</w:t>
      </w:r>
      <w:r>
        <w:rPr>
          <w:sz w:val="22"/>
        </w:rPr>
        <w:t>（</w:t>
      </w:r>
      <w:r>
        <w:rPr>
          <w:spacing w:val="-3"/>
          <w:sz w:val="22"/>
        </w:rPr>
        <w:t>即开标地点</w:t>
      </w:r>
      <w:r>
        <w:rPr>
          <w:sz w:val="22"/>
        </w:rPr>
        <w:t>）</w:t>
      </w:r>
      <w:r>
        <w:rPr>
          <w:spacing w:val="-3"/>
          <w:sz w:val="22"/>
        </w:rPr>
        <w:t>见投标人须知前附表。</w:t>
      </w:r>
    </w:p>
    <w:p>
      <w:pPr>
        <w:pStyle w:val="13"/>
        <w:numPr>
          <w:ilvl w:val="2"/>
          <w:numId w:val="11"/>
        </w:numPr>
        <w:tabs>
          <w:tab w:val="left" w:pos="1425"/>
        </w:tabs>
        <w:spacing w:before="59" w:after="0" w:line="240" w:lineRule="auto"/>
        <w:ind w:left="1424" w:right="0" w:hanging="661"/>
        <w:jc w:val="left"/>
        <w:rPr>
          <w:sz w:val="22"/>
        </w:rPr>
      </w:pPr>
      <w:r>
        <w:rPr>
          <w:spacing w:val="-3"/>
          <w:sz w:val="22"/>
        </w:rPr>
        <w:t>除投标人须知前附表另有规定外，投标人所提交的投标文件不予退还。</w:t>
      </w:r>
    </w:p>
    <w:p>
      <w:pPr>
        <w:pStyle w:val="13"/>
        <w:numPr>
          <w:ilvl w:val="2"/>
          <w:numId w:val="11"/>
        </w:numPr>
        <w:tabs>
          <w:tab w:val="left" w:pos="1372"/>
        </w:tabs>
        <w:spacing w:before="62" w:after="0" w:line="292" w:lineRule="auto"/>
        <w:ind w:left="332" w:right="612" w:firstLine="432"/>
        <w:jc w:val="left"/>
        <w:rPr>
          <w:sz w:val="22"/>
        </w:rPr>
      </w:pPr>
      <w:r>
        <w:rPr>
          <w:sz w:val="22"/>
        </w:rPr>
        <w:t>如果投标文件未按投标人须知规定进行封套标记的，招标人将不承担投标文件被误投或</w:t>
      </w:r>
      <w:r>
        <w:rPr>
          <w:spacing w:val="-3"/>
          <w:sz w:val="22"/>
        </w:rPr>
        <w:t>提前拆封的责任。</w:t>
      </w:r>
    </w:p>
    <w:p>
      <w:pPr>
        <w:pStyle w:val="13"/>
        <w:numPr>
          <w:ilvl w:val="2"/>
          <w:numId w:val="11"/>
        </w:numPr>
        <w:tabs>
          <w:tab w:val="left" w:pos="1370"/>
        </w:tabs>
        <w:spacing w:before="1" w:after="0" w:line="240" w:lineRule="auto"/>
        <w:ind w:left="1369" w:right="0" w:hanging="606"/>
        <w:jc w:val="left"/>
        <w:rPr>
          <w:sz w:val="22"/>
        </w:rPr>
      </w:pPr>
      <w:r>
        <w:rPr>
          <w:spacing w:val="-3"/>
          <w:sz w:val="22"/>
        </w:rPr>
        <w:t>投标人应在投标截止时间前将投标文件提交至指定地点。</w:t>
      </w:r>
    </w:p>
    <w:p>
      <w:pPr>
        <w:pStyle w:val="13"/>
        <w:numPr>
          <w:ilvl w:val="1"/>
          <w:numId w:val="11"/>
        </w:numPr>
        <w:tabs>
          <w:tab w:val="left" w:pos="974"/>
        </w:tabs>
        <w:spacing w:before="136" w:after="0" w:line="240" w:lineRule="auto"/>
        <w:ind w:left="973" w:right="0" w:hanging="642"/>
        <w:jc w:val="left"/>
        <w:rPr>
          <w:sz w:val="32"/>
        </w:rPr>
      </w:pPr>
      <w:r>
        <w:rPr>
          <w:sz w:val="32"/>
        </w:rPr>
        <w:t>投标文件的修改与撤回</w:t>
      </w:r>
    </w:p>
    <w:p>
      <w:pPr>
        <w:pStyle w:val="13"/>
        <w:numPr>
          <w:ilvl w:val="2"/>
          <w:numId w:val="11"/>
        </w:numPr>
        <w:tabs>
          <w:tab w:val="left" w:pos="1372"/>
        </w:tabs>
        <w:spacing w:before="139" w:after="0" w:line="290" w:lineRule="auto"/>
        <w:ind w:left="332" w:right="612" w:firstLine="432"/>
        <w:jc w:val="left"/>
        <w:rPr>
          <w:sz w:val="22"/>
        </w:rPr>
      </w:pPr>
      <w:r>
        <w:rPr>
          <w:sz w:val="22"/>
        </w:rPr>
        <w:t>投标截止时间前，投标人可以修改或撤回已提交的投标文件，但应以书面形式通知招标人。</w:t>
      </w:r>
    </w:p>
    <w:p>
      <w:pPr>
        <w:pStyle w:val="13"/>
        <w:numPr>
          <w:ilvl w:val="2"/>
          <w:numId w:val="11"/>
        </w:numPr>
        <w:tabs>
          <w:tab w:val="left" w:pos="1368"/>
        </w:tabs>
        <w:spacing w:before="2" w:after="0" w:line="240" w:lineRule="auto"/>
        <w:ind w:left="1367" w:right="0" w:hanging="604"/>
        <w:jc w:val="left"/>
        <w:rPr>
          <w:sz w:val="22"/>
        </w:rPr>
      </w:pPr>
      <w:r>
        <w:rPr>
          <w:spacing w:val="-6"/>
          <w:sz w:val="22"/>
        </w:rPr>
        <w:t xml:space="preserve">投标人修改或撤回已提交投标文件的书面通知应按照本章第 </w:t>
      </w:r>
      <w:r>
        <w:rPr>
          <w:sz w:val="22"/>
        </w:rPr>
        <w:t>3.6.4</w:t>
      </w:r>
      <w:r>
        <w:rPr>
          <w:spacing w:val="-9"/>
          <w:sz w:val="22"/>
        </w:rPr>
        <w:t xml:space="preserve"> 项的要求签字和盖章。</w:t>
      </w:r>
    </w:p>
    <w:p>
      <w:pPr>
        <w:pStyle w:val="13"/>
        <w:numPr>
          <w:ilvl w:val="2"/>
          <w:numId w:val="11"/>
        </w:numPr>
        <w:tabs>
          <w:tab w:val="left" w:pos="1372"/>
        </w:tabs>
        <w:spacing w:before="61" w:after="0" w:line="295" w:lineRule="auto"/>
        <w:ind w:left="332" w:right="611" w:firstLine="432"/>
        <w:jc w:val="left"/>
        <w:rPr>
          <w:sz w:val="22"/>
        </w:rPr>
      </w:pPr>
      <w:r>
        <w:rPr>
          <w:spacing w:val="-2"/>
          <w:sz w:val="22"/>
        </w:rPr>
        <w:t xml:space="preserve">修改的内容为投标文件的组成部分。修改的投标文件应按照本章第 </w:t>
      </w:r>
      <w:r>
        <w:rPr>
          <w:sz w:val="22"/>
        </w:rPr>
        <w:t>3</w:t>
      </w:r>
      <w:r>
        <w:rPr>
          <w:spacing w:val="-15"/>
          <w:sz w:val="22"/>
        </w:rPr>
        <w:t xml:space="preserve"> 条和第 </w:t>
      </w:r>
      <w:r>
        <w:rPr>
          <w:sz w:val="22"/>
        </w:rPr>
        <w:t>4</w:t>
      </w:r>
      <w:r>
        <w:rPr>
          <w:spacing w:val="-8"/>
          <w:sz w:val="22"/>
        </w:rPr>
        <w:t xml:space="preserve"> 条规定进</w:t>
      </w:r>
      <w:r>
        <w:rPr>
          <w:spacing w:val="-3"/>
          <w:sz w:val="22"/>
        </w:rPr>
        <w:t>行编制、密封、标记和提交，并标明“修改”字样。</w:t>
      </w:r>
    </w:p>
    <w:p>
      <w:pPr>
        <w:pStyle w:val="13"/>
        <w:numPr>
          <w:ilvl w:val="1"/>
          <w:numId w:val="11"/>
        </w:numPr>
        <w:tabs>
          <w:tab w:val="left" w:pos="974"/>
        </w:tabs>
        <w:spacing w:before="71" w:after="0" w:line="240" w:lineRule="auto"/>
        <w:ind w:left="973" w:right="0" w:hanging="642"/>
        <w:jc w:val="left"/>
        <w:rPr>
          <w:sz w:val="32"/>
        </w:rPr>
      </w:pPr>
      <w:r>
        <w:rPr>
          <w:w w:val="95"/>
          <w:sz w:val="32"/>
        </w:rPr>
        <w:t>投标人员要求</w:t>
      </w:r>
    </w:p>
    <w:p>
      <w:pPr>
        <w:spacing w:before="144"/>
        <w:ind w:left="956" w:right="0" w:firstLine="0"/>
        <w:jc w:val="left"/>
        <w:rPr>
          <w:sz w:val="21"/>
        </w:rPr>
      </w:pPr>
      <w:r>
        <w:rPr>
          <w:sz w:val="21"/>
        </w:rPr>
        <w:t>见投标人须知前附表开标人代表要求。</w:t>
      </w:r>
    </w:p>
    <w:p>
      <w:pPr>
        <w:spacing w:after="0"/>
        <w:jc w:val="left"/>
        <w:rPr>
          <w:sz w:val="21"/>
        </w:rPr>
        <w:sectPr>
          <w:pgSz w:w="11910" w:h="16840"/>
          <w:pgMar w:top="1100" w:right="660" w:bottom="1180" w:left="800" w:header="878" w:footer="993" w:gutter="0"/>
          <w:cols w:space="720" w:num="1"/>
        </w:sectPr>
      </w:pPr>
    </w:p>
    <w:p>
      <w:pPr>
        <w:pStyle w:val="9"/>
        <w:spacing w:before="8"/>
        <w:rPr>
          <w:sz w:val="27"/>
        </w:rPr>
      </w:pPr>
    </w:p>
    <w:p>
      <w:pPr>
        <w:pStyle w:val="3"/>
        <w:numPr>
          <w:ilvl w:val="0"/>
          <w:numId w:val="11"/>
        </w:numPr>
        <w:tabs>
          <w:tab w:val="left" w:pos="814"/>
        </w:tabs>
        <w:spacing w:before="54" w:after="0" w:line="240" w:lineRule="auto"/>
        <w:ind w:left="813" w:right="0" w:hanging="482"/>
        <w:jc w:val="left"/>
        <w:rPr>
          <w:sz w:val="30"/>
        </w:rPr>
      </w:pPr>
      <w:bookmarkStart w:id="26" w:name="_bookmark7"/>
      <w:bookmarkEnd w:id="26"/>
      <w:bookmarkStart w:id="27" w:name="5．开标"/>
      <w:bookmarkEnd w:id="27"/>
      <w:r>
        <w:t>开标</w:t>
      </w:r>
    </w:p>
    <w:p>
      <w:pPr>
        <w:pStyle w:val="9"/>
        <w:spacing w:before="12"/>
        <w:rPr>
          <w:sz w:val="36"/>
        </w:rPr>
      </w:pPr>
    </w:p>
    <w:p>
      <w:pPr>
        <w:pStyle w:val="13"/>
        <w:numPr>
          <w:ilvl w:val="1"/>
          <w:numId w:val="11"/>
        </w:numPr>
        <w:tabs>
          <w:tab w:val="left" w:pos="974"/>
        </w:tabs>
        <w:spacing w:before="0" w:after="0" w:line="240" w:lineRule="auto"/>
        <w:ind w:left="973" w:right="0" w:hanging="642"/>
        <w:jc w:val="left"/>
        <w:rPr>
          <w:sz w:val="32"/>
        </w:rPr>
      </w:pPr>
      <w:r>
        <w:rPr>
          <w:sz w:val="32"/>
        </w:rPr>
        <w:t>开标准备</w:t>
      </w:r>
    </w:p>
    <w:p>
      <w:pPr>
        <w:pStyle w:val="13"/>
        <w:numPr>
          <w:ilvl w:val="2"/>
          <w:numId w:val="11"/>
        </w:numPr>
        <w:tabs>
          <w:tab w:val="left" w:pos="1370"/>
        </w:tabs>
        <w:spacing w:before="136" w:after="0" w:line="240" w:lineRule="auto"/>
        <w:ind w:left="1369" w:right="0" w:hanging="606"/>
        <w:jc w:val="left"/>
        <w:rPr>
          <w:sz w:val="22"/>
        </w:rPr>
      </w:pPr>
      <w:r>
        <w:rPr>
          <w:spacing w:val="-5"/>
          <w:sz w:val="22"/>
        </w:rPr>
        <w:t xml:space="preserve">投标人代表出席开标会需提交的材料见投标人须知前附表 </w:t>
      </w:r>
      <w:r>
        <w:rPr>
          <w:sz w:val="22"/>
        </w:rPr>
        <w:t>5.1.1。</w:t>
      </w:r>
    </w:p>
    <w:p>
      <w:pPr>
        <w:pStyle w:val="13"/>
        <w:numPr>
          <w:ilvl w:val="2"/>
          <w:numId w:val="11"/>
        </w:numPr>
        <w:tabs>
          <w:tab w:val="left" w:pos="1382"/>
        </w:tabs>
        <w:spacing w:before="62" w:after="0" w:line="292" w:lineRule="auto"/>
        <w:ind w:left="332" w:right="612" w:firstLine="441"/>
        <w:jc w:val="left"/>
        <w:rPr>
          <w:sz w:val="22"/>
        </w:rPr>
      </w:pPr>
      <w:r>
        <w:rPr>
          <w:sz w:val="22"/>
        </w:rPr>
        <w:t>开标前，根据投标人须知前附表规定，由投标人代表对投标文件密封情况和完整性等是</w:t>
      </w:r>
      <w:r>
        <w:rPr>
          <w:spacing w:val="-3"/>
          <w:sz w:val="22"/>
        </w:rPr>
        <w:t>否符合招标文件要求进行检查。</w:t>
      </w:r>
    </w:p>
    <w:p>
      <w:pPr>
        <w:pStyle w:val="13"/>
        <w:numPr>
          <w:ilvl w:val="2"/>
          <w:numId w:val="11"/>
        </w:numPr>
        <w:tabs>
          <w:tab w:val="left" w:pos="1435"/>
        </w:tabs>
        <w:spacing w:before="0" w:after="0" w:line="292" w:lineRule="auto"/>
        <w:ind w:left="332" w:right="501" w:firstLine="441"/>
        <w:jc w:val="left"/>
        <w:rPr>
          <w:sz w:val="22"/>
        </w:rPr>
      </w:pPr>
      <w:r>
        <w:rPr>
          <w:spacing w:val="-8"/>
          <w:sz w:val="22"/>
        </w:rPr>
        <w:t xml:space="preserve">采用二阶段开评标的项目，在技术标开标后，如技术标投标文件不直接进入评标环节的， </w:t>
      </w:r>
      <w:r>
        <w:rPr>
          <w:spacing w:val="-3"/>
          <w:sz w:val="22"/>
        </w:rPr>
        <w:t>技术标投标文件正本与未开启的投标文件一并到开标区域保密室进行封存。</w:t>
      </w:r>
    </w:p>
    <w:p>
      <w:pPr>
        <w:pStyle w:val="13"/>
        <w:numPr>
          <w:ilvl w:val="1"/>
          <w:numId w:val="11"/>
        </w:numPr>
        <w:tabs>
          <w:tab w:val="left" w:pos="895"/>
        </w:tabs>
        <w:spacing w:before="74" w:after="0" w:line="240" w:lineRule="auto"/>
        <w:ind w:left="894" w:right="0" w:hanging="563"/>
        <w:jc w:val="left"/>
        <w:rPr>
          <w:sz w:val="32"/>
        </w:rPr>
      </w:pPr>
      <w:r>
        <w:rPr>
          <w:sz w:val="32"/>
        </w:rPr>
        <w:t>拒绝接收</w:t>
      </w:r>
    </w:p>
    <w:p>
      <w:pPr>
        <w:spacing w:before="144"/>
        <w:ind w:left="752" w:right="0" w:firstLine="0"/>
        <w:jc w:val="left"/>
        <w:rPr>
          <w:sz w:val="21"/>
        </w:rPr>
      </w:pPr>
      <w:r>
        <w:rPr>
          <w:w w:val="95"/>
          <w:sz w:val="21"/>
        </w:rPr>
        <w:t>投标人有下列情形之一的，招标人应当拒收投标文件：</w:t>
      </w:r>
    </w:p>
    <w:p>
      <w:pPr>
        <w:pStyle w:val="13"/>
        <w:numPr>
          <w:ilvl w:val="2"/>
          <w:numId w:val="11"/>
        </w:numPr>
        <w:tabs>
          <w:tab w:val="left" w:pos="1384"/>
        </w:tabs>
        <w:spacing w:before="75" w:after="0" w:line="240" w:lineRule="auto"/>
        <w:ind w:left="1384" w:right="0" w:hanging="632"/>
        <w:jc w:val="left"/>
        <w:rPr>
          <w:sz w:val="21"/>
        </w:rPr>
      </w:pPr>
      <w:r>
        <w:rPr>
          <w:w w:val="95"/>
          <w:sz w:val="21"/>
        </w:rPr>
        <w:t>投标文件逾期送达或者未送达指定地点的；</w:t>
      </w:r>
    </w:p>
    <w:p>
      <w:pPr>
        <w:pStyle w:val="13"/>
        <w:numPr>
          <w:ilvl w:val="2"/>
          <w:numId w:val="11"/>
        </w:numPr>
        <w:tabs>
          <w:tab w:val="left" w:pos="1332"/>
        </w:tabs>
        <w:spacing w:before="71" w:after="0" w:line="240" w:lineRule="auto"/>
        <w:ind w:left="1331" w:right="0" w:hanging="580"/>
        <w:jc w:val="left"/>
        <w:rPr>
          <w:sz w:val="21"/>
        </w:rPr>
      </w:pPr>
      <w:r>
        <w:rPr>
          <w:sz w:val="21"/>
        </w:rPr>
        <w:t>未按照招标文件要求密封的；</w:t>
      </w:r>
    </w:p>
    <w:p>
      <w:pPr>
        <w:pStyle w:val="13"/>
        <w:numPr>
          <w:ilvl w:val="2"/>
          <w:numId w:val="11"/>
        </w:numPr>
        <w:tabs>
          <w:tab w:val="left" w:pos="1332"/>
        </w:tabs>
        <w:spacing w:before="75" w:after="0" w:line="240" w:lineRule="auto"/>
        <w:ind w:left="1331" w:right="0" w:hanging="580"/>
        <w:jc w:val="left"/>
        <w:rPr>
          <w:sz w:val="21"/>
        </w:rPr>
      </w:pPr>
      <w:r>
        <w:rPr>
          <w:spacing w:val="-2"/>
          <w:sz w:val="21"/>
        </w:rPr>
        <w:t xml:space="preserve">授权委托人无合法、有效的授权委托书和身份证明或者不符合投标人须知 </w:t>
      </w:r>
      <w:r>
        <w:rPr>
          <w:sz w:val="21"/>
        </w:rPr>
        <w:t>5.1.1</w:t>
      </w:r>
      <w:r>
        <w:rPr>
          <w:spacing w:val="-12"/>
          <w:sz w:val="21"/>
        </w:rPr>
        <w:t xml:space="preserve"> 规定的。</w:t>
      </w:r>
    </w:p>
    <w:p>
      <w:pPr>
        <w:pStyle w:val="13"/>
        <w:numPr>
          <w:ilvl w:val="1"/>
          <w:numId w:val="11"/>
        </w:numPr>
        <w:tabs>
          <w:tab w:val="left" w:pos="974"/>
        </w:tabs>
        <w:spacing w:before="146" w:after="0" w:line="240" w:lineRule="auto"/>
        <w:ind w:left="973" w:right="0" w:hanging="642"/>
        <w:jc w:val="left"/>
        <w:rPr>
          <w:sz w:val="32"/>
        </w:rPr>
      </w:pPr>
      <w:r>
        <w:rPr>
          <w:sz w:val="32"/>
        </w:rPr>
        <w:t>开标程序</w:t>
      </w:r>
    </w:p>
    <w:p>
      <w:pPr>
        <w:pStyle w:val="9"/>
        <w:spacing w:before="136" w:line="292" w:lineRule="auto"/>
        <w:ind w:left="332" w:right="609" w:firstLine="484"/>
      </w:pPr>
      <w:r>
        <w:t>招标人在投标人须知前附表规定的投标截止时间(开标时间)和开标地点公开开标。开标由招标人（或招标代理机构）主持，按下列主要程序进行：</w:t>
      </w:r>
    </w:p>
    <w:p>
      <w:pPr>
        <w:pStyle w:val="13"/>
        <w:numPr>
          <w:ilvl w:val="0"/>
          <w:numId w:val="23"/>
        </w:numPr>
        <w:tabs>
          <w:tab w:val="left" w:pos="1261"/>
        </w:tabs>
        <w:spacing w:before="0" w:after="0" w:line="280" w:lineRule="exact"/>
        <w:ind w:left="1260" w:right="0" w:hanging="554"/>
        <w:jc w:val="left"/>
        <w:rPr>
          <w:sz w:val="22"/>
        </w:rPr>
      </w:pPr>
      <w:r>
        <w:rPr>
          <w:spacing w:val="-3"/>
          <w:sz w:val="22"/>
        </w:rPr>
        <w:t>主持人宣布开标纪律；</w:t>
      </w:r>
    </w:p>
    <w:p>
      <w:pPr>
        <w:pStyle w:val="13"/>
        <w:numPr>
          <w:ilvl w:val="0"/>
          <w:numId w:val="23"/>
        </w:numPr>
        <w:tabs>
          <w:tab w:val="left" w:pos="1261"/>
        </w:tabs>
        <w:spacing w:before="62" w:after="0" w:line="240" w:lineRule="auto"/>
        <w:ind w:left="1260" w:right="0" w:hanging="554"/>
        <w:jc w:val="left"/>
        <w:rPr>
          <w:sz w:val="22"/>
        </w:rPr>
      </w:pPr>
      <w:r>
        <w:rPr>
          <w:spacing w:val="-3"/>
          <w:sz w:val="22"/>
        </w:rPr>
        <w:t>公布在投标截止时间前递交投标文件的投标人名称；</w:t>
      </w:r>
    </w:p>
    <w:p>
      <w:pPr>
        <w:pStyle w:val="13"/>
        <w:numPr>
          <w:ilvl w:val="0"/>
          <w:numId w:val="23"/>
        </w:numPr>
        <w:tabs>
          <w:tab w:val="left" w:pos="1261"/>
        </w:tabs>
        <w:spacing w:before="61" w:after="0" w:line="240" w:lineRule="auto"/>
        <w:ind w:left="1260" w:right="0" w:hanging="554"/>
        <w:jc w:val="left"/>
        <w:rPr>
          <w:sz w:val="22"/>
        </w:rPr>
      </w:pPr>
      <w:r>
        <w:rPr>
          <w:spacing w:val="-3"/>
          <w:sz w:val="22"/>
        </w:rPr>
        <w:t>宣布对投标文件的密封情况查验结果；</w:t>
      </w:r>
    </w:p>
    <w:p>
      <w:pPr>
        <w:pStyle w:val="13"/>
        <w:numPr>
          <w:ilvl w:val="0"/>
          <w:numId w:val="23"/>
        </w:numPr>
        <w:tabs>
          <w:tab w:val="left" w:pos="1261"/>
        </w:tabs>
        <w:spacing w:before="61" w:after="0" w:line="240" w:lineRule="auto"/>
        <w:ind w:left="1260" w:right="0" w:hanging="554"/>
        <w:jc w:val="left"/>
        <w:rPr>
          <w:sz w:val="22"/>
        </w:rPr>
      </w:pPr>
      <w:r>
        <w:rPr>
          <w:spacing w:val="-3"/>
          <w:sz w:val="22"/>
        </w:rPr>
        <w:t>按照投标人须知前附表的规定宣布投标文件的开标顺序；</w:t>
      </w:r>
    </w:p>
    <w:p>
      <w:pPr>
        <w:pStyle w:val="13"/>
        <w:numPr>
          <w:ilvl w:val="0"/>
          <w:numId w:val="23"/>
        </w:numPr>
        <w:tabs>
          <w:tab w:val="left" w:pos="1261"/>
        </w:tabs>
        <w:spacing w:before="62" w:after="0" w:line="240" w:lineRule="auto"/>
        <w:ind w:left="1260" w:right="0" w:hanging="554"/>
        <w:jc w:val="left"/>
        <w:rPr>
          <w:sz w:val="22"/>
        </w:rPr>
      </w:pPr>
      <w:r>
        <w:rPr>
          <w:spacing w:val="-3"/>
          <w:sz w:val="22"/>
        </w:rPr>
        <w:t>按照宣布的开标顺序当众开标并记录在案；</w:t>
      </w:r>
    </w:p>
    <w:p>
      <w:pPr>
        <w:pStyle w:val="13"/>
        <w:numPr>
          <w:ilvl w:val="0"/>
          <w:numId w:val="23"/>
        </w:numPr>
        <w:tabs>
          <w:tab w:val="left" w:pos="1261"/>
        </w:tabs>
        <w:spacing w:before="61" w:after="0" w:line="240" w:lineRule="auto"/>
        <w:ind w:left="1260" w:right="0" w:hanging="554"/>
        <w:jc w:val="left"/>
        <w:rPr>
          <w:sz w:val="22"/>
        </w:rPr>
      </w:pPr>
      <w:r>
        <w:rPr>
          <w:spacing w:val="-3"/>
          <w:sz w:val="22"/>
        </w:rPr>
        <w:t>投标人代表、招标工程师等有关人员在开标记录上签字确认；</w:t>
      </w:r>
    </w:p>
    <w:p>
      <w:pPr>
        <w:pStyle w:val="13"/>
        <w:numPr>
          <w:ilvl w:val="0"/>
          <w:numId w:val="23"/>
        </w:numPr>
        <w:tabs>
          <w:tab w:val="left" w:pos="1261"/>
        </w:tabs>
        <w:spacing w:before="61" w:after="0" w:line="240" w:lineRule="auto"/>
        <w:ind w:left="1260" w:right="0" w:hanging="554"/>
        <w:jc w:val="left"/>
        <w:rPr>
          <w:sz w:val="22"/>
        </w:rPr>
      </w:pPr>
      <w:r>
        <w:rPr>
          <w:spacing w:val="-2"/>
          <w:sz w:val="22"/>
        </w:rPr>
        <w:t>开标结束。</w:t>
      </w:r>
    </w:p>
    <w:p>
      <w:pPr>
        <w:pStyle w:val="9"/>
        <w:spacing w:before="1"/>
        <w:rPr>
          <w:sz w:val="31"/>
        </w:rPr>
      </w:pPr>
    </w:p>
    <w:p>
      <w:pPr>
        <w:pStyle w:val="3"/>
        <w:numPr>
          <w:ilvl w:val="0"/>
          <w:numId w:val="11"/>
        </w:numPr>
        <w:tabs>
          <w:tab w:val="left" w:pos="814"/>
        </w:tabs>
        <w:spacing w:before="0" w:after="0" w:line="240" w:lineRule="auto"/>
        <w:ind w:left="813" w:right="0" w:hanging="482"/>
        <w:jc w:val="left"/>
        <w:rPr>
          <w:sz w:val="30"/>
        </w:rPr>
      </w:pPr>
      <w:bookmarkStart w:id="28" w:name="_bookmark8"/>
      <w:bookmarkEnd w:id="28"/>
      <w:bookmarkStart w:id="29" w:name="6．评标"/>
      <w:bookmarkEnd w:id="29"/>
      <w:r>
        <w:t>评标</w:t>
      </w:r>
    </w:p>
    <w:p>
      <w:pPr>
        <w:pStyle w:val="9"/>
        <w:spacing w:before="12"/>
        <w:rPr>
          <w:sz w:val="36"/>
        </w:rPr>
      </w:pPr>
    </w:p>
    <w:p>
      <w:pPr>
        <w:pStyle w:val="13"/>
        <w:numPr>
          <w:ilvl w:val="1"/>
          <w:numId w:val="11"/>
        </w:numPr>
        <w:tabs>
          <w:tab w:val="left" w:pos="974"/>
        </w:tabs>
        <w:spacing w:before="0" w:after="0" w:line="240" w:lineRule="auto"/>
        <w:ind w:left="973" w:right="0" w:hanging="642"/>
        <w:jc w:val="left"/>
        <w:rPr>
          <w:sz w:val="32"/>
        </w:rPr>
      </w:pPr>
      <w:r>
        <w:rPr>
          <w:sz w:val="32"/>
        </w:rPr>
        <w:t>评标委员会</w:t>
      </w:r>
    </w:p>
    <w:p>
      <w:pPr>
        <w:pStyle w:val="13"/>
        <w:numPr>
          <w:ilvl w:val="2"/>
          <w:numId w:val="11"/>
        </w:numPr>
        <w:tabs>
          <w:tab w:val="left" w:pos="1425"/>
        </w:tabs>
        <w:spacing w:before="139" w:after="0" w:line="292" w:lineRule="auto"/>
        <w:ind w:left="332" w:right="611" w:firstLine="432"/>
        <w:jc w:val="both"/>
        <w:rPr>
          <w:sz w:val="22"/>
        </w:rPr>
      </w:pPr>
      <w:r>
        <w:rPr>
          <w:sz w:val="22"/>
        </w:rPr>
        <w:t>评标由招标人依法组建的评标委员会负责。评标委员会组成见投标人须知前附表。招标</w:t>
      </w:r>
      <w:r>
        <w:rPr>
          <w:spacing w:val="-1"/>
          <w:sz w:val="22"/>
        </w:rPr>
        <w:t>人的评标代表需从事相关专业领域工作，具有中级及以上职称，熟悉有关招标投标法律法规，且不</w:t>
      </w:r>
      <w:r>
        <w:rPr>
          <w:spacing w:val="-3"/>
          <w:sz w:val="22"/>
        </w:rPr>
        <w:t>得存在与招投标业务相关的不良诚信记录或违法违规的行为记录。</w:t>
      </w:r>
    </w:p>
    <w:p>
      <w:pPr>
        <w:pStyle w:val="13"/>
        <w:numPr>
          <w:ilvl w:val="2"/>
          <w:numId w:val="11"/>
        </w:numPr>
        <w:tabs>
          <w:tab w:val="left" w:pos="1425"/>
        </w:tabs>
        <w:spacing w:before="0" w:after="0" w:line="280" w:lineRule="exact"/>
        <w:ind w:left="1424" w:right="0" w:hanging="661"/>
        <w:jc w:val="both"/>
        <w:rPr>
          <w:sz w:val="22"/>
        </w:rPr>
      </w:pPr>
      <w:r>
        <w:rPr>
          <w:spacing w:val="-3"/>
          <w:sz w:val="22"/>
        </w:rPr>
        <w:t>评标委员会成员有下列情形之一的，应主动提出回避：</w:t>
      </w:r>
    </w:p>
    <w:p>
      <w:pPr>
        <w:pStyle w:val="13"/>
        <w:numPr>
          <w:ilvl w:val="3"/>
          <w:numId w:val="11"/>
        </w:numPr>
        <w:tabs>
          <w:tab w:val="left" w:pos="1424"/>
        </w:tabs>
        <w:spacing w:before="61" w:after="0" w:line="240" w:lineRule="auto"/>
        <w:ind w:left="1423" w:right="0" w:hanging="554"/>
        <w:jc w:val="left"/>
        <w:rPr>
          <w:sz w:val="20"/>
        </w:rPr>
      </w:pPr>
      <w:r>
        <w:rPr>
          <w:spacing w:val="-3"/>
          <w:sz w:val="22"/>
        </w:rPr>
        <w:t>投标人或投标人主要负责人的近亲属；</w:t>
      </w:r>
    </w:p>
    <w:p>
      <w:pPr>
        <w:pStyle w:val="13"/>
        <w:numPr>
          <w:ilvl w:val="3"/>
          <w:numId w:val="11"/>
        </w:numPr>
        <w:tabs>
          <w:tab w:val="left" w:pos="1426"/>
        </w:tabs>
        <w:spacing w:before="62" w:after="0" w:line="240" w:lineRule="auto"/>
        <w:ind w:left="1426" w:right="0" w:hanging="554"/>
        <w:jc w:val="left"/>
        <w:rPr>
          <w:sz w:val="20"/>
        </w:rPr>
      </w:pPr>
      <w:r>
        <w:rPr>
          <w:spacing w:val="-3"/>
          <w:sz w:val="22"/>
        </w:rPr>
        <w:t>项目主管部门或者行政监督部门人员；</w:t>
      </w:r>
    </w:p>
    <w:p>
      <w:pPr>
        <w:pStyle w:val="13"/>
        <w:numPr>
          <w:ilvl w:val="3"/>
          <w:numId w:val="11"/>
        </w:numPr>
        <w:tabs>
          <w:tab w:val="left" w:pos="1426"/>
        </w:tabs>
        <w:spacing w:before="61" w:after="0" w:line="240" w:lineRule="auto"/>
        <w:ind w:left="1426" w:right="0" w:hanging="554"/>
        <w:jc w:val="left"/>
        <w:rPr>
          <w:sz w:val="20"/>
        </w:rPr>
      </w:pPr>
      <w:r>
        <w:rPr>
          <w:spacing w:val="-3"/>
          <w:sz w:val="22"/>
        </w:rPr>
        <w:t>与投标人有经济利益关系，可能对投标公正评审产生影响的；</w:t>
      </w:r>
    </w:p>
    <w:p>
      <w:pPr>
        <w:pStyle w:val="13"/>
        <w:numPr>
          <w:ilvl w:val="3"/>
          <w:numId w:val="11"/>
        </w:numPr>
        <w:tabs>
          <w:tab w:val="left" w:pos="1426"/>
        </w:tabs>
        <w:spacing w:before="61" w:after="0" w:line="292" w:lineRule="auto"/>
        <w:ind w:left="332" w:right="611" w:firstLine="540"/>
        <w:jc w:val="left"/>
        <w:rPr>
          <w:sz w:val="20"/>
        </w:rPr>
      </w:pPr>
      <w:r>
        <w:rPr>
          <w:sz w:val="22"/>
        </w:rPr>
        <w:t>曾因在招标、评标以及其他与招投标有关活动中从事违法行为而受过行政处罚或刑事处</w:t>
      </w:r>
      <w:r>
        <w:rPr>
          <w:spacing w:val="-2"/>
          <w:sz w:val="22"/>
        </w:rPr>
        <w:t>罚的。</w:t>
      </w:r>
    </w:p>
    <w:p>
      <w:pPr>
        <w:spacing w:after="0" w:line="292" w:lineRule="auto"/>
        <w:jc w:val="left"/>
        <w:rPr>
          <w:sz w:val="20"/>
        </w:rPr>
        <w:sectPr>
          <w:pgSz w:w="11910" w:h="16840"/>
          <w:pgMar w:top="1100" w:right="660" w:bottom="1180" w:left="800" w:header="878" w:footer="993" w:gutter="0"/>
          <w:cols w:space="720" w:num="1"/>
        </w:sectPr>
      </w:pPr>
    </w:p>
    <w:p>
      <w:pPr>
        <w:pStyle w:val="9"/>
        <w:spacing w:before="4"/>
        <w:rPr>
          <w:sz w:val="20"/>
        </w:rPr>
      </w:pPr>
    </w:p>
    <w:p>
      <w:pPr>
        <w:pStyle w:val="13"/>
        <w:numPr>
          <w:ilvl w:val="3"/>
          <w:numId w:val="11"/>
        </w:numPr>
        <w:tabs>
          <w:tab w:val="left" w:pos="1426"/>
        </w:tabs>
        <w:spacing w:before="70" w:after="0" w:line="297" w:lineRule="auto"/>
        <w:ind w:left="332" w:right="611" w:firstLine="540"/>
        <w:jc w:val="left"/>
        <w:rPr>
          <w:sz w:val="20"/>
        </w:rPr>
      </w:pPr>
      <w:r>
        <w:rPr>
          <w:sz w:val="21"/>
        </w:rPr>
        <w:t>参与项目前期设计单位有关联</w:t>
      </w:r>
      <w:r>
        <w:rPr>
          <w:rFonts w:ascii="Times New Roman" w:eastAsia="Times New Roman"/>
          <w:sz w:val="21"/>
        </w:rPr>
        <w:t>,</w:t>
      </w:r>
      <w:r>
        <w:rPr>
          <w:sz w:val="21"/>
        </w:rPr>
        <w:t>与监理单位有关联</w:t>
      </w:r>
      <w:r>
        <w:rPr>
          <w:rFonts w:ascii="Times New Roman" w:eastAsia="Times New Roman"/>
          <w:sz w:val="21"/>
        </w:rPr>
        <w:t>,</w:t>
      </w:r>
      <w:r>
        <w:rPr>
          <w:sz w:val="21"/>
        </w:rPr>
        <w:t>与招标代理机构有关联关系</w:t>
      </w:r>
      <w:r>
        <w:rPr>
          <w:rFonts w:ascii="Times New Roman" w:eastAsia="Times New Roman"/>
          <w:sz w:val="21"/>
        </w:rPr>
        <w:t>(</w:t>
      </w:r>
      <w:r>
        <w:rPr>
          <w:sz w:val="21"/>
        </w:rPr>
        <w:t>在以上单位任职、持股及直接参与本项目文件清单编制调研</w:t>
      </w:r>
      <w:r>
        <w:rPr>
          <w:rFonts w:ascii="Times New Roman" w:eastAsia="Times New Roman"/>
          <w:sz w:val="21"/>
        </w:rPr>
        <w:t>)</w:t>
      </w:r>
      <w:r>
        <w:rPr>
          <w:sz w:val="21"/>
        </w:rPr>
        <w:t>的人员。</w:t>
      </w:r>
    </w:p>
    <w:p>
      <w:pPr>
        <w:pStyle w:val="13"/>
        <w:numPr>
          <w:ilvl w:val="2"/>
          <w:numId w:val="11"/>
        </w:numPr>
        <w:tabs>
          <w:tab w:val="left" w:pos="1425"/>
        </w:tabs>
        <w:spacing w:before="8" w:after="0" w:line="240" w:lineRule="auto"/>
        <w:ind w:left="1424" w:right="0" w:hanging="577"/>
        <w:jc w:val="left"/>
        <w:rPr>
          <w:sz w:val="21"/>
        </w:rPr>
      </w:pPr>
      <w:r>
        <w:rPr>
          <w:sz w:val="21"/>
        </w:rPr>
        <w:t>评标委员评审时，出现以下情形之一的，应当由评标委员会全体成员表决，形成书面决议：</w:t>
      </w:r>
    </w:p>
    <w:p>
      <w:pPr>
        <w:pStyle w:val="13"/>
        <w:numPr>
          <w:ilvl w:val="0"/>
          <w:numId w:val="24"/>
        </w:numPr>
        <w:tabs>
          <w:tab w:val="left" w:pos="1375"/>
        </w:tabs>
        <w:spacing w:before="75" w:after="0" w:line="240" w:lineRule="auto"/>
        <w:ind w:left="1374" w:right="0" w:hanging="527"/>
        <w:jc w:val="left"/>
        <w:rPr>
          <w:sz w:val="21"/>
        </w:rPr>
      </w:pPr>
      <w:r>
        <w:rPr>
          <w:sz w:val="21"/>
        </w:rPr>
        <w:t>评标委员会否决投标人投标；</w:t>
      </w:r>
    </w:p>
    <w:p>
      <w:pPr>
        <w:pStyle w:val="13"/>
        <w:numPr>
          <w:ilvl w:val="0"/>
          <w:numId w:val="24"/>
        </w:numPr>
        <w:tabs>
          <w:tab w:val="left" w:pos="1375"/>
        </w:tabs>
        <w:spacing w:before="74" w:after="0" w:line="240" w:lineRule="auto"/>
        <w:ind w:left="1374" w:right="0" w:hanging="527"/>
        <w:jc w:val="left"/>
        <w:rPr>
          <w:sz w:val="21"/>
        </w:rPr>
      </w:pPr>
      <w:r>
        <w:rPr>
          <w:sz w:val="21"/>
        </w:rPr>
        <w:t>评标委员会修正投标文件的错误，但招标文件不允许修正的除外；</w:t>
      </w:r>
    </w:p>
    <w:p>
      <w:pPr>
        <w:pStyle w:val="13"/>
        <w:numPr>
          <w:ilvl w:val="0"/>
          <w:numId w:val="24"/>
        </w:numPr>
        <w:tabs>
          <w:tab w:val="left" w:pos="1375"/>
        </w:tabs>
        <w:spacing w:before="74" w:after="0" w:line="307" w:lineRule="auto"/>
        <w:ind w:left="649" w:right="508" w:firstLine="199"/>
        <w:jc w:val="left"/>
        <w:rPr>
          <w:sz w:val="21"/>
        </w:rPr>
      </w:pPr>
      <w:r>
        <w:rPr>
          <w:sz w:val="21"/>
        </w:rPr>
        <w:t>招标人对评标办法中所载事项的争议内容的释疑，且释疑不得改变招标文件的实质性内容。</w:t>
      </w:r>
      <w:r>
        <w:rPr>
          <w:spacing w:val="-7"/>
          <w:w w:val="95"/>
          <w:sz w:val="21"/>
        </w:rPr>
        <w:t>决议应当经评标委员会全体成员半数以上同意。决议不得违反法律、法规、规章以及招标文件的规定。</w:t>
      </w:r>
    </w:p>
    <w:p>
      <w:pPr>
        <w:pStyle w:val="13"/>
        <w:numPr>
          <w:ilvl w:val="1"/>
          <w:numId w:val="11"/>
        </w:numPr>
        <w:tabs>
          <w:tab w:val="left" w:pos="974"/>
        </w:tabs>
        <w:spacing w:before="70" w:after="0" w:line="240" w:lineRule="auto"/>
        <w:ind w:left="973" w:right="0" w:hanging="642"/>
        <w:jc w:val="left"/>
        <w:rPr>
          <w:sz w:val="32"/>
        </w:rPr>
      </w:pPr>
      <w:r>
        <w:rPr>
          <w:sz w:val="32"/>
        </w:rPr>
        <w:t>评标原则</w:t>
      </w:r>
    </w:p>
    <w:p>
      <w:pPr>
        <w:pStyle w:val="9"/>
        <w:spacing w:before="136"/>
        <w:ind w:left="884"/>
      </w:pPr>
      <w:r>
        <w:t>评标活动遵循公平、公正、科学和择优的原则。</w:t>
      </w:r>
    </w:p>
    <w:p>
      <w:pPr>
        <w:pStyle w:val="13"/>
        <w:numPr>
          <w:ilvl w:val="1"/>
          <w:numId w:val="11"/>
        </w:numPr>
        <w:tabs>
          <w:tab w:val="left" w:pos="974"/>
        </w:tabs>
        <w:spacing w:before="137" w:after="0" w:line="240" w:lineRule="auto"/>
        <w:ind w:left="973" w:right="0" w:hanging="642"/>
        <w:jc w:val="left"/>
        <w:rPr>
          <w:sz w:val="32"/>
        </w:rPr>
      </w:pPr>
      <w:r>
        <w:rPr>
          <w:sz w:val="32"/>
        </w:rPr>
        <w:t>评标</w:t>
      </w:r>
    </w:p>
    <w:p>
      <w:pPr>
        <w:pStyle w:val="13"/>
        <w:numPr>
          <w:ilvl w:val="2"/>
          <w:numId w:val="11"/>
        </w:numPr>
        <w:tabs>
          <w:tab w:val="left" w:pos="1372"/>
        </w:tabs>
        <w:spacing w:before="139" w:after="0" w:line="292" w:lineRule="auto"/>
        <w:ind w:left="332" w:right="612" w:firstLine="432"/>
        <w:jc w:val="both"/>
        <w:rPr>
          <w:sz w:val="22"/>
        </w:rPr>
      </w:pPr>
      <w:r>
        <w:rPr>
          <w:sz w:val="22"/>
        </w:rPr>
        <w:t>评标委员会按照第三章“评标办法”规定的方法、评审因素、标准和程序对投标文件进</w:t>
      </w:r>
      <w:r>
        <w:rPr>
          <w:spacing w:val="-2"/>
          <w:sz w:val="22"/>
        </w:rPr>
        <w:t>行评审。</w:t>
      </w:r>
    </w:p>
    <w:p>
      <w:pPr>
        <w:pStyle w:val="13"/>
        <w:numPr>
          <w:ilvl w:val="2"/>
          <w:numId w:val="11"/>
        </w:numPr>
        <w:tabs>
          <w:tab w:val="left" w:pos="1370"/>
        </w:tabs>
        <w:spacing w:before="0" w:after="0" w:line="281" w:lineRule="exact"/>
        <w:ind w:left="1369" w:right="0" w:hanging="606"/>
        <w:jc w:val="both"/>
        <w:rPr>
          <w:sz w:val="22"/>
        </w:rPr>
      </w:pPr>
      <w:r>
        <w:rPr>
          <w:spacing w:val="-3"/>
          <w:sz w:val="22"/>
        </w:rPr>
        <w:t>投标文件的澄清、说明和补正：</w:t>
      </w:r>
    </w:p>
    <w:p>
      <w:pPr>
        <w:pStyle w:val="13"/>
        <w:numPr>
          <w:ilvl w:val="0"/>
          <w:numId w:val="25"/>
        </w:numPr>
        <w:tabs>
          <w:tab w:val="left" w:pos="1326"/>
        </w:tabs>
        <w:spacing w:before="61" w:after="0" w:line="292" w:lineRule="auto"/>
        <w:ind w:left="332" w:right="611" w:firstLine="441"/>
        <w:jc w:val="both"/>
        <w:rPr>
          <w:sz w:val="22"/>
        </w:rPr>
      </w:pPr>
      <w:r>
        <w:rPr>
          <w:spacing w:val="-8"/>
          <w:sz w:val="22"/>
        </w:rPr>
        <w:t>在评标过程中，评标委员会可以书面形式要求投标人对所提交投标文件中含义不明确、对</w:t>
      </w:r>
      <w:r>
        <w:rPr>
          <w:spacing w:val="-1"/>
          <w:sz w:val="22"/>
        </w:rPr>
        <w:t>同类问题表述不一致或者有明显文字和计算错误的内容进行书面澄清、说明和补正。评标委员会不</w:t>
      </w:r>
      <w:r>
        <w:rPr>
          <w:spacing w:val="-3"/>
          <w:sz w:val="22"/>
        </w:rPr>
        <w:t>接受投标人主动提出的澄清、说明或补正。</w:t>
      </w:r>
    </w:p>
    <w:p>
      <w:pPr>
        <w:pStyle w:val="13"/>
        <w:numPr>
          <w:ilvl w:val="0"/>
          <w:numId w:val="25"/>
        </w:numPr>
        <w:tabs>
          <w:tab w:val="left" w:pos="1318"/>
        </w:tabs>
        <w:spacing w:before="0" w:after="0" w:line="292" w:lineRule="auto"/>
        <w:ind w:left="332" w:right="609" w:firstLine="432"/>
        <w:jc w:val="left"/>
        <w:rPr>
          <w:sz w:val="22"/>
        </w:rPr>
      </w:pPr>
      <w:r>
        <w:rPr>
          <w:spacing w:val="-6"/>
          <w:sz w:val="22"/>
        </w:rPr>
        <w:t>澄清、说明或补正不得改变投标文件的实质性内容</w:t>
      </w:r>
      <w:r>
        <w:rPr>
          <w:spacing w:val="-3"/>
          <w:sz w:val="22"/>
        </w:rPr>
        <w:t>（算术性错误修正的除外</w:t>
      </w:r>
      <w:r>
        <w:rPr>
          <w:spacing w:val="-15"/>
          <w:sz w:val="22"/>
        </w:rPr>
        <w:t>）</w:t>
      </w:r>
      <w:r>
        <w:rPr>
          <w:spacing w:val="-4"/>
          <w:sz w:val="22"/>
        </w:rPr>
        <w:t>。投标人澄</w:t>
      </w:r>
      <w:r>
        <w:rPr>
          <w:spacing w:val="-3"/>
          <w:sz w:val="22"/>
        </w:rPr>
        <w:t>清、说明或补正属于投标文件的组成部分。</w:t>
      </w:r>
    </w:p>
    <w:p>
      <w:pPr>
        <w:pStyle w:val="13"/>
        <w:numPr>
          <w:ilvl w:val="0"/>
          <w:numId w:val="25"/>
        </w:numPr>
        <w:tabs>
          <w:tab w:val="left" w:pos="1318"/>
        </w:tabs>
        <w:spacing w:before="0" w:after="0" w:line="292" w:lineRule="auto"/>
        <w:ind w:left="332" w:right="609" w:firstLine="432"/>
        <w:jc w:val="left"/>
        <w:rPr>
          <w:sz w:val="22"/>
        </w:rPr>
      </w:pPr>
      <w:r>
        <w:rPr>
          <w:spacing w:val="-6"/>
          <w:sz w:val="22"/>
        </w:rPr>
        <w:t>评标委员会对投标人提交的澄清、说明或补正有疑问的，可以要求投标人进一步澄清、说</w:t>
      </w:r>
      <w:r>
        <w:rPr>
          <w:spacing w:val="-3"/>
          <w:sz w:val="22"/>
        </w:rPr>
        <w:t>明或补正，直至满足评标委员会的要求。</w:t>
      </w:r>
    </w:p>
    <w:p>
      <w:pPr>
        <w:pStyle w:val="13"/>
        <w:numPr>
          <w:ilvl w:val="2"/>
          <w:numId w:val="11"/>
        </w:numPr>
        <w:tabs>
          <w:tab w:val="left" w:pos="1372"/>
        </w:tabs>
        <w:spacing w:before="0" w:after="0" w:line="292" w:lineRule="auto"/>
        <w:ind w:left="332" w:right="611" w:firstLine="432"/>
        <w:jc w:val="both"/>
        <w:rPr>
          <w:sz w:val="22"/>
        </w:rPr>
      </w:pPr>
      <w:r>
        <w:rPr>
          <w:sz w:val="22"/>
        </w:rPr>
        <w:t>评标委员会负责人在评标委员会中产生，评标委员会完成评标后，应当向招标人提出书</w:t>
      </w:r>
      <w:r>
        <w:rPr>
          <w:spacing w:val="-1"/>
          <w:sz w:val="22"/>
        </w:rPr>
        <w:t>面评标报告。评标委员会成员在评审意见表、评分表、评分汇总表及评标委员会形成的书面评标报</w:t>
      </w:r>
      <w:r>
        <w:rPr>
          <w:spacing w:val="-2"/>
          <w:sz w:val="22"/>
        </w:rPr>
        <w:t>告上签字。</w:t>
      </w:r>
    </w:p>
    <w:p>
      <w:pPr>
        <w:pStyle w:val="9"/>
        <w:spacing w:before="9"/>
        <w:rPr>
          <w:sz w:val="26"/>
        </w:rPr>
      </w:pPr>
    </w:p>
    <w:p>
      <w:pPr>
        <w:pStyle w:val="13"/>
        <w:numPr>
          <w:ilvl w:val="0"/>
          <w:numId w:val="11"/>
        </w:numPr>
        <w:tabs>
          <w:tab w:val="left" w:pos="785"/>
        </w:tabs>
        <w:spacing w:before="1" w:after="0" w:line="240" w:lineRule="auto"/>
        <w:ind w:left="785" w:right="0" w:hanging="453"/>
        <w:jc w:val="left"/>
        <w:rPr>
          <w:b/>
          <w:sz w:val="28"/>
        </w:rPr>
      </w:pPr>
      <w:bookmarkStart w:id="30" w:name="_TOC_250000"/>
      <w:bookmarkEnd w:id="30"/>
      <w:bookmarkStart w:id="31" w:name="7．定标、中标及合同授予"/>
      <w:bookmarkEnd w:id="31"/>
      <w:r>
        <w:rPr>
          <w:b/>
          <w:sz w:val="30"/>
        </w:rPr>
        <w:t>定标、中标及合同授予</w:t>
      </w:r>
    </w:p>
    <w:p>
      <w:pPr>
        <w:pStyle w:val="9"/>
        <w:spacing w:before="11"/>
        <w:rPr>
          <w:b/>
          <w:sz w:val="39"/>
        </w:rPr>
      </w:pPr>
    </w:p>
    <w:p>
      <w:pPr>
        <w:pStyle w:val="5"/>
        <w:numPr>
          <w:ilvl w:val="1"/>
          <w:numId w:val="26"/>
        </w:numPr>
        <w:tabs>
          <w:tab w:val="left" w:pos="1033"/>
          <w:tab w:val="left" w:pos="1034"/>
        </w:tabs>
        <w:spacing w:before="0" w:after="0" w:line="240" w:lineRule="auto"/>
        <w:ind w:left="1033" w:right="0" w:hanging="702"/>
        <w:jc w:val="left"/>
      </w:pPr>
      <w:r>
        <w:t>定标</w:t>
      </w:r>
    </w:p>
    <w:p>
      <w:pPr>
        <w:pStyle w:val="13"/>
        <w:numPr>
          <w:ilvl w:val="2"/>
          <w:numId w:val="26"/>
        </w:numPr>
        <w:tabs>
          <w:tab w:val="left" w:pos="1324"/>
        </w:tabs>
        <w:spacing w:before="170" w:after="0" w:line="240" w:lineRule="auto"/>
        <w:ind w:left="1324" w:right="0" w:hanging="579"/>
        <w:jc w:val="left"/>
        <w:rPr>
          <w:sz w:val="21"/>
        </w:rPr>
      </w:pPr>
      <w:r>
        <w:rPr>
          <w:spacing w:val="-7"/>
          <w:sz w:val="21"/>
        </w:rPr>
        <w:t xml:space="preserve">评标委员会推荐 </w:t>
      </w:r>
      <w:r>
        <w:rPr>
          <w:sz w:val="21"/>
        </w:rPr>
        <w:t>3</w:t>
      </w:r>
      <w:r>
        <w:rPr>
          <w:spacing w:val="-8"/>
          <w:sz w:val="21"/>
        </w:rPr>
        <w:t xml:space="preserve"> 名中标候选人，并确定评审得分排名第一的候选人为中标人。</w:t>
      </w:r>
    </w:p>
    <w:p>
      <w:pPr>
        <w:pStyle w:val="5"/>
        <w:numPr>
          <w:ilvl w:val="1"/>
          <w:numId w:val="26"/>
        </w:numPr>
        <w:tabs>
          <w:tab w:val="left" w:pos="825"/>
        </w:tabs>
        <w:spacing w:before="170" w:after="0" w:line="240" w:lineRule="auto"/>
        <w:ind w:left="824" w:right="0" w:hanging="493"/>
        <w:jc w:val="left"/>
      </w:pPr>
      <w:r>
        <w:rPr>
          <w:spacing w:val="-2"/>
        </w:rPr>
        <w:t>中标通知书</w:t>
      </w:r>
    </w:p>
    <w:p>
      <w:pPr>
        <w:pStyle w:val="13"/>
        <w:numPr>
          <w:ilvl w:val="2"/>
          <w:numId w:val="26"/>
        </w:numPr>
        <w:tabs>
          <w:tab w:val="left" w:pos="1324"/>
        </w:tabs>
        <w:spacing w:before="170" w:after="0" w:line="307" w:lineRule="auto"/>
        <w:ind w:left="332" w:right="614" w:firstLine="412"/>
        <w:jc w:val="both"/>
        <w:rPr>
          <w:sz w:val="21"/>
        </w:rPr>
      </w:pPr>
      <w:r>
        <w:rPr>
          <w:spacing w:val="-6"/>
          <w:w w:val="95"/>
          <w:sz w:val="24"/>
          <w:szCs w:val="24"/>
        </w:rPr>
        <w:t>招标人在中标结果公告发布时，可以书面形式向中标人发出中标通知书，同时将中标结果通知</w:t>
      </w:r>
      <w:r>
        <w:rPr>
          <w:spacing w:val="-6"/>
          <w:w w:val="95"/>
          <w:sz w:val="21"/>
        </w:rPr>
        <w:t xml:space="preserve">   </w:t>
      </w:r>
      <w:r>
        <w:rPr>
          <w:spacing w:val="-6"/>
          <w:sz w:val="21"/>
        </w:rPr>
        <w:t>未中标的投标人。</w:t>
      </w:r>
    </w:p>
    <w:p>
      <w:pPr>
        <w:pStyle w:val="13"/>
        <w:numPr>
          <w:ilvl w:val="2"/>
          <w:numId w:val="26"/>
        </w:numPr>
        <w:tabs>
          <w:tab w:val="left" w:pos="1324"/>
        </w:tabs>
        <w:spacing w:before="0" w:after="0" w:line="307" w:lineRule="auto"/>
        <w:ind w:left="332" w:right="604" w:firstLine="412"/>
        <w:jc w:val="both"/>
        <w:rPr>
          <w:sz w:val="21"/>
        </w:rPr>
      </w:pPr>
      <w:r>
        <w:rPr>
          <w:spacing w:val="-8"/>
          <w:w w:val="95"/>
          <w:sz w:val="24"/>
          <w:szCs w:val="24"/>
        </w:rPr>
        <w:t>中标候选人的经营、财务状况发生较大变化或者存在违法行为，招标人认为可能影响其履约能</w:t>
      </w:r>
      <w:r>
        <w:rPr>
          <w:spacing w:val="-8"/>
          <w:w w:val="95"/>
          <w:sz w:val="21"/>
        </w:rPr>
        <w:t xml:space="preserve">   </w:t>
      </w:r>
      <w:r>
        <w:rPr>
          <w:spacing w:val="-8"/>
          <w:sz w:val="21"/>
        </w:rPr>
        <w:t>力的，应当在发出中标通知书前由原评标委员会按照招标文件规定的标准和方法审查确认。</w:t>
      </w:r>
    </w:p>
    <w:p>
      <w:pPr>
        <w:pStyle w:val="5"/>
        <w:numPr>
          <w:ilvl w:val="1"/>
          <w:numId w:val="26"/>
        </w:numPr>
        <w:tabs>
          <w:tab w:val="left" w:pos="895"/>
        </w:tabs>
        <w:spacing w:before="90" w:after="0" w:line="240" w:lineRule="auto"/>
        <w:ind w:left="894" w:right="0" w:hanging="563"/>
        <w:jc w:val="left"/>
      </w:pPr>
      <w:r>
        <w:rPr>
          <w:spacing w:val="-2"/>
        </w:rPr>
        <w:t>履约保证金</w:t>
      </w:r>
    </w:p>
    <w:p>
      <w:pPr>
        <w:pStyle w:val="13"/>
        <w:numPr>
          <w:ilvl w:val="2"/>
          <w:numId w:val="26"/>
        </w:numPr>
        <w:tabs>
          <w:tab w:val="left" w:pos="1324"/>
        </w:tabs>
        <w:spacing w:before="170" w:after="0" w:line="240" w:lineRule="auto"/>
        <w:ind w:left="1324" w:right="0" w:hanging="579"/>
        <w:jc w:val="left"/>
        <w:rPr>
          <w:sz w:val="21"/>
        </w:rPr>
      </w:pPr>
      <w:r>
        <w:rPr>
          <w:sz w:val="21"/>
        </w:rPr>
        <w:t>本项目不需要提供履约保证金。</w:t>
      </w:r>
    </w:p>
    <w:p>
      <w:pPr>
        <w:spacing w:after="0" w:line="240" w:lineRule="auto"/>
        <w:jc w:val="left"/>
        <w:rPr>
          <w:sz w:val="21"/>
        </w:rPr>
        <w:sectPr>
          <w:pgSz w:w="11910" w:h="16840"/>
          <w:pgMar w:top="1100" w:right="660" w:bottom="1180" w:left="800" w:header="878" w:footer="993" w:gutter="0"/>
          <w:cols w:space="720" w:num="1"/>
        </w:sectPr>
      </w:pPr>
    </w:p>
    <w:p>
      <w:pPr>
        <w:pStyle w:val="9"/>
        <w:spacing w:before="11"/>
        <w:rPr>
          <w:sz w:val="28"/>
        </w:rPr>
      </w:pPr>
    </w:p>
    <w:p>
      <w:pPr>
        <w:pStyle w:val="5"/>
        <w:numPr>
          <w:ilvl w:val="1"/>
          <w:numId w:val="26"/>
        </w:numPr>
        <w:tabs>
          <w:tab w:val="left" w:pos="895"/>
        </w:tabs>
        <w:spacing w:before="61" w:after="0" w:line="240" w:lineRule="auto"/>
        <w:ind w:left="894" w:right="0" w:hanging="563"/>
        <w:jc w:val="left"/>
      </w:pPr>
      <w:r>
        <w:rPr>
          <w:spacing w:val="-2"/>
        </w:rPr>
        <w:t>签订合同</w:t>
      </w:r>
    </w:p>
    <w:p>
      <w:pPr>
        <w:pStyle w:val="13"/>
        <w:numPr>
          <w:ilvl w:val="2"/>
          <w:numId w:val="26"/>
        </w:numPr>
        <w:tabs>
          <w:tab w:val="left" w:pos="1332"/>
        </w:tabs>
        <w:spacing w:before="170" w:after="0" w:line="307" w:lineRule="auto"/>
        <w:ind w:left="332" w:right="611" w:firstLine="420"/>
        <w:jc w:val="both"/>
        <w:rPr>
          <w:sz w:val="21"/>
        </w:rPr>
      </w:pPr>
      <w:r>
        <w:rPr>
          <w:spacing w:val="-3"/>
          <w:sz w:val="21"/>
        </w:rPr>
        <w:t xml:space="preserve">招标人和中标人应当自中标通知书发出之日起 </w:t>
      </w:r>
      <w:r>
        <w:rPr>
          <w:sz w:val="21"/>
        </w:rPr>
        <w:t>30</w:t>
      </w:r>
      <w:r>
        <w:rPr>
          <w:spacing w:val="-9"/>
          <w:sz w:val="21"/>
        </w:rPr>
        <w:t xml:space="preserve"> 天内，根据招标文件和中标人的投标文件订立书面合同。中标人无正当理由拒签合同的，招标人有权取消其中标资格，其投标保证金不予退还；给招标人造成的损失超过投标保证金数额的，中标人还应当对超过部分予以赔偿。</w:t>
      </w:r>
    </w:p>
    <w:p>
      <w:pPr>
        <w:pStyle w:val="13"/>
        <w:numPr>
          <w:ilvl w:val="2"/>
          <w:numId w:val="26"/>
        </w:numPr>
        <w:tabs>
          <w:tab w:val="left" w:pos="1377"/>
        </w:tabs>
        <w:spacing w:before="0" w:after="0" w:line="307" w:lineRule="auto"/>
        <w:ind w:left="332" w:right="614" w:firstLine="412"/>
        <w:jc w:val="both"/>
        <w:rPr>
          <w:sz w:val="21"/>
        </w:rPr>
      </w:pPr>
      <w:r>
        <w:rPr>
          <w:sz w:val="21"/>
        </w:rPr>
        <w:t>发出中标通知书后，招标人无正当理由拒签合同的，招标人除向中标人退还投标保证金外， 有关行政监督部门可给予警告、责令改正和罚款；给中标人造成损失的，招标人还应当赔偿损失。</w:t>
      </w:r>
    </w:p>
    <w:p>
      <w:pPr>
        <w:pStyle w:val="13"/>
        <w:numPr>
          <w:ilvl w:val="2"/>
          <w:numId w:val="26"/>
        </w:numPr>
        <w:tabs>
          <w:tab w:val="left" w:pos="1384"/>
        </w:tabs>
        <w:spacing w:before="0" w:after="0" w:line="267" w:lineRule="exact"/>
        <w:ind w:left="1384" w:right="0" w:hanging="632"/>
        <w:jc w:val="both"/>
        <w:rPr>
          <w:sz w:val="21"/>
        </w:rPr>
      </w:pPr>
      <w:r>
        <w:rPr>
          <w:sz w:val="21"/>
        </w:rPr>
        <w:t>本标段合同形式见投标人须知前附表。</w:t>
      </w:r>
    </w:p>
    <w:p>
      <w:pPr>
        <w:pStyle w:val="9"/>
        <w:rPr>
          <w:sz w:val="20"/>
        </w:rPr>
      </w:pPr>
    </w:p>
    <w:p>
      <w:pPr>
        <w:pStyle w:val="13"/>
        <w:numPr>
          <w:ilvl w:val="0"/>
          <w:numId w:val="11"/>
        </w:numPr>
        <w:tabs>
          <w:tab w:val="left" w:pos="785"/>
        </w:tabs>
        <w:spacing w:before="159" w:after="0" w:line="240" w:lineRule="auto"/>
        <w:ind w:left="785" w:right="0" w:hanging="453"/>
        <w:jc w:val="left"/>
        <w:rPr>
          <w:b/>
          <w:sz w:val="28"/>
        </w:rPr>
      </w:pPr>
      <w:bookmarkStart w:id="32" w:name="_bookmark9"/>
      <w:bookmarkEnd w:id="32"/>
      <w:bookmarkStart w:id="33" w:name="8．重新招标和不再招标"/>
      <w:bookmarkEnd w:id="33"/>
      <w:r>
        <w:rPr>
          <w:b/>
          <w:sz w:val="30"/>
        </w:rPr>
        <w:t>重新招标和不再招标</w:t>
      </w:r>
    </w:p>
    <w:p>
      <w:pPr>
        <w:pStyle w:val="9"/>
        <w:spacing w:before="11"/>
        <w:rPr>
          <w:b/>
          <w:sz w:val="39"/>
        </w:rPr>
      </w:pPr>
    </w:p>
    <w:p>
      <w:pPr>
        <w:pStyle w:val="5"/>
        <w:numPr>
          <w:ilvl w:val="1"/>
          <w:numId w:val="11"/>
        </w:numPr>
        <w:tabs>
          <w:tab w:val="left" w:pos="895"/>
        </w:tabs>
        <w:spacing w:before="1" w:after="0" w:line="240" w:lineRule="auto"/>
        <w:ind w:left="894" w:right="0" w:hanging="563"/>
        <w:jc w:val="left"/>
      </w:pPr>
      <w:r>
        <w:rPr>
          <w:spacing w:val="-2"/>
        </w:rPr>
        <w:t>重新招标</w:t>
      </w:r>
    </w:p>
    <w:p>
      <w:pPr>
        <w:pStyle w:val="13"/>
        <w:numPr>
          <w:ilvl w:val="2"/>
          <w:numId w:val="11"/>
        </w:numPr>
        <w:tabs>
          <w:tab w:val="left" w:pos="1324"/>
        </w:tabs>
        <w:spacing w:before="169" w:after="0" w:line="240" w:lineRule="auto"/>
        <w:ind w:left="1324" w:right="0" w:hanging="579"/>
        <w:jc w:val="left"/>
        <w:rPr>
          <w:sz w:val="21"/>
        </w:rPr>
      </w:pPr>
      <w:r>
        <w:rPr>
          <w:sz w:val="21"/>
        </w:rPr>
        <w:t>有下列情形之一的，在分析招标失败的原因并采取相应措施后，招标人将重新招标：</w:t>
      </w:r>
    </w:p>
    <w:p>
      <w:pPr>
        <w:spacing w:before="74"/>
        <w:ind w:left="858" w:right="0" w:firstLine="0"/>
        <w:jc w:val="left"/>
        <w:rPr>
          <w:sz w:val="21"/>
        </w:rPr>
      </w:pPr>
      <w:r>
        <w:rPr>
          <w:sz w:val="21"/>
        </w:rPr>
        <w:t>（1）在投标截止时间之前提交投标文件的投标人少于 3 人的；</w:t>
      </w:r>
    </w:p>
    <w:p>
      <w:pPr>
        <w:pStyle w:val="13"/>
        <w:numPr>
          <w:ilvl w:val="0"/>
          <w:numId w:val="27"/>
        </w:numPr>
        <w:tabs>
          <w:tab w:val="left" w:pos="1383"/>
        </w:tabs>
        <w:spacing w:before="75" w:after="0" w:line="240" w:lineRule="auto"/>
        <w:ind w:left="1382" w:right="0" w:hanging="525"/>
        <w:jc w:val="left"/>
        <w:rPr>
          <w:sz w:val="21"/>
        </w:rPr>
      </w:pPr>
      <w:r>
        <w:rPr>
          <w:sz w:val="21"/>
        </w:rPr>
        <w:t>招标投标过程中，因项目发生变更，现有招标资格条件无法满足项目工程规模的；</w:t>
      </w:r>
    </w:p>
    <w:p>
      <w:pPr>
        <w:pStyle w:val="13"/>
        <w:numPr>
          <w:ilvl w:val="0"/>
          <w:numId w:val="27"/>
        </w:numPr>
        <w:tabs>
          <w:tab w:val="left" w:pos="1383"/>
        </w:tabs>
        <w:spacing w:before="74" w:after="0" w:line="240" w:lineRule="auto"/>
        <w:ind w:left="1382" w:right="0" w:hanging="525"/>
        <w:jc w:val="left"/>
        <w:rPr>
          <w:sz w:val="21"/>
        </w:rPr>
      </w:pPr>
      <w:r>
        <w:rPr>
          <w:sz w:val="21"/>
        </w:rPr>
        <w:t>评标委员会否决全部投标的；</w:t>
      </w:r>
    </w:p>
    <w:p>
      <w:pPr>
        <w:pStyle w:val="13"/>
        <w:numPr>
          <w:ilvl w:val="0"/>
          <w:numId w:val="27"/>
        </w:numPr>
        <w:tabs>
          <w:tab w:val="left" w:pos="1383"/>
        </w:tabs>
        <w:spacing w:before="74" w:after="0" w:line="240" w:lineRule="auto"/>
        <w:ind w:left="1382" w:right="0" w:hanging="525"/>
        <w:jc w:val="left"/>
        <w:rPr>
          <w:sz w:val="21"/>
        </w:rPr>
      </w:pPr>
      <w:r>
        <w:rPr>
          <w:sz w:val="21"/>
        </w:rPr>
        <w:t>评标委员会认为按照评标办法，无法确定中标候选人或中标人的；</w:t>
      </w:r>
    </w:p>
    <w:p>
      <w:pPr>
        <w:pStyle w:val="13"/>
        <w:numPr>
          <w:ilvl w:val="0"/>
          <w:numId w:val="27"/>
        </w:numPr>
        <w:tabs>
          <w:tab w:val="left" w:pos="1383"/>
        </w:tabs>
        <w:spacing w:before="74" w:after="0" w:line="240" w:lineRule="auto"/>
        <w:ind w:left="1382" w:right="0" w:hanging="525"/>
        <w:jc w:val="left"/>
        <w:rPr>
          <w:sz w:val="21"/>
        </w:rPr>
      </w:pPr>
      <w:r>
        <w:rPr>
          <w:sz w:val="21"/>
        </w:rPr>
        <w:t>法律、法规规定的应当重新招标的其他情形。</w:t>
      </w:r>
    </w:p>
    <w:p>
      <w:pPr>
        <w:pStyle w:val="13"/>
        <w:numPr>
          <w:ilvl w:val="2"/>
          <w:numId w:val="11"/>
        </w:numPr>
        <w:tabs>
          <w:tab w:val="left" w:pos="1324"/>
        </w:tabs>
        <w:spacing w:before="74" w:after="0" w:line="307" w:lineRule="auto"/>
        <w:ind w:left="332" w:right="604" w:firstLine="412"/>
        <w:jc w:val="both"/>
        <w:rPr>
          <w:sz w:val="24"/>
          <w:szCs w:val="24"/>
        </w:rPr>
      </w:pPr>
      <w:r>
        <w:rPr>
          <w:spacing w:val="-7"/>
          <w:sz w:val="21"/>
        </w:rPr>
        <w:t>排名第一的中标候选人放弃中标、因不可抗力不能履行合同或者被查实存在影响中标结果的违</w:t>
      </w:r>
      <w:r>
        <w:rPr>
          <w:spacing w:val="-8"/>
          <w:w w:val="95"/>
          <w:sz w:val="21"/>
        </w:rPr>
        <w:t>法</w:t>
      </w:r>
      <w:r>
        <w:rPr>
          <w:spacing w:val="-8"/>
          <w:w w:val="95"/>
          <w:sz w:val="24"/>
          <w:szCs w:val="24"/>
        </w:rPr>
        <w:t xml:space="preserve">行为等情形，不符合中标条件的，招标人可以按照评标委员会提出的中标候选人名单排序依次确定其他   </w:t>
      </w:r>
      <w:r>
        <w:rPr>
          <w:spacing w:val="-10"/>
          <w:sz w:val="24"/>
          <w:szCs w:val="24"/>
        </w:rPr>
        <w:t>中标候选人为中标人，也可以重新招标。</w:t>
      </w:r>
    </w:p>
    <w:p>
      <w:pPr>
        <w:pStyle w:val="5"/>
        <w:numPr>
          <w:ilvl w:val="1"/>
          <w:numId w:val="11"/>
        </w:numPr>
        <w:tabs>
          <w:tab w:val="left" w:pos="895"/>
        </w:tabs>
        <w:spacing w:before="92" w:after="0" w:line="240" w:lineRule="auto"/>
        <w:ind w:left="894" w:right="0" w:hanging="563"/>
        <w:jc w:val="left"/>
      </w:pPr>
      <w:r>
        <w:rPr>
          <w:spacing w:val="-2"/>
        </w:rPr>
        <w:t>不再招标</w:t>
      </w:r>
    </w:p>
    <w:p>
      <w:pPr>
        <w:spacing w:before="170" w:line="307" w:lineRule="auto"/>
        <w:ind w:left="332" w:right="612" w:firstLine="420"/>
        <w:jc w:val="left"/>
        <w:rPr>
          <w:sz w:val="21"/>
        </w:rPr>
      </w:pPr>
      <w:r>
        <w:rPr>
          <w:spacing w:val="-3"/>
          <w:sz w:val="21"/>
        </w:rPr>
        <w:t xml:space="preserve">重新招标后投标人仍少于 </w:t>
      </w:r>
      <w:r>
        <w:rPr>
          <w:sz w:val="21"/>
        </w:rPr>
        <w:t>3</w:t>
      </w:r>
      <w:r>
        <w:rPr>
          <w:spacing w:val="-6"/>
          <w:sz w:val="21"/>
        </w:rPr>
        <w:t xml:space="preserve"> 个的，属于必须审批或核准的工程建设项目，经原审批或核准部门批准后可以不再进行招标。</w:t>
      </w:r>
    </w:p>
    <w:p>
      <w:pPr>
        <w:pStyle w:val="9"/>
        <w:spacing w:before="6"/>
        <w:rPr>
          <w:sz w:val="26"/>
        </w:rPr>
      </w:pPr>
    </w:p>
    <w:p>
      <w:pPr>
        <w:pStyle w:val="13"/>
        <w:numPr>
          <w:ilvl w:val="0"/>
          <w:numId w:val="11"/>
        </w:numPr>
        <w:tabs>
          <w:tab w:val="left" w:pos="785"/>
        </w:tabs>
        <w:spacing w:before="0" w:after="0" w:line="240" w:lineRule="auto"/>
        <w:ind w:left="785" w:right="0" w:hanging="453"/>
        <w:jc w:val="left"/>
        <w:rPr>
          <w:b/>
          <w:sz w:val="28"/>
        </w:rPr>
      </w:pPr>
      <w:bookmarkStart w:id="34" w:name="9．纪律和监督"/>
      <w:bookmarkEnd w:id="34"/>
      <w:bookmarkStart w:id="35" w:name="_bookmark10"/>
      <w:bookmarkEnd w:id="35"/>
      <w:r>
        <w:rPr>
          <w:b/>
          <w:sz w:val="30"/>
        </w:rPr>
        <w:t>纪律和监督</w:t>
      </w:r>
    </w:p>
    <w:p>
      <w:pPr>
        <w:pStyle w:val="9"/>
        <w:spacing w:before="2"/>
        <w:rPr>
          <w:b/>
          <w:sz w:val="40"/>
        </w:rPr>
      </w:pPr>
    </w:p>
    <w:p>
      <w:pPr>
        <w:pStyle w:val="5"/>
        <w:numPr>
          <w:ilvl w:val="1"/>
          <w:numId w:val="11"/>
        </w:numPr>
        <w:tabs>
          <w:tab w:val="left" w:pos="895"/>
        </w:tabs>
        <w:spacing w:before="0" w:after="0" w:line="240" w:lineRule="auto"/>
        <w:ind w:left="894" w:right="0" w:hanging="563"/>
        <w:jc w:val="left"/>
      </w:pPr>
      <w:r>
        <w:rPr>
          <w:spacing w:val="-3"/>
        </w:rPr>
        <w:t>对招标人的纪律要求</w:t>
      </w:r>
    </w:p>
    <w:p>
      <w:pPr>
        <w:spacing w:before="167" w:line="307" w:lineRule="auto"/>
        <w:ind w:left="332" w:right="614" w:firstLine="420"/>
        <w:jc w:val="left"/>
        <w:rPr>
          <w:sz w:val="21"/>
        </w:rPr>
      </w:pPr>
      <w:r>
        <w:rPr>
          <w:sz w:val="21"/>
        </w:rPr>
        <w:t>招标人不得泄漏招标投标活动中应当保密的情况和资料，不得与投标人串通损害国家利益、社会公共利益或者他人合法权益。</w:t>
      </w:r>
    </w:p>
    <w:p>
      <w:pPr>
        <w:pStyle w:val="5"/>
        <w:numPr>
          <w:ilvl w:val="1"/>
          <w:numId w:val="11"/>
        </w:numPr>
        <w:tabs>
          <w:tab w:val="left" w:pos="895"/>
        </w:tabs>
        <w:spacing w:before="93" w:after="0" w:line="240" w:lineRule="auto"/>
        <w:ind w:left="894" w:right="0" w:hanging="563"/>
        <w:jc w:val="left"/>
      </w:pPr>
      <w:r>
        <w:rPr>
          <w:spacing w:val="-3"/>
        </w:rPr>
        <w:t>对投标人的纪律要求</w:t>
      </w:r>
    </w:p>
    <w:p>
      <w:pPr>
        <w:spacing w:before="170" w:line="307" w:lineRule="auto"/>
        <w:ind w:left="332" w:right="508" w:firstLine="420"/>
        <w:jc w:val="left"/>
        <w:rPr>
          <w:sz w:val="21"/>
        </w:rPr>
      </w:pPr>
      <w:r>
        <w:rPr>
          <w:spacing w:val="-3"/>
          <w:w w:val="95"/>
          <w:sz w:val="24"/>
          <w:szCs w:val="24"/>
        </w:rPr>
        <w:t>投标人不得相互串通投标或者与招标人串通投标，不得向招标人或者评标委员会成员行贿谋取中标，</w:t>
      </w:r>
      <w:r>
        <w:rPr>
          <w:spacing w:val="-3"/>
          <w:w w:val="95"/>
          <w:sz w:val="21"/>
        </w:rPr>
        <w:t xml:space="preserve">   </w:t>
      </w:r>
      <w:r>
        <w:rPr>
          <w:spacing w:val="-3"/>
          <w:sz w:val="21"/>
        </w:rPr>
        <w:t>不得以他人名义投标或者以其他方式弄虚作假骗取中标；投标人不得以任何方式干扰、影响评标工作。</w:t>
      </w:r>
    </w:p>
    <w:p>
      <w:pPr>
        <w:pStyle w:val="5"/>
        <w:numPr>
          <w:numId w:val="0"/>
        </w:numPr>
        <w:tabs>
          <w:tab w:val="left" w:pos="895"/>
        </w:tabs>
        <w:spacing w:before="95" w:after="0" w:line="240" w:lineRule="auto"/>
        <w:ind w:left="331" w:leftChars="0" w:right="0"/>
        <w:jc w:val="left"/>
      </w:pPr>
    </w:p>
    <w:p>
      <w:pPr>
        <w:pStyle w:val="5"/>
        <w:numPr>
          <w:ilvl w:val="1"/>
          <w:numId w:val="11"/>
        </w:numPr>
        <w:tabs>
          <w:tab w:val="left" w:pos="895"/>
        </w:tabs>
        <w:spacing w:before="95" w:after="0" w:line="240" w:lineRule="auto"/>
        <w:ind w:left="894" w:right="0" w:hanging="563"/>
        <w:jc w:val="left"/>
      </w:pPr>
      <w:r>
        <w:rPr>
          <w:spacing w:val="-3"/>
        </w:rPr>
        <w:t>对评标委员会成员的纪律要求</w:t>
      </w:r>
    </w:p>
    <w:p>
      <w:pPr>
        <w:spacing w:before="170" w:line="304" w:lineRule="auto"/>
        <w:ind w:left="332" w:right="614" w:firstLine="420"/>
        <w:jc w:val="left"/>
        <w:rPr>
          <w:sz w:val="21"/>
        </w:rPr>
        <w:sectPr>
          <w:pgSz w:w="11910" w:h="16840"/>
          <w:pgMar w:top="1100" w:right="660" w:bottom="1180" w:left="800" w:header="878" w:footer="993" w:gutter="0"/>
          <w:cols w:space="720" w:num="1"/>
        </w:sectPr>
      </w:pPr>
      <w:r>
        <w:rPr>
          <w:sz w:val="21"/>
        </w:rPr>
        <w:t>评标委员会成员不得收受他人的财物或者其他好处，不得向他人透漏对投标文件的评审和比较、中标候选人的推荐情况以及评标有关的其他情况。在评标活动中，评标委员会成员不得使用通讯设备、不</w:t>
      </w:r>
    </w:p>
    <w:p>
      <w:pPr>
        <w:spacing w:before="70" w:line="307" w:lineRule="auto"/>
        <w:ind w:right="611"/>
        <w:jc w:val="left"/>
        <w:rPr>
          <w:sz w:val="21"/>
        </w:rPr>
      </w:pPr>
      <w:r>
        <w:rPr>
          <w:sz w:val="21"/>
        </w:rPr>
        <w:t>得与外界联系，不得擅离职守，影响评标程序正常进行，不得使用第三章“评标办法”没有规定的评审因素和标准进行评标。</w:t>
      </w:r>
    </w:p>
    <w:p>
      <w:pPr>
        <w:pStyle w:val="5"/>
        <w:numPr>
          <w:ilvl w:val="1"/>
          <w:numId w:val="11"/>
        </w:numPr>
        <w:tabs>
          <w:tab w:val="left" w:pos="895"/>
        </w:tabs>
        <w:spacing w:before="93" w:after="0" w:line="240" w:lineRule="auto"/>
        <w:ind w:left="894" w:right="0" w:hanging="563"/>
        <w:jc w:val="left"/>
      </w:pPr>
      <w:r>
        <w:rPr>
          <w:spacing w:val="-3"/>
        </w:rPr>
        <w:t>对与评标活动有关的工作人员的纪律要求</w:t>
      </w:r>
    </w:p>
    <w:p>
      <w:pPr>
        <w:spacing w:before="170" w:line="307" w:lineRule="auto"/>
        <w:ind w:left="332" w:right="614" w:firstLine="420"/>
        <w:jc w:val="both"/>
        <w:rPr>
          <w:sz w:val="21"/>
        </w:rPr>
      </w:pPr>
      <w:r>
        <w:rPr>
          <w:sz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
        <w:numPr>
          <w:ilvl w:val="1"/>
          <w:numId w:val="11"/>
        </w:numPr>
        <w:tabs>
          <w:tab w:val="left" w:pos="895"/>
        </w:tabs>
        <w:spacing w:before="92" w:after="0" w:line="240" w:lineRule="auto"/>
        <w:ind w:left="894" w:right="0" w:hanging="563"/>
        <w:jc w:val="left"/>
      </w:pPr>
      <w:r>
        <w:t>监督</w:t>
      </w:r>
    </w:p>
    <w:p>
      <w:pPr>
        <w:spacing w:before="170" w:line="307" w:lineRule="auto"/>
        <w:ind w:left="332" w:right="614" w:firstLine="420"/>
        <w:jc w:val="left"/>
        <w:rPr>
          <w:sz w:val="21"/>
        </w:rPr>
      </w:pPr>
      <w:r>
        <w:rPr>
          <w:sz w:val="21"/>
        </w:rPr>
        <w:t>本标段的招标投标活动及其相关当事人应当接受有管辖权的建设工程招标投标行政监督部门依法实施的监督。</w:t>
      </w:r>
    </w:p>
    <w:p>
      <w:pPr>
        <w:pStyle w:val="9"/>
        <w:rPr>
          <w:sz w:val="20"/>
        </w:rPr>
      </w:pPr>
    </w:p>
    <w:p>
      <w:pPr>
        <w:pStyle w:val="9"/>
        <w:rPr>
          <w:sz w:val="14"/>
        </w:rPr>
      </w:pPr>
    </w:p>
    <w:p>
      <w:pPr>
        <w:pStyle w:val="5"/>
        <w:numPr>
          <w:ilvl w:val="1"/>
          <w:numId w:val="11"/>
        </w:numPr>
        <w:tabs>
          <w:tab w:val="left" w:pos="825"/>
        </w:tabs>
        <w:spacing w:before="1" w:after="0" w:line="240" w:lineRule="auto"/>
        <w:ind w:left="824" w:right="0" w:hanging="493"/>
        <w:jc w:val="left"/>
      </w:pPr>
      <w:r>
        <w:t>异议</w:t>
      </w:r>
    </w:p>
    <w:p>
      <w:pPr>
        <w:pStyle w:val="13"/>
        <w:numPr>
          <w:ilvl w:val="2"/>
          <w:numId w:val="11"/>
        </w:numPr>
        <w:tabs>
          <w:tab w:val="left" w:pos="1377"/>
        </w:tabs>
        <w:spacing w:before="169" w:after="0" w:line="307" w:lineRule="auto"/>
        <w:ind w:left="332" w:right="611" w:firstLine="412"/>
        <w:jc w:val="both"/>
        <w:rPr>
          <w:sz w:val="21"/>
        </w:rPr>
      </w:pPr>
      <w:r>
        <w:rPr>
          <w:spacing w:val="-5"/>
          <w:sz w:val="21"/>
        </w:rPr>
        <w:t xml:space="preserve">投标人或者其他利害关系人对招标文件有异议的，应当在投标截止时间 </w:t>
      </w:r>
      <w:r>
        <w:rPr>
          <w:sz w:val="21"/>
        </w:rPr>
        <w:t>10</w:t>
      </w:r>
      <w:r>
        <w:rPr>
          <w:spacing w:val="-8"/>
          <w:sz w:val="21"/>
        </w:rPr>
        <w:t xml:space="preserve"> 日前以书面署名形式提出。招标人应当自收到异议之日起３日内作出书面答复并予以记录。招标人未在规定时间内书面答复的，应当顺延投标截止时间；招标人书面答复内容涉及及影响投标文件编制的，应当按照有关澄清或者修改的规定，调整投标截止时间。</w:t>
      </w:r>
    </w:p>
    <w:p>
      <w:pPr>
        <w:pStyle w:val="13"/>
        <w:numPr>
          <w:ilvl w:val="2"/>
          <w:numId w:val="11"/>
        </w:numPr>
        <w:tabs>
          <w:tab w:val="left" w:pos="1377"/>
        </w:tabs>
        <w:spacing w:before="0" w:after="0" w:line="307" w:lineRule="auto"/>
        <w:ind w:left="332" w:right="506" w:firstLine="412"/>
        <w:jc w:val="left"/>
        <w:rPr>
          <w:sz w:val="21"/>
        </w:rPr>
      </w:pPr>
      <w:r>
        <w:rPr>
          <w:sz w:val="21"/>
        </w:rPr>
        <w:t>投标人对开标有异议的，是指对投标文件提交、投标截止时间、开标程序、投标文件密封检</w:t>
      </w:r>
      <w:r>
        <w:rPr>
          <w:spacing w:val="-6"/>
          <w:w w:val="95"/>
          <w:sz w:val="21"/>
        </w:rPr>
        <w:t xml:space="preserve">查和开封、宣读内容、开标记录等存在异议，应当在开标现场提出。异议成立的，招标人应当当场答复，   </w:t>
      </w:r>
      <w:r>
        <w:rPr>
          <w:spacing w:val="-6"/>
          <w:sz w:val="21"/>
        </w:rPr>
        <w:t>并制作记录；答复形式可包括提交评标委员会评审。招标人不当场答复的，不能开展评标活动。</w:t>
      </w:r>
    </w:p>
    <w:p>
      <w:pPr>
        <w:pStyle w:val="13"/>
        <w:numPr>
          <w:ilvl w:val="2"/>
          <w:numId w:val="11"/>
        </w:numPr>
        <w:tabs>
          <w:tab w:val="left" w:pos="1377"/>
        </w:tabs>
        <w:spacing w:before="0" w:after="0" w:line="307" w:lineRule="auto"/>
        <w:ind w:left="332" w:right="612" w:firstLine="412"/>
        <w:jc w:val="both"/>
        <w:rPr>
          <w:sz w:val="21"/>
        </w:rPr>
      </w:pPr>
      <w:r>
        <w:rPr>
          <w:sz w:val="21"/>
        </w:rPr>
        <w:t>投标人或者其他利害关系人对评标结果有异议的，包括评标结果是否符合招标文件规定的评标标准和方法等，应当在中标候选人公示期间以书面署名形式向招标人提出。招标人应当自收到异议之</w:t>
      </w:r>
      <w:r>
        <w:rPr>
          <w:spacing w:val="-12"/>
          <w:sz w:val="21"/>
        </w:rPr>
        <w:t xml:space="preserve">日起 </w:t>
      </w:r>
      <w:r>
        <w:rPr>
          <w:sz w:val="21"/>
        </w:rPr>
        <w:t>3</w:t>
      </w:r>
      <w:r>
        <w:rPr>
          <w:spacing w:val="-6"/>
          <w:sz w:val="21"/>
        </w:rPr>
        <w:t xml:space="preserve"> 日内作出书面答复，并进行记录；招标人未作出书面答复的，招投标监管部门不予以办理招标投标情况书面报告备案。异议成立的，招标人应当以书面署名形式报告招投标监管部门，并组织原评标委员会对有关问题予以纠正。</w:t>
      </w:r>
    </w:p>
    <w:p>
      <w:pPr>
        <w:pStyle w:val="9"/>
        <w:rPr>
          <w:sz w:val="20"/>
        </w:rPr>
      </w:pPr>
    </w:p>
    <w:p>
      <w:pPr>
        <w:pStyle w:val="9"/>
        <w:rPr>
          <w:sz w:val="20"/>
        </w:rPr>
      </w:pPr>
    </w:p>
    <w:p>
      <w:pPr>
        <w:pStyle w:val="9"/>
        <w:rPr>
          <w:sz w:val="15"/>
        </w:rPr>
      </w:pPr>
    </w:p>
    <w:p>
      <w:pPr>
        <w:pStyle w:val="5"/>
        <w:numPr>
          <w:ilvl w:val="1"/>
          <w:numId w:val="11"/>
        </w:numPr>
        <w:tabs>
          <w:tab w:val="left" w:pos="825"/>
        </w:tabs>
        <w:spacing w:before="1" w:after="0" w:line="240" w:lineRule="auto"/>
        <w:ind w:left="824" w:right="0" w:hanging="493"/>
        <w:jc w:val="left"/>
      </w:pPr>
      <w:r>
        <w:t>投诉</w:t>
      </w:r>
    </w:p>
    <w:p>
      <w:pPr>
        <w:pStyle w:val="9"/>
        <w:spacing w:before="5"/>
        <w:rPr>
          <w:sz w:val="25"/>
        </w:rPr>
      </w:pPr>
    </w:p>
    <w:p>
      <w:pPr>
        <w:pStyle w:val="13"/>
        <w:numPr>
          <w:ilvl w:val="2"/>
          <w:numId w:val="11"/>
        </w:numPr>
        <w:tabs>
          <w:tab w:val="left" w:pos="1324"/>
        </w:tabs>
        <w:spacing w:before="0" w:after="0" w:line="307" w:lineRule="auto"/>
        <w:ind w:left="332" w:right="602" w:firstLine="412"/>
        <w:jc w:val="left"/>
        <w:rPr>
          <w:sz w:val="21"/>
        </w:rPr>
      </w:pPr>
      <w:r>
        <w:rPr>
          <w:spacing w:val="-6"/>
          <w:w w:val="95"/>
          <w:sz w:val="21"/>
        </w:rPr>
        <w:t xml:space="preserve">投标人和其他利害关系人认为本次招标活动违反法律、行政法规规定的，可以自知道或者应当   </w:t>
      </w:r>
      <w:r>
        <w:rPr>
          <w:spacing w:val="-18"/>
          <w:sz w:val="21"/>
        </w:rPr>
        <w:t xml:space="preserve">知道之日起 </w:t>
      </w:r>
      <w:r>
        <w:rPr>
          <w:sz w:val="21"/>
        </w:rPr>
        <w:t>10</w:t>
      </w:r>
      <w:r>
        <w:rPr>
          <w:spacing w:val="-17"/>
          <w:sz w:val="21"/>
        </w:rPr>
        <w:t xml:space="preserve"> 日内向有关行政监督部门投诉。投诉应当有明确的请求和必要的证明材料。</w:t>
      </w:r>
    </w:p>
    <w:p>
      <w:pPr>
        <w:pStyle w:val="13"/>
        <w:numPr>
          <w:ilvl w:val="2"/>
          <w:numId w:val="11"/>
        </w:numPr>
        <w:tabs>
          <w:tab w:val="left" w:pos="1324"/>
        </w:tabs>
        <w:spacing w:before="154" w:after="0" w:line="307" w:lineRule="auto"/>
        <w:ind w:left="332" w:right="609" w:firstLine="412"/>
        <w:jc w:val="left"/>
        <w:rPr>
          <w:sz w:val="21"/>
        </w:rPr>
      </w:pPr>
      <w:r>
        <w:rPr>
          <w:spacing w:val="-4"/>
          <w:sz w:val="21"/>
        </w:rPr>
        <w:t xml:space="preserve">投标人和其他利害关系人就本章第 </w:t>
      </w:r>
      <w:r>
        <w:rPr>
          <w:sz w:val="21"/>
        </w:rPr>
        <w:t>9.6.1</w:t>
      </w:r>
      <w:r>
        <w:rPr>
          <w:spacing w:val="-29"/>
          <w:sz w:val="21"/>
        </w:rPr>
        <w:t xml:space="preserve"> 项、第 </w:t>
      </w:r>
      <w:r>
        <w:rPr>
          <w:sz w:val="21"/>
        </w:rPr>
        <w:t>9.6.2</w:t>
      </w:r>
      <w:r>
        <w:rPr>
          <w:spacing w:val="-29"/>
          <w:sz w:val="21"/>
        </w:rPr>
        <w:t xml:space="preserve"> 项、第 </w:t>
      </w:r>
      <w:r>
        <w:rPr>
          <w:sz w:val="21"/>
        </w:rPr>
        <w:t>9.6.3</w:t>
      </w:r>
      <w:r>
        <w:rPr>
          <w:spacing w:val="-10"/>
          <w:sz w:val="21"/>
        </w:rPr>
        <w:t xml:space="preserve"> 项事项投诉的，应当先向招标人提出异议，异议答复期间不计算前项规定的期限内。</w:t>
      </w:r>
    </w:p>
    <w:p>
      <w:pPr>
        <w:pStyle w:val="9"/>
        <w:spacing w:before="6"/>
        <w:rPr>
          <w:sz w:val="26"/>
        </w:rPr>
      </w:pPr>
    </w:p>
    <w:p>
      <w:pPr>
        <w:pStyle w:val="13"/>
        <w:numPr>
          <w:ilvl w:val="0"/>
          <w:numId w:val="11"/>
        </w:numPr>
        <w:tabs>
          <w:tab w:val="left" w:pos="937"/>
        </w:tabs>
        <w:spacing w:before="0" w:after="0" w:line="240" w:lineRule="auto"/>
        <w:ind w:left="936" w:right="0" w:hanging="605"/>
        <w:jc w:val="left"/>
        <w:rPr>
          <w:b/>
          <w:sz w:val="28"/>
        </w:rPr>
      </w:pPr>
      <w:bookmarkStart w:id="36" w:name="_bookmark11"/>
      <w:bookmarkEnd w:id="36"/>
      <w:bookmarkStart w:id="37" w:name="10．其他注意事项"/>
      <w:bookmarkEnd w:id="37"/>
      <w:r>
        <w:rPr>
          <w:b/>
          <w:sz w:val="30"/>
        </w:rPr>
        <w:t>其他注意事项</w:t>
      </w:r>
    </w:p>
    <w:p>
      <w:pPr>
        <w:pStyle w:val="9"/>
        <w:spacing w:before="8"/>
        <w:rPr>
          <w:b/>
          <w:sz w:val="32"/>
        </w:rPr>
      </w:pPr>
    </w:p>
    <w:p>
      <w:pPr>
        <w:spacing w:before="1"/>
        <w:ind w:left="858" w:right="0" w:firstLine="0"/>
        <w:jc w:val="left"/>
        <w:rPr>
          <w:sz w:val="21"/>
        </w:rPr>
        <w:sectPr>
          <w:pgSz w:w="11910" w:h="16840"/>
          <w:pgMar w:top="1100" w:right="660" w:bottom="1180" w:left="800" w:header="878" w:footer="993" w:gutter="0"/>
          <w:cols w:space="720" w:num="1"/>
        </w:sectPr>
      </w:pPr>
      <w:r>
        <w:rPr>
          <w:sz w:val="21"/>
        </w:rPr>
        <w:t>需要补充的其他内容：见投标人须知前附表。</w:t>
      </w:r>
    </w:p>
    <w:p>
      <w:pPr>
        <w:pStyle w:val="9"/>
        <w:rPr>
          <w:sz w:val="20"/>
        </w:rPr>
      </w:pPr>
    </w:p>
    <w:p>
      <w:pPr>
        <w:pStyle w:val="9"/>
        <w:spacing w:before="4"/>
        <w:rPr>
          <w:sz w:val="15"/>
        </w:rPr>
      </w:pPr>
    </w:p>
    <w:p>
      <w:pPr>
        <w:spacing w:before="58"/>
        <w:ind w:left="932" w:right="0" w:firstLine="0"/>
        <w:jc w:val="center"/>
        <w:rPr>
          <w:b/>
          <w:sz w:val="30"/>
        </w:rPr>
      </w:pPr>
      <w:bookmarkStart w:id="38" w:name="附件:投标保证金提交与退还操作须知"/>
      <w:bookmarkEnd w:id="38"/>
      <w:bookmarkStart w:id="39" w:name="_bookmark12"/>
      <w:bookmarkEnd w:id="39"/>
      <w:bookmarkStart w:id="40" w:name="第三章  评标办法"/>
      <w:bookmarkEnd w:id="40"/>
      <w:r>
        <w:rPr>
          <w:b/>
          <w:sz w:val="30"/>
        </w:rPr>
        <w:t>附件:投标保证金提交与退还操作须知</w:t>
      </w:r>
    </w:p>
    <w:p>
      <w:pPr>
        <w:pStyle w:val="9"/>
        <w:spacing w:before="1"/>
        <w:rPr>
          <w:b/>
          <w:sz w:val="32"/>
        </w:rPr>
      </w:pPr>
    </w:p>
    <w:p>
      <w:pPr>
        <w:snapToGrid/>
        <w:spacing w:before="0" w:beforeAutospacing="0" w:after="0" w:afterAutospacing="0" w:line="240" w:lineRule="auto"/>
        <w:jc w:val="both"/>
        <w:textAlignment w:val="baseline"/>
      </w:pPr>
      <w:r>
        <w:t>提交投标保证金的银行户名和账号</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2"/>
        </w:rPr>
      </w:pPr>
    </w:p>
    <w:p>
      <w:pPr>
        <w:snapToGrid/>
        <w:spacing w:before="0" w:beforeAutospacing="0" w:after="0" w:afterAutospacing="0" w:line="240" w:lineRule="auto"/>
        <w:jc w:val="both"/>
        <w:textAlignment w:val="baseline"/>
        <w:rPr>
          <w:rFonts w:ascii="宋体" w:hAnsi="宋体" w:eastAsia="宋体"/>
          <w:b w:val="0"/>
          <w:i w:val="0"/>
          <w:caps w:val="0"/>
          <w:spacing w:val="0"/>
          <w:w w:val="100"/>
          <w:sz w:val="22"/>
        </w:rPr>
      </w:pPr>
      <w:r>
        <w:rPr>
          <w:rFonts w:hint="eastAsia" w:ascii="宋体" w:hAnsi="宋体" w:eastAsia="宋体"/>
          <w:b w:val="0"/>
          <w:i w:val="0"/>
          <w:caps w:val="0"/>
          <w:spacing w:val="0"/>
          <w:w w:val="100"/>
          <w:sz w:val="22"/>
        </w:rPr>
        <w:t>收款单位：寰宇东方国际集装箱（青岛）有限公司</w:t>
      </w:r>
    </w:p>
    <w:p>
      <w:pPr>
        <w:snapToGrid/>
        <w:spacing w:before="0" w:beforeAutospacing="0" w:after="0" w:afterAutospacing="0" w:line="240" w:lineRule="auto"/>
        <w:jc w:val="both"/>
        <w:textAlignment w:val="baseline"/>
        <w:rPr>
          <w:rFonts w:hint="eastAsia" w:ascii="宋体" w:hAnsi="宋体" w:eastAsia="宋体"/>
          <w:b w:val="0"/>
          <w:i w:val="0"/>
          <w:caps w:val="0"/>
          <w:spacing w:val="0"/>
          <w:w w:val="100"/>
          <w:sz w:val="22"/>
        </w:rPr>
      </w:pPr>
    </w:p>
    <w:p>
      <w:pPr>
        <w:snapToGrid/>
        <w:spacing w:before="0" w:beforeAutospacing="0" w:after="0" w:afterAutospacing="0" w:line="240" w:lineRule="auto"/>
        <w:jc w:val="both"/>
        <w:textAlignment w:val="baseline"/>
        <w:rPr>
          <w:rFonts w:ascii="宋体" w:hAnsi="宋体" w:eastAsia="宋体"/>
          <w:b w:val="0"/>
          <w:i w:val="0"/>
          <w:caps w:val="0"/>
          <w:spacing w:val="0"/>
          <w:w w:val="100"/>
          <w:sz w:val="22"/>
        </w:rPr>
      </w:pPr>
      <w:r>
        <w:rPr>
          <w:rFonts w:hint="eastAsia" w:ascii="宋体" w:hAnsi="宋体" w:eastAsia="宋体"/>
          <w:b w:val="0"/>
          <w:i w:val="0"/>
          <w:caps w:val="0"/>
          <w:spacing w:val="0"/>
          <w:w w:val="100"/>
          <w:sz w:val="22"/>
        </w:rPr>
        <w:t>开户银行：招商银行股份有限公司青岛经济技术开发区支行</w:t>
      </w:r>
    </w:p>
    <w:p>
      <w:pPr>
        <w:pStyle w:val="14"/>
        <w:spacing w:before="40"/>
        <w:ind w:left="108"/>
        <w:rPr>
          <w:rFonts w:hint="eastAsia" w:ascii="宋体" w:hAnsi="宋体" w:eastAsia="宋体"/>
          <w:b w:val="0"/>
          <w:i w:val="0"/>
          <w:caps w:val="0"/>
          <w:spacing w:val="0"/>
          <w:w w:val="100"/>
          <w:sz w:val="22"/>
        </w:rPr>
      </w:pPr>
    </w:p>
    <w:p>
      <w:pPr>
        <w:pStyle w:val="14"/>
        <w:spacing w:before="40"/>
        <w:ind w:left="108"/>
        <w:rPr>
          <w:sz w:val="22"/>
        </w:rPr>
      </w:pPr>
      <w:r>
        <w:rPr>
          <w:rFonts w:hint="eastAsia" w:ascii="宋体" w:hAnsi="宋体" w:eastAsia="宋体"/>
          <w:b w:val="0"/>
          <w:i w:val="0"/>
          <w:caps w:val="0"/>
          <w:spacing w:val="0"/>
          <w:w w:val="100"/>
          <w:sz w:val="22"/>
        </w:rPr>
        <w:t>账号：642781502810001</w:t>
      </w:r>
      <w:r>
        <w:rPr>
          <w:rFonts w:hint="eastAsia" w:ascii="宋体" w:hAnsi="宋体"/>
          <w:b w:val="0"/>
          <w:i w:val="0"/>
          <w:caps w:val="0"/>
          <w:spacing w:val="0"/>
          <w:w w:val="100"/>
          <w:kern w:val="0"/>
          <w:sz w:val="21"/>
          <w:szCs w:val="28"/>
        </w:rPr>
        <w:t>。</w:t>
      </w:r>
      <w:r>
        <w:rPr>
          <w:sz w:val="22"/>
        </w:rPr>
        <w:t>。</w:t>
      </w:r>
    </w:p>
    <w:p>
      <w:pPr>
        <w:pStyle w:val="9"/>
        <w:numPr>
          <w:numId w:val="0"/>
        </w:numPr>
        <w:spacing w:line="427" w:lineRule="auto"/>
        <w:ind w:right="5709"/>
      </w:pPr>
    </w:p>
    <w:p>
      <w:pPr>
        <w:pStyle w:val="9"/>
        <w:numPr>
          <w:numId w:val="0"/>
        </w:numPr>
        <w:spacing w:line="427" w:lineRule="auto"/>
        <w:ind w:right="5709"/>
      </w:pPr>
      <w:r>
        <w:rPr>
          <w:spacing w:val="-3"/>
        </w:rPr>
        <w:t>二、提交和退还投标保证金方式</w:t>
      </w:r>
    </w:p>
    <w:p>
      <w:pPr>
        <w:pStyle w:val="9"/>
        <w:spacing w:line="279" w:lineRule="exact"/>
        <w:ind w:left="774"/>
      </w:pPr>
      <w:r>
        <w:t>(一)提交方式为支票、银行本票、</w:t>
      </w:r>
      <w:r>
        <w:fldChar w:fldCharType="begin"/>
      </w:r>
      <w:r>
        <w:instrText xml:space="preserve"> HYPERLINK "http://www.66law.cn/topic2010/%E9%96%BE%E6%83%B0%EE%94%91%E5%A7%B9%E5%9B%A9%E3%82%A8/" \h </w:instrText>
      </w:r>
      <w:r>
        <w:fldChar w:fldCharType="separate"/>
      </w:r>
      <w:r>
        <w:t>银行汇票</w:t>
      </w:r>
      <w:r>
        <w:fldChar w:fldCharType="end"/>
      </w:r>
      <w:r>
        <w:t>、贷记凭证、电汇、网上支付、银行保函。</w:t>
      </w:r>
    </w:p>
    <w:p>
      <w:pPr>
        <w:pStyle w:val="9"/>
        <w:spacing w:before="10"/>
        <w:rPr>
          <w:sz w:val="16"/>
        </w:rPr>
      </w:pPr>
    </w:p>
    <w:p>
      <w:pPr>
        <w:spacing w:before="0" w:line="292" w:lineRule="auto"/>
        <w:ind w:left="332" w:right="609" w:firstLine="0"/>
        <w:jc w:val="left"/>
        <w:rPr>
          <w:sz w:val="22"/>
        </w:rPr>
      </w:pPr>
      <w:r>
        <w:rPr>
          <w:spacing w:val="-1"/>
          <w:sz w:val="22"/>
        </w:rPr>
        <w:t>1</w:t>
      </w:r>
      <w:r>
        <w:rPr>
          <w:spacing w:val="-6"/>
          <w:sz w:val="22"/>
        </w:rPr>
        <w:t>、投标保证金的付款人必须具备</w:t>
      </w:r>
      <w:r>
        <w:fldChar w:fldCharType="begin"/>
      </w:r>
      <w:r>
        <w:instrText xml:space="preserve"> HYPERLINK "http://www.66law.cn/topic2010/%E5%AF%A4%E9%B8%BF%EE%86%95%E5%AE%B8%E3%83%A7%E2%96%BC/" \h </w:instrText>
      </w:r>
      <w:r>
        <w:fldChar w:fldCharType="separate"/>
      </w:r>
      <w:r>
        <w:rPr>
          <w:spacing w:val="-3"/>
          <w:sz w:val="22"/>
        </w:rPr>
        <w:t>建设工程</w:t>
      </w:r>
      <w:r>
        <w:rPr>
          <w:spacing w:val="-3"/>
          <w:sz w:val="22"/>
        </w:rPr>
        <w:fldChar w:fldCharType="end"/>
      </w:r>
      <w:r>
        <w:rPr>
          <w:spacing w:val="-7"/>
          <w:sz w:val="22"/>
        </w:rPr>
        <w:t>企业资质的独立法人，且与投标人名称一致，不得委托分</w:t>
      </w:r>
      <w:r>
        <w:rPr>
          <w:spacing w:val="-3"/>
          <w:sz w:val="22"/>
        </w:rPr>
        <w:t>支机构代为提交，</w:t>
      </w:r>
      <w:r>
        <w:rPr>
          <w:b/>
          <w:sz w:val="22"/>
        </w:rPr>
        <w:t>投标保证金应当从投标人基本账户转出</w:t>
      </w:r>
      <w:r>
        <w:rPr>
          <w:sz w:val="22"/>
        </w:rPr>
        <w:t>。</w:t>
      </w:r>
    </w:p>
    <w:p>
      <w:pPr>
        <w:pStyle w:val="9"/>
        <w:spacing w:before="155" w:line="295" w:lineRule="auto"/>
        <w:ind w:left="332" w:right="611"/>
      </w:pPr>
      <w:r>
        <w:rPr>
          <w:spacing w:val="-1"/>
        </w:rPr>
        <w:t>2</w:t>
      </w:r>
      <w:r>
        <w:rPr>
          <w:spacing w:val="-9"/>
        </w:rPr>
        <w:t>、投标人必须按照招标文件的要求金额足额提交投标保证金，不得超额提交，更不得提供虚假、无</w:t>
      </w:r>
      <w:r>
        <w:rPr>
          <w:spacing w:val="-3"/>
        </w:rPr>
        <w:t>效的票函。</w:t>
      </w:r>
    </w:p>
    <w:p>
      <w:pPr>
        <w:pStyle w:val="9"/>
        <w:spacing w:before="151"/>
        <w:ind w:left="332"/>
      </w:pPr>
      <w:r>
        <w:t>3、投标人不得以现金方式和使用经过</w:t>
      </w:r>
      <w:r>
        <w:fldChar w:fldCharType="begin"/>
      </w:r>
      <w:r>
        <w:instrText xml:space="preserve"> HYPERLINK "http://www.66law.cn/topic2010/%E9%91%B3%E5%B1%BC%E5%8A%9F%E6%9D%9E%EE%84%83%EE%86%80/" \h </w:instrText>
      </w:r>
      <w:r>
        <w:fldChar w:fldCharType="separate"/>
      </w:r>
      <w:r>
        <w:t>背书转让</w:t>
      </w:r>
      <w:r>
        <w:fldChar w:fldCharType="end"/>
      </w:r>
      <w:r>
        <w:t>的支票、银行本票、银行汇票提交投标保证金。</w:t>
      </w:r>
    </w:p>
    <w:p>
      <w:pPr>
        <w:pStyle w:val="9"/>
        <w:spacing w:before="10"/>
        <w:rPr>
          <w:sz w:val="16"/>
        </w:rPr>
      </w:pPr>
    </w:p>
    <w:p>
      <w:pPr>
        <w:spacing w:before="0"/>
        <w:ind w:left="332" w:right="0" w:firstLine="0"/>
        <w:jc w:val="left"/>
        <w:rPr>
          <w:sz w:val="22"/>
        </w:rPr>
      </w:pPr>
      <w:r>
        <w:rPr>
          <w:sz w:val="22"/>
        </w:rPr>
        <w:t>4、银行保函的申请人必须是投标人，</w:t>
      </w:r>
      <w:r>
        <w:rPr>
          <w:b/>
          <w:sz w:val="22"/>
        </w:rPr>
        <w:t>保证人必须是投标人基本账户的开户银行</w:t>
      </w:r>
      <w:r>
        <w:rPr>
          <w:sz w:val="22"/>
        </w:rPr>
        <w:t>。</w:t>
      </w:r>
    </w:p>
    <w:p>
      <w:pPr>
        <w:pStyle w:val="9"/>
        <w:spacing w:before="12"/>
        <w:rPr>
          <w:sz w:val="16"/>
        </w:rPr>
      </w:pPr>
    </w:p>
    <w:p>
      <w:pPr>
        <w:pStyle w:val="9"/>
        <w:ind w:left="332"/>
      </w:pPr>
      <w:r>
        <w:t>5、银行保函采用示范样式(示范样式可向托管银行索取)。</w:t>
      </w:r>
    </w:p>
    <w:p>
      <w:pPr>
        <w:pStyle w:val="9"/>
        <w:rPr>
          <w:sz w:val="17"/>
        </w:rPr>
      </w:pPr>
    </w:p>
    <w:p>
      <w:pPr>
        <w:pStyle w:val="9"/>
        <w:spacing w:line="427" w:lineRule="auto"/>
        <w:ind w:left="774" w:right="3729"/>
      </w:pPr>
      <w:r>
        <w:rPr>
          <w:spacing w:val="-3"/>
        </w:rPr>
        <w:t>(二)退还方式以托管银行特种转账凭证返还原汇出银行账户。三、投标保证金利息计算</w:t>
      </w:r>
    </w:p>
    <w:p>
      <w:pPr>
        <w:pStyle w:val="9"/>
        <w:spacing w:line="422" w:lineRule="auto"/>
        <w:ind w:left="774" w:right="7029"/>
      </w:pPr>
      <w:r>
        <w:rPr>
          <w:spacing w:val="-3"/>
        </w:rPr>
        <w:t>(一)计息利率：不计利息。四、提交投标保证金程序</w:t>
      </w:r>
    </w:p>
    <w:p>
      <w:pPr>
        <w:pStyle w:val="9"/>
        <w:spacing w:before="1" w:line="424" w:lineRule="auto"/>
        <w:ind w:left="774" w:right="5927"/>
      </w:pPr>
      <w:r>
        <w:rPr>
          <w:spacing w:val="-3"/>
        </w:rPr>
        <w:t>银行转帐，请注明项目名称，联系人。五、退还投标保证金程序</w:t>
      </w:r>
    </w:p>
    <w:p>
      <w:pPr>
        <w:pStyle w:val="9"/>
        <w:spacing w:before="3"/>
        <w:ind w:left="774"/>
      </w:pPr>
      <w:r>
        <w:t>(一)未中标</w:t>
      </w:r>
    </w:p>
    <w:p>
      <w:pPr>
        <w:pStyle w:val="9"/>
        <w:spacing w:before="12"/>
        <w:rPr>
          <w:sz w:val="16"/>
        </w:rPr>
      </w:pPr>
    </w:p>
    <w:p>
      <w:pPr>
        <w:pStyle w:val="9"/>
        <w:spacing w:line="422" w:lineRule="auto"/>
        <w:ind w:left="774" w:right="6369"/>
      </w:pPr>
      <w:r>
        <w:rPr>
          <w:spacing w:val="-11"/>
        </w:rPr>
        <w:t xml:space="preserve">在评标结束后 </w:t>
      </w:r>
      <w:r>
        <w:t>7</w:t>
      </w:r>
      <w:r>
        <w:rPr>
          <w:spacing w:val="-8"/>
        </w:rPr>
        <w:t xml:space="preserve"> 个工作日内退还。</w:t>
      </w:r>
      <w:r>
        <w:rPr>
          <w:spacing w:val="-3"/>
        </w:rPr>
        <w:t>(二)中标</w:t>
      </w:r>
    </w:p>
    <w:p>
      <w:pPr>
        <w:pStyle w:val="9"/>
        <w:spacing w:before="4"/>
        <w:ind w:left="774"/>
      </w:pPr>
      <w:r>
        <w:t>中标方在合同签订及材料进场后，凭甲乙双方均签字盖章的合同原件予以无息退还。</w:t>
      </w:r>
    </w:p>
    <w:p>
      <w:pPr>
        <w:spacing w:after="0"/>
        <w:sectPr>
          <w:footerReference r:id="rId8" w:type="default"/>
          <w:pgSz w:w="11910" w:h="16840"/>
          <w:pgMar w:top="1100" w:right="660" w:bottom="1180" w:left="800" w:header="878" w:footer="993" w:gutter="0"/>
          <w:pgNumType w:start="20"/>
          <w:cols w:space="720" w:num="1"/>
        </w:sectPr>
      </w:pPr>
    </w:p>
    <w:p>
      <w:pPr>
        <w:pStyle w:val="9"/>
        <w:spacing w:before="10"/>
        <w:rPr>
          <w:sz w:val="28"/>
        </w:rPr>
      </w:pPr>
    </w:p>
    <w:p>
      <w:pPr>
        <w:spacing w:after="0"/>
        <w:rPr>
          <w:sz w:val="28"/>
        </w:rPr>
        <w:sectPr>
          <w:pgSz w:w="11910" w:h="16840"/>
          <w:pgMar w:top="1100" w:right="660" w:bottom="1180" w:left="800" w:header="878" w:footer="993" w:gutter="0"/>
          <w:cols w:space="720" w:num="1"/>
        </w:sectPr>
      </w:pPr>
    </w:p>
    <w:p>
      <w:pPr>
        <w:pStyle w:val="9"/>
      </w:pPr>
    </w:p>
    <w:p>
      <w:pPr>
        <w:pStyle w:val="9"/>
        <w:spacing w:before="7"/>
        <w:rPr>
          <w:sz w:val="19"/>
        </w:rPr>
      </w:pPr>
    </w:p>
    <w:p>
      <w:pPr>
        <w:pStyle w:val="8"/>
      </w:pPr>
      <w:r>
        <w:t>一、总则</w:t>
      </w:r>
    </w:p>
    <w:p>
      <w:pPr>
        <w:pStyle w:val="2"/>
        <w:tabs>
          <w:tab w:val="left" w:pos="1777"/>
        </w:tabs>
        <w:spacing w:before="50"/>
        <w:ind w:left="332" w:right="0"/>
        <w:jc w:val="left"/>
      </w:pPr>
      <w:r>
        <w:rPr>
          <w:b w:val="0"/>
        </w:rPr>
        <w:br w:type="column"/>
      </w:r>
      <w:bookmarkStart w:id="41" w:name="_bookmark13"/>
      <w:bookmarkEnd w:id="41"/>
      <w:r>
        <w:t>第三章</w:t>
      </w:r>
      <w:r>
        <w:tab/>
      </w:r>
      <w:r>
        <w:t>评标办法</w:t>
      </w:r>
    </w:p>
    <w:p>
      <w:pPr>
        <w:spacing w:after="0"/>
        <w:jc w:val="left"/>
        <w:sectPr>
          <w:type w:val="continuous"/>
          <w:pgSz w:w="11910" w:h="16840"/>
          <w:pgMar w:top="1140" w:right="660" w:bottom="280" w:left="800" w:header="720" w:footer="720" w:gutter="0"/>
          <w:cols w:equalWidth="0" w:num="2">
            <w:col w:w="1257" w:space="2051"/>
            <w:col w:w="7142"/>
          </w:cols>
        </w:sectPr>
      </w:pPr>
    </w:p>
    <w:p>
      <w:pPr>
        <w:pStyle w:val="9"/>
        <w:spacing w:before="146"/>
        <w:ind w:left="774"/>
      </w:pPr>
      <w:r>
        <w:t>本工程评标采用综合评分法，以百分制计算，设总分为 100 分(其中技术标满分为 40 分，商务</w:t>
      </w:r>
    </w:p>
    <w:p>
      <w:pPr>
        <w:pStyle w:val="9"/>
        <w:spacing w:before="145" w:line="364" w:lineRule="auto"/>
        <w:ind w:left="332" w:right="539"/>
      </w:pPr>
      <w:r>
        <w:rPr>
          <w:spacing w:val="-27"/>
        </w:rPr>
        <w:t xml:space="preserve">标 </w:t>
      </w:r>
      <w:r>
        <w:t>60</w:t>
      </w:r>
      <w:r>
        <w:rPr>
          <w:spacing w:val="-8"/>
        </w:rPr>
        <w:t xml:space="preserve"> 分)。综合得分=技术标得分+商务标得分，最高者为第一名，依此类推确定得分排名顺序。商</w:t>
      </w:r>
      <w:r>
        <w:rPr>
          <w:spacing w:val="-3"/>
        </w:rPr>
        <w:t>务报价得分打分分值精确到小数点后二位，第三位数四舍五入；技术分打分分值最小为“</w:t>
      </w:r>
      <w:r>
        <w:t>0.1”</w:t>
      </w:r>
      <w:r>
        <w:rPr>
          <w:spacing w:val="-2"/>
        </w:rPr>
        <w:t xml:space="preserve">分， </w:t>
      </w:r>
      <w:r>
        <w:rPr>
          <w:spacing w:val="-3"/>
        </w:rPr>
        <w:t>综合得分保留到小数点后二位，第三位数四舍五入。</w:t>
      </w:r>
    </w:p>
    <w:p>
      <w:pPr>
        <w:pStyle w:val="9"/>
        <w:spacing w:line="364" w:lineRule="auto"/>
        <w:ind w:left="332" w:right="1967" w:firstLine="441"/>
        <w:rPr>
          <w:b/>
        </w:rPr>
      </w:pPr>
      <w:r>
        <w:t>本工程评标程序为否决投标评审、确定入围投标人、商务标评审和技术标评审。</w:t>
      </w:r>
      <w:r>
        <w:rPr>
          <w:b/>
        </w:rPr>
        <w:t>二、否决投标评审</w:t>
      </w:r>
    </w:p>
    <w:p>
      <w:pPr>
        <w:pStyle w:val="9"/>
        <w:ind w:left="664"/>
      </w:pPr>
      <w:r>
        <w:t>(一)投标文件未经投标人盖章和单位负责人签字。</w:t>
      </w:r>
    </w:p>
    <w:p>
      <w:pPr>
        <w:pStyle w:val="9"/>
        <w:spacing w:before="144" w:line="364" w:lineRule="auto"/>
        <w:ind w:left="774" w:right="2836"/>
      </w:pPr>
      <w:r>
        <w:t>本项指投标文件下列内容未按招标文件提供的表式要求签字和盖章的： 1、投标承诺书；</w:t>
      </w:r>
    </w:p>
    <w:p>
      <w:pPr>
        <w:pStyle w:val="9"/>
        <w:ind w:left="774"/>
      </w:pPr>
      <w:r>
        <w:t>2、投标函；</w:t>
      </w:r>
    </w:p>
    <w:p>
      <w:pPr>
        <w:pStyle w:val="9"/>
        <w:spacing w:before="145"/>
        <w:ind w:left="774"/>
      </w:pPr>
      <w:r>
        <w:t>3、上海市建设工程施工招标投标情况汇总表；</w:t>
      </w:r>
    </w:p>
    <w:p>
      <w:pPr>
        <w:pStyle w:val="9"/>
        <w:spacing w:before="146" w:line="364" w:lineRule="auto"/>
        <w:ind w:left="774" w:right="4279" w:firstLine="110"/>
      </w:pPr>
      <w:r>
        <w:t>(二)投标人不符合国家或者招标文件规定的资格条件。1、本项指投标人的资质条件不满足以下要求的：</w:t>
      </w:r>
    </w:p>
    <w:p>
      <w:pPr>
        <w:pStyle w:val="9"/>
        <w:spacing w:line="364" w:lineRule="auto"/>
        <w:ind w:left="774" w:right="2726"/>
      </w:pPr>
      <w:r>
        <w:t>(1)投标人名称与营业执照、资质证书、安全生产许可证一致，且有效； (2)资质条件符合国家规定和招标文件要求，主要指如下要求；</w:t>
      </w:r>
    </w:p>
    <w:p>
      <w:pPr>
        <w:pStyle w:val="9"/>
        <w:ind w:left="774"/>
      </w:pPr>
      <w:r>
        <w:t>A、投标人须具有合法有效营业执照；</w:t>
      </w:r>
    </w:p>
    <w:p>
      <w:pPr>
        <w:pStyle w:val="9"/>
        <w:spacing w:before="145" w:line="364" w:lineRule="auto"/>
        <w:ind w:left="332" w:right="611" w:firstLine="441"/>
      </w:pPr>
      <w:r>
        <w:rPr>
          <w:spacing w:val="-1"/>
        </w:rPr>
        <w:t>B</w:t>
      </w:r>
      <w:r>
        <w:rPr>
          <w:spacing w:val="-9"/>
        </w:rPr>
        <w:t>、投标人具有住建部建筑工程施工总承包三级及以上资质、以上资质</w:t>
      </w:r>
      <w:r>
        <w:rPr>
          <w:spacing w:val="-9"/>
          <w:sz w:val="24"/>
        </w:rPr>
        <w:t>，</w:t>
      </w:r>
      <w:r>
        <w:rPr>
          <w:spacing w:val="-3"/>
        </w:rPr>
        <w:t>并具有安全生产许可证；</w:t>
      </w:r>
    </w:p>
    <w:p>
      <w:pPr>
        <w:pStyle w:val="9"/>
        <w:spacing w:line="281" w:lineRule="exact"/>
        <w:ind w:left="774"/>
      </w:pPr>
      <w:r>
        <w:t>C、投标人的项目负责人须具备建筑工程专业贰级（及以上）注册建造师执业资格；</w:t>
      </w:r>
    </w:p>
    <w:p>
      <w:pPr>
        <w:pStyle w:val="9"/>
        <w:spacing w:before="145" w:line="364" w:lineRule="auto"/>
        <w:ind w:left="332" w:right="608" w:firstLine="441"/>
      </w:pPr>
      <w:r>
        <w:t>D</w:t>
      </w:r>
      <w:r>
        <w:rPr>
          <w:spacing w:val="-46"/>
        </w:rPr>
        <w:t>、近三年</w:t>
      </w:r>
      <w:r>
        <w:rPr>
          <w:spacing w:val="-3"/>
        </w:rPr>
        <w:t>（</w:t>
      </w:r>
      <w:r>
        <w:rPr>
          <w:spacing w:val="-30"/>
        </w:rPr>
        <w:t xml:space="preserve">从 </w:t>
      </w:r>
      <w:r>
        <w:t>2018</w:t>
      </w:r>
      <w:r>
        <w:rPr>
          <w:spacing w:val="-39"/>
        </w:rPr>
        <w:t xml:space="preserve"> 年 </w:t>
      </w:r>
      <w:r>
        <w:t>6</w:t>
      </w:r>
      <w:r>
        <w:rPr>
          <w:spacing w:val="-38"/>
        </w:rPr>
        <w:t xml:space="preserve"> 月 </w:t>
      </w:r>
      <w:r>
        <w:t>1</w:t>
      </w:r>
      <w:r>
        <w:rPr>
          <w:spacing w:val="-15"/>
        </w:rPr>
        <w:t xml:space="preserve"> 日至今</w:t>
      </w:r>
      <w:r>
        <w:rPr>
          <w:spacing w:val="-92"/>
        </w:rPr>
        <w:t>）</w:t>
      </w:r>
      <w:r>
        <w:rPr>
          <w:spacing w:val="-19"/>
        </w:rPr>
        <w:t>未被列入“信用中国”网站</w:t>
      </w:r>
      <w:r>
        <w:t>(www.creditchina.gov.cn</w:t>
      </w:r>
      <w:r>
        <w:rPr>
          <w:spacing w:val="-18"/>
        </w:rPr>
        <w:t>) “失</w:t>
      </w:r>
      <w:r>
        <w:rPr>
          <w:spacing w:val="-5"/>
        </w:rPr>
        <w:t>信被执行人”、“重大税收违法案件当事人”、“政府采购严重违法失信行为”不良记录；</w:t>
      </w:r>
    </w:p>
    <w:p>
      <w:pPr>
        <w:pStyle w:val="9"/>
        <w:spacing w:line="364" w:lineRule="auto"/>
        <w:ind w:left="332" w:right="539" w:firstLine="441"/>
      </w:pPr>
      <w:r>
        <w:t>E、投标人提供近三年（</w:t>
      </w:r>
      <w:r>
        <w:rPr>
          <w:spacing w:val="-29"/>
        </w:rPr>
        <w:t xml:space="preserve">从 </w:t>
      </w:r>
      <w:r>
        <w:t>2018</w:t>
      </w:r>
      <w:r>
        <w:rPr>
          <w:spacing w:val="-36"/>
        </w:rPr>
        <w:t xml:space="preserve"> 年 </w:t>
      </w:r>
      <w:r>
        <w:t>6</w:t>
      </w:r>
      <w:r>
        <w:rPr>
          <w:spacing w:val="-36"/>
        </w:rPr>
        <w:t xml:space="preserve"> 月 </w:t>
      </w:r>
      <w:r>
        <w:t>1</w:t>
      </w:r>
      <w:r>
        <w:rPr>
          <w:spacing w:val="-14"/>
        </w:rPr>
        <w:t xml:space="preserve"> 日至今</w:t>
      </w:r>
      <w:r>
        <w:t>），“投标单位”、“法定代表人”及“项目</w:t>
      </w:r>
      <w:r>
        <w:rPr>
          <w:spacing w:val="-3"/>
        </w:rPr>
        <w:t>负责人”无行贿犯罪记录，以中国裁判文书网</w:t>
      </w:r>
      <w:r>
        <w:rPr>
          <w:spacing w:val="-1"/>
        </w:rPr>
        <w:t>（</w:t>
      </w:r>
      <w:r>
        <w:fldChar w:fldCharType="begin"/>
      </w:r>
      <w:r>
        <w:instrText xml:space="preserve"> HYPERLINK "http://wenshu.court.gov.cn/" \h </w:instrText>
      </w:r>
      <w:r>
        <w:fldChar w:fldCharType="separate"/>
      </w:r>
      <w:r>
        <w:rPr>
          <w:spacing w:val="-1"/>
        </w:rPr>
        <w:t>http://wenshu.court.gov.cn/</w:t>
      </w:r>
      <w:r>
        <w:rPr>
          <w:spacing w:val="-1"/>
        </w:rPr>
        <w:fldChar w:fldCharType="end"/>
      </w:r>
      <w:r>
        <w:rPr>
          <w:spacing w:val="-1"/>
        </w:rPr>
        <w:t>）</w:t>
      </w:r>
      <w:r>
        <w:rPr>
          <w:spacing w:val="-3"/>
        </w:rPr>
        <w:t>查询结果为准；；</w:t>
      </w:r>
    </w:p>
    <w:p>
      <w:pPr>
        <w:pStyle w:val="9"/>
        <w:ind w:left="774"/>
      </w:pPr>
      <w:r>
        <w:t>F、本项目不接受联合体投标，不得转包和分包。</w:t>
      </w:r>
    </w:p>
    <w:p>
      <w:pPr>
        <w:pStyle w:val="9"/>
        <w:spacing w:before="145" w:line="364" w:lineRule="auto"/>
        <w:ind w:left="774" w:right="4279"/>
      </w:pPr>
      <w:r>
        <w:t>(3)项目负责人资格符合招标文件规定的专业等级要求。2、本项还指投标人存在下列情形之一的：</w:t>
      </w:r>
    </w:p>
    <w:p>
      <w:pPr>
        <w:pStyle w:val="13"/>
        <w:numPr>
          <w:ilvl w:val="0"/>
          <w:numId w:val="28"/>
        </w:numPr>
        <w:tabs>
          <w:tab w:val="left" w:pos="1263"/>
        </w:tabs>
        <w:spacing w:before="96" w:after="0" w:line="240" w:lineRule="auto"/>
        <w:ind w:left="1262" w:right="0" w:hanging="527"/>
        <w:jc w:val="left"/>
        <w:rPr>
          <w:sz w:val="21"/>
        </w:rPr>
      </w:pPr>
      <w:r>
        <w:rPr>
          <w:sz w:val="21"/>
        </w:rPr>
        <w:t>为招标人不具有独立法人资格的附属机构（单位）；</w:t>
      </w:r>
    </w:p>
    <w:p>
      <w:pPr>
        <w:pStyle w:val="9"/>
        <w:spacing w:before="7"/>
        <w:rPr>
          <w:sz w:val="15"/>
        </w:rPr>
      </w:pPr>
    </w:p>
    <w:p>
      <w:pPr>
        <w:pStyle w:val="13"/>
        <w:numPr>
          <w:ilvl w:val="0"/>
          <w:numId w:val="28"/>
        </w:numPr>
        <w:tabs>
          <w:tab w:val="left" w:pos="1263"/>
        </w:tabs>
        <w:spacing w:before="0" w:after="0" w:line="240" w:lineRule="auto"/>
        <w:ind w:left="1262" w:right="0" w:hanging="527"/>
        <w:jc w:val="left"/>
        <w:rPr>
          <w:sz w:val="21"/>
        </w:rPr>
      </w:pPr>
      <w:r>
        <w:rPr>
          <w:sz w:val="21"/>
        </w:rPr>
        <w:t>为承担建设工程的前期设计、造价咨询、监理业务的单位；</w:t>
      </w:r>
    </w:p>
    <w:p>
      <w:pPr>
        <w:pStyle w:val="9"/>
        <w:spacing w:before="7"/>
        <w:rPr>
          <w:sz w:val="15"/>
        </w:rPr>
      </w:pPr>
    </w:p>
    <w:p>
      <w:pPr>
        <w:pStyle w:val="13"/>
        <w:numPr>
          <w:ilvl w:val="0"/>
          <w:numId w:val="28"/>
        </w:numPr>
        <w:tabs>
          <w:tab w:val="left" w:pos="1263"/>
        </w:tabs>
        <w:spacing w:before="0" w:after="0" w:line="240" w:lineRule="auto"/>
        <w:ind w:left="1262" w:right="0" w:hanging="527"/>
        <w:jc w:val="left"/>
        <w:rPr>
          <w:sz w:val="21"/>
        </w:rPr>
      </w:pPr>
      <w:r>
        <w:rPr>
          <w:sz w:val="21"/>
        </w:rPr>
        <w:t>为本标段的代建人或招标代理机构的；</w:t>
      </w:r>
    </w:p>
    <w:p>
      <w:pPr>
        <w:pStyle w:val="9"/>
        <w:spacing w:before="6"/>
        <w:rPr>
          <w:sz w:val="15"/>
        </w:rPr>
      </w:pPr>
    </w:p>
    <w:p>
      <w:pPr>
        <w:pStyle w:val="13"/>
        <w:numPr>
          <w:ilvl w:val="0"/>
          <w:numId w:val="28"/>
        </w:numPr>
        <w:tabs>
          <w:tab w:val="left" w:pos="1263"/>
        </w:tabs>
        <w:spacing w:before="1" w:after="0" w:line="240" w:lineRule="auto"/>
        <w:ind w:left="1262" w:right="0" w:hanging="527"/>
        <w:jc w:val="left"/>
        <w:rPr>
          <w:sz w:val="21"/>
        </w:rPr>
      </w:pPr>
      <w:r>
        <w:rPr>
          <w:sz w:val="21"/>
        </w:rPr>
        <w:t>与本标段的监理人或代建人或招标代理机构为同为一个法定代表人的；</w:t>
      </w:r>
    </w:p>
    <w:p>
      <w:pPr>
        <w:spacing w:after="0" w:line="240" w:lineRule="auto"/>
        <w:jc w:val="left"/>
        <w:rPr>
          <w:sz w:val="21"/>
        </w:rPr>
        <w:sectPr>
          <w:type w:val="continuous"/>
          <w:pgSz w:w="11910" w:h="16840"/>
          <w:pgMar w:top="1140" w:right="660" w:bottom="280" w:left="800" w:header="720" w:footer="720" w:gutter="0"/>
          <w:cols w:space="720" w:num="1"/>
        </w:sectPr>
      </w:pPr>
    </w:p>
    <w:p>
      <w:pPr>
        <w:pStyle w:val="9"/>
        <w:spacing w:before="8"/>
        <w:rPr>
          <w:sz w:val="25"/>
        </w:rPr>
      </w:pPr>
    </w:p>
    <w:p>
      <w:pPr>
        <w:pStyle w:val="13"/>
        <w:numPr>
          <w:ilvl w:val="0"/>
          <w:numId w:val="28"/>
        </w:numPr>
        <w:tabs>
          <w:tab w:val="left" w:pos="1263"/>
        </w:tabs>
        <w:spacing w:before="70" w:after="0" w:line="240" w:lineRule="auto"/>
        <w:ind w:left="1262" w:right="0" w:hanging="527"/>
        <w:jc w:val="left"/>
        <w:rPr>
          <w:sz w:val="21"/>
        </w:rPr>
      </w:pPr>
      <w:r>
        <w:rPr>
          <w:w w:val="95"/>
          <w:sz w:val="21"/>
        </w:rPr>
        <w:t>与本标段的监理人或代建人或招标代理机构相互控股或参股的；</w:t>
      </w:r>
    </w:p>
    <w:p>
      <w:pPr>
        <w:pStyle w:val="9"/>
        <w:spacing w:before="6"/>
        <w:rPr>
          <w:sz w:val="15"/>
        </w:rPr>
      </w:pPr>
    </w:p>
    <w:p>
      <w:pPr>
        <w:pStyle w:val="13"/>
        <w:numPr>
          <w:ilvl w:val="0"/>
          <w:numId w:val="28"/>
        </w:numPr>
        <w:tabs>
          <w:tab w:val="left" w:pos="1263"/>
        </w:tabs>
        <w:spacing w:before="0" w:after="0" w:line="240" w:lineRule="auto"/>
        <w:ind w:left="1262" w:right="0" w:hanging="527"/>
        <w:jc w:val="left"/>
        <w:rPr>
          <w:sz w:val="21"/>
        </w:rPr>
      </w:pPr>
      <w:r>
        <w:rPr>
          <w:w w:val="95"/>
          <w:sz w:val="21"/>
        </w:rPr>
        <w:t>与本标段的监理人或代建人或招标代理机构相互任职或工作的；</w:t>
      </w:r>
    </w:p>
    <w:p>
      <w:pPr>
        <w:pStyle w:val="9"/>
        <w:spacing w:before="7"/>
        <w:rPr>
          <w:sz w:val="15"/>
        </w:rPr>
      </w:pPr>
    </w:p>
    <w:p>
      <w:pPr>
        <w:pStyle w:val="13"/>
        <w:numPr>
          <w:ilvl w:val="0"/>
          <w:numId w:val="28"/>
        </w:numPr>
        <w:tabs>
          <w:tab w:val="left" w:pos="1267"/>
        </w:tabs>
        <w:spacing w:before="0" w:after="0" w:line="417" w:lineRule="auto"/>
        <w:ind w:left="332" w:right="614" w:firstLine="403"/>
        <w:jc w:val="left"/>
        <w:rPr>
          <w:sz w:val="21"/>
        </w:rPr>
      </w:pPr>
      <w:r>
        <w:rPr>
          <w:sz w:val="21"/>
        </w:rPr>
        <w:t>与招标人存在利害关系且可能影响招标公正性的法人、其他组织或者个人,单位负责人为同一人或者存在控股、管理关系的不同单位，同时参加本标段投标的；</w:t>
      </w:r>
    </w:p>
    <w:p>
      <w:pPr>
        <w:pStyle w:val="13"/>
        <w:numPr>
          <w:ilvl w:val="0"/>
          <w:numId w:val="28"/>
        </w:numPr>
        <w:tabs>
          <w:tab w:val="left" w:pos="1263"/>
        </w:tabs>
        <w:spacing w:before="0" w:after="0" w:line="269" w:lineRule="exact"/>
        <w:ind w:left="1262" w:right="0" w:hanging="527"/>
        <w:jc w:val="left"/>
        <w:rPr>
          <w:sz w:val="21"/>
        </w:rPr>
      </w:pPr>
      <w:r>
        <w:rPr>
          <w:sz w:val="21"/>
        </w:rPr>
        <w:t>被责令停业的；</w:t>
      </w:r>
    </w:p>
    <w:p>
      <w:pPr>
        <w:pStyle w:val="9"/>
        <w:spacing w:before="7"/>
        <w:rPr>
          <w:sz w:val="15"/>
        </w:rPr>
      </w:pPr>
    </w:p>
    <w:p>
      <w:pPr>
        <w:pStyle w:val="13"/>
        <w:numPr>
          <w:ilvl w:val="0"/>
          <w:numId w:val="28"/>
        </w:numPr>
        <w:tabs>
          <w:tab w:val="left" w:pos="1263"/>
        </w:tabs>
        <w:spacing w:before="0" w:after="0" w:line="240" w:lineRule="auto"/>
        <w:ind w:left="1262" w:right="0" w:hanging="527"/>
        <w:jc w:val="left"/>
        <w:rPr>
          <w:sz w:val="21"/>
        </w:rPr>
      </w:pPr>
      <w:r>
        <w:rPr>
          <w:sz w:val="21"/>
        </w:rPr>
        <w:t>被暂停或取消投标资格的；</w:t>
      </w:r>
    </w:p>
    <w:p>
      <w:pPr>
        <w:pStyle w:val="9"/>
        <w:spacing w:before="6"/>
        <w:rPr>
          <w:sz w:val="15"/>
        </w:rPr>
      </w:pPr>
    </w:p>
    <w:p>
      <w:pPr>
        <w:pStyle w:val="13"/>
        <w:numPr>
          <w:ilvl w:val="0"/>
          <w:numId w:val="28"/>
        </w:numPr>
        <w:tabs>
          <w:tab w:val="left" w:pos="1366"/>
        </w:tabs>
        <w:spacing w:before="1" w:after="0" w:line="240" w:lineRule="auto"/>
        <w:ind w:left="1366" w:right="0" w:hanging="630"/>
        <w:jc w:val="left"/>
        <w:rPr>
          <w:sz w:val="21"/>
        </w:rPr>
      </w:pPr>
      <w:r>
        <w:rPr>
          <w:sz w:val="21"/>
        </w:rPr>
        <w:t>财产被接管或冻结、经营异常的；</w:t>
      </w:r>
    </w:p>
    <w:p>
      <w:pPr>
        <w:pStyle w:val="9"/>
        <w:spacing w:before="6"/>
        <w:rPr>
          <w:sz w:val="15"/>
        </w:rPr>
      </w:pPr>
    </w:p>
    <w:p>
      <w:pPr>
        <w:pStyle w:val="13"/>
        <w:numPr>
          <w:ilvl w:val="0"/>
          <w:numId w:val="28"/>
        </w:numPr>
        <w:tabs>
          <w:tab w:val="left" w:pos="1366"/>
        </w:tabs>
        <w:spacing w:before="0" w:after="0" w:line="240" w:lineRule="auto"/>
        <w:ind w:left="1366" w:right="0" w:hanging="630"/>
        <w:jc w:val="left"/>
        <w:rPr>
          <w:sz w:val="21"/>
        </w:rPr>
      </w:pPr>
      <w:r>
        <w:rPr>
          <w:sz w:val="21"/>
        </w:rPr>
        <w:t>在最近三年内有骗取中标或重大工程质量问题的；</w:t>
      </w:r>
    </w:p>
    <w:p>
      <w:pPr>
        <w:pStyle w:val="9"/>
        <w:spacing w:before="7"/>
        <w:rPr>
          <w:sz w:val="15"/>
        </w:rPr>
      </w:pPr>
    </w:p>
    <w:p>
      <w:pPr>
        <w:pStyle w:val="13"/>
        <w:numPr>
          <w:ilvl w:val="0"/>
          <w:numId w:val="28"/>
        </w:numPr>
        <w:tabs>
          <w:tab w:val="left" w:pos="1366"/>
        </w:tabs>
        <w:spacing w:before="0" w:after="0" w:line="240" w:lineRule="auto"/>
        <w:ind w:left="1366" w:right="0" w:hanging="630"/>
        <w:jc w:val="left"/>
        <w:rPr>
          <w:sz w:val="21"/>
        </w:rPr>
      </w:pPr>
      <w:r>
        <w:rPr>
          <w:sz w:val="21"/>
        </w:rPr>
        <w:t>拖欠工人工资，情节严重被市建设行政管理部门向社会公布且在公布的期限内的；</w:t>
      </w:r>
    </w:p>
    <w:p>
      <w:pPr>
        <w:pStyle w:val="13"/>
        <w:numPr>
          <w:ilvl w:val="0"/>
          <w:numId w:val="28"/>
        </w:numPr>
        <w:tabs>
          <w:tab w:val="left" w:pos="1387"/>
        </w:tabs>
        <w:spacing w:before="101" w:after="0" w:line="364" w:lineRule="auto"/>
        <w:ind w:left="332" w:right="614" w:firstLine="420"/>
        <w:jc w:val="left"/>
        <w:rPr>
          <w:sz w:val="21"/>
        </w:rPr>
      </w:pPr>
      <w:r>
        <w:rPr>
          <w:sz w:val="21"/>
        </w:rPr>
        <w:t>投标人违反法律、法规、规章或者无正当理由放弃投标、中标资格，招标人重新招标时，该投标人不得再参加该工程的投标。</w:t>
      </w:r>
    </w:p>
    <w:p>
      <w:pPr>
        <w:pStyle w:val="9"/>
        <w:spacing w:line="364" w:lineRule="auto"/>
        <w:ind w:left="774" w:right="494" w:firstLine="74"/>
      </w:pPr>
      <w:r>
        <w:rPr>
          <w:spacing w:val="-18"/>
        </w:rPr>
        <w:t>(三)同一投标人提交两个以上不同的投标文件或者投标报价，但招标文件要求提交备选投标的除外。</w:t>
      </w:r>
      <w:r>
        <w:rPr>
          <w:spacing w:val="-5"/>
        </w:rPr>
        <w:t>(四)投标报价低于成本或者高于招标文件设定的最高投标限价的。</w:t>
      </w:r>
    </w:p>
    <w:p>
      <w:pPr>
        <w:pStyle w:val="9"/>
        <w:ind w:left="774"/>
      </w:pPr>
      <w:r>
        <w:t>本条指投标报价符合下列情形的：</w:t>
      </w:r>
    </w:p>
    <w:p>
      <w:pPr>
        <w:pStyle w:val="9"/>
        <w:spacing w:before="145"/>
        <w:ind w:left="774"/>
      </w:pPr>
      <w:r>
        <w:t>1、投标报价超出最高投标限价（招标控制价）</w:t>
      </w:r>
      <w:r>
        <w:rPr>
          <w:rFonts w:hint="eastAsia"/>
          <w:lang w:val="en-US" w:eastAsia="zh-CN"/>
        </w:rPr>
        <w:t>250.00</w:t>
      </w:r>
      <w:r>
        <w:t xml:space="preserve"> 万元的；</w:t>
      </w:r>
    </w:p>
    <w:p>
      <w:pPr>
        <w:pStyle w:val="9"/>
        <w:spacing w:before="145" w:line="364" w:lineRule="auto"/>
        <w:ind w:left="774" w:right="743" w:hanging="24"/>
      </w:pPr>
      <w:r>
        <w:rPr>
          <w:spacing w:val="-3"/>
        </w:rPr>
        <w:t>(五)投标文件没有对招标文件的实质性要求和条件作出响应。</w:t>
      </w:r>
    </w:p>
    <w:p>
      <w:pPr>
        <w:pStyle w:val="9"/>
        <w:ind w:left="774"/>
      </w:pPr>
      <w:r>
        <w:rPr>
          <w:spacing w:val="-1"/>
        </w:rPr>
        <w:t>1</w:t>
      </w:r>
      <w:r>
        <w:rPr>
          <w:spacing w:val="-3"/>
        </w:rPr>
        <w:t>、未按招标文件要求提交投标保证金的；</w:t>
      </w:r>
    </w:p>
    <w:p>
      <w:pPr>
        <w:pStyle w:val="9"/>
        <w:spacing w:before="145"/>
        <w:ind w:left="774"/>
      </w:pPr>
      <w:r>
        <w:rPr>
          <w:spacing w:val="-1"/>
        </w:rPr>
        <w:t>2</w:t>
      </w:r>
      <w:r>
        <w:rPr>
          <w:spacing w:val="-3"/>
        </w:rPr>
        <w:t>、改变暂估价、暂列金额或者工程量的；</w:t>
      </w:r>
    </w:p>
    <w:p>
      <w:pPr>
        <w:pStyle w:val="9"/>
        <w:spacing w:before="148"/>
        <w:ind w:left="774"/>
      </w:pPr>
      <w:r>
        <w:t>3、规费、增值税未按照招标文件规定费率计取的;</w:t>
      </w:r>
    </w:p>
    <w:p>
      <w:pPr>
        <w:pStyle w:val="9"/>
        <w:spacing w:before="145"/>
        <w:ind w:left="774"/>
      </w:pPr>
      <w:r>
        <w:t>4、工期超过招标文件规定的；</w:t>
      </w:r>
    </w:p>
    <w:p>
      <w:pPr>
        <w:pStyle w:val="9"/>
        <w:spacing w:before="146"/>
        <w:ind w:left="774"/>
      </w:pPr>
      <w:r>
        <w:t>5、质量不满足招标文件规定的；</w:t>
      </w:r>
    </w:p>
    <w:p>
      <w:pPr>
        <w:pStyle w:val="9"/>
        <w:spacing w:before="148"/>
        <w:ind w:left="774"/>
      </w:pPr>
      <w:r>
        <w:t>6、投标人不按评标委员会要求澄清、说明或补正的；</w:t>
      </w:r>
    </w:p>
    <w:p>
      <w:pPr>
        <w:pStyle w:val="9"/>
        <w:spacing w:before="145"/>
        <w:ind w:left="774"/>
      </w:pPr>
      <w:r>
        <w:t>7、行贿犯罪档案查询结果告知函不符合招标文件的要求；</w:t>
      </w:r>
    </w:p>
    <w:p>
      <w:pPr>
        <w:pStyle w:val="9"/>
        <w:spacing w:before="145"/>
        <w:ind w:left="774"/>
      </w:pPr>
      <w:r>
        <w:t>8、其他未对招标文件实质性要求和条件作出响应的。</w:t>
      </w:r>
    </w:p>
    <w:p>
      <w:pPr>
        <w:pStyle w:val="9"/>
        <w:spacing w:before="148"/>
        <w:ind w:left="774"/>
      </w:pPr>
      <w:r>
        <w:t>(六)投标人有串通投标、弄虚作假、行贿等违法行为的。</w:t>
      </w:r>
    </w:p>
    <w:p>
      <w:pPr>
        <w:spacing w:before="143"/>
        <w:ind w:left="752" w:right="0" w:firstLine="0"/>
        <w:jc w:val="left"/>
        <w:rPr>
          <w:b/>
          <w:sz w:val="21"/>
        </w:rPr>
      </w:pPr>
      <w:r>
        <w:rPr>
          <w:b/>
          <w:sz w:val="21"/>
        </w:rPr>
        <w:t>通过上述否决投标评审（初步评审）的合格投标人才能进入后续评审。</w:t>
      </w:r>
    </w:p>
    <w:p>
      <w:pPr>
        <w:pStyle w:val="9"/>
        <w:rPr>
          <w:b/>
          <w:sz w:val="20"/>
        </w:rPr>
      </w:pPr>
    </w:p>
    <w:p>
      <w:pPr>
        <w:pStyle w:val="9"/>
        <w:spacing w:before="11"/>
        <w:rPr>
          <w:b/>
        </w:rPr>
      </w:pPr>
    </w:p>
    <w:p>
      <w:pPr>
        <w:spacing w:before="0"/>
        <w:ind w:left="332" w:right="0" w:firstLine="0"/>
        <w:jc w:val="left"/>
        <w:rPr>
          <w:b/>
          <w:sz w:val="21"/>
        </w:rPr>
      </w:pPr>
      <w:r>
        <w:rPr>
          <w:b/>
          <w:sz w:val="21"/>
        </w:rPr>
        <w:t>三、确定入围投标人</w:t>
      </w:r>
    </w:p>
    <w:p>
      <w:pPr>
        <w:pStyle w:val="13"/>
        <w:numPr>
          <w:ilvl w:val="1"/>
          <w:numId w:val="29"/>
        </w:numPr>
        <w:tabs>
          <w:tab w:val="left" w:pos="700"/>
        </w:tabs>
        <w:spacing w:before="139" w:after="0" w:line="364" w:lineRule="auto"/>
        <w:ind w:left="332" w:right="611" w:firstLine="0"/>
        <w:jc w:val="left"/>
        <w:rPr>
          <w:sz w:val="21"/>
        </w:rPr>
      </w:pPr>
      <w:r>
        <w:rPr>
          <w:sz w:val="21"/>
        </w:rPr>
        <w:t>当通过投标初步审核的所有合格投标人数量≤7</w:t>
      </w:r>
      <w:r>
        <w:rPr>
          <w:spacing w:val="-12"/>
          <w:sz w:val="21"/>
        </w:rPr>
        <w:t xml:space="preserve"> 家时，则原则上所有投标人全部入围，并进行后续商务标和技术标的详细评审。</w:t>
      </w:r>
    </w:p>
    <w:p>
      <w:pPr>
        <w:spacing w:after="0" w:line="364" w:lineRule="auto"/>
        <w:jc w:val="left"/>
        <w:rPr>
          <w:sz w:val="21"/>
        </w:rPr>
        <w:sectPr>
          <w:pgSz w:w="11910" w:h="16840"/>
          <w:pgMar w:top="1100" w:right="660" w:bottom="1180" w:left="800" w:header="878" w:footer="993" w:gutter="0"/>
          <w:cols w:space="720" w:num="1"/>
        </w:sectPr>
      </w:pPr>
    </w:p>
    <w:p>
      <w:pPr>
        <w:pStyle w:val="9"/>
        <w:spacing w:before="12"/>
        <w:rPr>
          <w:sz w:val="17"/>
        </w:rPr>
      </w:pPr>
    </w:p>
    <w:p>
      <w:pPr>
        <w:pStyle w:val="13"/>
        <w:numPr>
          <w:ilvl w:val="1"/>
          <w:numId w:val="29"/>
        </w:numPr>
        <w:tabs>
          <w:tab w:val="left" w:pos="703"/>
        </w:tabs>
        <w:spacing w:before="70" w:after="0" w:line="364" w:lineRule="auto"/>
        <w:ind w:left="332" w:right="596" w:firstLine="0"/>
        <w:jc w:val="both"/>
        <w:rPr>
          <w:sz w:val="21"/>
        </w:rPr>
      </w:pPr>
      <w:r>
        <w:rPr>
          <w:spacing w:val="-15"/>
          <w:w w:val="95"/>
          <w:sz w:val="21"/>
        </w:rPr>
        <w:t>当通过投标初步审核的所有合格投标人数量＞</w:t>
      </w:r>
      <w:r>
        <w:rPr>
          <w:spacing w:val="-7"/>
          <w:w w:val="95"/>
          <w:sz w:val="21"/>
        </w:rPr>
        <w:t>7</w:t>
      </w:r>
      <w:r>
        <w:rPr>
          <w:spacing w:val="-15"/>
          <w:w w:val="95"/>
          <w:sz w:val="21"/>
        </w:rPr>
        <w:t xml:space="preserve">    家时，原则上选择报价由高到低排序后的低于“</w:t>
      </w:r>
      <w:r>
        <w:rPr>
          <w:spacing w:val="-12"/>
          <w:w w:val="95"/>
          <w:sz w:val="21"/>
          <w:u w:val="single"/>
        </w:rPr>
        <w:t>所有合格投</w:t>
      </w:r>
      <w:r>
        <w:rPr>
          <w:spacing w:val="-195"/>
          <w:w w:val="95"/>
          <w:sz w:val="21"/>
          <w:u w:val="single"/>
        </w:rPr>
        <w:t>标人</w:t>
      </w:r>
      <w:r>
        <w:rPr>
          <w:spacing w:val="-17"/>
          <w:sz w:val="21"/>
          <w:u w:val="single"/>
        </w:rPr>
        <w:t>有效投标价算术平均值</w:t>
      </w:r>
      <w:r>
        <w:rPr>
          <w:spacing w:val="8"/>
          <w:sz w:val="21"/>
        </w:rPr>
        <w:t>”的</w:t>
      </w:r>
      <w:r>
        <w:rPr>
          <w:sz w:val="21"/>
        </w:rPr>
        <w:t>4</w:t>
      </w:r>
      <w:r>
        <w:rPr>
          <w:spacing w:val="-23"/>
          <w:sz w:val="21"/>
        </w:rPr>
        <w:t xml:space="preserve"> 名和报价由低到高排序后的高于“</w:t>
      </w:r>
      <w:r>
        <w:rPr>
          <w:spacing w:val="-17"/>
          <w:sz w:val="21"/>
          <w:u w:val="single"/>
        </w:rPr>
        <w:t>所有合格投标人有效投标价算术平均值</w:t>
      </w:r>
      <w:r>
        <w:rPr>
          <w:spacing w:val="-11"/>
          <w:sz w:val="21"/>
        </w:rPr>
        <w:t xml:space="preserve">”的 </w:t>
      </w:r>
      <w:r>
        <w:rPr>
          <w:sz w:val="21"/>
        </w:rPr>
        <w:t xml:space="preserve">3 </w:t>
      </w:r>
      <w:r>
        <w:rPr>
          <w:spacing w:val="-8"/>
          <w:sz w:val="21"/>
        </w:rPr>
        <w:t>名投标人，共</w:t>
      </w:r>
      <w:r>
        <w:rPr>
          <w:sz w:val="21"/>
        </w:rPr>
        <w:t>7</w:t>
      </w:r>
      <w:r>
        <w:rPr>
          <w:spacing w:val="-23"/>
          <w:sz w:val="21"/>
        </w:rPr>
        <w:t xml:space="preserve"> 家投标人入围详细评审。未入围的投标人不再进行商务标和技术标评审。</w:t>
      </w:r>
    </w:p>
    <w:p>
      <w:pPr>
        <w:pStyle w:val="13"/>
        <w:numPr>
          <w:ilvl w:val="1"/>
          <w:numId w:val="29"/>
        </w:numPr>
        <w:tabs>
          <w:tab w:val="left" w:pos="715"/>
        </w:tabs>
        <w:spacing w:before="0" w:after="0" w:line="364" w:lineRule="auto"/>
        <w:ind w:left="332" w:right="590" w:firstLine="0"/>
        <w:jc w:val="both"/>
        <w:rPr>
          <w:sz w:val="21"/>
        </w:rPr>
      </w:pPr>
      <w:r>
        <w:rPr>
          <w:spacing w:val="-14"/>
          <w:sz w:val="21"/>
        </w:rPr>
        <w:t>如投标报价低于基准值的投标人不足</w:t>
      </w:r>
      <w:r>
        <w:rPr>
          <w:sz w:val="21"/>
        </w:rPr>
        <w:t>4</w:t>
      </w:r>
      <w:r>
        <w:rPr>
          <w:spacing w:val="-25"/>
          <w:sz w:val="21"/>
        </w:rPr>
        <w:t xml:space="preserve"> 家，则由高于基准值的投标人进行填补</w:t>
      </w:r>
      <w:r>
        <w:rPr>
          <w:spacing w:val="-15"/>
          <w:sz w:val="21"/>
        </w:rPr>
        <w:t>（</w:t>
      </w:r>
      <w:r>
        <w:rPr>
          <w:spacing w:val="-16"/>
          <w:sz w:val="21"/>
        </w:rPr>
        <w:t>以基准值为基准，从低到高的顺序进行填补</w:t>
      </w:r>
      <w:r>
        <w:rPr>
          <w:spacing w:val="-17"/>
          <w:sz w:val="21"/>
        </w:rPr>
        <w:t>）</w:t>
      </w:r>
      <w:r>
        <w:rPr>
          <w:spacing w:val="-4"/>
          <w:sz w:val="21"/>
        </w:rPr>
        <w:t>，填补满</w:t>
      </w:r>
      <w:r>
        <w:rPr>
          <w:sz w:val="21"/>
        </w:rPr>
        <w:t>7</w:t>
      </w:r>
      <w:r>
        <w:rPr>
          <w:spacing w:val="-19"/>
          <w:sz w:val="21"/>
        </w:rPr>
        <w:t xml:space="preserve"> 家为止；不足</w:t>
      </w:r>
      <w:r>
        <w:rPr>
          <w:sz w:val="21"/>
        </w:rPr>
        <w:t>7</w:t>
      </w:r>
      <w:r>
        <w:rPr>
          <w:spacing w:val="-23"/>
          <w:sz w:val="21"/>
        </w:rPr>
        <w:t xml:space="preserve"> 家的，则全部入围；如投标报价高于基准值的投标人不足</w:t>
      </w:r>
      <w:r>
        <w:rPr>
          <w:sz w:val="21"/>
        </w:rPr>
        <w:t>3</w:t>
      </w:r>
      <w:r>
        <w:rPr>
          <w:spacing w:val="-28"/>
          <w:sz w:val="21"/>
        </w:rPr>
        <w:t xml:space="preserve"> 家，则</w:t>
      </w:r>
      <w:r>
        <w:rPr>
          <w:spacing w:val="-17"/>
          <w:sz w:val="21"/>
        </w:rPr>
        <w:t>由低于基准值的投标人进行填补</w:t>
      </w:r>
      <w:r>
        <w:rPr>
          <w:spacing w:val="-15"/>
          <w:sz w:val="21"/>
        </w:rPr>
        <w:t>（</w:t>
      </w:r>
      <w:r>
        <w:rPr>
          <w:spacing w:val="-17"/>
          <w:sz w:val="21"/>
        </w:rPr>
        <w:t>以基准值为基准，从高到低进行填补）</w:t>
      </w:r>
      <w:r>
        <w:rPr>
          <w:spacing w:val="-4"/>
          <w:sz w:val="21"/>
        </w:rPr>
        <w:t>，填补满</w:t>
      </w:r>
      <w:r>
        <w:rPr>
          <w:sz w:val="21"/>
        </w:rPr>
        <w:t>7</w:t>
      </w:r>
      <w:r>
        <w:rPr>
          <w:spacing w:val="-20"/>
          <w:sz w:val="21"/>
        </w:rPr>
        <w:t xml:space="preserve"> 家为止；不足</w:t>
      </w:r>
      <w:r>
        <w:rPr>
          <w:sz w:val="21"/>
        </w:rPr>
        <w:t>7</w:t>
      </w:r>
      <w:r>
        <w:rPr>
          <w:spacing w:val="-26"/>
          <w:sz w:val="21"/>
        </w:rPr>
        <w:t xml:space="preserve"> 家的，则全</w:t>
      </w:r>
      <w:r>
        <w:rPr>
          <w:spacing w:val="-12"/>
          <w:sz w:val="21"/>
        </w:rPr>
        <w:t>部入围。</w:t>
      </w:r>
    </w:p>
    <w:p>
      <w:pPr>
        <w:pStyle w:val="9"/>
        <w:rPr>
          <w:sz w:val="20"/>
        </w:rPr>
      </w:pPr>
    </w:p>
    <w:p>
      <w:pPr>
        <w:spacing w:before="149"/>
        <w:ind w:left="332" w:right="0" w:firstLine="0"/>
        <w:jc w:val="left"/>
        <w:rPr>
          <w:b/>
          <w:sz w:val="21"/>
        </w:rPr>
      </w:pPr>
      <w:r>
        <w:rPr>
          <w:b/>
          <w:sz w:val="21"/>
        </w:rPr>
        <w:t>四、商务标评审（60 分）</w:t>
      </w:r>
    </w:p>
    <w:p>
      <w:pPr>
        <w:spacing w:before="139"/>
        <w:ind w:left="332" w:right="0" w:firstLine="0"/>
        <w:jc w:val="left"/>
        <w:rPr>
          <w:sz w:val="21"/>
        </w:rPr>
      </w:pPr>
      <w:r>
        <w:rPr>
          <w:sz w:val="21"/>
        </w:rPr>
        <w:t>1、确定商务评分时的投标价：</w:t>
      </w:r>
    </w:p>
    <w:p>
      <w:pPr>
        <w:spacing w:before="139" w:line="364" w:lineRule="auto"/>
        <w:ind w:left="332" w:right="585" w:firstLine="0"/>
        <w:jc w:val="left"/>
        <w:rPr>
          <w:sz w:val="21"/>
        </w:rPr>
      </w:pPr>
      <w:r>
        <w:rPr>
          <w:spacing w:val="-17"/>
          <w:w w:val="95"/>
          <w:sz w:val="21"/>
        </w:rPr>
        <w:t>商务标评分时的有效投标价(即评标价)=投标报价-∑暂列金额</w:t>
      </w:r>
      <w:r>
        <w:rPr>
          <w:b/>
          <w:spacing w:val="-13"/>
          <w:w w:val="95"/>
          <w:sz w:val="21"/>
          <w:u w:val="single"/>
        </w:rPr>
        <w:t>（</w:t>
      </w:r>
      <w:r>
        <w:rPr>
          <w:b/>
          <w:spacing w:val="-9"/>
          <w:w w:val="95"/>
          <w:sz w:val="21"/>
          <w:u w:val="single"/>
        </w:rPr>
        <w:t>本项目暂列金额为</w:t>
      </w:r>
      <w:r>
        <w:rPr>
          <w:rFonts w:hint="eastAsia"/>
          <w:b/>
          <w:spacing w:val="-9"/>
          <w:w w:val="95"/>
          <w:sz w:val="21"/>
          <w:u w:val="single"/>
          <w:lang w:val="en-US" w:eastAsia="zh-CN"/>
        </w:rPr>
        <w:t>0.00</w:t>
      </w:r>
      <w:r>
        <w:rPr>
          <w:b/>
          <w:spacing w:val="-2"/>
          <w:w w:val="95"/>
          <w:sz w:val="21"/>
          <w:u w:val="single"/>
        </w:rPr>
        <w:t>万元</w:t>
      </w:r>
      <w:r>
        <w:rPr>
          <w:b/>
          <w:spacing w:val="-17"/>
          <w:w w:val="95"/>
          <w:sz w:val="21"/>
          <w:u w:val="single"/>
        </w:rPr>
        <w:t>）</w:t>
      </w:r>
      <w:r>
        <w:rPr>
          <w:spacing w:val="-15"/>
          <w:w w:val="95"/>
          <w:sz w:val="21"/>
        </w:rPr>
        <w:t>-∑专业工程暂</w:t>
      </w:r>
      <w:r>
        <w:rPr>
          <w:spacing w:val="-8"/>
          <w:sz w:val="21"/>
        </w:rPr>
        <w:t>估价</w:t>
      </w:r>
    </w:p>
    <w:p>
      <w:pPr>
        <w:spacing w:before="1"/>
        <w:ind w:left="332" w:right="0" w:firstLine="0"/>
        <w:jc w:val="left"/>
        <w:rPr>
          <w:sz w:val="21"/>
        </w:rPr>
      </w:pPr>
      <w:r>
        <w:rPr>
          <w:sz w:val="21"/>
        </w:rPr>
        <w:t>2、 商务标得分：</w:t>
      </w:r>
    </w:p>
    <w:p>
      <w:pPr>
        <w:spacing w:before="139"/>
        <w:ind w:left="332" w:right="0" w:firstLine="0"/>
        <w:jc w:val="left"/>
        <w:rPr>
          <w:sz w:val="21"/>
        </w:rPr>
      </w:pPr>
      <w:r>
        <w:rPr>
          <w:sz w:val="21"/>
        </w:rPr>
        <w:t>以评标基准价</w:t>
      </w:r>
      <w:r>
        <w:rPr>
          <w:b/>
          <w:sz w:val="21"/>
          <w:u w:val="single"/>
        </w:rPr>
        <w:t>（所有合格投标人的有效投标价的算术平均值）</w:t>
      </w:r>
      <w:r>
        <w:rPr>
          <w:sz w:val="21"/>
        </w:rPr>
        <w:t>为基准得分 60 分，在此基础上各投标单位</w:t>
      </w:r>
    </w:p>
    <w:p>
      <w:pPr>
        <w:spacing w:before="139" w:line="364" w:lineRule="auto"/>
        <w:ind w:left="332" w:right="609" w:firstLine="0"/>
        <w:jc w:val="left"/>
        <w:rPr>
          <w:sz w:val="21"/>
        </w:rPr>
      </w:pPr>
      <w:r>
        <w:rPr>
          <w:spacing w:val="-6"/>
          <w:sz w:val="21"/>
        </w:rPr>
        <w:t xml:space="preserve">报价每高出基准值 </w:t>
      </w:r>
      <w:r>
        <w:rPr>
          <w:sz w:val="21"/>
        </w:rPr>
        <w:t>1%</w:t>
      </w:r>
      <w:r>
        <w:rPr>
          <w:spacing w:val="-24"/>
          <w:sz w:val="21"/>
        </w:rPr>
        <w:t xml:space="preserve">减 </w:t>
      </w:r>
      <w:r>
        <w:rPr>
          <w:sz w:val="21"/>
        </w:rPr>
        <w:t>1</w:t>
      </w:r>
      <w:r>
        <w:rPr>
          <w:spacing w:val="-14"/>
          <w:sz w:val="21"/>
        </w:rPr>
        <w:t xml:space="preserve"> 分，最低扣至 </w:t>
      </w:r>
      <w:r>
        <w:rPr>
          <w:sz w:val="21"/>
        </w:rPr>
        <w:t>50</w:t>
      </w:r>
      <w:r>
        <w:rPr>
          <w:spacing w:val="-10"/>
          <w:sz w:val="21"/>
        </w:rPr>
        <w:t xml:space="preserve"> 分；在此基础上各投标单位报价每低于基准值 </w:t>
      </w:r>
      <w:r>
        <w:rPr>
          <w:sz w:val="21"/>
        </w:rPr>
        <w:t>1</w:t>
      </w:r>
      <w:r>
        <w:rPr>
          <w:spacing w:val="-16"/>
          <w:sz w:val="21"/>
        </w:rPr>
        <w:t xml:space="preserve">%减 </w:t>
      </w:r>
      <w:r>
        <w:rPr>
          <w:sz w:val="21"/>
        </w:rPr>
        <w:t>0.5</w:t>
      </w:r>
      <w:r>
        <w:rPr>
          <w:spacing w:val="-17"/>
          <w:sz w:val="21"/>
        </w:rPr>
        <w:t xml:space="preserve"> 分， </w:t>
      </w:r>
      <w:r>
        <w:rPr>
          <w:spacing w:val="-24"/>
          <w:sz w:val="21"/>
        </w:rPr>
        <w:t xml:space="preserve">最低扣至 </w:t>
      </w:r>
      <w:r>
        <w:rPr>
          <w:sz w:val="21"/>
        </w:rPr>
        <w:t>50</w:t>
      </w:r>
      <w:r>
        <w:rPr>
          <w:spacing w:val="-14"/>
          <w:sz w:val="21"/>
        </w:rPr>
        <w:t xml:space="preserve"> 分 。</w:t>
      </w:r>
    </w:p>
    <w:p>
      <w:pPr>
        <w:pStyle w:val="9"/>
        <w:rPr>
          <w:sz w:val="20"/>
        </w:rPr>
      </w:pPr>
    </w:p>
    <w:p>
      <w:pPr>
        <w:spacing w:before="152"/>
        <w:ind w:left="332" w:right="0" w:firstLine="0"/>
        <w:jc w:val="left"/>
        <w:rPr>
          <w:b/>
          <w:sz w:val="21"/>
        </w:rPr>
      </w:pPr>
      <w:r>
        <w:rPr>
          <w:b/>
          <w:sz w:val="21"/>
        </w:rPr>
        <w:t>五、技术标评审（40 分）</w:t>
      </w:r>
    </w:p>
    <w:p>
      <w:pPr>
        <w:spacing w:before="46" w:line="460" w:lineRule="atLeast"/>
        <w:ind w:left="752" w:right="590" w:hanging="420"/>
        <w:jc w:val="left"/>
        <w:rPr>
          <w:sz w:val="21"/>
        </w:rPr>
      </w:pPr>
      <w:r>
        <w:rPr>
          <w:spacing w:val="-17"/>
          <w:w w:val="95"/>
          <w:sz w:val="21"/>
        </w:rPr>
        <w:t xml:space="preserve">评标委员会按以下内容，对各标书施工组织设计针对性、科学性、合理性、可行性及满足招标文件的程度打分。   </w:t>
      </w:r>
      <w:r>
        <w:rPr>
          <w:spacing w:val="-17"/>
          <w:sz w:val="21"/>
        </w:rPr>
        <w:t>评审内容：</w:t>
      </w:r>
    </w:p>
    <w:p>
      <w:pPr>
        <w:spacing w:before="109"/>
        <w:ind w:left="752" w:right="0" w:firstLine="0"/>
        <w:jc w:val="left"/>
        <w:rPr>
          <w:sz w:val="21"/>
        </w:rPr>
      </w:pPr>
      <w:r>
        <w:rPr>
          <w:sz w:val="21"/>
        </w:rPr>
        <w:t>1</w:t>
      </w:r>
      <w:r>
        <w:rPr>
          <w:spacing w:val="-2"/>
          <w:sz w:val="21"/>
        </w:rPr>
        <w:t xml:space="preserve">、施工方案与技术措施，包括工程特点、重点与难点描述的准确性及相应针对性措施 </w:t>
      </w:r>
      <w:r>
        <w:rPr>
          <w:sz w:val="21"/>
        </w:rPr>
        <w:t>5-10</w:t>
      </w:r>
      <w:r>
        <w:rPr>
          <w:spacing w:val="-32"/>
          <w:sz w:val="21"/>
        </w:rPr>
        <w:t xml:space="preserve"> 分</w:t>
      </w:r>
    </w:p>
    <w:p>
      <w:pPr>
        <w:tabs>
          <w:tab w:val="left" w:pos="8732"/>
        </w:tabs>
        <w:spacing w:before="139"/>
        <w:ind w:left="752" w:right="0" w:firstLine="0"/>
        <w:jc w:val="left"/>
        <w:rPr>
          <w:sz w:val="21"/>
        </w:rPr>
      </w:pPr>
      <w:r>
        <w:rPr>
          <w:sz w:val="21"/>
        </w:rPr>
        <w:t>2、质量、安全、文明施工及环境保护管理体系与措施；</w:t>
      </w:r>
      <w:r>
        <w:rPr>
          <w:sz w:val="21"/>
        </w:rPr>
        <w:tab/>
      </w:r>
      <w:r>
        <w:rPr>
          <w:sz w:val="21"/>
        </w:rPr>
        <w:t>2-5</w:t>
      </w:r>
      <w:r>
        <w:rPr>
          <w:spacing w:val="-55"/>
          <w:sz w:val="21"/>
        </w:rPr>
        <w:t xml:space="preserve"> </w:t>
      </w:r>
      <w:r>
        <w:rPr>
          <w:sz w:val="21"/>
        </w:rPr>
        <w:t>分</w:t>
      </w:r>
    </w:p>
    <w:p>
      <w:pPr>
        <w:tabs>
          <w:tab w:val="left" w:pos="8732"/>
        </w:tabs>
        <w:spacing w:before="139"/>
        <w:ind w:left="752" w:right="0" w:firstLine="0"/>
        <w:jc w:val="left"/>
        <w:rPr>
          <w:sz w:val="21"/>
        </w:rPr>
      </w:pPr>
      <w:r>
        <w:rPr>
          <w:sz w:val="21"/>
        </w:rPr>
        <w:t>3、施工总进度计划及保证措施</w:t>
      </w:r>
      <w:r>
        <w:rPr>
          <w:sz w:val="21"/>
        </w:rPr>
        <w:tab/>
      </w:r>
      <w:r>
        <w:rPr>
          <w:sz w:val="21"/>
        </w:rPr>
        <w:t>2-5</w:t>
      </w:r>
      <w:r>
        <w:rPr>
          <w:spacing w:val="-55"/>
          <w:sz w:val="21"/>
        </w:rPr>
        <w:t xml:space="preserve"> </w:t>
      </w:r>
      <w:r>
        <w:rPr>
          <w:sz w:val="21"/>
        </w:rPr>
        <w:t>分</w:t>
      </w:r>
    </w:p>
    <w:p>
      <w:pPr>
        <w:tabs>
          <w:tab w:val="left" w:pos="8838"/>
        </w:tabs>
        <w:spacing w:before="139"/>
        <w:ind w:left="752" w:right="0" w:firstLine="0"/>
        <w:jc w:val="left"/>
        <w:rPr>
          <w:sz w:val="21"/>
        </w:rPr>
      </w:pPr>
      <w:r>
        <w:rPr>
          <w:sz w:val="21"/>
        </w:rPr>
        <w:t>4、资源配备计划（劳动力、主要设备、主要原材料）；</w:t>
      </w:r>
      <w:r>
        <w:rPr>
          <w:sz w:val="21"/>
        </w:rPr>
        <w:tab/>
      </w:r>
      <w:r>
        <w:rPr>
          <w:sz w:val="21"/>
        </w:rPr>
        <w:t>0-3</w:t>
      </w:r>
      <w:r>
        <w:rPr>
          <w:spacing w:val="-55"/>
          <w:sz w:val="21"/>
        </w:rPr>
        <w:t xml:space="preserve"> </w:t>
      </w:r>
      <w:r>
        <w:rPr>
          <w:sz w:val="21"/>
        </w:rPr>
        <w:t>分</w:t>
      </w:r>
    </w:p>
    <w:p>
      <w:pPr>
        <w:tabs>
          <w:tab w:val="left" w:pos="8732"/>
        </w:tabs>
        <w:spacing w:before="141" w:line="364" w:lineRule="auto"/>
        <w:ind w:left="332" w:right="614" w:firstLine="420"/>
        <w:jc w:val="left"/>
        <w:rPr>
          <w:sz w:val="21"/>
        </w:rPr>
      </w:pPr>
      <w:r>
        <w:rPr>
          <w:w w:val="95"/>
          <w:sz w:val="21"/>
        </w:rPr>
        <w:t>5</w:t>
      </w:r>
      <w:r>
        <w:rPr>
          <w:spacing w:val="-15"/>
          <w:w w:val="95"/>
          <w:sz w:val="21"/>
        </w:rPr>
        <w:t>、</w:t>
      </w:r>
      <w:r>
        <w:rPr>
          <w:w w:val="95"/>
          <w:sz w:val="21"/>
        </w:rPr>
        <w:t>特殊气候条件下的施工方案</w:t>
      </w:r>
      <w:r>
        <w:rPr>
          <w:spacing w:val="-13"/>
          <w:w w:val="95"/>
          <w:sz w:val="21"/>
        </w:rPr>
        <w:t>；</w:t>
      </w:r>
      <w:r>
        <w:rPr>
          <w:w w:val="95"/>
          <w:sz w:val="21"/>
        </w:rPr>
        <w:t>紧急情况的处理措施</w:t>
      </w:r>
      <w:r>
        <w:rPr>
          <w:spacing w:val="-15"/>
          <w:w w:val="95"/>
          <w:sz w:val="21"/>
        </w:rPr>
        <w:t>、</w:t>
      </w:r>
      <w:r>
        <w:rPr>
          <w:w w:val="95"/>
          <w:sz w:val="21"/>
        </w:rPr>
        <w:t>预案以及抵抗风险的措施</w:t>
      </w:r>
      <w:r>
        <w:rPr>
          <w:spacing w:val="-15"/>
          <w:w w:val="95"/>
          <w:sz w:val="21"/>
        </w:rPr>
        <w:t>；</w:t>
      </w:r>
      <w:r>
        <w:rPr>
          <w:w w:val="95"/>
          <w:sz w:val="21"/>
        </w:rPr>
        <w:t xml:space="preserve">成品保护和工程   </w:t>
      </w:r>
      <w:r>
        <w:rPr>
          <w:sz w:val="21"/>
        </w:rPr>
        <w:t>保修工作的管理措施和承诺；</w:t>
      </w:r>
      <w:r>
        <w:rPr>
          <w:sz w:val="21"/>
        </w:rPr>
        <w:tab/>
      </w:r>
      <w:r>
        <w:rPr>
          <w:sz w:val="21"/>
        </w:rPr>
        <w:t>2-5</w:t>
      </w:r>
      <w:r>
        <w:rPr>
          <w:spacing w:val="-55"/>
          <w:sz w:val="21"/>
        </w:rPr>
        <w:t xml:space="preserve"> </w:t>
      </w:r>
      <w:r>
        <w:rPr>
          <w:sz w:val="21"/>
        </w:rPr>
        <w:t>分</w:t>
      </w:r>
    </w:p>
    <w:p>
      <w:pPr>
        <w:tabs>
          <w:tab w:val="left" w:pos="8732"/>
        </w:tabs>
        <w:spacing w:before="0" w:line="267" w:lineRule="exact"/>
        <w:ind w:left="752" w:right="0" w:firstLine="0"/>
        <w:jc w:val="left"/>
        <w:rPr>
          <w:sz w:val="21"/>
        </w:rPr>
      </w:pPr>
      <w:r>
        <w:rPr>
          <w:sz w:val="21"/>
        </w:rPr>
        <w:t>6、与招标人、项目管理单位、监理（包括财务监理）及设计人的配合</w:t>
      </w:r>
      <w:r>
        <w:rPr>
          <w:sz w:val="21"/>
        </w:rPr>
        <w:tab/>
      </w:r>
      <w:r>
        <w:rPr>
          <w:sz w:val="21"/>
        </w:rPr>
        <w:t>0-3</w:t>
      </w:r>
      <w:r>
        <w:rPr>
          <w:spacing w:val="-55"/>
          <w:sz w:val="21"/>
        </w:rPr>
        <w:t xml:space="preserve"> </w:t>
      </w:r>
      <w:r>
        <w:rPr>
          <w:sz w:val="21"/>
        </w:rPr>
        <w:t>分</w:t>
      </w:r>
    </w:p>
    <w:p>
      <w:pPr>
        <w:tabs>
          <w:tab w:val="left" w:pos="8838"/>
        </w:tabs>
        <w:spacing w:before="139"/>
        <w:ind w:left="752" w:right="0" w:firstLine="0"/>
        <w:jc w:val="left"/>
        <w:rPr>
          <w:sz w:val="21"/>
        </w:rPr>
      </w:pPr>
      <w:r>
        <w:rPr>
          <w:sz w:val="21"/>
        </w:rPr>
        <w:t>7、项目管理机构（含项目负责人、技术负责人及其他主要人员的资格与业绩）；</w:t>
      </w:r>
      <w:r>
        <w:rPr>
          <w:sz w:val="21"/>
        </w:rPr>
        <w:tab/>
      </w:r>
      <w:r>
        <w:rPr>
          <w:sz w:val="21"/>
        </w:rPr>
        <w:t>0-3</w:t>
      </w:r>
      <w:r>
        <w:rPr>
          <w:spacing w:val="-55"/>
          <w:sz w:val="21"/>
        </w:rPr>
        <w:t xml:space="preserve"> </w:t>
      </w:r>
      <w:r>
        <w:rPr>
          <w:sz w:val="21"/>
        </w:rPr>
        <w:t>分</w:t>
      </w:r>
    </w:p>
    <w:p>
      <w:pPr>
        <w:tabs>
          <w:tab w:val="left" w:pos="8732"/>
        </w:tabs>
        <w:spacing w:before="141"/>
        <w:ind w:left="752" w:right="0" w:firstLine="0"/>
        <w:jc w:val="left"/>
        <w:rPr>
          <w:sz w:val="21"/>
        </w:rPr>
      </w:pPr>
      <w:r>
        <w:rPr>
          <w:sz w:val="21"/>
        </w:rPr>
        <w:t>8、施工总平面布置规划。</w:t>
      </w:r>
      <w:r>
        <w:rPr>
          <w:sz w:val="21"/>
        </w:rPr>
        <w:tab/>
      </w:r>
      <w:r>
        <w:rPr>
          <w:sz w:val="21"/>
        </w:rPr>
        <w:t>0-3</w:t>
      </w:r>
      <w:r>
        <w:rPr>
          <w:spacing w:val="-55"/>
          <w:sz w:val="21"/>
        </w:rPr>
        <w:t xml:space="preserve"> </w:t>
      </w:r>
      <w:r>
        <w:rPr>
          <w:sz w:val="21"/>
        </w:rPr>
        <w:t>分</w:t>
      </w:r>
    </w:p>
    <w:p>
      <w:pPr>
        <w:tabs>
          <w:tab w:val="left" w:pos="8732"/>
        </w:tabs>
        <w:spacing w:before="139" w:line="364" w:lineRule="auto"/>
        <w:ind w:left="752" w:right="1136" w:firstLine="0"/>
        <w:jc w:val="left"/>
        <w:rPr>
          <w:b/>
          <w:sz w:val="21"/>
        </w:rPr>
      </w:pPr>
      <w:r>
        <w:rPr>
          <w:sz w:val="21"/>
        </w:rPr>
        <w:t>9、标书制作完整度（含“主要建筑材料推荐表”等资料）</w:t>
      </w:r>
      <w:r>
        <w:rPr>
          <w:sz w:val="21"/>
        </w:rPr>
        <w:tab/>
      </w:r>
      <w:r>
        <w:rPr>
          <w:sz w:val="21"/>
        </w:rPr>
        <w:t>0-3</w:t>
      </w:r>
      <w:r>
        <w:rPr>
          <w:spacing w:val="-54"/>
          <w:sz w:val="21"/>
        </w:rPr>
        <w:t xml:space="preserve"> </w:t>
      </w:r>
      <w:r>
        <w:rPr>
          <w:spacing w:val="-18"/>
          <w:sz w:val="21"/>
        </w:rPr>
        <w:t>分</w:t>
      </w:r>
      <w:r>
        <w:rPr>
          <w:b/>
          <w:sz w:val="21"/>
        </w:rPr>
        <w:t>注:</w:t>
      </w:r>
      <w:r>
        <w:rPr>
          <w:b/>
          <w:spacing w:val="-1"/>
          <w:sz w:val="21"/>
        </w:rPr>
        <w:t xml:space="preserve"> </w:t>
      </w:r>
      <w:r>
        <w:rPr>
          <w:b/>
          <w:sz w:val="21"/>
        </w:rPr>
        <w:t>以上各项若有缺项，则该项得“0”分；</w:t>
      </w:r>
    </w:p>
    <w:p>
      <w:pPr>
        <w:spacing w:after="0" w:line="364" w:lineRule="auto"/>
        <w:jc w:val="left"/>
        <w:rPr>
          <w:sz w:val="21"/>
        </w:rPr>
        <w:sectPr>
          <w:pgSz w:w="11910" w:h="16840"/>
          <w:pgMar w:top="1100" w:right="660" w:bottom="1180" w:left="800" w:header="878" w:footer="993" w:gutter="0"/>
          <w:cols w:space="720" w:num="1"/>
        </w:sectPr>
      </w:pPr>
    </w:p>
    <w:p>
      <w:pPr>
        <w:pStyle w:val="9"/>
        <w:rPr>
          <w:b/>
          <w:sz w:val="20"/>
        </w:rPr>
      </w:pPr>
    </w:p>
    <w:p>
      <w:pPr>
        <w:pStyle w:val="9"/>
        <w:rPr>
          <w:b/>
          <w:sz w:val="20"/>
        </w:rPr>
      </w:pPr>
    </w:p>
    <w:p>
      <w:pPr>
        <w:pStyle w:val="9"/>
        <w:rPr>
          <w:b/>
          <w:sz w:val="20"/>
        </w:rPr>
      </w:pPr>
    </w:p>
    <w:p>
      <w:pPr>
        <w:pStyle w:val="9"/>
        <w:spacing w:before="6"/>
        <w:rPr>
          <w:b/>
          <w:sz w:val="26"/>
        </w:rPr>
      </w:pPr>
    </w:p>
    <w:p>
      <w:pPr>
        <w:pStyle w:val="2"/>
        <w:spacing w:before="50"/>
        <w:ind w:left="568" w:right="727"/>
      </w:pPr>
      <w:bookmarkStart w:id="42" w:name="_bookmark14"/>
      <w:bookmarkEnd w:id="42"/>
      <w:bookmarkStart w:id="43" w:name="第四章 合同条款及格式"/>
      <w:bookmarkEnd w:id="43"/>
      <w:r>
        <w:t>第四章 合同条款及格式</w:t>
      </w:r>
    </w:p>
    <w:p>
      <w:pPr>
        <w:pStyle w:val="6"/>
        <w:spacing w:before="280"/>
        <w:ind w:left="592"/>
      </w:pPr>
      <w:bookmarkStart w:id="44" w:name="《建设工程施工合同（示范文本）》（GF-2017-0201）"/>
      <w:bookmarkEnd w:id="44"/>
      <w:r>
        <w:t>《建设工程施工合同（示范文本）》（GF-2017-0201）</w:t>
      </w:r>
    </w:p>
    <w:p>
      <w:pPr>
        <w:pStyle w:val="9"/>
        <w:spacing w:before="9"/>
        <w:rPr>
          <w:b/>
          <w:sz w:val="32"/>
        </w:rPr>
      </w:pPr>
    </w:p>
    <w:p>
      <w:pPr>
        <w:pStyle w:val="6"/>
        <w:spacing w:before="1"/>
        <w:ind w:left="590"/>
      </w:pPr>
      <w:r>
        <w:t>【合同模板仅供参考，以招标人最终授予中标人的合同为准！】</w:t>
      </w:r>
    </w:p>
    <w:p>
      <w:pPr>
        <w:pStyle w:val="9"/>
        <w:rPr>
          <w:b/>
          <w:sz w:val="24"/>
        </w:rPr>
      </w:pPr>
    </w:p>
    <w:p>
      <w:pPr>
        <w:pStyle w:val="9"/>
        <w:rPr>
          <w:b/>
          <w:sz w:val="24"/>
        </w:rPr>
      </w:pPr>
    </w:p>
    <w:p>
      <w:pPr>
        <w:pStyle w:val="9"/>
        <w:rPr>
          <w:b/>
          <w:sz w:val="24"/>
        </w:rPr>
      </w:pPr>
    </w:p>
    <w:p>
      <w:pPr>
        <w:pStyle w:val="9"/>
        <w:spacing w:before="4"/>
        <w:rPr>
          <w:b/>
          <w:sz w:val="17"/>
        </w:rPr>
      </w:pPr>
    </w:p>
    <w:p>
      <w:pPr>
        <w:pStyle w:val="7"/>
        <w:spacing w:before="0"/>
        <w:ind w:left="731"/>
      </w:pPr>
      <w:r>
        <w:t>（GF—2017—0201）</w:t>
      </w:r>
    </w:p>
    <w:p>
      <w:pPr>
        <w:pStyle w:val="9"/>
        <w:ind w:left="6963"/>
        <w:rPr>
          <w:sz w:val="20"/>
        </w:rPr>
      </w:pPr>
    </w:p>
    <w:p>
      <w:pPr>
        <w:pStyle w:val="9"/>
        <w:rPr>
          <w:sz w:val="20"/>
        </w:rPr>
      </w:pPr>
    </w:p>
    <w:p>
      <w:pPr>
        <w:pStyle w:val="9"/>
        <w:rPr>
          <w:sz w:val="20"/>
        </w:rPr>
      </w:pPr>
    </w:p>
    <w:p>
      <w:pPr>
        <w:pStyle w:val="9"/>
        <w:rPr>
          <w:sz w:val="20"/>
        </w:rPr>
      </w:pPr>
    </w:p>
    <w:p>
      <w:pPr>
        <w:pStyle w:val="9"/>
        <w:rPr>
          <w:sz w:val="20"/>
        </w:rPr>
      </w:pPr>
    </w:p>
    <w:p>
      <w:pPr>
        <w:spacing w:before="7"/>
        <w:ind w:left="578" w:right="727" w:firstLine="0"/>
        <w:jc w:val="center"/>
        <w:rPr>
          <w:b/>
          <w:sz w:val="44"/>
        </w:rPr>
      </w:pPr>
      <w:r>
        <w:rPr>
          <w:b w:val="0"/>
          <w:bCs w:val="0"/>
          <w:sz w:val="44"/>
          <w:szCs w:val="44"/>
        </w:rPr>
        <w:t>干箱A岀口箱改造工程</w:t>
      </w:r>
      <w:r>
        <w:rPr>
          <w:b/>
          <w:sz w:val="44"/>
        </w:rPr>
        <w:t>项目</w:t>
      </w:r>
    </w:p>
    <w:p>
      <w:pPr>
        <w:pStyle w:val="9"/>
        <w:spacing w:before="2"/>
        <w:rPr>
          <w:b/>
          <w:sz w:val="45"/>
        </w:rPr>
      </w:pPr>
    </w:p>
    <w:p>
      <w:pPr>
        <w:spacing w:before="0"/>
        <w:ind w:left="563" w:right="727" w:firstLine="0"/>
        <w:jc w:val="center"/>
        <w:rPr>
          <w:sz w:val="44"/>
        </w:rPr>
      </w:pPr>
      <w:r>
        <w:rPr>
          <w:sz w:val="44"/>
        </w:rPr>
        <w:t>（施工合同）</w:t>
      </w:r>
    </w:p>
    <w:p>
      <w:pPr>
        <w:pStyle w:val="9"/>
        <w:spacing w:before="11"/>
        <w:rPr>
          <w:sz w:val="44"/>
        </w:rPr>
      </w:pPr>
    </w:p>
    <w:p>
      <w:pPr>
        <w:pStyle w:val="9"/>
        <w:rPr>
          <w:b/>
          <w:sz w:val="24"/>
        </w:rPr>
      </w:pPr>
    </w:p>
    <w:p>
      <w:pPr>
        <w:pStyle w:val="9"/>
        <w:rPr>
          <w:b/>
          <w:sz w:val="24"/>
        </w:rPr>
      </w:pPr>
    </w:p>
    <w:p>
      <w:pPr>
        <w:pStyle w:val="9"/>
        <w:rPr>
          <w:b/>
          <w:sz w:val="24"/>
        </w:rPr>
      </w:pPr>
    </w:p>
    <w:p>
      <w:pPr>
        <w:pStyle w:val="9"/>
        <w:rPr>
          <w:b/>
          <w:sz w:val="24"/>
        </w:rPr>
      </w:pPr>
    </w:p>
    <w:p>
      <w:pPr>
        <w:pStyle w:val="9"/>
        <w:spacing w:before="12"/>
        <w:rPr>
          <w:b/>
          <w:sz w:val="25"/>
        </w:rPr>
      </w:pPr>
    </w:p>
    <w:p>
      <w:pPr>
        <w:spacing w:before="0" w:line="327" w:lineRule="exact"/>
        <w:ind w:left="1756" w:right="727" w:firstLine="0"/>
        <w:jc w:val="center"/>
        <w:rPr>
          <w:b/>
          <w:sz w:val="30"/>
        </w:rPr>
      </w:pPr>
      <w:r>
        <w:rPr>
          <w:b/>
          <w:sz w:val="30"/>
        </w:rPr>
        <w:t>住房城乡建设部</w:t>
      </w:r>
    </w:p>
    <w:p>
      <w:pPr>
        <w:tabs>
          <w:tab w:val="left" w:pos="4463"/>
        </w:tabs>
        <w:spacing w:before="0" w:line="447" w:lineRule="exact"/>
        <w:ind w:left="628" w:right="0" w:firstLine="0"/>
        <w:jc w:val="center"/>
        <w:rPr>
          <w:b/>
          <w:sz w:val="32"/>
        </w:rPr>
      </w:pPr>
      <w:r>
        <w:rPr>
          <w:b/>
          <w:spacing w:val="60"/>
          <w:sz w:val="30"/>
        </w:rPr>
        <w:t>国</w:t>
      </w:r>
      <w:r>
        <w:rPr>
          <w:b/>
          <w:spacing w:val="57"/>
          <w:sz w:val="30"/>
        </w:rPr>
        <w:t>家</w:t>
      </w:r>
      <w:r>
        <w:rPr>
          <w:b/>
          <w:spacing w:val="60"/>
          <w:sz w:val="30"/>
        </w:rPr>
        <w:t>工商行</w:t>
      </w:r>
      <w:r>
        <w:rPr>
          <w:b/>
          <w:spacing w:val="57"/>
          <w:sz w:val="30"/>
        </w:rPr>
        <w:t>政</w:t>
      </w:r>
      <w:r>
        <w:rPr>
          <w:b/>
          <w:spacing w:val="60"/>
          <w:sz w:val="30"/>
        </w:rPr>
        <w:t>管理</w:t>
      </w:r>
      <w:r>
        <w:rPr>
          <w:b/>
          <w:spacing w:val="57"/>
          <w:sz w:val="30"/>
        </w:rPr>
        <w:t>总</w:t>
      </w:r>
      <w:r>
        <w:rPr>
          <w:b/>
          <w:sz w:val="30"/>
        </w:rPr>
        <w:t>局</w:t>
      </w:r>
      <w:r>
        <w:rPr>
          <w:b/>
          <w:sz w:val="30"/>
        </w:rPr>
        <w:tab/>
      </w:r>
      <w:r>
        <w:rPr>
          <w:b/>
          <w:position w:val="10"/>
          <w:sz w:val="32"/>
        </w:rPr>
        <w:t>制定</w:t>
      </w:r>
    </w:p>
    <w:p>
      <w:pPr>
        <w:spacing w:after="0" w:line="447" w:lineRule="exact"/>
        <w:jc w:val="center"/>
        <w:rPr>
          <w:sz w:val="32"/>
        </w:rPr>
        <w:sectPr>
          <w:headerReference r:id="rId9" w:type="default"/>
          <w:pgSz w:w="11910" w:h="16840"/>
          <w:pgMar w:top="1100" w:right="660" w:bottom="1200" w:left="800" w:header="878" w:footer="993" w:gutter="0"/>
          <w:cols w:space="720" w:num="1"/>
        </w:sectPr>
      </w:pPr>
    </w:p>
    <w:p>
      <w:pPr>
        <w:pStyle w:val="9"/>
        <w:spacing w:before="12"/>
        <w:rPr>
          <w:b/>
          <w:sz w:val="17"/>
        </w:rPr>
      </w:pPr>
    </w:p>
    <w:p>
      <w:pPr>
        <w:spacing w:before="70"/>
        <w:ind w:left="571" w:right="727" w:firstLine="0"/>
        <w:jc w:val="center"/>
        <w:rPr>
          <w:b/>
          <w:sz w:val="21"/>
        </w:rPr>
      </w:pPr>
      <w:r>
        <w:rPr>
          <w:b/>
          <w:sz w:val="21"/>
        </w:rPr>
        <w:t>第一部分 合同协议书</w:t>
      </w:r>
    </w:p>
    <w:p>
      <w:pPr>
        <w:pStyle w:val="9"/>
        <w:spacing w:before="1"/>
        <w:rPr>
          <w:b/>
          <w:sz w:val="19"/>
        </w:rPr>
      </w:pPr>
    </w:p>
    <w:p>
      <w:pPr>
        <w:snapToGrid/>
        <w:spacing w:before="0" w:beforeAutospacing="0" w:after="0" w:afterAutospacing="0" w:line="600" w:lineRule="exact"/>
        <w:ind w:firstLine="799" w:firstLineChars="400"/>
        <w:jc w:val="both"/>
        <w:textAlignment w:val="baseline"/>
        <w:rPr>
          <w:rFonts w:ascii="宋体" w:hAnsi="宋体" w:eastAsia="宋体"/>
          <w:b w:val="0"/>
          <w:i w:val="0"/>
          <w:caps w:val="0"/>
          <w:spacing w:val="0"/>
          <w:w w:val="100"/>
          <w:sz w:val="21"/>
          <w:szCs w:val="21"/>
          <w:u w:val="single"/>
        </w:rPr>
      </w:pPr>
      <w:r>
        <w:rPr>
          <w:rFonts w:hint="eastAsia" w:ascii="仿宋" w:eastAsia="仿宋"/>
          <w:b/>
          <w:w w:val="95"/>
          <w:sz w:val="21"/>
        </w:rPr>
        <w:t>发包人（全称）：</w:t>
      </w:r>
      <w:r>
        <w:rPr>
          <w:rFonts w:hint="eastAsia" w:ascii="宋体" w:hAnsi="宋体" w:eastAsia="宋体" w:cs="楷体_GB2312"/>
          <w:b/>
          <w:i w:val="0"/>
          <w:caps w:val="0"/>
          <w:spacing w:val="0"/>
          <w:w w:val="100"/>
          <w:sz w:val="21"/>
          <w:szCs w:val="21"/>
          <w:u w:val="single"/>
        </w:rPr>
        <w:t>寰宇东方国际集装箱（青岛）有限公司</w:t>
      </w:r>
    </w:p>
    <w:p>
      <w:pPr>
        <w:tabs>
          <w:tab w:val="left" w:pos="5991"/>
        </w:tabs>
        <w:spacing w:before="0" w:line="364" w:lineRule="auto"/>
        <w:ind w:left="731" w:right="4406" w:firstLine="0"/>
        <w:jc w:val="left"/>
        <w:rPr>
          <w:rFonts w:ascii="Times New Roman" w:eastAsia="Times New Roman"/>
          <w:b/>
          <w:sz w:val="21"/>
        </w:rPr>
      </w:pPr>
      <w:r>
        <w:rPr>
          <w:rFonts w:hint="eastAsia" w:ascii="仿宋" w:eastAsia="仿宋"/>
          <w:b/>
          <w:w w:val="95"/>
          <w:sz w:val="21"/>
        </w:rPr>
        <w:t>承包人（全称）：</w:t>
      </w:r>
      <w:r>
        <w:rPr>
          <w:rFonts w:ascii="Times New Roman" w:eastAsia="Times New Roman"/>
          <w:b/>
          <w:w w:val="99"/>
          <w:sz w:val="21"/>
          <w:u w:val="single"/>
        </w:rPr>
        <w:t xml:space="preserve"> </w:t>
      </w:r>
      <w:r>
        <w:rPr>
          <w:rFonts w:ascii="Times New Roman" w:eastAsia="Times New Roman"/>
          <w:b/>
          <w:sz w:val="21"/>
          <w:u w:val="single"/>
        </w:rPr>
        <w:tab/>
      </w:r>
      <w:r>
        <w:rPr>
          <w:rFonts w:ascii="Times New Roman" w:eastAsia="Times New Roman"/>
          <w:b/>
          <w:w w:val="55"/>
          <w:sz w:val="21"/>
          <w:u w:val="single"/>
        </w:rPr>
        <w:t xml:space="preserve"> </w:t>
      </w:r>
    </w:p>
    <w:p>
      <w:pPr>
        <w:tabs>
          <w:tab w:val="left" w:pos="4091"/>
        </w:tabs>
        <w:spacing w:before="0" w:line="244" w:lineRule="auto"/>
        <w:ind w:left="731" w:right="788" w:firstLine="0"/>
        <w:jc w:val="left"/>
        <w:rPr>
          <w:rFonts w:hint="eastAsia" w:ascii="仿宋" w:eastAsia="仿宋"/>
          <w:sz w:val="21"/>
        </w:rPr>
      </w:pPr>
      <w:r>
        <w:rPr>
          <w:rFonts w:hint="eastAsia" w:ascii="仿宋" w:eastAsia="仿宋"/>
          <w:w w:val="95"/>
          <w:sz w:val="21"/>
        </w:rPr>
        <w:t>根</w:t>
      </w:r>
      <w:r>
        <w:rPr>
          <w:rFonts w:hint="eastAsia" w:ascii="仿宋" w:eastAsia="仿宋"/>
          <w:spacing w:val="-13"/>
          <w:w w:val="95"/>
          <w:sz w:val="21"/>
        </w:rPr>
        <w:t>据</w:t>
      </w:r>
      <w:r>
        <w:rPr>
          <w:rFonts w:hint="eastAsia" w:ascii="仿宋" w:eastAsia="仿宋"/>
          <w:w w:val="95"/>
          <w:sz w:val="21"/>
        </w:rPr>
        <w:t>《中华人民共和国民法典</w:t>
      </w:r>
      <w:r>
        <w:rPr>
          <w:rFonts w:hint="eastAsia" w:ascii="仿宋" w:eastAsia="仿宋"/>
          <w:spacing w:val="-15"/>
          <w:w w:val="95"/>
          <w:sz w:val="21"/>
        </w:rPr>
        <w:t>》</w:t>
      </w:r>
      <w:r>
        <w:rPr>
          <w:rFonts w:hint="eastAsia" w:ascii="仿宋" w:eastAsia="仿宋"/>
          <w:spacing w:val="-27"/>
          <w:w w:val="95"/>
          <w:sz w:val="21"/>
        </w:rPr>
        <w:t>、</w:t>
      </w:r>
      <w:r>
        <w:rPr>
          <w:rFonts w:hint="eastAsia" w:ascii="仿宋" w:eastAsia="仿宋"/>
          <w:w w:val="95"/>
          <w:sz w:val="21"/>
        </w:rPr>
        <w:t>《中华人民共和国建筑法</w:t>
      </w:r>
      <w:r>
        <w:rPr>
          <w:rFonts w:hint="eastAsia" w:ascii="仿宋" w:eastAsia="仿宋"/>
          <w:spacing w:val="-15"/>
          <w:w w:val="95"/>
          <w:sz w:val="21"/>
        </w:rPr>
        <w:t>》</w:t>
      </w:r>
      <w:r>
        <w:rPr>
          <w:rFonts w:hint="eastAsia" w:ascii="仿宋" w:eastAsia="仿宋"/>
          <w:w w:val="95"/>
          <w:sz w:val="21"/>
        </w:rPr>
        <w:t>及有关法律规定</w:t>
      </w:r>
      <w:r>
        <w:rPr>
          <w:rFonts w:hint="eastAsia" w:ascii="仿宋" w:eastAsia="仿宋"/>
          <w:spacing w:val="-15"/>
          <w:w w:val="95"/>
          <w:sz w:val="21"/>
        </w:rPr>
        <w:t>，</w:t>
      </w:r>
      <w:r>
        <w:rPr>
          <w:rFonts w:hint="eastAsia" w:ascii="仿宋" w:eastAsia="仿宋"/>
          <w:w w:val="95"/>
          <w:sz w:val="21"/>
        </w:rPr>
        <w:t>遵循平等</w:t>
      </w:r>
      <w:r>
        <w:rPr>
          <w:rFonts w:hint="eastAsia" w:ascii="仿宋" w:eastAsia="仿宋"/>
          <w:spacing w:val="-13"/>
          <w:w w:val="95"/>
          <w:sz w:val="21"/>
        </w:rPr>
        <w:t>、</w:t>
      </w:r>
      <w:r>
        <w:rPr>
          <w:rFonts w:hint="eastAsia" w:ascii="仿宋" w:eastAsia="仿宋"/>
          <w:w w:val="95"/>
          <w:sz w:val="21"/>
        </w:rPr>
        <w:t xml:space="preserve">自愿、   </w:t>
      </w:r>
      <w:r>
        <w:rPr>
          <w:rFonts w:hint="eastAsia" w:ascii="仿宋" w:eastAsia="仿宋"/>
          <w:sz w:val="21"/>
        </w:rPr>
        <w:t>公平和诚实信用的原则，双方就</w:t>
      </w:r>
      <w:r>
        <w:rPr>
          <w:rFonts w:hint="eastAsia" w:ascii="仿宋" w:eastAsia="仿宋"/>
          <w:sz w:val="21"/>
          <w:u w:val="single"/>
        </w:rPr>
        <w:t xml:space="preserve"> </w:t>
      </w:r>
      <w:r>
        <w:rPr>
          <w:rFonts w:hint="eastAsia" w:ascii="仿宋" w:eastAsia="仿宋"/>
          <w:sz w:val="21"/>
          <w:u w:val="single"/>
        </w:rPr>
        <w:tab/>
      </w:r>
      <w:r>
        <w:rPr>
          <w:b w:val="0"/>
          <w:bCs w:val="0"/>
          <w:sz w:val="21"/>
          <w:szCs w:val="21"/>
          <w:u w:val="single"/>
        </w:rPr>
        <w:t>干箱A岀口箱改造工程</w:t>
      </w:r>
      <w:r>
        <w:rPr>
          <w:rFonts w:hint="eastAsia" w:ascii="黑体" w:eastAsia="黑体"/>
          <w:b w:val="0"/>
          <w:bCs w:val="0"/>
          <w:sz w:val="21"/>
          <w:szCs w:val="21"/>
          <w:u w:val="single"/>
        </w:rPr>
        <w:t>项目</w:t>
      </w:r>
      <w:r>
        <w:rPr>
          <w:rFonts w:ascii="Times New Roman" w:eastAsia="Times New Roman"/>
          <w:w w:val="99"/>
          <w:sz w:val="21"/>
          <w:u w:val="single"/>
        </w:rPr>
        <w:t xml:space="preserve"> </w:t>
      </w:r>
      <w:r>
        <w:rPr>
          <w:rFonts w:ascii="Times New Roman" w:eastAsia="Times New Roman"/>
          <w:sz w:val="21"/>
          <w:u w:val="single"/>
        </w:rPr>
        <w:tab/>
      </w:r>
      <w:r>
        <w:rPr>
          <w:rFonts w:hint="eastAsia" w:ascii="仿宋" w:eastAsia="仿宋"/>
          <w:sz w:val="21"/>
        </w:rPr>
        <w:t>项目施工及有关事项协商一致，共同达成如下协议：</w:t>
      </w:r>
    </w:p>
    <w:p>
      <w:pPr>
        <w:spacing w:before="120"/>
        <w:ind w:left="731" w:right="0" w:firstLine="0"/>
        <w:jc w:val="left"/>
        <w:rPr>
          <w:rFonts w:hint="eastAsia" w:ascii="黑体" w:eastAsia="黑体"/>
          <w:sz w:val="21"/>
        </w:rPr>
      </w:pPr>
      <w:bookmarkStart w:id="45" w:name="一、工程概况"/>
      <w:bookmarkEnd w:id="45"/>
      <w:r>
        <w:rPr>
          <w:rFonts w:hint="eastAsia" w:ascii="黑体" w:eastAsia="黑体"/>
          <w:sz w:val="21"/>
        </w:rPr>
        <w:t>一、工程概况</w:t>
      </w:r>
    </w:p>
    <w:p>
      <w:pPr>
        <w:pStyle w:val="9"/>
        <w:spacing w:before="2"/>
        <w:rPr>
          <w:rFonts w:ascii="黑体"/>
          <w:sz w:val="20"/>
        </w:rPr>
      </w:pPr>
    </w:p>
    <w:p>
      <w:pPr>
        <w:pStyle w:val="13"/>
        <w:numPr>
          <w:ilvl w:val="2"/>
          <w:numId w:val="29"/>
        </w:numPr>
        <w:tabs>
          <w:tab w:val="left" w:pos="1418"/>
          <w:tab w:val="left" w:pos="1438"/>
          <w:tab w:val="left" w:pos="7401"/>
        </w:tabs>
        <w:spacing w:before="1" w:after="0" w:line="240" w:lineRule="auto"/>
        <w:ind w:left="1437" w:right="276" w:hanging="1438"/>
        <w:jc w:val="left"/>
        <w:rPr>
          <w:rFonts w:hint="eastAsia" w:ascii="仿宋" w:eastAsia="仿宋"/>
          <w:sz w:val="21"/>
        </w:rPr>
      </w:pPr>
      <w:r>
        <w:rPr>
          <w:rFonts w:ascii="宋体" w:hAnsi="宋体" w:eastAsia="宋体" w:cs="宋体"/>
          <w:sz w:val="22"/>
          <w:szCs w:val="22"/>
          <w:lang w:val="zh-CN" w:eastAsia="zh-CN" w:bidi="zh-CN"/>
        </w:rPr>
        <w:pict>
          <v:line id="直线 7" o:spid="_x0000_s1058" style="position:absolute;left:0;margin-left:164.25pt;margin-top:11.75pt;height:0.05pt;width:309.75pt;mso-position-horizontal-relative:page;rotation:0f;z-index:251673600;" o:ole="f" fillcolor="#FFFFFF" filled="f" o:preferrelative="t" stroked="t" coordsize="21600,21600">
            <v:fill on="f" color2="#FFFFFF" focus="0%"/>
            <v:stroke weight="0.48pt" color="#000000" color2="#FFFFFF" miterlimit="2"/>
            <v:imagedata gain="65536f" blacklevel="0f" gamma="0"/>
            <o:lock v:ext="edit" position="f" selection="f" grouping="f" rotation="f" cropping="f" text="f" aspectratio="f"/>
          </v:line>
        </w:pict>
      </w:r>
      <w:r>
        <w:rPr>
          <w:rFonts w:hint="eastAsia" w:ascii="仿宋" w:eastAsia="仿宋"/>
          <w:sz w:val="21"/>
        </w:rPr>
        <w:t>工程名称</w:t>
      </w:r>
      <w:r>
        <w:rPr>
          <w:b w:val="0"/>
          <w:bCs w:val="0"/>
          <w:sz w:val="21"/>
          <w:szCs w:val="21"/>
          <w:u w:val="single"/>
        </w:rPr>
        <w:t>干箱A岀口箱改造工程</w:t>
      </w:r>
      <w:r>
        <w:rPr>
          <w:rFonts w:hint="eastAsia" w:ascii="黑体" w:eastAsia="黑体"/>
          <w:b w:val="0"/>
          <w:bCs w:val="0"/>
          <w:sz w:val="21"/>
          <w:szCs w:val="21"/>
          <w:u w:val="single"/>
        </w:rPr>
        <w:t>项目</w:t>
      </w:r>
      <w:r>
        <w:rPr>
          <w:rFonts w:ascii="Times New Roman" w:eastAsia="Times New Roman"/>
          <w:w w:val="99"/>
          <w:sz w:val="21"/>
          <w:u w:val="single"/>
        </w:rPr>
        <w:t xml:space="preserve"> </w:t>
      </w:r>
    </w:p>
    <w:p>
      <w:pPr>
        <w:pStyle w:val="13"/>
        <w:numPr>
          <w:ilvl w:val="2"/>
          <w:numId w:val="29"/>
        </w:numPr>
        <w:tabs>
          <w:tab w:val="left" w:pos="1303"/>
          <w:tab w:val="left" w:pos="2874"/>
          <w:tab w:val="left" w:pos="7704"/>
        </w:tabs>
        <w:spacing w:before="139" w:after="0" w:line="240" w:lineRule="auto"/>
        <w:ind w:left="1302" w:right="0" w:hanging="159"/>
        <w:jc w:val="left"/>
        <w:rPr>
          <w:rFonts w:hint="eastAsia" w:ascii="仿宋" w:eastAsia="仿宋"/>
          <w:sz w:val="21"/>
        </w:rPr>
      </w:pPr>
      <w:r>
        <w:rPr>
          <w:rFonts w:hint="eastAsia" w:ascii="仿宋" w:eastAsia="仿宋"/>
          <w:sz w:val="21"/>
        </w:rPr>
        <w:t>工程地点：</w:t>
      </w:r>
      <w:r>
        <w:rPr>
          <w:rFonts w:hint="eastAsia" w:ascii="仿宋" w:eastAsia="仿宋"/>
          <w:sz w:val="21"/>
          <w:u w:val="single"/>
        </w:rPr>
        <w:t xml:space="preserve"> </w:t>
      </w:r>
      <w:r>
        <w:rPr>
          <w:rFonts w:hint="eastAsia" w:ascii="仿宋" w:eastAsia="仿宋"/>
          <w:sz w:val="21"/>
          <w:u w:val="single"/>
        </w:rPr>
        <w:tab/>
      </w:r>
      <w:r>
        <w:rPr>
          <w:rFonts w:ascii="宋体" w:hAnsi="宋体" w:cs="宋体"/>
          <w:b w:val="0"/>
          <w:i w:val="0"/>
          <w:caps w:val="0"/>
          <w:color w:val="000000"/>
          <w:spacing w:val="0"/>
          <w:w w:val="100"/>
          <w:sz w:val="24"/>
          <w:szCs w:val="24"/>
          <w:u w:val="single" w:color="auto"/>
        </w:rPr>
        <w:t>青岛西海岸新区茂山路373</w:t>
      </w:r>
      <w:r>
        <w:rPr>
          <w:rFonts w:hint="eastAsia" w:ascii="仿宋" w:eastAsia="仿宋"/>
          <w:sz w:val="21"/>
        </w:rPr>
        <w:t>。</w:t>
      </w:r>
    </w:p>
    <w:p>
      <w:pPr>
        <w:pStyle w:val="13"/>
        <w:numPr>
          <w:ilvl w:val="2"/>
          <w:numId w:val="29"/>
        </w:numPr>
        <w:tabs>
          <w:tab w:val="left" w:pos="1303"/>
          <w:tab w:val="left" w:pos="3294"/>
          <w:tab w:val="left" w:pos="5393"/>
        </w:tabs>
        <w:spacing w:before="141" w:after="0" w:line="240" w:lineRule="auto"/>
        <w:ind w:left="1302" w:right="0" w:hanging="159"/>
        <w:jc w:val="left"/>
        <w:rPr>
          <w:rFonts w:hint="eastAsia" w:ascii="仿宋" w:eastAsia="仿宋"/>
          <w:sz w:val="21"/>
        </w:rPr>
      </w:pPr>
      <w:r>
        <w:rPr>
          <w:rFonts w:hint="eastAsia" w:ascii="仿宋" w:eastAsia="仿宋"/>
          <w:sz w:val="21"/>
        </w:rPr>
        <w:t>工程招标编号：</w:t>
      </w:r>
      <w:r>
        <w:rPr>
          <w:rFonts w:hint="eastAsia" w:ascii="仿宋" w:eastAsia="仿宋"/>
          <w:position w:val="1"/>
          <w:sz w:val="21"/>
          <w:u w:val="single"/>
        </w:rPr>
        <w:t xml:space="preserve"> </w:t>
      </w:r>
      <w:r>
        <w:rPr>
          <w:rFonts w:hint="eastAsia" w:ascii="仿宋" w:eastAsia="仿宋"/>
          <w:position w:val="1"/>
          <w:sz w:val="21"/>
          <w:u w:val="single"/>
        </w:rPr>
        <w:tab/>
      </w:r>
      <w:r>
        <w:rPr>
          <w:rFonts w:hint="eastAsia" w:ascii="仿宋" w:eastAsia="仿宋"/>
          <w:position w:val="1"/>
          <w:sz w:val="21"/>
          <w:u w:val="single"/>
          <w:lang w:val="en-US" w:eastAsia="zh-CN"/>
        </w:rPr>
        <w:t>/</w:t>
      </w:r>
      <w:r>
        <w:rPr>
          <w:rFonts w:hint="eastAsia" w:ascii="仿宋" w:eastAsia="仿宋"/>
          <w:position w:val="1"/>
          <w:sz w:val="21"/>
          <w:u w:val="single"/>
        </w:rPr>
        <w:tab/>
      </w:r>
      <w:r>
        <w:rPr>
          <w:rFonts w:hint="eastAsia" w:ascii="仿宋" w:eastAsia="仿宋"/>
          <w:sz w:val="21"/>
        </w:rPr>
        <w:t>。</w:t>
      </w:r>
    </w:p>
    <w:p>
      <w:pPr>
        <w:pStyle w:val="13"/>
        <w:numPr>
          <w:ilvl w:val="2"/>
          <w:numId w:val="29"/>
        </w:numPr>
        <w:tabs>
          <w:tab w:val="left" w:pos="1303"/>
        </w:tabs>
        <w:spacing w:before="138" w:after="0" w:line="240" w:lineRule="auto"/>
        <w:ind w:left="1302" w:right="0" w:hanging="159"/>
        <w:jc w:val="left"/>
        <w:rPr>
          <w:rFonts w:hint="eastAsia" w:ascii="仿宋" w:eastAsia="仿宋"/>
          <w:sz w:val="21"/>
        </w:rPr>
      </w:pPr>
      <w:r>
        <w:rPr>
          <w:rFonts w:hint="eastAsia" w:ascii="仿宋" w:eastAsia="仿宋"/>
          <w:sz w:val="21"/>
        </w:rPr>
        <w:t>资金来源：</w:t>
      </w:r>
      <w:r>
        <w:rPr>
          <w:rFonts w:hint="eastAsia" w:ascii="仿宋" w:eastAsia="仿宋"/>
          <w:sz w:val="21"/>
          <w:u w:val="single"/>
        </w:rPr>
        <w:t>国有企业事业单位资金投资</w:t>
      </w:r>
      <w:r>
        <w:rPr>
          <w:rFonts w:hint="eastAsia" w:ascii="仿宋" w:eastAsia="仿宋"/>
          <w:sz w:val="21"/>
        </w:rPr>
        <w:t>。</w:t>
      </w:r>
    </w:p>
    <w:p>
      <w:pPr>
        <w:pStyle w:val="13"/>
        <w:numPr>
          <w:ilvl w:val="2"/>
          <w:numId w:val="29"/>
        </w:numPr>
        <w:tabs>
          <w:tab w:val="left" w:pos="1452"/>
        </w:tabs>
        <w:spacing w:before="139" w:after="0" w:line="364" w:lineRule="auto"/>
        <w:ind w:left="2867" w:right="892" w:hanging="1575"/>
        <w:jc w:val="left"/>
        <w:rPr>
          <w:rFonts w:hint="eastAsia" w:ascii="仿宋" w:eastAsia="仿宋"/>
          <w:sz w:val="21"/>
        </w:rPr>
      </w:pPr>
      <w:r>
        <w:rPr>
          <w:rFonts w:hint="eastAsia" w:ascii="仿宋" w:eastAsia="仿宋"/>
          <w:spacing w:val="-8"/>
          <w:w w:val="95"/>
          <w:sz w:val="21"/>
        </w:rPr>
        <w:t>工程主要内容：包含但不限于：</w:t>
      </w:r>
      <w:r>
        <w:rPr>
          <w:spacing w:val="-16"/>
        </w:rPr>
        <w:t xml:space="preserve"> </w:t>
      </w:r>
      <w:r>
        <w:rPr>
          <w:spacing w:val="-9"/>
          <w:sz w:val="21"/>
          <w:szCs w:val="21"/>
        </w:rPr>
        <w:t>原有</w:t>
      </w:r>
      <w:r>
        <w:rPr>
          <w:rFonts w:hint="eastAsia"/>
          <w:spacing w:val="-9"/>
          <w:sz w:val="21"/>
          <w:szCs w:val="21"/>
        </w:rPr>
        <w:t>地面设备基础</w:t>
      </w:r>
      <w:r>
        <w:rPr>
          <w:spacing w:val="-9"/>
          <w:sz w:val="21"/>
          <w:szCs w:val="21"/>
        </w:rPr>
        <w:t>拆除、</w:t>
      </w:r>
      <w:r>
        <w:rPr>
          <w:rFonts w:hint="eastAsia"/>
          <w:spacing w:val="-9"/>
          <w:sz w:val="21"/>
          <w:szCs w:val="21"/>
        </w:rPr>
        <w:t>地下管线拆除</w:t>
      </w:r>
      <w:r>
        <w:rPr>
          <w:spacing w:val="-9"/>
          <w:sz w:val="21"/>
          <w:szCs w:val="21"/>
        </w:rPr>
        <w:t>等</w:t>
      </w:r>
      <w:r>
        <w:rPr>
          <w:spacing w:val="-9"/>
        </w:rPr>
        <w:t>。</w:t>
      </w:r>
      <w:r>
        <w:rPr>
          <w:rFonts w:hint="eastAsia" w:ascii="仿宋" w:eastAsia="仿宋"/>
          <w:spacing w:val="-8"/>
          <w:sz w:val="21"/>
          <w:u w:val="single"/>
        </w:rPr>
        <w:t>，具体施工要求以提供的设计图纸、招标文件有关条款为准</w:t>
      </w:r>
      <w:r>
        <w:rPr>
          <w:rFonts w:hint="eastAsia" w:ascii="仿宋" w:eastAsia="仿宋"/>
          <w:spacing w:val="-8"/>
          <w:sz w:val="21"/>
        </w:rPr>
        <w:t>。</w:t>
      </w:r>
    </w:p>
    <w:p>
      <w:pPr>
        <w:pStyle w:val="13"/>
        <w:numPr>
          <w:ilvl w:val="2"/>
          <w:numId w:val="29"/>
        </w:numPr>
        <w:tabs>
          <w:tab w:val="left" w:pos="1303"/>
          <w:tab w:val="left" w:pos="6548"/>
        </w:tabs>
        <w:spacing w:before="121" w:after="0" w:line="240" w:lineRule="auto"/>
        <w:ind w:left="1302" w:right="0" w:hanging="159"/>
        <w:jc w:val="left"/>
        <w:rPr>
          <w:rFonts w:hint="eastAsia" w:ascii="仿宋" w:eastAsia="仿宋"/>
          <w:sz w:val="21"/>
        </w:rPr>
      </w:pPr>
      <w:r>
        <w:rPr>
          <w:rFonts w:hint="eastAsia" w:ascii="仿宋" w:eastAsia="仿宋"/>
          <w:sz w:val="21"/>
        </w:rPr>
        <w:t>工程承包范围：</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w:t>
      </w:r>
    </w:p>
    <w:p>
      <w:pPr>
        <w:pStyle w:val="9"/>
        <w:spacing w:before="2"/>
        <w:rPr>
          <w:rFonts w:ascii="仿宋"/>
          <w:sz w:val="20"/>
        </w:rPr>
      </w:pPr>
    </w:p>
    <w:p>
      <w:pPr>
        <w:spacing w:before="1"/>
        <w:ind w:left="731" w:right="0" w:firstLine="0"/>
        <w:jc w:val="left"/>
        <w:rPr>
          <w:rFonts w:hint="eastAsia" w:ascii="黑体" w:eastAsia="黑体"/>
          <w:sz w:val="21"/>
        </w:rPr>
      </w:pPr>
      <w:bookmarkStart w:id="46" w:name="二、合同工期"/>
      <w:bookmarkEnd w:id="46"/>
      <w:r>
        <w:rPr>
          <w:rFonts w:hint="eastAsia" w:ascii="黑体" w:eastAsia="黑体"/>
          <w:sz w:val="21"/>
        </w:rPr>
        <w:t>二、合同工期</w:t>
      </w:r>
    </w:p>
    <w:p>
      <w:pPr>
        <w:pStyle w:val="9"/>
        <w:spacing w:before="2"/>
        <w:rPr>
          <w:rFonts w:ascii="黑体"/>
          <w:sz w:val="20"/>
        </w:rPr>
      </w:pPr>
    </w:p>
    <w:p>
      <w:pPr>
        <w:tabs>
          <w:tab w:val="left" w:pos="3500"/>
        </w:tabs>
        <w:spacing w:before="0" w:line="364" w:lineRule="auto"/>
        <w:ind w:left="1606" w:leftChars="730" w:right="5582" w:firstLine="0" w:firstLineChars="0"/>
        <w:jc w:val="both"/>
        <w:rPr>
          <w:rFonts w:hint="eastAsia" w:ascii="仿宋" w:eastAsia="仿宋"/>
          <w:spacing w:val="-12"/>
          <w:sz w:val="21"/>
        </w:rPr>
      </w:pPr>
      <w:r>
        <w:rPr>
          <w:rFonts w:hint="eastAsia" w:ascii="仿宋" w:eastAsia="仿宋"/>
          <w:sz w:val="21"/>
        </w:rPr>
        <w:t>计划开工日期：</w:t>
      </w:r>
      <w:r>
        <w:rPr>
          <w:rFonts w:hint="eastAsia" w:ascii="仿宋" w:eastAsia="仿宋"/>
          <w:sz w:val="21"/>
          <w:u w:val="single"/>
        </w:rPr>
        <w:t xml:space="preserve">  </w:t>
      </w:r>
      <w:r>
        <w:rPr>
          <w:rFonts w:hint="eastAsia" w:ascii="仿宋" w:eastAsia="仿宋"/>
          <w:sz w:val="21"/>
          <w:u w:val="single"/>
          <w:lang w:val="en-US" w:eastAsia="zh-CN"/>
        </w:rPr>
        <w:t>2021</w:t>
      </w:r>
      <w:r>
        <w:rPr>
          <w:rFonts w:hint="eastAsia" w:ascii="仿宋" w:eastAsia="仿宋"/>
          <w:spacing w:val="101"/>
          <w:sz w:val="21"/>
          <w:u w:val="single"/>
        </w:rPr>
        <w:t xml:space="preserve"> </w:t>
      </w:r>
      <w:r>
        <w:rPr>
          <w:rFonts w:hint="eastAsia" w:ascii="仿宋" w:eastAsia="仿宋"/>
          <w:sz w:val="21"/>
        </w:rPr>
        <w:t>年</w:t>
      </w:r>
      <w:r>
        <w:rPr>
          <w:rFonts w:hint="eastAsia" w:ascii="仿宋" w:eastAsia="仿宋"/>
          <w:sz w:val="21"/>
          <w:u w:val="single"/>
        </w:rPr>
        <w:t xml:space="preserve">  </w:t>
      </w:r>
      <w:r>
        <w:rPr>
          <w:rFonts w:hint="eastAsia" w:ascii="仿宋" w:eastAsia="仿宋"/>
          <w:sz w:val="21"/>
          <w:u w:val="single"/>
          <w:lang w:val="en-US" w:eastAsia="zh-CN"/>
        </w:rPr>
        <w:t>9</w:t>
      </w:r>
      <w:r>
        <w:rPr>
          <w:rFonts w:hint="eastAsia" w:ascii="仿宋" w:eastAsia="仿宋"/>
          <w:spacing w:val="103"/>
          <w:sz w:val="21"/>
          <w:u w:val="single"/>
        </w:rPr>
        <w:t xml:space="preserve"> </w:t>
      </w:r>
      <w:r>
        <w:rPr>
          <w:rFonts w:hint="eastAsia" w:ascii="仿宋" w:eastAsia="仿宋"/>
          <w:sz w:val="21"/>
        </w:rPr>
        <w:t>月计划竣工日期：</w:t>
      </w:r>
      <w:r>
        <w:rPr>
          <w:rFonts w:hint="eastAsia" w:ascii="仿宋" w:eastAsia="仿宋"/>
          <w:sz w:val="21"/>
          <w:u w:val="single"/>
        </w:rPr>
        <w:t xml:space="preserve">  </w:t>
      </w:r>
      <w:r>
        <w:rPr>
          <w:rFonts w:hint="eastAsia" w:ascii="仿宋" w:eastAsia="仿宋"/>
          <w:sz w:val="21"/>
          <w:u w:val="single"/>
          <w:lang w:val="en-US" w:eastAsia="zh-CN"/>
        </w:rPr>
        <w:t>2021</w:t>
      </w:r>
      <w:r>
        <w:rPr>
          <w:rFonts w:hint="eastAsia" w:ascii="仿宋" w:eastAsia="仿宋"/>
          <w:spacing w:val="101"/>
          <w:sz w:val="21"/>
          <w:u w:val="single"/>
        </w:rPr>
        <w:t xml:space="preserve"> </w:t>
      </w:r>
      <w:r>
        <w:rPr>
          <w:rFonts w:hint="eastAsia" w:ascii="仿宋" w:eastAsia="仿宋"/>
          <w:sz w:val="21"/>
        </w:rPr>
        <w:t>年</w:t>
      </w:r>
      <w:r>
        <w:rPr>
          <w:rFonts w:hint="eastAsia" w:ascii="仿宋" w:eastAsia="仿宋"/>
          <w:sz w:val="21"/>
          <w:u w:val="single"/>
        </w:rPr>
        <w:t xml:space="preserve">  </w:t>
      </w:r>
      <w:r>
        <w:rPr>
          <w:rFonts w:hint="eastAsia" w:ascii="仿宋" w:eastAsia="仿宋"/>
          <w:sz w:val="21"/>
          <w:u w:val="single"/>
          <w:lang w:val="en-US" w:eastAsia="zh-CN"/>
        </w:rPr>
        <w:t>10</w:t>
      </w:r>
      <w:r>
        <w:rPr>
          <w:rFonts w:hint="eastAsia" w:ascii="仿宋" w:eastAsia="仿宋"/>
          <w:sz w:val="21"/>
        </w:rPr>
        <w:t>月</w:t>
      </w:r>
    </w:p>
    <w:p>
      <w:pPr>
        <w:tabs>
          <w:tab w:val="left" w:pos="3500"/>
        </w:tabs>
        <w:spacing w:before="0" w:line="364" w:lineRule="auto"/>
        <w:ind w:left="1189" w:right="5582" w:firstLine="0"/>
        <w:jc w:val="both"/>
        <w:rPr>
          <w:rFonts w:hint="eastAsia" w:ascii="仿宋" w:eastAsia="仿宋"/>
          <w:sz w:val="21"/>
        </w:rPr>
      </w:pPr>
      <w:r>
        <w:rPr>
          <w:rFonts w:hint="eastAsia" w:ascii="仿宋" w:eastAsia="仿宋"/>
          <w:sz w:val="21"/>
        </w:rPr>
        <w:t>工期总日历天数：</w:t>
      </w:r>
      <w:r>
        <w:rPr>
          <w:rFonts w:hint="eastAsia" w:ascii="仿宋" w:eastAsia="仿宋"/>
          <w:sz w:val="21"/>
          <w:u w:val="single"/>
        </w:rPr>
        <w:t xml:space="preserve"> </w:t>
      </w:r>
      <w:r>
        <w:rPr>
          <w:rFonts w:hint="eastAsia" w:ascii="仿宋" w:eastAsia="仿宋"/>
          <w:sz w:val="21"/>
          <w:u w:val="single"/>
          <w:lang w:val="en-US" w:eastAsia="zh-CN"/>
        </w:rPr>
        <w:t>45</w:t>
      </w:r>
      <w:r>
        <w:rPr>
          <w:rFonts w:hint="eastAsia" w:ascii="仿宋" w:eastAsia="仿宋"/>
          <w:sz w:val="21"/>
          <w:u w:val="single"/>
        </w:rPr>
        <w:tab/>
      </w:r>
      <w:r>
        <w:rPr>
          <w:rFonts w:hint="eastAsia" w:ascii="仿宋" w:eastAsia="仿宋"/>
          <w:sz w:val="21"/>
        </w:rPr>
        <w:t>天。</w:t>
      </w:r>
    </w:p>
    <w:p>
      <w:pPr>
        <w:spacing w:before="0" w:line="269" w:lineRule="exact"/>
        <w:ind w:left="1189" w:right="0" w:firstLine="0"/>
        <w:jc w:val="left"/>
        <w:rPr>
          <w:rFonts w:hint="eastAsia" w:ascii="仿宋" w:eastAsia="仿宋"/>
          <w:sz w:val="21"/>
        </w:rPr>
      </w:pPr>
      <w:r>
        <w:rPr>
          <w:rFonts w:hint="eastAsia" w:ascii="仿宋" w:eastAsia="仿宋"/>
          <w:sz w:val="21"/>
        </w:rPr>
        <w:t>具体开竣工日期以开竣工报告为准，工期总日历天数不变。</w:t>
      </w:r>
    </w:p>
    <w:p>
      <w:pPr>
        <w:pStyle w:val="9"/>
        <w:spacing w:before="3"/>
        <w:rPr>
          <w:rFonts w:ascii="仿宋"/>
          <w:sz w:val="20"/>
        </w:rPr>
      </w:pPr>
    </w:p>
    <w:p>
      <w:pPr>
        <w:spacing w:before="0"/>
        <w:ind w:left="731" w:right="0" w:firstLine="0"/>
        <w:jc w:val="left"/>
        <w:rPr>
          <w:rFonts w:hint="eastAsia" w:ascii="黑体" w:eastAsia="黑体"/>
          <w:sz w:val="21"/>
        </w:rPr>
      </w:pPr>
      <w:bookmarkStart w:id="47" w:name="三、质量标准"/>
      <w:bookmarkEnd w:id="47"/>
      <w:r>
        <w:rPr>
          <w:rFonts w:hint="eastAsia" w:ascii="黑体" w:eastAsia="黑体"/>
          <w:sz w:val="21"/>
        </w:rPr>
        <w:t>三、质量标准</w:t>
      </w:r>
    </w:p>
    <w:p>
      <w:pPr>
        <w:pStyle w:val="9"/>
        <w:spacing w:before="2"/>
        <w:rPr>
          <w:rFonts w:ascii="黑体"/>
          <w:sz w:val="20"/>
        </w:rPr>
      </w:pPr>
    </w:p>
    <w:p>
      <w:pPr>
        <w:spacing w:before="1"/>
        <w:ind w:left="1189" w:right="0" w:firstLine="0"/>
        <w:jc w:val="left"/>
        <w:rPr>
          <w:rFonts w:hint="eastAsia" w:ascii="仿宋" w:eastAsia="仿宋"/>
          <w:sz w:val="21"/>
        </w:rPr>
      </w:pPr>
      <w:r>
        <w:rPr>
          <w:rFonts w:hint="eastAsia" w:ascii="仿宋" w:eastAsia="仿宋"/>
          <w:sz w:val="21"/>
        </w:rPr>
        <w:t>工程质量符合</w:t>
      </w:r>
      <w:r>
        <w:rPr>
          <w:rFonts w:hint="eastAsia" w:ascii="仿宋" w:eastAsia="仿宋"/>
          <w:spacing w:val="-5"/>
          <w:sz w:val="21"/>
          <w:u w:val="single"/>
        </w:rPr>
        <w:t xml:space="preserve"> 一次性验收合格率 </w:t>
      </w:r>
      <w:r>
        <w:rPr>
          <w:rFonts w:ascii="Times New Roman" w:eastAsia="Times New Roman"/>
          <w:sz w:val="21"/>
          <w:u w:val="single"/>
        </w:rPr>
        <w:t>100%</w:t>
      </w:r>
      <w:r>
        <w:rPr>
          <w:rFonts w:ascii="Times New Roman" w:eastAsia="Times New Roman"/>
          <w:spacing w:val="51"/>
          <w:sz w:val="21"/>
        </w:rPr>
        <w:t xml:space="preserve"> </w:t>
      </w:r>
      <w:r>
        <w:rPr>
          <w:rFonts w:hint="eastAsia" w:ascii="仿宋" w:eastAsia="仿宋"/>
          <w:sz w:val="21"/>
        </w:rPr>
        <w:t>标准。</w:t>
      </w:r>
    </w:p>
    <w:p>
      <w:pPr>
        <w:pStyle w:val="9"/>
        <w:spacing w:before="2"/>
        <w:rPr>
          <w:rFonts w:ascii="仿宋"/>
          <w:sz w:val="20"/>
        </w:rPr>
      </w:pPr>
    </w:p>
    <w:p>
      <w:pPr>
        <w:spacing w:before="0"/>
        <w:ind w:left="731" w:right="0" w:firstLine="0"/>
        <w:jc w:val="left"/>
        <w:rPr>
          <w:rFonts w:hint="eastAsia" w:ascii="黑体" w:eastAsia="黑体"/>
          <w:sz w:val="21"/>
        </w:rPr>
      </w:pPr>
      <w:bookmarkStart w:id="48" w:name="四、签约合同价与合同价格形式"/>
      <w:bookmarkEnd w:id="48"/>
      <w:r>
        <w:rPr>
          <w:rFonts w:hint="eastAsia" w:ascii="黑体" w:eastAsia="黑体"/>
          <w:sz w:val="21"/>
        </w:rPr>
        <w:t>四、签约合同价与合同价格形式</w:t>
      </w:r>
    </w:p>
    <w:p>
      <w:pPr>
        <w:pStyle w:val="9"/>
        <w:spacing w:before="5"/>
        <w:rPr>
          <w:rFonts w:ascii="黑体"/>
          <w:sz w:val="20"/>
        </w:rPr>
      </w:pPr>
    </w:p>
    <w:p>
      <w:pPr>
        <w:pStyle w:val="13"/>
        <w:numPr>
          <w:ilvl w:val="0"/>
          <w:numId w:val="30"/>
        </w:numPr>
        <w:tabs>
          <w:tab w:val="left" w:pos="1311"/>
        </w:tabs>
        <w:spacing w:before="0" w:after="0" w:line="240" w:lineRule="auto"/>
        <w:ind w:left="1310" w:right="0" w:hanging="160"/>
        <w:jc w:val="left"/>
        <w:rPr>
          <w:rFonts w:ascii="Times New Roman" w:eastAsia="Times New Roman"/>
          <w:sz w:val="21"/>
        </w:rPr>
      </w:pPr>
      <w:r>
        <w:rPr>
          <w:rFonts w:hint="eastAsia" w:ascii="仿宋" w:eastAsia="仿宋"/>
          <w:sz w:val="21"/>
        </w:rPr>
        <w:t>签约合同价为：</w:t>
      </w:r>
      <w:r>
        <w:rPr>
          <w:rFonts w:ascii="Times New Roman" w:eastAsia="Times New Roman"/>
          <w:sz w:val="21"/>
        </w:rPr>
        <w:t>(</w:t>
      </w:r>
      <w:r>
        <w:rPr>
          <w:rFonts w:hint="eastAsia" w:ascii="仿宋" w:eastAsia="仿宋"/>
          <w:sz w:val="21"/>
        </w:rPr>
        <w:t>根据招投标文件填写</w:t>
      </w:r>
      <w:r>
        <w:rPr>
          <w:rFonts w:ascii="Times New Roman" w:eastAsia="Times New Roman"/>
          <w:sz w:val="21"/>
        </w:rPr>
        <w:t>)</w:t>
      </w:r>
    </w:p>
    <w:p>
      <w:pPr>
        <w:tabs>
          <w:tab w:val="left" w:pos="4931"/>
        </w:tabs>
        <w:spacing w:before="139"/>
        <w:ind w:left="1045" w:right="0" w:firstLine="0"/>
        <w:jc w:val="left"/>
        <w:rPr>
          <w:rFonts w:hint="eastAsia" w:ascii="仿宋" w:eastAsia="仿宋"/>
          <w:sz w:val="21"/>
        </w:rPr>
      </w:pPr>
      <w:r>
        <w:rPr>
          <w:rFonts w:hint="eastAsia" w:ascii="仿宋" w:eastAsia="仿宋"/>
          <w:sz w:val="21"/>
        </w:rPr>
        <w:t>共计人民币（大写）</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w:t>
      </w:r>
    </w:p>
    <w:p>
      <w:pPr>
        <w:tabs>
          <w:tab w:val="left" w:pos="3680"/>
        </w:tabs>
        <w:spacing w:before="139" w:line="364" w:lineRule="auto"/>
        <w:ind w:left="1151" w:right="6554" w:firstLine="535"/>
        <w:jc w:val="left"/>
        <w:rPr>
          <w:rFonts w:hint="eastAsia" w:ascii="仿宋" w:hAnsi="仿宋" w:eastAsia="仿宋"/>
          <w:sz w:val="21"/>
        </w:rPr>
      </w:pPr>
      <w:r>
        <w:rPr>
          <w:rFonts w:hint="eastAsia" w:ascii="仿宋" w:hAnsi="仿宋" w:eastAsia="仿宋"/>
          <w:sz w:val="21"/>
        </w:rPr>
        <w:t>（小写）</w:t>
      </w:r>
      <w:r>
        <w:rPr>
          <w:rFonts w:ascii="Times New Roman" w:hAnsi="Times New Roman" w:eastAsia="Times New Roman"/>
          <w:sz w:val="21"/>
        </w:rPr>
        <w:t>¥</w:t>
      </w:r>
      <w:r>
        <w:rPr>
          <w:rFonts w:ascii="Times New Roman" w:hAnsi="Times New Roman" w:eastAsia="Times New Roman"/>
          <w:sz w:val="21"/>
          <w:u w:val="single"/>
        </w:rPr>
        <w:t xml:space="preserve"> </w:t>
      </w:r>
      <w:r>
        <w:rPr>
          <w:rFonts w:ascii="Times New Roman" w:hAnsi="Times New Roman" w:eastAsia="Times New Roman"/>
          <w:sz w:val="21"/>
          <w:u w:val="single"/>
        </w:rPr>
        <w:tab/>
      </w:r>
      <w:r>
        <w:rPr>
          <w:rFonts w:hint="eastAsia" w:ascii="仿宋" w:hAnsi="仿宋" w:eastAsia="仿宋"/>
          <w:spacing w:val="-17"/>
          <w:sz w:val="21"/>
        </w:rPr>
        <w:t>元</w:t>
      </w:r>
      <w:r>
        <w:rPr>
          <w:rFonts w:hint="eastAsia" w:ascii="仿宋" w:hAnsi="仿宋" w:eastAsia="仿宋"/>
          <w:sz w:val="21"/>
        </w:rPr>
        <w:t>其中：</w:t>
      </w:r>
    </w:p>
    <w:p>
      <w:pPr>
        <w:pStyle w:val="13"/>
        <w:numPr>
          <w:ilvl w:val="0"/>
          <w:numId w:val="31"/>
        </w:numPr>
        <w:tabs>
          <w:tab w:val="left" w:pos="1676"/>
        </w:tabs>
        <w:spacing w:before="1" w:after="0" w:line="240" w:lineRule="auto"/>
        <w:ind w:left="1675" w:right="0" w:hanging="525"/>
        <w:jc w:val="left"/>
        <w:rPr>
          <w:rFonts w:hint="eastAsia" w:ascii="仿宋" w:eastAsia="仿宋"/>
          <w:sz w:val="21"/>
        </w:rPr>
      </w:pPr>
      <w:r>
        <w:rPr>
          <w:rFonts w:hint="eastAsia" w:ascii="仿宋" w:eastAsia="仿宋"/>
          <w:sz w:val="21"/>
        </w:rPr>
        <w:t>总价措施费（不含安全文明施工费）：</w:t>
      </w:r>
    </w:p>
    <w:p>
      <w:pPr>
        <w:tabs>
          <w:tab w:val="left" w:pos="4196"/>
          <w:tab w:val="left" w:pos="5665"/>
        </w:tabs>
        <w:spacing w:before="139"/>
        <w:ind w:left="1151" w:right="0" w:firstLine="0"/>
        <w:jc w:val="left"/>
        <w:rPr>
          <w:rFonts w:hint="eastAsia" w:ascii="仿宋" w:hAnsi="仿宋" w:eastAsia="仿宋"/>
          <w:sz w:val="21"/>
        </w:rPr>
      </w:pPr>
      <w:r>
        <w:rPr>
          <w:rFonts w:hint="eastAsia" w:ascii="仿宋" w:hAnsi="仿宋" w:eastAsia="仿宋"/>
          <w:sz w:val="21"/>
        </w:rPr>
        <w:t>人民币（大写）</w:t>
      </w:r>
      <w:r>
        <w:rPr>
          <w:rFonts w:hint="eastAsia" w:ascii="仿宋" w:hAnsi="仿宋" w:eastAsia="仿宋"/>
          <w:sz w:val="21"/>
          <w:u w:val="single"/>
        </w:rPr>
        <w:t xml:space="preserve"> </w:t>
      </w:r>
      <w:r>
        <w:rPr>
          <w:rFonts w:hint="eastAsia" w:ascii="仿宋" w:hAnsi="仿宋" w:eastAsia="仿宋"/>
          <w:sz w:val="21"/>
          <w:u w:val="single"/>
        </w:rPr>
        <w:tab/>
      </w:r>
      <w:r>
        <w:rPr>
          <w:rFonts w:hint="eastAsia" w:ascii="仿宋" w:hAnsi="仿宋" w:eastAsia="仿宋"/>
          <w:sz w:val="21"/>
        </w:rPr>
        <w:t>；（</w:t>
      </w:r>
      <w:r>
        <w:rPr>
          <w:rFonts w:ascii="Times New Roman" w:hAnsi="Times New Roman" w:eastAsia="Times New Roman"/>
          <w:sz w:val="21"/>
        </w:rPr>
        <w:t>¥</w:t>
      </w:r>
      <w:r>
        <w:rPr>
          <w:rFonts w:ascii="Times New Roman" w:hAnsi="Times New Roman" w:eastAsia="Times New Roman"/>
          <w:sz w:val="21"/>
          <w:u w:val="single"/>
        </w:rPr>
        <w:t xml:space="preserve"> </w:t>
      </w:r>
      <w:r>
        <w:rPr>
          <w:rFonts w:ascii="Times New Roman" w:hAnsi="Times New Roman" w:eastAsia="Times New Roman"/>
          <w:sz w:val="21"/>
          <w:u w:val="single"/>
        </w:rPr>
        <w:tab/>
      </w:r>
      <w:r>
        <w:rPr>
          <w:rFonts w:hint="eastAsia" w:ascii="仿宋" w:hAnsi="仿宋" w:eastAsia="仿宋"/>
          <w:sz w:val="21"/>
        </w:rPr>
        <w:t>元</w:t>
      </w:r>
      <w:r>
        <w:rPr>
          <w:rFonts w:ascii="Times New Roman" w:hAnsi="Times New Roman" w:eastAsia="Times New Roman"/>
          <w:sz w:val="21"/>
        </w:rPr>
        <w:t>)</w:t>
      </w:r>
      <w:r>
        <w:rPr>
          <w:rFonts w:hint="eastAsia" w:ascii="仿宋" w:hAnsi="仿宋" w:eastAsia="仿宋"/>
          <w:sz w:val="21"/>
        </w:rPr>
        <w:t>；</w:t>
      </w:r>
    </w:p>
    <w:p>
      <w:pPr>
        <w:pStyle w:val="13"/>
        <w:numPr>
          <w:ilvl w:val="0"/>
          <w:numId w:val="31"/>
        </w:numPr>
        <w:tabs>
          <w:tab w:val="left" w:pos="1676"/>
        </w:tabs>
        <w:spacing w:before="2" w:after="0" w:line="240" w:lineRule="auto"/>
        <w:ind w:left="1675" w:right="0" w:hanging="525"/>
        <w:jc w:val="left"/>
        <w:rPr>
          <w:rFonts w:hint="eastAsia" w:ascii="仿宋" w:eastAsia="仿宋"/>
          <w:sz w:val="21"/>
        </w:rPr>
      </w:pPr>
      <w:r>
        <w:rPr>
          <w:rFonts w:hint="eastAsia" w:ascii="仿宋" w:eastAsia="仿宋"/>
          <w:sz w:val="21"/>
        </w:rPr>
        <w:t>安全文明施工费：</w:t>
      </w:r>
    </w:p>
    <w:p>
      <w:pPr>
        <w:tabs>
          <w:tab w:val="left" w:pos="3879"/>
          <w:tab w:val="left" w:pos="5523"/>
        </w:tabs>
        <w:spacing w:before="139"/>
        <w:ind w:left="1151" w:right="0" w:firstLine="0"/>
        <w:jc w:val="left"/>
        <w:rPr>
          <w:rFonts w:hint="eastAsia" w:ascii="仿宋" w:hAnsi="仿宋" w:eastAsia="仿宋"/>
          <w:sz w:val="21"/>
        </w:rPr>
      </w:pPr>
      <w:r>
        <w:rPr>
          <w:rFonts w:hint="eastAsia" w:ascii="仿宋" w:hAnsi="仿宋" w:eastAsia="仿宋"/>
          <w:sz w:val="21"/>
        </w:rPr>
        <w:t>人民币（大写）</w:t>
      </w:r>
      <w:r>
        <w:rPr>
          <w:rFonts w:hint="eastAsia" w:ascii="仿宋" w:hAnsi="仿宋" w:eastAsia="仿宋"/>
          <w:sz w:val="21"/>
          <w:u w:val="single"/>
        </w:rPr>
        <w:t xml:space="preserve"> </w:t>
      </w:r>
      <w:r>
        <w:rPr>
          <w:rFonts w:hint="eastAsia" w:ascii="仿宋" w:hAnsi="仿宋" w:eastAsia="仿宋"/>
          <w:sz w:val="21"/>
          <w:u w:val="single"/>
        </w:rPr>
        <w:tab/>
      </w:r>
      <w:r>
        <w:rPr>
          <w:rFonts w:hint="eastAsia" w:ascii="仿宋" w:hAnsi="仿宋" w:eastAsia="仿宋"/>
          <w:sz w:val="21"/>
        </w:rPr>
        <w:t>；</w:t>
      </w:r>
      <w:r>
        <w:rPr>
          <w:rFonts w:hint="eastAsia" w:ascii="仿宋" w:hAnsi="仿宋" w:eastAsia="仿宋"/>
          <w:spacing w:val="-1"/>
          <w:sz w:val="21"/>
        </w:rPr>
        <w:t xml:space="preserve"> </w:t>
      </w:r>
      <w:r>
        <w:rPr>
          <w:rFonts w:ascii="Times New Roman" w:hAnsi="Times New Roman" w:eastAsia="Times New Roman"/>
          <w:sz w:val="21"/>
        </w:rPr>
        <w:t>(¥</w:t>
      </w:r>
      <w:r>
        <w:rPr>
          <w:rFonts w:ascii="Times New Roman" w:hAnsi="Times New Roman" w:eastAsia="Times New Roman"/>
          <w:sz w:val="21"/>
          <w:u w:val="single"/>
        </w:rPr>
        <w:t xml:space="preserve"> </w:t>
      </w:r>
      <w:r>
        <w:rPr>
          <w:rFonts w:ascii="Times New Roman" w:hAnsi="Times New Roman" w:eastAsia="Times New Roman"/>
          <w:sz w:val="21"/>
          <w:u w:val="single"/>
        </w:rPr>
        <w:tab/>
      </w:r>
      <w:r>
        <w:rPr>
          <w:rFonts w:hint="eastAsia" w:ascii="仿宋" w:hAnsi="仿宋" w:eastAsia="仿宋"/>
          <w:sz w:val="21"/>
        </w:rPr>
        <w:t>元</w:t>
      </w:r>
      <w:r>
        <w:rPr>
          <w:rFonts w:ascii="Times New Roman" w:hAnsi="Times New Roman" w:eastAsia="Times New Roman"/>
          <w:sz w:val="21"/>
        </w:rPr>
        <w:t>)</w:t>
      </w:r>
      <w:r>
        <w:rPr>
          <w:rFonts w:hint="eastAsia" w:ascii="仿宋" w:hAnsi="仿宋" w:eastAsia="仿宋"/>
          <w:sz w:val="21"/>
        </w:rPr>
        <w:t>；</w:t>
      </w:r>
    </w:p>
    <w:p>
      <w:pPr>
        <w:pStyle w:val="13"/>
        <w:numPr>
          <w:ilvl w:val="0"/>
          <w:numId w:val="31"/>
        </w:numPr>
        <w:tabs>
          <w:tab w:val="left" w:pos="1676"/>
        </w:tabs>
        <w:spacing w:before="141" w:after="0" w:line="240" w:lineRule="auto"/>
        <w:ind w:left="1675" w:right="0" w:hanging="525"/>
        <w:jc w:val="left"/>
        <w:rPr>
          <w:rFonts w:hint="eastAsia" w:ascii="仿宋" w:eastAsia="仿宋"/>
          <w:sz w:val="21"/>
        </w:rPr>
      </w:pPr>
      <w:r>
        <w:rPr>
          <w:rFonts w:hint="eastAsia" w:ascii="仿宋" w:eastAsia="仿宋"/>
          <w:sz w:val="21"/>
        </w:rPr>
        <w:t>单价措施费：</w:t>
      </w:r>
    </w:p>
    <w:p>
      <w:pPr>
        <w:tabs>
          <w:tab w:val="left" w:pos="3985"/>
          <w:tab w:val="left" w:pos="5559"/>
        </w:tabs>
        <w:spacing w:before="139"/>
        <w:ind w:left="1151" w:right="0" w:firstLine="0"/>
        <w:jc w:val="left"/>
        <w:rPr>
          <w:rFonts w:hint="eastAsia" w:ascii="仿宋" w:hAnsi="仿宋" w:eastAsia="仿宋"/>
          <w:sz w:val="21"/>
        </w:rPr>
      </w:pPr>
      <w:r>
        <w:rPr>
          <w:rFonts w:hint="eastAsia" w:ascii="仿宋" w:hAnsi="仿宋" w:eastAsia="仿宋"/>
          <w:sz w:val="21"/>
        </w:rPr>
        <w:t>人民币（大写）</w:t>
      </w:r>
      <w:r>
        <w:rPr>
          <w:rFonts w:hint="eastAsia" w:ascii="仿宋" w:hAnsi="仿宋" w:eastAsia="仿宋"/>
          <w:sz w:val="21"/>
          <w:u w:val="single"/>
        </w:rPr>
        <w:t xml:space="preserve"> </w:t>
      </w:r>
      <w:r>
        <w:rPr>
          <w:rFonts w:hint="eastAsia" w:ascii="仿宋" w:hAnsi="仿宋" w:eastAsia="仿宋"/>
          <w:sz w:val="21"/>
          <w:u w:val="single"/>
        </w:rPr>
        <w:tab/>
      </w:r>
      <w:r>
        <w:rPr>
          <w:rFonts w:hint="eastAsia" w:ascii="仿宋" w:hAnsi="仿宋" w:eastAsia="仿宋"/>
          <w:sz w:val="21"/>
        </w:rPr>
        <w:t>；（</w:t>
      </w:r>
      <w:r>
        <w:rPr>
          <w:rFonts w:ascii="Times New Roman" w:hAnsi="Times New Roman" w:eastAsia="Times New Roman"/>
          <w:sz w:val="21"/>
        </w:rPr>
        <w:t>¥</w:t>
      </w:r>
      <w:r>
        <w:rPr>
          <w:rFonts w:ascii="Times New Roman" w:hAnsi="Times New Roman" w:eastAsia="Times New Roman"/>
          <w:sz w:val="21"/>
          <w:u w:val="single"/>
        </w:rPr>
        <w:t xml:space="preserve"> </w:t>
      </w:r>
      <w:r>
        <w:rPr>
          <w:rFonts w:ascii="Times New Roman" w:hAnsi="Times New Roman" w:eastAsia="Times New Roman"/>
          <w:sz w:val="21"/>
          <w:u w:val="single"/>
        </w:rPr>
        <w:tab/>
      </w:r>
      <w:r>
        <w:rPr>
          <w:rFonts w:hint="eastAsia" w:ascii="仿宋" w:hAnsi="仿宋" w:eastAsia="仿宋"/>
          <w:sz w:val="21"/>
        </w:rPr>
        <w:t>元）；</w:t>
      </w:r>
    </w:p>
    <w:p>
      <w:pPr>
        <w:pStyle w:val="13"/>
        <w:numPr>
          <w:ilvl w:val="0"/>
          <w:numId w:val="31"/>
        </w:numPr>
        <w:tabs>
          <w:tab w:val="left" w:pos="1676"/>
        </w:tabs>
        <w:spacing w:before="139" w:after="0" w:line="240" w:lineRule="auto"/>
        <w:ind w:left="1675" w:right="0" w:hanging="525"/>
        <w:jc w:val="left"/>
        <w:rPr>
          <w:rFonts w:hint="eastAsia" w:ascii="仿宋" w:hAnsi="仿宋" w:eastAsia="仿宋"/>
          <w:sz w:val="21"/>
        </w:rPr>
      </w:pPr>
      <w:r>
        <w:rPr>
          <w:rFonts w:hint="eastAsia" w:ascii="仿宋" w:eastAsia="仿宋"/>
          <w:sz w:val="21"/>
        </w:rPr>
        <w:t>暂列金额</w:t>
      </w:r>
      <w:r>
        <w:rPr>
          <w:rFonts w:hint="eastAsia" w:ascii="仿宋" w:hAnsi="仿宋" w:eastAsia="仿宋"/>
          <w:sz w:val="21"/>
        </w:rPr>
        <w:t>人民币（大写）</w:t>
      </w:r>
      <w:r>
        <w:rPr>
          <w:rFonts w:hint="eastAsia" w:ascii="仿宋" w:hAnsi="仿宋" w:eastAsia="仿宋"/>
          <w:sz w:val="21"/>
          <w:u w:val="single"/>
        </w:rPr>
        <w:t xml:space="preserve"> </w:t>
      </w:r>
      <w:r>
        <w:rPr>
          <w:rFonts w:hint="eastAsia" w:ascii="仿宋" w:hAnsi="仿宋" w:eastAsia="仿宋"/>
          <w:sz w:val="21"/>
          <w:u w:val="single"/>
        </w:rPr>
        <w:tab/>
      </w:r>
      <w:r>
        <w:rPr>
          <w:rFonts w:hint="eastAsia" w:ascii="仿宋" w:hAnsi="仿宋" w:eastAsia="仿宋"/>
          <w:sz w:val="21"/>
        </w:rPr>
        <w:t>；（</w:t>
      </w:r>
      <w:r>
        <w:rPr>
          <w:rFonts w:ascii="Times New Roman" w:hAnsi="Times New Roman" w:eastAsia="Times New Roman"/>
          <w:sz w:val="21"/>
        </w:rPr>
        <w:t>¥</w:t>
      </w:r>
      <w:r>
        <w:rPr>
          <w:rFonts w:ascii="Times New Roman" w:hAnsi="Times New Roman" w:eastAsia="Times New Roman"/>
          <w:sz w:val="21"/>
          <w:u w:val="single"/>
        </w:rPr>
        <w:t xml:space="preserve"> </w:t>
      </w:r>
      <w:r>
        <w:rPr>
          <w:rFonts w:ascii="Times New Roman" w:hAnsi="Times New Roman" w:eastAsia="Times New Roman"/>
          <w:sz w:val="21"/>
          <w:u w:val="single"/>
        </w:rPr>
        <w:tab/>
      </w:r>
      <w:r>
        <w:rPr>
          <w:rFonts w:hint="eastAsia" w:ascii="仿宋" w:hAnsi="仿宋" w:eastAsia="仿宋"/>
          <w:sz w:val="21"/>
        </w:rPr>
        <w:t>元</w:t>
      </w:r>
      <w:r>
        <w:rPr>
          <w:rFonts w:ascii="Times New Roman" w:hAnsi="Times New Roman" w:eastAsia="Times New Roman"/>
          <w:sz w:val="21"/>
        </w:rPr>
        <w:t>)</w:t>
      </w:r>
      <w:r>
        <w:rPr>
          <w:rFonts w:hint="eastAsia" w:ascii="仿宋" w:hAnsi="仿宋" w:eastAsia="仿宋"/>
          <w:sz w:val="21"/>
        </w:rPr>
        <w:t>；</w:t>
      </w:r>
    </w:p>
    <w:p>
      <w:pPr>
        <w:pStyle w:val="13"/>
        <w:numPr>
          <w:ilvl w:val="0"/>
          <w:numId w:val="30"/>
        </w:numPr>
        <w:tabs>
          <w:tab w:val="left" w:pos="1311"/>
        </w:tabs>
        <w:spacing w:before="139" w:after="0" w:line="240" w:lineRule="auto"/>
        <w:ind w:left="1310" w:right="0" w:hanging="160"/>
        <w:jc w:val="left"/>
        <w:rPr>
          <w:rFonts w:hint="eastAsia" w:ascii="仿宋" w:eastAsia="仿宋"/>
          <w:sz w:val="21"/>
        </w:rPr>
      </w:pPr>
      <w:r>
        <w:rPr>
          <w:rFonts w:hint="eastAsia" w:ascii="仿宋" w:eastAsia="仿宋"/>
          <w:sz w:val="21"/>
        </w:rPr>
        <w:t>合同价格形式：</w:t>
      </w:r>
      <w:r>
        <w:rPr>
          <w:rFonts w:hint="eastAsia" w:ascii="仿宋" w:eastAsia="仿宋"/>
          <w:sz w:val="21"/>
          <w:u w:val="single"/>
        </w:rPr>
        <w:t>固定单价合同</w:t>
      </w:r>
      <w:r>
        <w:rPr>
          <w:rFonts w:hint="eastAsia" w:ascii="仿宋" w:eastAsia="仿宋"/>
          <w:sz w:val="21"/>
        </w:rPr>
        <w:t>。</w:t>
      </w:r>
    </w:p>
    <w:p>
      <w:pPr>
        <w:pStyle w:val="9"/>
        <w:spacing w:before="5"/>
        <w:rPr>
          <w:rFonts w:ascii="仿宋"/>
          <w:sz w:val="20"/>
        </w:rPr>
      </w:pPr>
    </w:p>
    <w:p>
      <w:pPr>
        <w:spacing w:before="0"/>
        <w:ind w:left="731" w:right="0" w:firstLine="0"/>
        <w:jc w:val="left"/>
        <w:rPr>
          <w:rFonts w:hint="eastAsia" w:ascii="黑体" w:eastAsia="黑体"/>
          <w:sz w:val="21"/>
        </w:rPr>
      </w:pPr>
      <w:bookmarkStart w:id="49" w:name="五、项目经理"/>
      <w:bookmarkEnd w:id="49"/>
      <w:r>
        <w:rPr>
          <w:rFonts w:hint="eastAsia" w:ascii="黑体" w:eastAsia="黑体"/>
          <w:sz w:val="21"/>
        </w:rPr>
        <w:t>五、项目经理</w:t>
      </w:r>
    </w:p>
    <w:p>
      <w:pPr>
        <w:pStyle w:val="9"/>
        <w:spacing w:before="2"/>
        <w:rPr>
          <w:rFonts w:ascii="黑体"/>
          <w:sz w:val="20"/>
        </w:rPr>
      </w:pPr>
    </w:p>
    <w:p>
      <w:pPr>
        <w:tabs>
          <w:tab w:val="left" w:pos="3776"/>
        </w:tabs>
        <w:spacing w:before="0"/>
        <w:ind w:left="1151" w:right="0" w:firstLine="0"/>
        <w:jc w:val="left"/>
        <w:rPr>
          <w:rFonts w:hint="eastAsia" w:ascii="仿宋" w:eastAsia="仿宋"/>
          <w:sz w:val="21"/>
        </w:rPr>
      </w:pPr>
      <w:r>
        <w:rPr>
          <w:rFonts w:hint="eastAsia" w:ascii="仿宋" w:eastAsia="仿宋"/>
          <w:sz w:val="21"/>
        </w:rPr>
        <w:t>承包人项目经理：</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w:t>
      </w:r>
    </w:p>
    <w:p>
      <w:pPr>
        <w:pStyle w:val="9"/>
        <w:spacing w:before="3"/>
        <w:rPr>
          <w:rFonts w:ascii="仿宋"/>
          <w:sz w:val="20"/>
        </w:rPr>
      </w:pPr>
    </w:p>
    <w:p>
      <w:pPr>
        <w:spacing w:before="0"/>
        <w:ind w:left="731" w:right="0" w:firstLine="0"/>
        <w:jc w:val="left"/>
        <w:rPr>
          <w:rFonts w:hint="eastAsia" w:ascii="黑体" w:eastAsia="黑体"/>
          <w:sz w:val="21"/>
        </w:rPr>
      </w:pPr>
      <w:bookmarkStart w:id="50" w:name="六、合同文件构成"/>
      <w:bookmarkEnd w:id="50"/>
      <w:r>
        <w:rPr>
          <w:rFonts w:hint="eastAsia" w:ascii="黑体" w:eastAsia="黑体"/>
          <w:sz w:val="21"/>
        </w:rPr>
        <w:t>六、合同文件构成</w:t>
      </w:r>
    </w:p>
    <w:p>
      <w:pPr>
        <w:pStyle w:val="9"/>
        <w:spacing w:before="3"/>
        <w:rPr>
          <w:rFonts w:ascii="黑体"/>
          <w:sz w:val="20"/>
        </w:rPr>
      </w:pPr>
    </w:p>
    <w:p>
      <w:pPr>
        <w:spacing w:before="0"/>
        <w:ind w:left="1151" w:right="0" w:firstLine="0"/>
        <w:jc w:val="left"/>
        <w:rPr>
          <w:rFonts w:hint="eastAsia" w:ascii="仿宋" w:eastAsia="仿宋"/>
          <w:sz w:val="21"/>
        </w:rPr>
      </w:pPr>
      <w:r>
        <w:rPr>
          <w:rFonts w:hint="eastAsia" w:ascii="仿宋" w:eastAsia="仿宋"/>
          <w:sz w:val="21"/>
        </w:rPr>
        <w:t>本协议书与下列文件一起构成本合同文件的组成部分：</w:t>
      </w:r>
    </w:p>
    <w:p>
      <w:pPr>
        <w:pStyle w:val="13"/>
        <w:numPr>
          <w:ilvl w:val="0"/>
          <w:numId w:val="32"/>
        </w:numPr>
        <w:tabs>
          <w:tab w:val="left" w:pos="1676"/>
        </w:tabs>
        <w:spacing w:before="141" w:after="0" w:line="240" w:lineRule="auto"/>
        <w:ind w:left="1675" w:right="0" w:hanging="525"/>
        <w:jc w:val="left"/>
        <w:rPr>
          <w:rFonts w:hint="eastAsia" w:ascii="仿宋" w:eastAsia="仿宋"/>
          <w:sz w:val="21"/>
        </w:rPr>
      </w:pPr>
      <w:r>
        <w:rPr>
          <w:rFonts w:hint="eastAsia" w:ascii="仿宋" w:eastAsia="仿宋"/>
          <w:sz w:val="21"/>
        </w:rPr>
        <w:t>本合同签订后双方签订的补充协议等文件；</w:t>
      </w:r>
    </w:p>
    <w:p>
      <w:pPr>
        <w:pStyle w:val="13"/>
        <w:numPr>
          <w:ilvl w:val="0"/>
          <w:numId w:val="32"/>
        </w:numPr>
        <w:tabs>
          <w:tab w:val="left" w:pos="1676"/>
        </w:tabs>
        <w:spacing w:before="139" w:after="0" w:line="240" w:lineRule="auto"/>
        <w:ind w:left="1675" w:right="0" w:hanging="525"/>
        <w:jc w:val="left"/>
        <w:rPr>
          <w:rFonts w:hint="eastAsia" w:ascii="仿宋" w:eastAsia="仿宋"/>
          <w:sz w:val="21"/>
        </w:rPr>
      </w:pPr>
      <w:r>
        <w:rPr>
          <w:rFonts w:hint="eastAsia" w:ascii="仿宋" w:eastAsia="仿宋"/>
          <w:sz w:val="21"/>
        </w:rPr>
        <w:t>本合同协议书；</w:t>
      </w:r>
    </w:p>
    <w:p>
      <w:pPr>
        <w:pStyle w:val="13"/>
        <w:numPr>
          <w:ilvl w:val="0"/>
          <w:numId w:val="32"/>
        </w:numPr>
        <w:tabs>
          <w:tab w:val="left" w:pos="1676"/>
        </w:tabs>
        <w:spacing w:before="139" w:after="0" w:line="240" w:lineRule="auto"/>
        <w:ind w:left="1675" w:right="0" w:hanging="525"/>
        <w:jc w:val="left"/>
        <w:rPr>
          <w:rFonts w:hint="eastAsia" w:ascii="仿宋" w:eastAsia="仿宋"/>
          <w:sz w:val="21"/>
        </w:rPr>
      </w:pPr>
      <w:r>
        <w:rPr>
          <w:rFonts w:hint="eastAsia" w:ascii="仿宋" w:eastAsia="仿宋"/>
          <w:sz w:val="21"/>
        </w:rPr>
        <w:t>本合同专用条款；</w:t>
      </w:r>
    </w:p>
    <w:p>
      <w:pPr>
        <w:pStyle w:val="13"/>
        <w:numPr>
          <w:ilvl w:val="0"/>
          <w:numId w:val="32"/>
        </w:numPr>
        <w:tabs>
          <w:tab w:val="left" w:pos="1676"/>
        </w:tabs>
        <w:spacing w:before="139" w:after="0" w:line="240" w:lineRule="auto"/>
        <w:ind w:left="1675" w:right="0" w:hanging="525"/>
        <w:jc w:val="left"/>
        <w:rPr>
          <w:rFonts w:hint="eastAsia" w:ascii="仿宋" w:eastAsia="仿宋"/>
          <w:sz w:val="21"/>
        </w:rPr>
      </w:pPr>
      <w:r>
        <w:rPr>
          <w:rFonts w:hint="eastAsia" w:ascii="仿宋" w:eastAsia="仿宋"/>
          <w:sz w:val="21"/>
        </w:rPr>
        <w:t>中标通知书、询标回复与有关承诺；</w:t>
      </w:r>
    </w:p>
    <w:p>
      <w:pPr>
        <w:pStyle w:val="13"/>
        <w:numPr>
          <w:ilvl w:val="0"/>
          <w:numId w:val="32"/>
        </w:numPr>
        <w:tabs>
          <w:tab w:val="left" w:pos="1676"/>
        </w:tabs>
        <w:spacing w:before="139" w:after="0" w:line="240" w:lineRule="auto"/>
        <w:ind w:left="1675" w:right="0" w:hanging="525"/>
        <w:jc w:val="left"/>
        <w:rPr>
          <w:rFonts w:hint="eastAsia" w:ascii="仿宋" w:eastAsia="仿宋"/>
          <w:sz w:val="21"/>
        </w:rPr>
      </w:pPr>
      <w:r>
        <w:rPr>
          <w:rFonts w:hint="eastAsia" w:ascii="仿宋" w:eastAsia="仿宋"/>
          <w:sz w:val="21"/>
        </w:rPr>
        <w:t>投标函及其附录、已标价工程量清单；</w:t>
      </w:r>
    </w:p>
    <w:p>
      <w:pPr>
        <w:pStyle w:val="13"/>
        <w:numPr>
          <w:ilvl w:val="0"/>
          <w:numId w:val="32"/>
        </w:numPr>
        <w:tabs>
          <w:tab w:val="left" w:pos="1676"/>
        </w:tabs>
        <w:spacing w:before="139" w:after="0" w:line="240" w:lineRule="auto"/>
        <w:ind w:left="1675" w:right="0" w:hanging="525"/>
        <w:jc w:val="left"/>
        <w:rPr>
          <w:rFonts w:hint="eastAsia" w:ascii="仿宋" w:eastAsia="仿宋"/>
          <w:sz w:val="21"/>
        </w:rPr>
      </w:pPr>
      <w:r>
        <w:rPr>
          <w:rFonts w:hint="eastAsia" w:ascii="仿宋" w:eastAsia="仿宋"/>
          <w:sz w:val="21"/>
        </w:rPr>
        <w:t>招标文件（包括投标人须知及工程量清单说明）；</w:t>
      </w:r>
    </w:p>
    <w:p>
      <w:pPr>
        <w:pStyle w:val="13"/>
        <w:numPr>
          <w:ilvl w:val="0"/>
          <w:numId w:val="32"/>
        </w:numPr>
        <w:tabs>
          <w:tab w:val="left" w:pos="1676"/>
        </w:tabs>
        <w:spacing w:before="141" w:after="0" w:line="240" w:lineRule="auto"/>
        <w:ind w:left="1675" w:right="0" w:hanging="525"/>
        <w:jc w:val="left"/>
        <w:rPr>
          <w:rFonts w:hint="eastAsia" w:ascii="仿宋" w:eastAsia="仿宋"/>
          <w:sz w:val="21"/>
        </w:rPr>
      </w:pPr>
      <w:r>
        <w:rPr>
          <w:rFonts w:hint="eastAsia" w:ascii="仿宋" w:eastAsia="仿宋"/>
          <w:sz w:val="21"/>
        </w:rPr>
        <w:t>本合同通用条款；</w:t>
      </w:r>
    </w:p>
    <w:p>
      <w:pPr>
        <w:pStyle w:val="13"/>
        <w:numPr>
          <w:ilvl w:val="0"/>
          <w:numId w:val="32"/>
        </w:numPr>
        <w:tabs>
          <w:tab w:val="left" w:pos="1676"/>
        </w:tabs>
        <w:spacing w:before="139" w:after="0" w:line="240" w:lineRule="auto"/>
        <w:ind w:left="1675" w:right="0" w:hanging="525"/>
        <w:jc w:val="left"/>
        <w:rPr>
          <w:rFonts w:hint="eastAsia" w:ascii="仿宋" w:eastAsia="仿宋"/>
          <w:sz w:val="21"/>
        </w:rPr>
      </w:pPr>
      <w:r>
        <w:rPr>
          <w:rFonts w:hint="eastAsia" w:ascii="仿宋" w:eastAsia="仿宋"/>
          <w:sz w:val="21"/>
        </w:rPr>
        <w:t>上海市及国家现行相关工程标准、规范及技术文件等；</w:t>
      </w:r>
    </w:p>
    <w:p>
      <w:pPr>
        <w:pStyle w:val="13"/>
        <w:numPr>
          <w:ilvl w:val="0"/>
          <w:numId w:val="32"/>
        </w:numPr>
        <w:tabs>
          <w:tab w:val="left" w:pos="1676"/>
        </w:tabs>
        <w:spacing w:before="139" w:after="0" w:line="240" w:lineRule="auto"/>
        <w:ind w:left="1675" w:right="0" w:hanging="525"/>
        <w:jc w:val="left"/>
        <w:rPr>
          <w:rFonts w:hint="eastAsia" w:ascii="仿宋" w:eastAsia="仿宋"/>
          <w:sz w:val="21"/>
        </w:rPr>
      </w:pPr>
      <w:r>
        <w:rPr>
          <w:rFonts w:hint="eastAsia" w:ascii="仿宋" w:eastAsia="仿宋"/>
          <w:sz w:val="21"/>
        </w:rPr>
        <w:t>图纸及有关技术文件；</w:t>
      </w:r>
    </w:p>
    <w:p>
      <w:pPr>
        <w:pStyle w:val="13"/>
        <w:numPr>
          <w:ilvl w:val="0"/>
          <w:numId w:val="32"/>
        </w:numPr>
        <w:tabs>
          <w:tab w:val="left" w:pos="1782"/>
        </w:tabs>
        <w:spacing w:before="139" w:after="0" w:line="240" w:lineRule="auto"/>
        <w:ind w:left="1781" w:right="0" w:hanging="631"/>
        <w:jc w:val="left"/>
        <w:rPr>
          <w:rFonts w:hint="eastAsia" w:ascii="仿宋" w:eastAsia="仿宋"/>
          <w:sz w:val="21"/>
        </w:rPr>
      </w:pPr>
      <w:r>
        <w:rPr>
          <w:rFonts w:hint="eastAsia" w:ascii="仿宋" w:eastAsia="仿宋"/>
          <w:sz w:val="21"/>
        </w:rPr>
        <w:t>经批准实施的施工组织设计文件；</w:t>
      </w:r>
    </w:p>
    <w:p>
      <w:pPr>
        <w:spacing w:before="141"/>
        <w:ind w:left="1151" w:right="0" w:firstLine="0"/>
        <w:jc w:val="left"/>
        <w:rPr>
          <w:rFonts w:hint="eastAsia" w:ascii="仿宋" w:eastAsia="仿宋"/>
          <w:sz w:val="21"/>
        </w:rPr>
      </w:pPr>
      <w:r>
        <w:rPr>
          <w:rFonts w:hint="eastAsia" w:ascii="仿宋" w:eastAsia="仿宋"/>
          <w:sz w:val="21"/>
        </w:rPr>
        <w:t>在合同订立及履行过程中形成的与合同有关的文件均构成合同文件组成部分。</w:t>
      </w:r>
    </w:p>
    <w:p>
      <w:pPr>
        <w:spacing w:before="139" w:line="364" w:lineRule="auto"/>
        <w:ind w:left="731" w:right="895" w:firstLine="420"/>
        <w:jc w:val="both"/>
        <w:rPr>
          <w:rFonts w:hint="eastAsia" w:ascii="仿宋" w:eastAsia="仿宋"/>
          <w:sz w:val="21"/>
        </w:rPr>
      </w:pPr>
      <w:r>
        <w:rPr>
          <w:rFonts w:hint="eastAsia" w:ascii="仿宋" w:eastAsia="仿宋"/>
          <w:w w:val="95"/>
          <w:sz w:val="21"/>
        </w:rPr>
        <w:t xml:space="preserve">上述各项合同文件包括合同双方当事人或有权代表就该项合同文件所做出的补充和修改，属   于同一类内容的文件，应以最新签署的为准。专用合同条款及其附件须经合同双方当事人或有权   </w:t>
      </w:r>
      <w:r>
        <w:rPr>
          <w:rFonts w:hint="eastAsia" w:ascii="仿宋" w:eastAsia="仿宋"/>
          <w:sz w:val="21"/>
        </w:rPr>
        <w:t>代表签字并盖章后生效。</w:t>
      </w:r>
    </w:p>
    <w:p>
      <w:pPr>
        <w:spacing w:before="117"/>
        <w:ind w:left="731" w:right="0" w:firstLine="0"/>
        <w:jc w:val="left"/>
        <w:rPr>
          <w:rFonts w:hint="eastAsia" w:ascii="黑体" w:eastAsia="黑体"/>
          <w:sz w:val="21"/>
        </w:rPr>
      </w:pPr>
      <w:bookmarkStart w:id="51" w:name="七、承诺"/>
      <w:bookmarkEnd w:id="51"/>
      <w:r>
        <w:rPr>
          <w:rFonts w:hint="eastAsia" w:ascii="黑体" w:eastAsia="黑体"/>
          <w:sz w:val="21"/>
        </w:rPr>
        <w:t>七、承诺</w:t>
      </w:r>
    </w:p>
    <w:p>
      <w:pPr>
        <w:pStyle w:val="9"/>
        <w:spacing w:before="3"/>
        <w:rPr>
          <w:rFonts w:ascii="黑体"/>
          <w:sz w:val="20"/>
        </w:rPr>
      </w:pPr>
    </w:p>
    <w:p>
      <w:pPr>
        <w:pStyle w:val="13"/>
        <w:numPr>
          <w:ilvl w:val="0"/>
          <w:numId w:val="33"/>
        </w:numPr>
        <w:tabs>
          <w:tab w:val="left" w:pos="1311"/>
        </w:tabs>
        <w:spacing w:before="0" w:after="0" w:line="367" w:lineRule="auto"/>
        <w:ind w:left="731" w:right="893" w:firstLine="420"/>
        <w:jc w:val="left"/>
        <w:rPr>
          <w:rFonts w:hint="eastAsia" w:ascii="仿宋" w:eastAsia="仿宋"/>
          <w:sz w:val="21"/>
        </w:rPr>
      </w:pPr>
      <w:r>
        <w:rPr>
          <w:rFonts w:hint="eastAsia" w:ascii="仿宋" w:eastAsia="仿宋"/>
          <w:sz w:val="21"/>
        </w:rPr>
        <w:t>发包人承诺按照相关法律、法规或规范性文件的规定履行本项目审批手续、筹集工程建设资金并按照合同约定的期限和方式支付合同价款。</w:t>
      </w:r>
    </w:p>
    <w:p>
      <w:pPr>
        <w:pStyle w:val="13"/>
        <w:numPr>
          <w:ilvl w:val="0"/>
          <w:numId w:val="33"/>
        </w:numPr>
        <w:tabs>
          <w:tab w:val="left" w:pos="1311"/>
        </w:tabs>
        <w:spacing w:before="0" w:after="0" w:line="364" w:lineRule="auto"/>
        <w:ind w:left="731" w:right="893" w:firstLine="420"/>
        <w:jc w:val="left"/>
        <w:rPr>
          <w:rFonts w:hint="eastAsia" w:ascii="仿宋" w:eastAsia="仿宋"/>
          <w:sz w:val="21"/>
        </w:rPr>
      </w:pPr>
      <w:r>
        <w:rPr>
          <w:rFonts w:hint="eastAsia" w:ascii="仿宋" w:eastAsia="仿宋"/>
          <w:sz w:val="21"/>
        </w:rPr>
        <w:t>承包人承诺按照法律规定及合同约定组织完成工程施工，确保工程质量和安全，不进行转包及分包，并在缺陷责任期及保修期内承担相应的工程维修责任。</w:t>
      </w:r>
    </w:p>
    <w:p>
      <w:pPr>
        <w:pStyle w:val="13"/>
        <w:numPr>
          <w:ilvl w:val="0"/>
          <w:numId w:val="33"/>
        </w:numPr>
        <w:tabs>
          <w:tab w:val="left" w:pos="1311"/>
        </w:tabs>
        <w:spacing w:before="0" w:after="0" w:line="367" w:lineRule="auto"/>
        <w:ind w:left="731" w:right="893" w:firstLine="420"/>
        <w:jc w:val="left"/>
        <w:rPr>
          <w:rFonts w:hint="eastAsia" w:ascii="仿宋" w:eastAsia="仿宋"/>
          <w:sz w:val="21"/>
        </w:rPr>
      </w:pPr>
      <w:r>
        <w:rPr>
          <w:rFonts w:hint="eastAsia" w:ascii="仿宋" w:eastAsia="仿宋"/>
          <w:sz w:val="21"/>
        </w:rPr>
        <w:t>发包人和承包人通过招投标形式签订合同的，双方理解并承诺不再就同一工程另行签订与本合同实质性内容相背离的协议。</w:t>
      </w:r>
    </w:p>
    <w:p>
      <w:pPr>
        <w:spacing w:before="0" w:line="264" w:lineRule="exact"/>
        <w:ind w:left="731" w:right="0" w:firstLine="0"/>
        <w:jc w:val="left"/>
        <w:rPr>
          <w:rFonts w:hint="eastAsia" w:ascii="黑体" w:eastAsia="黑体"/>
          <w:b/>
          <w:sz w:val="21"/>
        </w:rPr>
      </w:pPr>
      <w:r>
        <w:rPr>
          <w:rFonts w:hint="eastAsia" w:ascii="黑体" w:eastAsia="黑体"/>
          <w:b/>
          <w:sz w:val="21"/>
        </w:rPr>
        <w:t>八、词语含义</w:t>
      </w:r>
    </w:p>
    <w:p>
      <w:pPr>
        <w:spacing w:before="132"/>
        <w:ind w:left="1151" w:right="0" w:firstLine="0"/>
        <w:jc w:val="left"/>
        <w:rPr>
          <w:rFonts w:hint="eastAsia" w:ascii="仿宋" w:eastAsia="仿宋"/>
          <w:sz w:val="21"/>
        </w:rPr>
      </w:pPr>
      <w:r>
        <w:rPr>
          <w:rFonts w:hint="eastAsia" w:ascii="仿宋" w:eastAsia="仿宋"/>
          <w:sz w:val="21"/>
        </w:rPr>
        <w:t>本协议书中词语含义与第二部分通用合同条款中赋予的含义相同。</w:t>
      </w:r>
    </w:p>
    <w:p>
      <w:pPr>
        <w:pStyle w:val="9"/>
        <w:spacing w:before="3"/>
        <w:rPr>
          <w:rFonts w:ascii="仿宋"/>
          <w:sz w:val="20"/>
        </w:rPr>
      </w:pPr>
    </w:p>
    <w:p>
      <w:pPr>
        <w:spacing w:before="0"/>
        <w:ind w:left="731" w:right="0" w:firstLine="0"/>
        <w:jc w:val="left"/>
        <w:rPr>
          <w:rFonts w:hint="eastAsia" w:ascii="黑体" w:eastAsia="黑体"/>
          <w:sz w:val="21"/>
        </w:rPr>
      </w:pPr>
      <w:bookmarkStart w:id="52" w:name="九、签订时间"/>
      <w:bookmarkEnd w:id="52"/>
      <w:r>
        <w:rPr>
          <w:rFonts w:hint="eastAsia" w:ascii="黑体" w:eastAsia="黑体"/>
          <w:sz w:val="21"/>
        </w:rPr>
        <w:t>九、签订时间</w:t>
      </w:r>
    </w:p>
    <w:p>
      <w:pPr>
        <w:pStyle w:val="9"/>
        <w:spacing w:before="5"/>
        <w:rPr>
          <w:rFonts w:ascii="黑体"/>
          <w:sz w:val="20"/>
        </w:rPr>
      </w:pPr>
    </w:p>
    <w:p>
      <w:pPr>
        <w:tabs>
          <w:tab w:val="left" w:pos="2516"/>
          <w:tab w:val="left" w:pos="3145"/>
          <w:tab w:val="left" w:pos="3776"/>
        </w:tabs>
        <w:spacing w:before="0"/>
        <w:ind w:left="1151" w:right="0" w:firstLine="0"/>
        <w:jc w:val="left"/>
        <w:rPr>
          <w:rFonts w:hint="eastAsia" w:ascii="仿宋" w:eastAsia="仿宋"/>
          <w:sz w:val="21"/>
        </w:rPr>
      </w:pPr>
      <w:r>
        <w:rPr>
          <w:rFonts w:hint="eastAsia" w:ascii="仿宋" w:eastAsia="仿宋"/>
          <w:sz w:val="21"/>
        </w:rPr>
        <w:t>本合同于</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年</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月</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日签订。</w:t>
      </w:r>
    </w:p>
    <w:p>
      <w:pPr>
        <w:spacing w:after="0"/>
        <w:jc w:val="left"/>
        <w:rPr>
          <w:rFonts w:hint="eastAsia" w:ascii="仿宋" w:eastAsia="仿宋"/>
          <w:sz w:val="21"/>
        </w:rPr>
        <w:sectPr>
          <w:pgSz w:w="11910" w:h="16840"/>
          <w:pgMar w:top="1100" w:right="660" w:bottom="1200" w:left="800" w:header="878" w:footer="993" w:gutter="0"/>
          <w:cols w:space="720" w:num="1"/>
        </w:sectPr>
      </w:pPr>
    </w:p>
    <w:p>
      <w:pPr>
        <w:pStyle w:val="9"/>
        <w:spacing w:before="12"/>
        <w:rPr>
          <w:rFonts w:ascii="仿宋"/>
          <w:sz w:val="17"/>
        </w:rPr>
      </w:pPr>
    </w:p>
    <w:p>
      <w:pPr>
        <w:spacing w:before="70"/>
        <w:ind w:left="731" w:right="0" w:firstLine="0"/>
        <w:jc w:val="left"/>
        <w:rPr>
          <w:rFonts w:hint="eastAsia" w:ascii="黑体" w:eastAsia="黑体"/>
          <w:sz w:val="21"/>
        </w:rPr>
      </w:pPr>
      <w:bookmarkStart w:id="53" w:name="十、签订地点"/>
      <w:bookmarkEnd w:id="53"/>
      <w:r>
        <w:rPr>
          <w:rFonts w:hint="eastAsia" w:ascii="黑体" w:eastAsia="黑体"/>
          <w:sz w:val="21"/>
        </w:rPr>
        <w:t>十、签订地点</w:t>
      </w:r>
    </w:p>
    <w:p>
      <w:pPr>
        <w:pStyle w:val="9"/>
        <w:spacing w:before="2"/>
        <w:rPr>
          <w:rFonts w:ascii="黑体"/>
          <w:sz w:val="20"/>
        </w:rPr>
      </w:pPr>
    </w:p>
    <w:p>
      <w:pPr>
        <w:spacing w:before="0"/>
        <w:ind w:left="1151" w:right="0" w:firstLine="0"/>
        <w:jc w:val="left"/>
        <w:rPr>
          <w:rFonts w:hint="eastAsia" w:ascii="仿宋" w:eastAsia="仿宋"/>
          <w:sz w:val="21"/>
        </w:rPr>
      </w:pPr>
      <w:r>
        <w:rPr>
          <w:rFonts w:hint="eastAsia" w:ascii="仿宋" w:eastAsia="仿宋"/>
          <w:sz w:val="21"/>
        </w:rPr>
        <w:t>本合同在</w:t>
      </w:r>
      <w:r>
        <w:rPr>
          <w:rFonts w:hint="eastAsia" w:ascii="仿宋" w:eastAsia="仿宋"/>
          <w:sz w:val="21"/>
          <w:u w:val="single" w:color="auto"/>
        </w:rPr>
        <w:t xml:space="preserve"> </w:t>
      </w:r>
      <w:r>
        <w:rPr>
          <w:rFonts w:ascii="宋体" w:hAnsi="宋体" w:cs="宋体"/>
          <w:b w:val="0"/>
          <w:i w:val="0"/>
          <w:caps w:val="0"/>
          <w:color w:val="000000"/>
          <w:spacing w:val="0"/>
          <w:w w:val="100"/>
          <w:sz w:val="20"/>
          <w:szCs w:val="20"/>
          <w:u w:val="single" w:color="auto"/>
        </w:rPr>
        <w:t>青岛西海岸新区茂山路373号</w:t>
      </w:r>
      <w:r>
        <w:rPr>
          <w:rFonts w:hint="eastAsia" w:ascii="仿宋" w:eastAsia="仿宋"/>
          <w:sz w:val="21"/>
          <w:u w:val="single"/>
        </w:rPr>
        <w:t xml:space="preserve"> </w:t>
      </w:r>
      <w:r>
        <w:rPr>
          <w:rFonts w:hint="eastAsia" w:ascii="仿宋" w:eastAsia="仿宋"/>
          <w:sz w:val="21"/>
        </w:rPr>
        <w:t>签订。</w:t>
      </w:r>
    </w:p>
    <w:p>
      <w:pPr>
        <w:pStyle w:val="9"/>
        <w:spacing w:before="5"/>
        <w:rPr>
          <w:rFonts w:ascii="仿宋"/>
          <w:sz w:val="20"/>
        </w:rPr>
      </w:pPr>
    </w:p>
    <w:p>
      <w:pPr>
        <w:spacing w:before="0"/>
        <w:ind w:left="731" w:right="0" w:firstLine="0"/>
        <w:jc w:val="left"/>
        <w:rPr>
          <w:rFonts w:hint="eastAsia" w:ascii="黑体" w:eastAsia="黑体"/>
          <w:sz w:val="21"/>
        </w:rPr>
      </w:pPr>
      <w:bookmarkStart w:id="54" w:name="十一、补充协议"/>
      <w:bookmarkEnd w:id="54"/>
      <w:r>
        <w:rPr>
          <w:rFonts w:hint="eastAsia" w:ascii="黑体" w:eastAsia="黑体"/>
          <w:sz w:val="21"/>
        </w:rPr>
        <w:t>十一、补充协议</w:t>
      </w:r>
    </w:p>
    <w:p>
      <w:pPr>
        <w:pStyle w:val="9"/>
        <w:spacing w:before="3"/>
        <w:rPr>
          <w:rFonts w:ascii="黑体"/>
          <w:sz w:val="20"/>
        </w:rPr>
      </w:pPr>
    </w:p>
    <w:p>
      <w:pPr>
        <w:spacing w:before="0" w:line="364" w:lineRule="auto"/>
        <w:ind w:left="731" w:right="892" w:firstLine="420"/>
        <w:jc w:val="left"/>
        <w:rPr>
          <w:rFonts w:hint="eastAsia" w:ascii="仿宋" w:eastAsia="仿宋"/>
          <w:sz w:val="21"/>
        </w:rPr>
      </w:pPr>
      <w:r>
        <w:rPr>
          <w:rFonts w:hint="eastAsia" w:ascii="仿宋" w:eastAsia="仿宋"/>
          <w:w w:val="95"/>
          <w:sz w:val="21"/>
        </w:rPr>
        <w:t xml:space="preserve">合同未尽事宜，合同当事人另行签订补充协议，补充协议是合同的组成部分，经合同双方当   </w:t>
      </w:r>
      <w:r>
        <w:rPr>
          <w:rFonts w:hint="eastAsia" w:ascii="仿宋" w:eastAsia="仿宋"/>
          <w:sz w:val="21"/>
        </w:rPr>
        <w:t>事人或有权代表签字并盖章后生效，与本合同具有同等法律效力。</w:t>
      </w:r>
    </w:p>
    <w:p>
      <w:pPr>
        <w:spacing w:before="118"/>
        <w:ind w:left="731" w:right="0" w:firstLine="0"/>
        <w:jc w:val="left"/>
        <w:rPr>
          <w:rFonts w:hint="eastAsia" w:ascii="黑体" w:eastAsia="黑体"/>
          <w:sz w:val="21"/>
        </w:rPr>
      </w:pPr>
      <w:bookmarkStart w:id="55" w:name="十二、合同生效"/>
      <w:bookmarkEnd w:id="55"/>
      <w:r>
        <w:rPr>
          <w:rFonts w:hint="eastAsia" w:ascii="黑体" w:eastAsia="黑体"/>
          <w:sz w:val="21"/>
        </w:rPr>
        <w:t>十二、合同生效</w:t>
      </w:r>
    </w:p>
    <w:p>
      <w:pPr>
        <w:pStyle w:val="9"/>
        <w:spacing w:before="5"/>
        <w:rPr>
          <w:rFonts w:ascii="黑体"/>
          <w:sz w:val="20"/>
        </w:rPr>
      </w:pPr>
    </w:p>
    <w:p>
      <w:pPr>
        <w:spacing w:before="0"/>
        <w:ind w:left="1151" w:right="0" w:firstLine="0"/>
        <w:jc w:val="left"/>
        <w:rPr>
          <w:rFonts w:hint="eastAsia" w:ascii="仿宋" w:eastAsia="仿宋"/>
          <w:sz w:val="21"/>
        </w:rPr>
      </w:pPr>
      <w:r>
        <w:rPr>
          <w:rFonts w:hint="eastAsia" w:ascii="仿宋" w:eastAsia="仿宋"/>
          <w:sz w:val="21"/>
        </w:rPr>
        <w:t>本合同自双方当事人或有权代表签字并盖章之日起生效。</w:t>
      </w:r>
    </w:p>
    <w:p>
      <w:pPr>
        <w:pStyle w:val="9"/>
        <w:spacing w:before="3"/>
        <w:rPr>
          <w:rFonts w:ascii="仿宋"/>
          <w:sz w:val="20"/>
        </w:rPr>
      </w:pPr>
    </w:p>
    <w:p>
      <w:pPr>
        <w:spacing w:before="0"/>
        <w:ind w:left="731" w:right="0" w:firstLine="0"/>
        <w:jc w:val="left"/>
        <w:rPr>
          <w:rFonts w:hint="eastAsia" w:ascii="黑体" w:eastAsia="黑体"/>
          <w:sz w:val="21"/>
        </w:rPr>
      </w:pPr>
      <w:bookmarkStart w:id="56" w:name="十三、合同份数"/>
      <w:bookmarkEnd w:id="56"/>
      <w:r>
        <w:rPr>
          <w:rFonts w:hint="eastAsia" w:ascii="黑体" w:eastAsia="黑体"/>
          <w:sz w:val="21"/>
        </w:rPr>
        <w:t>十三、合同份数</w:t>
      </w:r>
    </w:p>
    <w:p>
      <w:pPr>
        <w:pStyle w:val="9"/>
        <w:spacing w:before="2"/>
        <w:rPr>
          <w:rFonts w:ascii="黑体"/>
          <w:sz w:val="20"/>
        </w:rPr>
      </w:pPr>
    </w:p>
    <w:p>
      <w:pPr>
        <w:spacing w:before="1"/>
        <w:ind w:left="1151" w:right="0" w:firstLine="0"/>
        <w:jc w:val="left"/>
        <w:rPr>
          <w:rFonts w:hint="eastAsia" w:ascii="仿宋" w:eastAsia="仿宋"/>
          <w:sz w:val="21"/>
        </w:rPr>
      </w:pPr>
      <w:r>
        <w:rPr>
          <w:rFonts w:hint="eastAsia" w:ascii="仿宋" w:eastAsia="仿宋"/>
          <w:sz w:val="21"/>
        </w:rPr>
        <w:t>本合同一式</w:t>
      </w:r>
      <w:r>
        <w:rPr>
          <w:rFonts w:hint="eastAsia" w:ascii="仿宋" w:eastAsia="仿宋"/>
          <w:sz w:val="21"/>
          <w:u w:val="single"/>
        </w:rPr>
        <w:t>捌</w:t>
      </w:r>
      <w:r>
        <w:rPr>
          <w:rFonts w:hint="eastAsia" w:ascii="仿宋" w:eastAsia="仿宋"/>
          <w:sz w:val="21"/>
        </w:rPr>
        <w:t>份，均具有同等法律效力，发包人执</w:t>
      </w:r>
      <w:r>
        <w:rPr>
          <w:rFonts w:hint="eastAsia" w:ascii="仿宋" w:eastAsia="仿宋"/>
          <w:sz w:val="21"/>
          <w:u w:val="single"/>
        </w:rPr>
        <w:t>肆</w:t>
      </w:r>
      <w:r>
        <w:rPr>
          <w:rFonts w:hint="eastAsia" w:ascii="仿宋" w:eastAsia="仿宋"/>
          <w:sz w:val="21"/>
        </w:rPr>
        <w:t>份，承包人执</w:t>
      </w:r>
      <w:r>
        <w:rPr>
          <w:rFonts w:hint="eastAsia" w:ascii="仿宋" w:eastAsia="仿宋"/>
          <w:sz w:val="21"/>
          <w:u w:val="single"/>
        </w:rPr>
        <w:t>肆</w:t>
      </w:r>
      <w:r>
        <w:rPr>
          <w:rFonts w:hint="eastAsia" w:ascii="仿宋" w:eastAsia="仿宋"/>
          <w:sz w:val="21"/>
        </w:rPr>
        <w:t>份。</w:t>
      </w:r>
    </w:p>
    <w:p>
      <w:pPr>
        <w:pStyle w:val="9"/>
        <w:rPr>
          <w:rFonts w:ascii="仿宋"/>
          <w:sz w:val="20"/>
        </w:rPr>
      </w:pPr>
    </w:p>
    <w:p>
      <w:pPr>
        <w:pStyle w:val="9"/>
        <w:rPr>
          <w:rFonts w:ascii="仿宋"/>
          <w:sz w:val="20"/>
        </w:rPr>
      </w:pPr>
    </w:p>
    <w:p>
      <w:pPr>
        <w:pStyle w:val="9"/>
        <w:rPr>
          <w:rFonts w:ascii="仿宋"/>
          <w:sz w:val="20"/>
        </w:rPr>
      </w:pPr>
    </w:p>
    <w:p>
      <w:pPr>
        <w:pStyle w:val="9"/>
        <w:rPr>
          <w:rFonts w:ascii="仿宋"/>
          <w:sz w:val="20"/>
        </w:rPr>
      </w:pPr>
    </w:p>
    <w:p>
      <w:pPr>
        <w:pStyle w:val="9"/>
        <w:rPr>
          <w:rFonts w:ascii="仿宋"/>
          <w:sz w:val="20"/>
        </w:rPr>
      </w:pPr>
    </w:p>
    <w:p>
      <w:pPr>
        <w:pStyle w:val="9"/>
        <w:spacing w:before="12"/>
        <w:rPr>
          <w:rFonts w:ascii="仿宋"/>
          <w:sz w:val="23"/>
        </w:rPr>
      </w:pPr>
    </w:p>
    <w:p>
      <w:pPr>
        <w:spacing w:before="0"/>
        <w:ind w:left="731" w:right="0" w:firstLine="0"/>
        <w:jc w:val="left"/>
        <w:rPr>
          <w:rFonts w:hint="eastAsia" w:ascii="仿宋" w:eastAsia="仿宋"/>
          <w:sz w:val="21"/>
        </w:rPr>
      </w:pPr>
      <w:r>
        <w:rPr>
          <w:rFonts w:hint="eastAsia" w:ascii="仿宋" w:eastAsia="仿宋"/>
          <w:sz w:val="21"/>
        </w:rPr>
        <w:t>（本页无正文）</w:t>
      </w:r>
    </w:p>
    <w:p>
      <w:pPr>
        <w:pStyle w:val="9"/>
        <w:rPr>
          <w:rFonts w:ascii="仿宋"/>
          <w:sz w:val="20"/>
        </w:rPr>
      </w:pPr>
    </w:p>
    <w:p>
      <w:pPr>
        <w:pStyle w:val="9"/>
        <w:spacing w:before="2"/>
        <w:rPr>
          <w:rFonts w:ascii="仿宋"/>
          <w:sz w:val="19"/>
        </w:rPr>
      </w:pPr>
    </w:p>
    <w:p>
      <w:pPr>
        <w:tabs>
          <w:tab w:val="left" w:pos="3879"/>
        </w:tabs>
        <w:spacing w:before="0"/>
        <w:ind w:left="731" w:right="0" w:firstLine="0"/>
        <w:jc w:val="left"/>
        <w:rPr>
          <w:rFonts w:hint="eastAsia" w:ascii="仿宋" w:eastAsia="仿宋"/>
          <w:sz w:val="21"/>
        </w:rPr>
      </w:pPr>
      <w:r>
        <w:rPr>
          <w:rFonts w:hint="eastAsia" w:ascii="仿宋" w:eastAsia="仿宋"/>
          <w:sz w:val="21"/>
        </w:rPr>
        <w:t>发包人：上海外国语大学</w:t>
      </w:r>
      <w:r>
        <w:rPr>
          <w:rFonts w:hint="eastAsia" w:ascii="仿宋" w:eastAsia="仿宋"/>
          <w:sz w:val="21"/>
        </w:rPr>
        <w:tab/>
      </w:r>
      <w:r>
        <w:rPr>
          <w:rFonts w:hint="eastAsia" w:ascii="仿宋" w:eastAsia="仿宋"/>
          <w:sz w:val="21"/>
        </w:rPr>
        <w:t>承包人：</w:t>
      </w:r>
    </w:p>
    <w:p>
      <w:pPr>
        <w:pStyle w:val="9"/>
        <w:rPr>
          <w:rFonts w:ascii="仿宋"/>
          <w:sz w:val="20"/>
        </w:rPr>
      </w:pPr>
    </w:p>
    <w:p>
      <w:pPr>
        <w:pStyle w:val="9"/>
        <w:spacing w:before="1"/>
        <w:rPr>
          <w:rFonts w:ascii="仿宋"/>
          <w:sz w:val="19"/>
        </w:rPr>
      </w:pPr>
    </w:p>
    <w:p>
      <w:pPr>
        <w:tabs>
          <w:tab w:val="left" w:pos="4091"/>
        </w:tabs>
        <w:spacing w:before="1"/>
        <w:ind w:left="731" w:right="0" w:firstLine="0"/>
        <w:jc w:val="left"/>
        <w:rPr>
          <w:rFonts w:hint="eastAsia" w:ascii="仿宋" w:eastAsia="仿宋"/>
          <w:sz w:val="21"/>
        </w:rPr>
      </w:pPr>
      <w:r>
        <w:rPr>
          <w:rFonts w:hint="eastAsia" w:ascii="仿宋" w:eastAsia="仿宋"/>
          <w:sz w:val="21"/>
        </w:rPr>
        <w:t>法定代表人或其委托代理人：</w:t>
      </w:r>
      <w:r>
        <w:rPr>
          <w:rFonts w:hint="eastAsia" w:ascii="仿宋" w:eastAsia="仿宋"/>
          <w:sz w:val="21"/>
        </w:rPr>
        <w:tab/>
      </w:r>
      <w:r>
        <w:rPr>
          <w:rFonts w:hint="eastAsia" w:ascii="仿宋" w:eastAsia="仿宋"/>
          <w:sz w:val="21"/>
        </w:rPr>
        <w:t>法定代表人或其委托代理人：</w:t>
      </w:r>
    </w:p>
    <w:p>
      <w:pPr>
        <w:tabs>
          <w:tab w:val="left" w:pos="4719"/>
        </w:tabs>
        <w:spacing w:before="138"/>
        <w:ind w:left="1780" w:right="0" w:firstLine="0"/>
        <w:jc w:val="left"/>
        <w:rPr>
          <w:rFonts w:hint="eastAsia" w:ascii="仿宋" w:eastAsia="仿宋"/>
          <w:sz w:val="21"/>
        </w:rPr>
      </w:pPr>
      <w:r>
        <w:rPr>
          <w:rFonts w:hint="eastAsia" w:ascii="仿宋" w:eastAsia="仿宋"/>
          <w:sz w:val="21"/>
        </w:rPr>
        <w:t>（签字）</w:t>
      </w:r>
      <w:r>
        <w:rPr>
          <w:rFonts w:hint="eastAsia" w:ascii="仿宋" w:eastAsia="仿宋"/>
          <w:sz w:val="21"/>
        </w:rPr>
        <w:tab/>
      </w:r>
      <w:r>
        <w:rPr>
          <w:rFonts w:hint="eastAsia" w:ascii="仿宋" w:eastAsia="仿宋"/>
          <w:sz w:val="21"/>
        </w:rPr>
        <w:t>（签字）</w:t>
      </w:r>
    </w:p>
    <w:p>
      <w:pPr>
        <w:pStyle w:val="9"/>
        <w:rPr>
          <w:rFonts w:ascii="仿宋"/>
          <w:sz w:val="20"/>
        </w:rPr>
      </w:pPr>
    </w:p>
    <w:p>
      <w:pPr>
        <w:pStyle w:val="9"/>
        <w:spacing w:before="2"/>
        <w:rPr>
          <w:rFonts w:ascii="仿宋"/>
          <w:sz w:val="19"/>
        </w:rPr>
      </w:pPr>
    </w:p>
    <w:p>
      <w:pPr>
        <w:tabs>
          <w:tab w:val="left" w:pos="4091"/>
        </w:tabs>
        <w:spacing w:before="0"/>
        <w:ind w:left="731" w:right="0" w:firstLine="0"/>
        <w:jc w:val="left"/>
        <w:rPr>
          <w:rFonts w:hint="eastAsia" w:ascii="仿宋" w:eastAsia="仿宋"/>
          <w:sz w:val="21"/>
        </w:rPr>
      </w:pPr>
      <w:r>
        <w:rPr>
          <w:rFonts w:hint="eastAsia" w:ascii="仿宋" w:eastAsia="仿宋"/>
          <w:sz w:val="21"/>
        </w:rPr>
        <w:t>统一社会信用代码：</w:t>
      </w:r>
      <w:r>
        <w:rPr>
          <w:rFonts w:hint="eastAsia" w:ascii="仿宋" w:eastAsia="仿宋"/>
          <w:sz w:val="21"/>
        </w:rPr>
        <w:tab/>
      </w:r>
      <w:r>
        <w:rPr>
          <w:rFonts w:hint="eastAsia" w:ascii="仿宋" w:eastAsia="仿宋"/>
          <w:sz w:val="21"/>
        </w:rPr>
        <w:t>统一社会信用代码：</w:t>
      </w:r>
    </w:p>
    <w:p>
      <w:pPr>
        <w:tabs>
          <w:tab w:val="left" w:pos="3984"/>
          <w:tab w:val="left" w:pos="6871"/>
        </w:tabs>
        <w:spacing w:before="139"/>
        <w:ind w:left="731" w:right="0" w:firstLine="0"/>
        <w:jc w:val="left"/>
        <w:rPr>
          <w:rFonts w:ascii="Times New Roman"/>
          <w:sz w:val="21"/>
        </w:rPr>
      </w:pPr>
      <w:r>
        <w:rPr>
          <w:rFonts w:ascii="Times New Roman"/>
          <w:sz w:val="21"/>
        </w:rPr>
        <w:tab/>
      </w:r>
      <w:r>
        <w:rPr>
          <w:rFonts w:ascii="Times New Roman"/>
          <w:w w:val="99"/>
          <w:sz w:val="21"/>
          <w:u w:val="single"/>
        </w:rPr>
        <w:t xml:space="preserve"> </w:t>
      </w:r>
      <w:r>
        <w:rPr>
          <w:rFonts w:ascii="Times New Roman"/>
          <w:sz w:val="21"/>
          <w:u w:val="single"/>
        </w:rPr>
        <w:tab/>
      </w:r>
    </w:p>
    <w:p>
      <w:pPr>
        <w:tabs>
          <w:tab w:val="left" w:pos="3250"/>
          <w:tab w:val="left" w:pos="3879"/>
          <w:tab w:val="left" w:pos="7082"/>
        </w:tabs>
        <w:spacing w:before="121"/>
        <w:ind w:left="731" w:right="0" w:firstLine="0"/>
        <w:jc w:val="left"/>
        <w:rPr>
          <w:rFonts w:ascii="Times New Roman" w:eastAsia="Times New Roman"/>
          <w:sz w:val="21"/>
        </w:rPr>
      </w:pPr>
      <w:r>
        <w:rPr>
          <w:rFonts w:hint="eastAsia" w:ascii="仿宋" w:eastAsia="仿宋"/>
          <w:sz w:val="21"/>
        </w:rPr>
        <w:t>地址：</w:t>
      </w:r>
      <w:r>
        <w:rPr>
          <w:rFonts w:ascii="宋体" w:hAnsi="宋体" w:cs="宋体"/>
          <w:b w:val="0"/>
          <w:i w:val="0"/>
          <w:caps w:val="0"/>
          <w:color w:val="000000"/>
          <w:spacing w:val="0"/>
          <w:w w:val="100"/>
          <w:sz w:val="20"/>
          <w:szCs w:val="20"/>
          <w:u w:val="single" w:color="auto"/>
        </w:rPr>
        <w:t>青岛西海岸新区茂山路373号</w:t>
      </w:r>
      <w:r>
        <w:rPr>
          <w:rFonts w:hint="eastAsia" w:ascii="仿宋" w:eastAsia="仿宋"/>
          <w:sz w:val="21"/>
          <w:u w:val="single"/>
        </w:rPr>
        <w:tab/>
      </w:r>
      <w:r>
        <w:rPr>
          <w:rFonts w:hint="eastAsia" w:ascii="仿宋" w:eastAsia="仿宋"/>
          <w:sz w:val="21"/>
        </w:rPr>
        <w:t>地址：</w:t>
      </w:r>
      <w:r>
        <w:rPr>
          <w:rFonts w:ascii="Times New Roman" w:eastAsia="Times New Roman"/>
          <w:sz w:val="21"/>
          <w:u w:val="single"/>
        </w:rPr>
        <w:t xml:space="preserve"> </w:t>
      </w:r>
      <w:r>
        <w:rPr>
          <w:rFonts w:ascii="Times New Roman" w:eastAsia="Times New Roman"/>
          <w:sz w:val="21"/>
          <w:u w:val="single"/>
        </w:rPr>
        <w:tab/>
      </w:r>
    </w:p>
    <w:p>
      <w:pPr>
        <w:tabs>
          <w:tab w:val="left" w:pos="2147"/>
          <w:tab w:val="left" w:pos="3355"/>
          <w:tab w:val="left" w:pos="3671"/>
          <w:tab w:val="left" w:pos="3879"/>
          <w:tab w:val="left" w:pos="6662"/>
          <w:tab w:val="left" w:pos="7396"/>
        </w:tabs>
        <w:spacing w:before="141" w:line="364" w:lineRule="auto"/>
        <w:ind w:left="731" w:right="3048" w:firstLine="0"/>
        <w:jc w:val="left"/>
        <w:rPr>
          <w:rFonts w:ascii="Times New Roman" w:eastAsia="Times New Roman"/>
          <w:sz w:val="21"/>
        </w:rPr>
      </w:pPr>
      <w:r>
        <w:rPr>
          <w:rFonts w:hint="eastAsia" w:ascii="仿宋" w:eastAsia="仿宋"/>
          <w:sz w:val="21"/>
        </w:rPr>
        <w:t>邮政编码：</w:t>
      </w:r>
      <w:r>
        <w:rPr>
          <w:rFonts w:hint="eastAsia" w:ascii="仿宋" w:eastAsia="仿宋"/>
          <w:spacing w:val="-3"/>
          <w:sz w:val="21"/>
          <w:u w:val="single"/>
        </w:rPr>
        <w:t xml:space="preserve"> </w:t>
      </w:r>
      <w:r>
        <w:rPr>
          <w:rFonts w:ascii="Times New Roman" w:eastAsia="Times New Roman"/>
          <w:sz w:val="21"/>
          <w:u w:val="single"/>
        </w:rPr>
        <w:tab/>
      </w:r>
      <w:r>
        <w:rPr>
          <w:rFonts w:hint="eastAsia" w:ascii="Times New Roman"/>
          <w:sz w:val="21"/>
          <w:u w:val="single"/>
          <w:lang w:val="en-US" w:eastAsia="zh-CN"/>
        </w:rPr>
        <w:t xml:space="preserve">          </w:t>
      </w:r>
      <w:r>
        <w:rPr>
          <w:rFonts w:ascii="Times New Roman" w:eastAsia="Times New Roman"/>
          <w:sz w:val="21"/>
        </w:rPr>
        <w:tab/>
      </w:r>
      <w:r>
        <w:rPr>
          <w:rFonts w:ascii="Times New Roman" w:eastAsia="Times New Roman"/>
          <w:sz w:val="21"/>
        </w:rPr>
        <w:tab/>
      </w:r>
      <w:r>
        <w:rPr>
          <w:rFonts w:hint="eastAsia" w:ascii="仿宋" w:eastAsia="仿宋"/>
          <w:w w:val="95"/>
          <w:sz w:val="21"/>
        </w:rPr>
        <w:t>邮政编码：</w:t>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sz w:val="21"/>
        </w:rPr>
        <w:t>电话：</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ab/>
      </w:r>
      <w:r>
        <w:rPr>
          <w:rFonts w:hint="eastAsia" w:ascii="仿宋" w:eastAsia="仿宋"/>
          <w:sz w:val="21"/>
        </w:rPr>
        <w:tab/>
      </w:r>
      <w:r>
        <w:rPr>
          <w:rFonts w:hint="eastAsia" w:ascii="仿宋" w:eastAsia="仿宋"/>
          <w:w w:val="95"/>
          <w:sz w:val="21"/>
        </w:rPr>
        <w:t>电话：</w:t>
      </w:r>
      <w:r>
        <w:rPr>
          <w:rFonts w:ascii="Times New Roman" w:eastAsia="Times New Roman"/>
          <w:w w:val="95"/>
          <w:sz w:val="21"/>
          <w:u w:val="single"/>
        </w:rPr>
        <w:t xml:space="preserve"> </w:t>
      </w:r>
      <w:r>
        <w:rPr>
          <w:rFonts w:ascii="Times New Roman" w:eastAsia="Times New Roman"/>
          <w:sz w:val="21"/>
          <w:u w:val="single"/>
        </w:rPr>
        <w:tab/>
      </w:r>
    </w:p>
    <w:p>
      <w:pPr>
        <w:tabs>
          <w:tab w:val="left" w:pos="2042"/>
          <w:tab w:val="left" w:pos="3671"/>
          <w:tab w:val="left" w:pos="6451"/>
        </w:tabs>
        <w:spacing w:before="0" w:line="267" w:lineRule="exact"/>
        <w:ind w:left="731" w:right="0" w:firstLine="0"/>
        <w:jc w:val="left"/>
        <w:rPr>
          <w:rFonts w:ascii="Times New Roman" w:eastAsia="Times New Roman"/>
          <w:sz w:val="21"/>
        </w:rPr>
      </w:pPr>
      <w:r>
        <w:rPr>
          <w:rFonts w:hint="eastAsia" w:ascii="仿宋" w:eastAsia="仿宋"/>
          <w:sz w:val="21"/>
        </w:rPr>
        <w:t>传真：</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ab/>
      </w:r>
      <w:r>
        <w:rPr>
          <w:rFonts w:hint="eastAsia" w:ascii="仿宋" w:eastAsia="仿宋"/>
          <w:w w:val="95"/>
          <w:sz w:val="21"/>
        </w:rPr>
        <w:t>传真：</w:t>
      </w:r>
      <w:r>
        <w:rPr>
          <w:rFonts w:ascii="Times New Roman" w:eastAsia="Times New Roman"/>
          <w:w w:val="95"/>
          <w:sz w:val="21"/>
          <w:u w:val="single"/>
        </w:rPr>
        <w:t xml:space="preserve"> </w:t>
      </w:r>
      <w:r>
        <w:rPr>
          <w:rFonts w:ascii="Times New Roman" w:eastAsia="Times New Roman"/>
          <w:sz w:val="21"/>
          <w:u w:val="single"/>
        </w:rPr>
        <w:tab/>
      </w:r>
    </w:p>
    <w:p>
      <w:pPr>
        <w:tabs>
          <w:tab w:val="left" w:pos="3867"/>
          <w:tab w:val="left" w:pos="6755"/>
        </w:tabs>
        <w:spacing w:before="142"/>
        <w:ind w:left="731" w:right="0" w:firstLine="0"/>
        <w:jc w:val="left"/>
        <w:rPr>
          <w:rFonts w:ascii="Times New Roman" w:eastAsia="Times New Roman"/>
          <w:sz w:val="21"/>
        </w:rPr>
      </w:pPr>
      <w:r>
        <w:rPr>
          <w:rFonts w:hint="eastAsia" w:ascii="仿宋" w:eastAsia="仿宋"/>
          <w:sz w:val="21"/>
        </w:rPr>
        <w:t>电子信箱：</w:t>
      </w:r>
      <w:r>
        <w:rPr>
          <w:rFonts w:hint="eastAsia" w:ascii="仿宋" w:eastAsia="仿宋"/>
          <w:spacing w:val="-3"/>
          <w:sz w:val="21"/>
          <w:u w:val="single"/>
        </w:rPr>
        <w:t xml:space="preserve"> </w:t>
      </w:r>
      <w:r>
        <w:rPr>
          <w:rFonts w:hint="eastAsia" w:ascii="仿宋" w:eastAsia="仿宋"/>
          <w:spacing w:val="-3"/>
          <w:sz w:val="21"/>
          <w:u w:val="single"/>
          <w:lang w:val="en-US" w:eastAsia="zh-CN"/>
        </w:rPr>
        <w:t xml:space="preserve">       </w:t>
      </w:r>
      <w:r>
        <w:rPr>
          <w:rFonts w:ascii="Times New Roman" w:eastAsia="Times New Roman"/>
          <w:sz w:val="21"/>
        </w:rPr>
        <w:tab/>
      </w:r>
      <w:r>
        <w:rPr>
          <w:rFonts w:hint="eastAsia" w:ascii="仿宋" w:eastAsia="仿宋"/>
          <w:w w:val="95"/>
          <w:sz w:val="21"/>
        </w:rPr>
        <w:t>电子信箱：</w:t>
      </w:r>
      <w:r>
        <w:rPr>
          <w:rFonts w:ascii="Times New Roman" w:eastAsia="Times New Roman"/>
          <w:w w:val="95"/>
          <w:sz w:val="21"/>
          <w:u w:val="single"/>
        </w:rPr>
        <w:t xml:space="preserve"> </w:t>
      </w:r>
      <w:r>
        <w:rPr>
          <w:rFonts w:ascii="Times New Roman" w:eastAsia="Times New Roman"/>
          <w:sz w:val="21"/>
          <w:u w:val="single"/>
        </w:rPr>
        <w:tab/>
      </w:r>
    </w:p>
    <w:p>
      <w:pPr>
        <w:tabs>
          <w:tab w:val="left" w:pos="3670"/>
          <w:tab w:val="left" w:pos="4091"/>
          <w:tab w:val="left" w:pos="6976"/>
          <w:tab w:val="left" w:pos="7291"/>
        </w:tabs>
        <w:spacing w:before="139" w:line="364" w:lineRule="auto"/>
        <w:ind w:left="731" w:right="3153" w:firstLine="0"/>
        <w:jc w:val="left"/>
        <w:rPr>
          <w:rFonts w:ascii="Times New Roman" w:eastAsia="Times New Roman"/>
          <w:sz w:val="21"/>
        </w:rPr>
      </w:pPr>
      <w:r>
        <w:rPr>
          <w:rFonts w:hint="eastAsia" w:ascii="仿宋" w:eastAsia="仿宋"/>
          <w:sz w:val="21"/>
        </w:rPr>
        <w:t>开户银行：</w:t>
      </w:r>
      <w:r>
        <w:rPr>
          <w:rFonts w:hint="eastAsia" w:ascii="仿宋" w:eastAsia="仿宋"/>
          <w:sz w:val="21"/>
          <w:u w:val="single"/>
        </w:rPr>
        <w:tab/>
      </w:r>
      <w:r>
        <w:rPr>
          <w:rFonts w:hint="eastAsia" w:ascii="仿宋" w:eastAsia="仿宋"/>
          <w:sz w:val="21"/>
        </w:rPr>
        <w:tab/>
      </w:r>
      <w:r>
        <w:rPr>
          <w:rFonts w:hint="eastAsia" w:ascii="仿宋" w:eastAsia="仿宋"/>
          <w:w w:val="95"/>
          <w:sz w:val="21"/>
        </w:rPr>
        <w:t>开户银行：</w:t>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sz w:val="21"/>
        </w:rPr>
        <w:t>账号：</w:t>
      </w:r>
      <w:r>
        <w:rPr>
          <w:rFonts w:hint="eastAsia" w:ascii="仿宋" w:eastAsia="仿宋"/>
          <w:sz w:val="21"/>
          <w:lang w:val="en-US" w:eastAsia="zh-CN"/>
        </w:rPr>
        <w:t xml:space="preserve">  </w:t>
      </w:r>
      <w:r>
        <w:rPr>
          <w:rFonts w:ascii="Times New Roman" w:eastAsia="Times New Roman"/>
          <w:w w:val="95"/>
          <w:sz w:val="21"/>
          <w:u w:val="single"/>
        </w:rPr>
        <w:t xml:space="preserve"> </w:t>
      </w:r>
      <w:r>
        <w:rPr>
          <w:rFonts w:ascii="Times New Roman" w:eastAsia="Times New Roman"/>
          <w:sz w:val="21"/>
          <w:u w:val="single"/>
        </w:rPr>
        <w:tab/>
      </w:r>
      <w:r>
        <w:rPr>
          <w:rFonts w:hint="eastAsia" w:ascii="仿宋" w:eastAsia="仿宋"/>
          <w:sz w:val="21"/>
          <w:lang w:val="en-US" w:eastAsia="zh-CN"/>
        </w:rPr>
        <w:t xml:space="preserve">      </w:t>
      </w:r>
      <w:r>
        <w:rPr>
          <w:rFonts w:hint="eastAsia" w:ascii="仿宋" w:eastAsia="仿宋"/>
          <w:w w:val="95"/>
          <w:sz w:val="21"/>
        </w:rPr>
        <w:t>账号：</w:t>
      </w:r>
      <w:r>
        <w:rPr>
          <w:rFonts w:ascii="Times New Roman" w:eastAsia="Times New Roman"/>
          <w:w w:val="95"/>
          <w:sz w:val="21"/>
          <w:u w:val="single"/>
        </w:rPr>
        <w:t xml:space="preserve"> </w:t>
      </w:r>
      <w:r>
        <w:rPr>
          <w:rFonts w:ascii="Times New Roman" w:eastAsia="Times New Roman"/>
          <w:sz w:val="21"/>
          <w:u w:val="single"/>
        </w:rPr>
        <w:tab/>
      </w:r>
    </w:p>
    <w:p>
      <w:pPr>
        <w:spacing w:after="0" w:line="364" w:lineRule="auto"/>
        <w:jc w:val="left"/>
        <w:rPr>
          <w:rFonts w:ascii="Times New Roman" w:eastAsia="Times New Roman"/>
          <w:sz w:val="21"/>
        </w:rPr>
        <w:sectPr>
          <w:pgSz w:w="11910" w:h="16840"/>
          <w:pgMar w:top="1100" w:right="660" w:bottom="1200" w:left="800" w:header="878" w:footer="993" w:gutter="0"/>
          <w:cols w:space="720" w:num="1"/>
        </w:sectPr>
      </w:pPr>
    </w:p>
    <w:p>
      <w:pPr>
        <w:pStyle w:val="9"/>
        <w:rPr>
          <w:rFonts w:ascii="Times New Roman"/>
          <w:sz w:val="20"/>
        </w:rPr>
      </w:pPr>
    </w:p>
    <w:p>
      <w:pPr>
        <w:spacing w:before="69"/>
        <w:ind w:left="571" w:right="727" w:firstLine="0"/>
        <w:jc w:val="center"/>
        <w:rPr>
          <w:b/>
          <w:sz w:val="21"/>
        </w:rPr>
      </w:pPr>
      <w:r>
        <w:rPr>
          <w:b/>
          <w:sz w:val="21"/>
        </w:rPr>
        <w:t>第二部分 通用合同条款</w:t>
      </w:r>
    </w:p>
    <w:p>
      <w:pPr>
        <w:spacing w:before="139"/>
        <w:ind w:left="0" w:right="164" w:firstLine="0"/>
        <w:jc w:val="center"/>
        <w:rPr>
          <w:sz w:val="21"/>
        </w:rPr>
      </w:pPr>
      <w:r>
        <w:rPr>
          <w:sz w:val="21"/>
        </w:rPr>
        <w:t>通用合同条款直接引用住房城乡建设部和国家工商行政管理总局共同印发的《建设工程施工合同</w:t>
      </w:r>
    </w:p>
    <w:p>
      <w:pPr>
        <w:spacing w:before="5"/>
        <w:ind w:left="568" w:right="727" w:firstLine="0"/>
        <w:jc w:val="center"/>
        <w:rPr>
          <w:sz w:val="21"/>
        </w:rPr>
      </w:pPr>
      <w:r>
        <w:rPr>
          <w:sz w:val="21"/>
        </w:rPr>
        <w:t>（示范文本）》（（</w:t>
      </w:r>
      <w:r>
        <w:rPr>
          <w:rFonts w:ascii="Calibri" w:hAnsi="Calibri" w:eastAsia="Calibri"/>
          <w:sz w:val="21"/>
        </w:rPr>
        <w:t>GF—2017—0201</w:t>
      </w:r>
      <w:r>
        <w:rPr>
          <w:sz w:val="21"/>
        </w:rPr>
        <w:t>））第二部分“通用合同条款”。</w:t>
      </w:r>
    </w:p>
    <w:p>
      <w:pPr>
        <w:pStyle w:val="9"/>
        <w:spacing w:before="1"/>
        <w:rPr>
          <w:sz w:val="16"/>
        </w:rPr>
      </w:pPr>
    </w:p>
    <w:p>
      <w:pPr>
        <w:spacing w:before="70"/>
        <w:ind w:left="571" w:right="727" w:firstLine="0"/>
        <w:jc w:val="center"/>
        <w:rPr>
          <w:b/>
          <w:sz w:val="21"/>
        </w:rPr>
      </w:pPr>
      <w:r>
        <w:rPr>
          <w:b/>
          <w:sz w:val="21"/>
        </w:rPr>
        <w:t>第三部分 专用合同条款</w:t>
      </w:r>
    </w:p>
    <w:p>
      <w:pPr>
        <w:pStyle w:val="13"/>
        <w:numPr>
          <w:ilvl w:val="0"/>
          <w:numId w:val="34"/>
        </w:numPr>
        <w:tabs>
          <w:tab w:val="left" w:pos="993"/>
        </w:tabs>
        <w:spacing w:before="122" w:after="0" w:line="240" w:lineRule="auto"/>
        <w:ind w:left="992" w:right="0" w:hanging="262"/>
        <w:jc w:val="left"/>
        <w:rPr>
          <w:rFonts w:hint="eastAsia" w:ascii="黑体" w:eastAsia="黑体"/>
          <w:sz w:val="21"/>
        </w:rPr>
      </w:pPr>
      <w:bookmarkStart w:id="57" w:name="1. 一般约定"/>
      <w:bookmarkEnd w:id="57"/>
      <w:r>
        <w:rPr>
          <w:rFonts w:hint="eastAsia" w:ascii="黑体" w:eastAsia="黑体"/>
          <w:sz w:val="21"/>
        </w:rPr>
        <w:t>一般约定</w:t>
      </w:r>
    </w:p>
    <w:p>
      <w:pPr>
        <w:pStyle w:val="9"/>
        <w:spacing w:before="2"/>
        <w:rPr>
          <w:rFonts w:ascii="黑体"/>
          <w:sz w:val="20"/>
        </w:rPr>
      </w:pPr>
    </w:p>
    <w:p>
      <w:pPr>
        <w:pStyle w:val="13"/>
        <w:numPr>
          <w:ilvl w:val="1"/>
          <w:numId w:val="34"/>
        </w:numPr>
        <w:tabs>
          <w:tab w:val="left" w:pos="1519"/>
        </w:tabs>
        <w:spacing w:before="1" w:after="0" w:line="240" w:lineRule="auto"/>
        <w:ind w:left="1518" w:right="0" w:hanging="368"/>
        <w:jc w:val="left"/>
        <w:rPr>
          <w:rFonts w:hint="eastAsia" w:ascii="黑体" w:eastAsia="黑体"/>
          <w:sz w:val="21"/>
        </w:rPr>
      </w:pPr>
      <w:r>
        <w:rPr>
          <w:rFonts w:hint="eastAsia" w:ascii="黑体" w:eastAsia="黑体"/>
          <w:sz w:val="21"/>
        </w:rPr>
        <w:t>词语定义</w:t>
      </w:r>
    </w:p>
    <w:p>
      <w:pPr>
        <w:pStyle w:val="9"/>
        <w:spacing w:before="3"/>
        <w:rPr>
          <w:rFonts w:ascii="黑体"/>
          <w:sz w:val="14"/>
        </w:rPr>
      </w:pPr>
    </w:p>
    <w:p>
      <w:pPr>
        <w:pStyle w:val="13"/>
        <w:numPr>
          <w:ilvl w:val="2"/>
          <w:numId w:val="34"/>
        </w:numPr>
        <w:tabs>
          <w:tab w:val="left" w:pos="1624"/>
        </w:tabs>
        <w:spacing w:before="76" w:after="0" w:line="240" w:lineRule="auto"/>
        <w:ind w:left="1624" w:right="0" w:hanging="473"/>
        <w:jc w:val="left"/>
        <w:rPr>
          <w:rFonts w:ascii="Times New Roman" w:eastAsia="Times New Roman"/>
          <w:sz w:val="21"/>
        </w:rPr>
      </w:pPr>
      <w:r>
        <w:rPr>
          <w:rFonts w:hint="eastAsia" w:ascii="仿宋" w:eastAsia="仿宋"/>
          <w:sz w:val="21"/>
        </w:rPr>
        <w:t>合同</w:t>
      </w:r>
    </w:p>
    <w:p>
      <w:pPr>
        <w:spacing w:before="141" w:line="364" w:lineRule="auto"/>
        <w:ind w:left="731" w:right="890" w:firstLine="420"/>
        <w:jc w:val="left"/>
        <w:rPr>
          <w:rFonts w:hint="eastAsia" w:ascii="仿宋" w:eastAsia="仿宋"/>
          <w:sz w:val="21"/>
        </w:rPr>
      </w:pPr>
      <w:r>
        <w:rPr>
          <w:rFonts w:ascii="Times New Roman" w:eastAsia="Times New Roman"/>
          <w:sz w:val="21"/>
        </w:rPr>
        <w:t xml:space="preserve">1.1.1.10 </w:t>
      </w:r>
      <w:r>
        <w:rPr>
          <w:rFonts w:hint="eastAsia" w:ascii="仿宋" w:eastAsia="仿宋"/>
          <w:spacing w:val="-4"/>
          <w:sz w:val="21"/>
        </w:rPr>
        <w:t>其他合同文件包括：</w:t>
      </w:r>
      <w:r>
        <w:rPr>
          <w:rFonts w:hint="eastAsia" w:ascii="仿宋" w:eastAsia="仿宋"/>
          <w:spacing w:val="-4"/>
          <w:sz w:val="21"/>
          <w:u w:val="single"/>
        </w:rPr>
        <w:t>双方确认对施工有实质性影响的技术核定单、现场签证单、会议</w:t>
      </w:r>
      <w:r>
        <w:rPr>
          <w:rFonts w:hint="eastAsia" w:ascii="仿宋" w:eastAsia="仿宋"/>
          <w:spacing w:val="-4"/>
          <w:w w:val="95"/>
          <w:sz w:val="21"/>
          <w:u w:val="single"/>
        </w:rPr>
        <w:t>纪要、签证工程量清单、工程核价单、设计变更、联系函等资料及其附件等其他合同相关文件</w:t>
      </w:r>
      <w:r>
        <w:rPr>
          <w:rFonts w:hint="eastAsia" w:ascii="仿宋" w:eastAsia="仿宋"/>
          <w:spacing w:val="-4"/>
          <w:w w:val="95"/>
          <w:sz w:val="21"/>
        </w:rPr>
        <w:t>。</w:t>
      </w:r>
    </w:p>
    <w:p>
      <w:pPr>
        <w:pStyle w:val="13"/>
        <w:numPr>
          <w:ilvl w:val="2"/>
          <w:numId w:val="34"/>
        </w:numPr>
        <w:tabs>
          <w:tab w:val="left" w:pos="1677"/>
        </w:tabs>
        <w:spacing w:before="0" w:after="0" w:line="267" w:lineRule="exact"/>
        <w:ind w:left="1676" w:right="0" w:hanging="526"/>
        <w:jc w:val="left"/>
        <w:rPr>
          <w:rFonts w:ascii="Times New Roman" w:eastAsia="Times New Roman"/>
          <w:sz w:val="21"/>
        </w:rPr>
      </w:pPr>
      <w:r>
        <w:rPr>
          <w:rFonts w:hint="eastAsia" w:ascii="仿宋" w:eastAsia="仿宋"/>
          <w:sz w:val="21"/>
        </w:rPr>
        <w:t>合同当事人及其他相关方</w:t>
      </w:r>
    </w:p>
    <w:p>
      <w:pPr>
        <w:pStyle w:val="13"/>
        <w:numPr>
          <w:ilvl w:val="3"/>
          <w:numId w:val="34"/>
        </w:numPr>
        <w:tabs>
          <w:tab w:val="left" w:pos="1780"/>
        </w:tabs>
        <w:spacing w:before="139" w:after="0" w:line="240" w:lineRule="auto"/>
        <w:ind w:left="1780" w:right="0" w:hanging="629"/>
        <w:jc w:val="left"/>
        <w:rPr>
          <w:rFonts w:hint="eastAsia" w:ascii="仿宋" w:eastAsia="仿宋"/>
          <w:sz w:val="21"/>
        </w:rPr>
      </w:pPr>
      <w:r>
        <w:rPr>
          <w:rFonts w:hint="eastAsia" w:ascii="仿宋" w:eastAsia="仿宋"/>
          <w:sz w:val="21"/>
        </w:rPr>
        <w:t>监理人：</w:t>
      </w:r>
    </w:p>
    <w:p>
      <w:pPr>
        <w:tabs>
          <w:tab w:val="left" w:pos="4511"/>
        </w:tabs>
        <w:spacing w:before="142"/>
        <w:ind w:left="1151" w:right="0" w:firstLine="0"/>
        <w:jc w:val="left"/>
        <w:rPr>
          <w:rFonts w:hint="eastAsia" w:ascii="仿宋" w:eastAsia="仿宋"/>
          <w:sz w:val="21"/>
        </w:rPr>
      </w:pPr>
      <w:r>
        <w:rPr>
          <w:rFonts w:hint="eastAsia" w:ascii="仿宋" w:eastAsia="仿宋"/>
          <w:sz w:val="21"/>
        </w:rPr>
        <w:t>名称：</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w:t>
      </w:r>
    </w:p>
    <w:p>
      <w:pPr>
        <w:tabs>
          <w:tab w:val="left" w:pos="5036"/>
          <w:tab w:val="left" w:pos="5139"/>
        </w:tabs>
        <w:spacing w:before="139" w:line="364" w:lineRule="auto"/>
        <w:ind w:left="1151" w:right="5096" w:firstLine="0"/>
        <w:jc w:val="left"/>
        <w:rPr>
          <w:rFonts w:hint="eastAsia" w:ascii="仿宋" w:eastAsia="仿宋"/>
          <w:sz w:val="21"/>
        </w:rPr>
      </w:pPr>
      <w:r>
        <w:rPr>
          <w:rFonts w:hint="eastAsia" w:ascii="仿宋" w:eastAsia="仿宋"/>
          <w:sz w:val="21"/>
        </w:rPr>
        <w:t>资质类别和等级：</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u w:val="single"/>
        </w:rPr>
        <w:tab/>
      </w:r>
      <w:r>
        <w:rPr>
          <w:rFonts w:hint="eastAsia" w:ascii="仿宋" w:eastAsia="仿宋"/>
          <w:spacing w:val="-18"/>
          <w:sz w:val="21"/>
        </w:rPr>
        <w:t xml:space="preserve">； </w:t>
      </w:r>
      <w:r>
        <w:rPr>
          <w:rFonts w:hint="eastAsia" w:ascii="仿宋" w:eastAsia="仿宋"/>
          <w:sz w:val="21"/>
        </w:rPr>
        <w:t>联系电话：</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w:t>
      </w:r>
    </w:p>
    <w:p>
      <w:pPr>
        <w:tabs>
          <w:tab w:val="left" w:pos="4511"/>
          <w:tab w:val="left" w:pos="5036"/>
        </w:tabs>
        <w:spacing w:before="0" w:line="242" w:lineRule="auto"/>
        <w:ind w:left="1151" w:right="5198" w:firstLine="0"/>
        <w:jc w:val="left"/>
        <w:rPr>
          <w:rFonts w:hint="eastAsia" w:ascii="仿宋" w:eastAsia="仿宋"/>
          <w:sz w:val="21"/>
        </w:rPr>
      </w:pPr>
      <w:r>
        <w:rPr>
          <w:rFonts w:hint="eastAsia" w:ascii="仿宋" w:eastAsia="仿宋"/>
          <w:sz w:val="21"/>
        </w:rPr>
        <w:t>电子信箱：</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u w:val="single"/>
        </w:rPr>
        <w:tab/>
      </w:r>
      <w:r>
        <w:rPr>
          <w:rFonts w:hint="eastAsia" w:ascii="仿宋" w:eastAsia="仿宋"/>
          <w:spacing w:val="-17"/>
          <w:sz w:val="21"/>
        </w:rPr>
        <w:t xml:space="preserve">； </w:t>
      </w:r>
      <w:r>
        <w:rPr>
          <w:rFonts w:hint="eastAsia" w:ascii="仿宋" w:eastAsia="仿宋"/>
          <w:sz w:val="21"/>
        </w:rPr>
        <w:t>通信地址：</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w:t>
      </w:r>
    </w:p>
    <w:p>
      <w:pPr>
        <w:pStyle w:val="13"/>
        <w:numPr>
          <w:ilvl w:val="3"/>
          <w:numId w:val="34"/>
        </w:numPr>
        <w:tabs>
          <w:tab w:val="left" w:pos="1833"/>
        </w:tabs>
        <w:spacing w:before="136" w:after="0" w:line="240" w:lineRule="auto"/>
        <w:ind w:left="1832" w:right="0" w:hanging="682"/>
        <w:jc w:val="left"/>
        <w:rPr>
          <w:rFonts w:hint="eastAsia" w:ascii="仿宋" w:eastAsia="仿宋"/>
          <w:sz w:val="21"/>
        </w:rPr>
      </w:pPr>
      <w:r>
        <w:rPr>
          <w:rFonts w:hint="eastAsia" w:ascii="仿宋" w:eastAsia="仿宋"/>
          <w:sz w:val="21"/>
        </w:rPr>
        <w:t>设计人：</w:t>
      </w:r>
    </w:p>
    <w:p>
      <w:pPr>
        <w:tabs>
          <w:tab w:val="left" w:pos="3776"/>
        </w:tabs>
        <w:spacing w:before="139"/>
        <w:ind w:left="1151" w:right="0" w:firstLine="0"/>
        <w:jc w:val="left"/>
        <w:rPr>
          <w:rFonts w:hint="eastAsia" w:ascii="仿宋" w:eastAsia="仿宋"/>
          <w:sz w:val="21"/>
        </w:rPr>
      </w:pPr>
      <w:r>
        <w:rPr>
          <w:rFonts w:hint="eastAsia" w:ascii="仿宋" w:eastAsia="仿宋"/>
          <w:sz w:val="21"/>
        </w:rPr>
        <w:t>名称：</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w:t>
      </w:r>
    </w:p>
    <w:p>
      <w:pPr>
        <w:tabs>
          <w:tab w:val="left" w:pos="4299"/>
        </w:tabs>
        <w:spacing w:before="139" w:line="367" w:lineRule="auto"/>
        <w:ind w:left="1151" w:right="5936" w:firstLine="0"/>
        <w:jc w:val="left"/>
        <w:rPr>
          <w:rFonts w:hint="eastAsia" w:ascii="仿宋" w:eastAsia="仿宋"/>
          <w:sz w:val="21"/>
        </w:rPr>
      </w:pPr>
      <w:r>
        <w:rPr>
          <w:rFonts w:hint="eastAsia" w:ascii="仿宋" w:eastAsia="仿宋"/>
          <w:sz w:val="21"/>
        </w:rPr>
        <w:t>资质类别和等级：</w:t>
      </w:r>
      <w:r>
        <w:rPr>
          <w:rFonts w:hint="eastAsia" w:ascii="仿宋" w:eastAsia="仿宋"/>
          <w:sz w:val="21"/>
          <w:u w:val="single"/>
        </w:rPr>
        <w:t xml:space="preserve"> </w:t>
      </w:r>
      <w:r>
        <w:rPr>
          <w:rFonts w:hint="eastAsia" w:ascii="仿宋" w:eastAsia="仿宋"/>
          <w:sz w:val="21"/>
          <w:u w:val="single"/>
        </w:rPr>
        <w:tab/>
      </w:r>
      <w:r>
        <w:rPr>
          <w:rFonts w:hint="eastAsia" w:ascii="仿宋" w:eastAsia="仿宋"/>
          <w:spacing w:val="-18"/>
          <w:sz w:val="21"/>
        </w:rPr>
        <w:t xml:space="preserve">； </w:t>
      </w:r>
      <w:r>
        <w:rPr>
          <w:rFonts w:hint="eastAsia" w:ascii="仿宋" w:eastAsia="仿宋"/>
          <w:sz w:val="21"/>
        </w:rPr>
        <w:t>联系电话：</w:t>
      </w:r>
      <w:r>
        <w:rPr>
          <w:rFonts w:hint="eastAsia" w:ascii="仿宋" w:eastAsia="仿宋"/>
          <w:sz w:val="21"/>
          <w:u w:val="single"/>
        </w:rPr>
        <w:t xml:space="preserve"> </w:t>
      </w:r>
      <w:r>
        <w:rPr>
          <w:rFonts w:hint="eastAsia" w:ascii="仿宋" w:eastAsia="仿宋"/>
          <w:sz w:val="21"/>
          <w:u w:val="single"/>
        </w:rPr>
        <w:tab/>
      </w:r>
      <w:r>
        <w:rPr>
          <w:rFonts w:hint="eastAsia" w:ascii="仿宋" w:eastAsia="仿宋"/>
          <w:spacing w:val="-18"/>
          <w:sz w:val="21"/>
        </w:rPr>
        <w:t>；</w:t>
      </w:r>
    </w:p>
    <w:p>
      <w:pPr>
        <w:tabs>
          <w:tab w:val="left" w:pos="4771"/>
        </w:tabs>
        <w:spacing w:before="0" w:line="364" w:lineRule="auto"/>
        <w:ind w:left="1151" w:right="5462" w:firstLine="0"/>
        <w:jc w:val="left"/>
        <w:rPr>
          <w:rFonts w:hint="eastAsia" w:ascii="仿宋" w:eastAsia="仿宋"/>
          <w:sz w:val="21"/>
        </w:rPr>
      </w:pPr>
      <w:r>
        <w:rPr>
          <w:rFonts w:hint="eastAsia" w:ascii="仿宋" w:eastAsia="仿宋"/>
          <w:sz w:val="21"/>
        </w:rPr>
        <w:t>电子信箱：</w:t>
      </w:r>
      <w:r>
        <w:rPr>
          <w:rFonts w:hint="eastAsia" w:ascii="仿宋" w:eastAsia="仿宋"/>
          <w:sz w:val="21"/>
          <w:u w:val="single"/>
        </w:rPr>
        <w:t xml:space="preserve"> </w:t>
      </w:r>
      <w:r>
        <w:rPr>
          <w:rFonts w:hint="eastAsia" w:ascii="仿宋" w:eastAsia="仿宋"/>
          <w:sz w:val="21"/>
          <w:u w:val="single"/>
        </w:rPr>
        <w:tab/>
      </w:r>
      <w:r>
        <w:rPr>
          <w:rFonts w:hint="eastAsia" w:ascii="仿宋" w:eastAsia="仿宋"/>
          <w:spacing w:val="-16"/>
          <w:sz w:val="21"/>
        </w:rPr>
        <w:t xml:space="preserve">； </w:t>
      </w:r>
      <w:r>
        <w:rPr>
          <w:rFonts w:hint="eastAsia" w:ascii="仿宋" w:eastAsia="仿宋"/>
          <w:sz w:val="21"/>
        </w:rPr>
        <w:t>通信地址：</w:t>
      </w:r>
      <w:r>
        <w:rPr>
          <w:rFonts w:hint="eastAsia" w:ascii="仿宋" w:eastAsia="仿宋"/>
          <w:sz w:val="21"/>
          <w:u w:val="single"/>
        </w:rPr>
        <w:t xml:space="preserve"> </w:t>
      </w:r>
      <w:r>
        <w:rPr>
          <w:rFonts w:hint="eastAsia" w:ascii="仿宋" w:eastAsia="仿宋"/>
          <w:sz w:val="21"/>
          <w:u w:val="single"/>
        </w:rPr>
        <w:tab/>
      </w:r>
      <w:r>
        <w:rPr>
          <w:rFonts w:hint="eastAsia" w:ascii="仿宋" w:eastAsia="仿宋"/>
          <w:spacing w:val="-16"/>
          <w:sz w:val="21"/>
        </w:rPr>
        <w:t>。</w:t>
      </w:r>
    </w:p>
    <w:p>
      <w:pPr>
        <w:pStyle w:val="13"/>
        <w:numPr>
          <w:ilvl w:val="2"/>
          <w:numId w:val="34"/>
        </w:numPr>
        <w:tabs>
          <w:tab w:val="left" w:pos="1677"/>
        </w:tabs>
        <w:spacing w:before="0" w:after="0" w:line="240" w:lineRule="auto"/>
        <w:ind w:left="1676" w:right="0" w:hanging="526"/>
        <w:jc w:val="left"/>
        <w:rPr>
          <w:rFonts w:ascii="Times New Roman" w:eastAsia="Times New Roman"/>
          <w:sz w:val="21"/>
        </w:rPr>
      </w:pPr>
      <w:r>
        <w:rPr>
          <w:rFonts w:hint="eastAsia" w:ascii="仿宋" w:eastAsia="仿宋"/>
          <w:sz w:val="21"/>
        </w:rPr>
        <w:t>工程和设备</w:t>
      </w:r>
    </w:p>
    <w:p>
      <w:pPr>
        <w:spacing w:before="134" w:line="364" w:lineRule="auto"/>
        <w:ind w:left="731" w:right="784" w:firstLine="420"/>
        <w:jc w:val="left"/>
        <w:rPr>
          <w:rFonts w:hint="eastAsia" w:ascii="仿宋" w:eastAsia="仿宋"/>
          <w:sz w:val="21"/>
        </w:rPr>
      </w:pPr>
      <w:r>
        <w:rPr>
          <w:rFonts w:ascii="Times New Roman" w:eastAsia="Times New Roman"/>
          <w:sz w:val="21"/>
        </w:rPr>
        <w:t xml:space="preserve">1.1.3.7 </w:t>
      </w:r>
      <w:r>
        <w:rPr>
          <w:rFonts w:hint="eastAsia" w:ascii="仿宋" w:eastAsia="仿宋"/>
          <w:spacing w:val="-5"/>
          <w:sz w:val="21"/>
        </w:rPr>
        <w:t>作为施工现场组成部分的其他场所包括：</w:t>
      </w:r>
      <w:r>
        <w:rPr>
          <w:rFonts w:hint="eastAsia" w:ascii="仿宋" w:eastAsia="仿宋"/>
          <w:spacing w:val="-9"/>
          <w:sz w:val="21"/>
          <w:u w:val="single"/>
        </w:rPr>
        <w:t>图纸所示施工区域，搭建的现场临时办公室、</w:t>
      </w:r>
      <w:r>
        <w:rPr>
          <w:rFonts w:hint="eastAsia" w:ascii="仿宋" w:eastAsia="仿宋"/>
          <w:spacing w:val="-207"/>
          <w:sz w:val="21"/>
          <w:u w:val="single"/>
        </w:rPr>
        <w:t>临</w:t>
      </w:r>
      <w:r>
        <w:rPr>
          <w:rFonts w:hint="eastAsia" w:ascii="仿宋" w:eastAsia="仿宋"/>
          <w:sz w:val="21"/>
          <w:u w:val="single"/>
        </w:rPr>
        <w:t>时工棚、材料堆放地等。</w:t>
      </w:r>
    </w:p>
    <w:p>
      <w:pPr>
        <w:spacing w:before="0" w:line="364" w:lineRule="auto"/>
        <w:ind w:left="731" w:right="892" w:firstLine="420"/>
        <w:jc w:val="left"/>
        <w:rPr>
          <w:rFonts w:hint="eastAsia" w:ascii="仿宋" w:eastAsia="仿宋"/>
          <w:sz w:val="21"/>
        </w:rPr>
      </w:pPr>
      <w:r>
        <w:rPr>
          <w:rFonts w:hint="eastAsia" w:ascii="仿宋" w:eastAsia="仿宋"/>
          <w:w w:val="95"/>
          <w:sz w:val="21"/>
          <w:u w:val="single"/>
        </w:rPr>
        <w:t>如上述场所不能满足承包人施工需要，承包人应自行考虑解决方案并经发包人的同意，同时</w:t>
      </w:r>
      <w:r>
        <w:rPr>
          <w:rFonts w:hint="eastAsia" w:ascii="仿宋" w:eastAsia="仿宋"/>
          <w:spacing w:val="-199"/>
          <w:w w:val="95"/>
          <w:sz w:val="21"/>
          <w:u w:val="single"/>
        </w:rPr>
        <w:t>自行</w:t>
      </w:r>
      <w:r>
        <w:rPr>
          <w:rFonts w:hint="eastAsia" w:ascii="仿宋" w:eastAsia="仿宋"/>
          <w:spacing w:val="116"/>
          <w:w w:val="95"/>
          <w:sz w:val="21"/>
          <w:u w:val="single"/>
        </w:rPr>
        <w:t xml:space="preserve"> </w:t>
      </w:r>
      <w:r>
        <w:rPr>
          <w:rFonts w:hint="eastAsia" w:ascii="仿宋" w:eastAsia="仿宋"/>
          <w:sz w:val="21"/>
          <w:u w:val="single"/>
        </w:rPr>
        <w:t>承担相应费用。</w:t>
      </w:r>
    </w:p>
    <w:p>
      <w:pPr>
        <w:pStyle w:val="13"/>
        <w:numPr>
          <w:ilvl w:val="3"/>
          <w:numId w:val="35"/>
        </w:numPr>
        <w:tabs>
          <w:tab w:val="left" w:pos="1833"/>
        </w:tabs>
        <w:spacing w:before="0" w:after="0" w:line="267" w:lineRule="exact"/>
        <w:ind w:left="1832" w:right="0" w:hanging="682"/>
        <w:jc w:val="left"/>
        <w:rPr>
          <w:rFonts w:hint="eastAsia" w:ascii="仿宋" w:eastAsia="仿宋"/>
          <w:sz w:val="21"/>
        </w:rPr>
      </w:pPr>
      <w:r>
        <w:rPr>
          <w:rFonts w:hint="eastAsia" w:ascii="仿宋" w:eastAsia="仿宋"/>
          <w:sz w:val="21"/>
        </w:rPr>
        <w:t>永久占地包括：</w:t>
      </w:r>
      <w:r>
        <w:rPr>
          <w:rFonts w:hint="eastAsia" w:ascii="仿宋" w:eastAsia="仿宋"/>
          <w:sz w:val="21"/>
          <w:u w:val="single"/>
        </w:rPr>
        <w:t>依据设计图纸确定</w:t>
      </w:r>
      <w:r>
        <w:rPr>
          <w:rFonts w:hint="eastAsia" w:ascii="仿宋" w:eastAsia="仿宋"/>
          <w:sz w:val="21"/>
        </w:rPr>
        <w:t>。</w:t>
      </w:r>
    </w:p>
    <w:p>
      <w:pPr>
        <w:pStyle w:val="13"/>
        <w:numPr>
          <w:ilvl w:val="3"/>
          <w:numId w:val="35"/>
        </w:numPr>
        <w:tabs>
          <w:tab w:val="left" w:pos="1939"/>
        </w:tabs>
        <w:spacing w:before="140" w:after="0" w:line="240" w:lineRule="auto"/>
        <w:ind w:left="1938" w:right="0" w:hanging="788"/>
        <w:jc w:val="left"/>
        <w:rPr>
          <w:rFonts w:hint="eastAsia" w:ascii="仿宋" w:eastAsia="仿宋"/>
          <w:sz w:val="21"/>
        </w:rPr>
      </w:pPr>
      <w:r>
        <w:rPr>
          <w:rFonts w:hint="eastAsia" w:ascii="仿宋" w:eastAsia="仿宋"/>
          <w:sz w:val="21"/>
        </w:rPr>
        <w:t>临时占地包括：</w:t>
      </w:r>
      <w:r>
        <w:rPr>
          <w:rFonts w:hint="eastAsia" w:ascii="仿宋" w:eastAsia="仿宋"/>
          <w:sz w:val="21"/>
          <w:u w:val="single"/>
        </w:rPr>
        <w:t>由承包人自行解决，并将临时占地方案报发包人同意</w:t>
      </w:r>
      <w:r>
        <w:rPr>
          <w:rFonts w:hint="eastAsia" w:ascii="仿宋" w:eastAsia="仿宋"/>
          <w:sz w:val="21"/>
        </w:rPr>
        <w:t>。</w:t>
      </w:r>
    </w:p>
    <w:p>
      <w:pPr>
        <w:pStyle w:val="13"/>
        <w:numPr>
          <w:ilvl w:val="1"/>
          <w:numId w:val="36"/>
        </w:numPr>
        <w:tabs>
          <w:tab w:val="left" w:pos="1466"/>
        </w:tabs>
        <w:spacing w:before="138" w:after="0" w:line="240" w:lineRule="auto"/>
        <w:ind w:left="1465" w:right="0" w:hanging="315"/>
        <w:jc w:val="left"/>
        <w:rPr>
          <w:rFonts w:hint="eastAsia" w:ascii="黑体" w:eastAsia="黑体"/>
          <w:sz w:val="21"/>
        </w:rPr>
      </w:pPr>
      <w:r>
        <w:rPr>
          <w:rFonts w:hint="eastAsia" w:ascii="黑体" w:eastAsia="黑体"/>
          <w:sz w:val="21"/>
        </w:rPr>
        <w:t>法律</w:t>
      </w:r>
    </w:p>
    <w:p>
      <w:pPr>
        <w:pStyle w:val="9"/>
        <w:spacing w:before="3"/>
        <w:rPr>
          <w:rFonts w:ascii="黑体"/>
          <w:sz w:val="20"/>
        </w:rPr>
      </w:pPr>
    </w:p>
    <w:p>
      <w:pPr>
        <w:spacing w:before="0"/>
        <w:ind w:left="1326" w:right="0" w:firstLine="0"/>
        <w:jc w:val="left"/>
        <w:rPr>
          <w:rFonts w:hint="eastAsia" w:ascii="仿宋" w:eastAsia="仿宋"/>
          <w:sz w:val="21"/>
        </w:rPr>
      </w:pPr>
      <w:r>
        <w:rPr>
          <w:rFonts w:hint="eastAsia" w:ascii="仿宋" w:eastAsia="仿宋"/>
          <w:sz w:val="21"/>
        </w:rPr>
        <w:t>适用于合同的其他规范性文件：</w:t>
      </w:r>
      <w:r>
        <w:rPr>
          <w:rFonts w:hint="eastAsia" w:ascii="仿宋" w:eastAsia="仿宋"/>
          <w:sz w:val="21"/>
          <w:u w:val="single"/>
        </w:rPr>
        <w:t>《中华人民共和国民法典》、《中华人民共和国建筑法》、</w:t>
      </w:r>
    </w:p>
    <w:p>
      <w:pPr>
        <w:spacing w:before="139" w:line="367" w:lineRule="auto"/>
        <w:ind w:left="1326" w:right="928" w:firstLine="0"/>
        <w:jc w:val="left"/>
        <w:rPr>
          <w:rFonts w:hint="eastAsia" w:ascii="仿宋" w:eastAsia="仿宋"/>
          <w:sz w:val="21"/>
        </w:rPr>
      </w:pPr>
      <w:r>
        <w:rPr>
          <w:rFonts w:hint="eastAsia" w:ascii="仿宋" w:eastAsia="仿宋"/>
          <w:w w:val="95"/>
          <w:sz w:val="21"/>
          <w:u w:val="single"/>
        </w:rPr>
        <w:t>《中华人民共和国招标投标法》、《中华人民共和国安全生产法》、《建设工程质量管理</w:t>
      </w:r>
      <w:r>
        <w:rPr>
          <w:rFonts w:hint="eastAsia" w:ascii="仿宋" w:eastAsia="仿宋"/>
          <w:spacing w:val="-208"/>
          <w:w w:val="95"/>
          <w:sz w:val="21"/>
          <w:u w:val="single"/>
        </w:rPr>
        <w:t>条</w:t>
      </w:r>
      <w:r>
        <w:rPr>
          <w:rFonts w:hint="eastAsia" w:ascii="仿宋" w:eastAsia="仿宋"/>
          <w:spacing w:val="115"/>
          <w:w w:val="95"/>
          <w:sz w:val="21"/>
          <w:u w:val="single"/>
        </w:rPr>
        <w:t xml:space="preserve"> </w:t>
      </w:r>
      <w:r>
        <w:rPr>
          <w:rFonts w:hint="eastAsia" w:ascii="仿宋" w:eastAsia="仿宋"/>
          <w:sz w:val="21"/>
          <w:u w:val="single"/>
        </w:rPr>
        <w:t>例》以及国家现行有关法律、法规及规范性文件</w:t>
      </w:r>
      <w:r>
        <w:rPr>
          <w:rFonts w:hint="eastAsia" w:ascii="仿宋" w:eastAsia="仿宋"/>
          <w:sz w:val="21"/>
        </w:rPr>
        <w:t>。</w:t>
      </w:r>
    </w:p>
    <w:p>
      <w:pPr>
        <w:pStyle w:val="13"/>
        <w:numPr>
          <w:ilvl w:val="1"/>
          <w:numId w:val="36"/>
        </w:numPr>
        <w:tabs>
          <w:tab w:val="left" w:pos="1519"/>
        </w:tabs>
        <w:spacing w:before="0" w:after="0" w:line="264" w:lineRule="exact"/>
        <w:ind w:left="1518" w:right="0" w:hanging="368"/>
        <w:jc w:val="left"/>
        <w:rPr>
          <w:rFonts w:hint="eastAsia" w:ascii="黑体" w:eastAsia="黑体"/>
          <w:sz w:val="21"/>
        </w:rPr>
      </w:pPr>
      <w:r>
        <w:rPr>
          <w:rFonts w:hint="eastAsia" w:ascii="黑体" w:eastAsia="黑体"/>
          <w:sz w:val="21"/>
        </w:rPr>
        <w:t>标准和规范</w:t>
      </w:r>
    </w:p>
    <w:p>
      <w:pPr>
        <w:spacing w:after="0" w:line="264" w:lineRule="exact"/>
        <w:jc w:val="left"/>
        <w:rPr>
          <w:rFonts w:hint="eastAsia" w:ascii="黑体" w:eastAsia="黑体"/>
          <w:sz w:val="21"/>
        </w:rPr>
        <w:sectPr>
          <w:pgSz w:w="11910" w:h="16840"/>
          <w:pgMar w:top="1100" w:right="660" w:bottom="1200" w:left="800" w:header="878" w:footer="993" w:gutter="0"/>
          <w:cols w:space="720" w:num="1"/>
        </w:sectPr>
      </w:pPr>
    </w:p>
    <w:p>
      <w:pPr>
        <w:pStyle w:val="9"/>
        <w:spacing w:before="5"/>
        <w:rPr>
          <w:rFonts w:ascii="黑体"/>
          <w:sz w:val="17"/>
        </w:rPr>
      </w:pPr>
    </w:p>
    <w:p>
      <w:pPr>
        <w:pStyle w:val="13"/>
        <w:numPr>
          <w:ilvl w:val="2"/>
          <w:numId w:val="36"/>
        </w:numPr>
        <w:tabs>
          <w:tab w:val="left" w:pos="1800"/>
        </w:tabs>
        <w:spacing w:before="77" w:after="0" w:line="240" w:lineRule="auto"/>
        <w:ind w:left="1799" w:right="0" w:hanging="474"/>
        <w:jc w:val="left"/>
        <w:rPr>
          <w:rFonts w:hint="eastAsia" w:ascii="仿宋" w:eastAsia="仿宋"/>
          <w:sz w:val="21"/>
        </w:rPr>
      </w:pPr>
      <w:r>
        <w:rPr>
          <w:rFonts w:hint="eastAsia" w:ascii="仿宋" w:eastAsia="仿宋"/>
          <w:sz w:val="21"/>
        </w:rPr>
        <w:t>适用于工程的标准规范包括：</w:t>
      </w:r>
      <w:r>
        <w:rPr>
          <w:rFonts w:hint="eastAsia" w:ascii="仿宋" w:eastAsia="仿宋"/>
          <w:sz w:val="21"/>
          <w:u w:val="single"/>
        </w:rPr>
        <w:t>执行通用条款。</w:t>
      </w:r>
    </w:p>
    <w:p>
      <w:pPr>
        <w:pStyle w:val="13"/>
        <w:numPr>
          <w:ilvl w:val="2"/>
          <w:numId w:val="36"/>
        </w:numPr>
        <w:tabs>
          <w:tab w:val="left" w:pos="1677"/>
        </w:tabs>
        <w:spacing w:before="139" w:after="0" w:line="367" w:lineRule="auto"/>
        <w:ind w:left="731" w:right="892" w:firstLine="420"/>
        <w:jc w:val="left"/>
        <w:rPr>
          <w:rFonts w:hint="eastAsia" w:ascii="仿宋" w:eastAsia="仿宋"/>
          <w:sz w:val="21"/>
        </w:rPr>
      </w:pPr>
      <w:r>
        <w:rPr>
          <w:rFonts w:hint="eastAsia" w:ascii="仿宋" w:eastAsia="仿宋"/>
          <w:spacing w:val="-5"/>
          <w:w w:val="95"/>
          <w:sz w:val="21"/>
        </w:rPr>
        <w:t>发包人提供国外标准、规范的名称：</w:t>
      </w:r>
      <w:r>
        <w:rPr>
          <w:rFonts w:hint="eastAsia" w:ascii="仿宋" w:eastAsia="仿宋"/>
          <w:spacing w:val="-5"/>
          <w:w w:val="95"/>
          <w:sz w:val="21"/>
          <w:u w:val="single"/>
        </w:rPr>
        <w:t xml:space="preserve">国内没有相应标准、规范时的约定：承包人自行决  </w:t>
      </w:r>
      <w:r>
        <w:rPr>
          <w:rFonts w:hint="eastAsia" w:ascii="仿宋" w:eastAsia="仿宋"/>
          <w:spacing w:val="-5"/>
          <w:sz w:val="21"/>
          <w:u w:val="single"/>
        </w:rPr>
        <w:t>定，但该等标准、规范需报发包人代表、监理（总监）及造价工程监理审批确认</w:t>
      </w:r>
      <w:r>
        <w:rPr>
          <w:rFonts w:hint="eastAsia" w:ascii="仿宋" w:eastAsia="仿宋"/>
          <w:spacing w:val="-5"/>
          <w:sz w:val="21"/>
        </w:rPr>
        <w:t>；</w:t>
      </w:r>
    </w:p>
    <w:p>
      <w:pPr>
        <w:spacing w:before="0" w:line="364" w:lineRule="auto"/>
        <w:ind w:left="1151" w:right="5618" w:firstLine="0"/>
        <w:jc w:val="left"/>
        <w:rPr>
          <w:rFonts w:hint="eastAsia" w:ascii="仿宋" w:eastAsia="仿宋"/>
          <w:sz w:val="21"/>
        </w:rPr>
      </w:pPr>
      <w:r>
        <w:rPr>
          <w:rFonts w:hint="eastAsia" w:ascii="仿宋" w:eastAsia="仿宋"/>
          <w:sz w:val="21"/>
        </w:rPr>
        <w:t>发包人提供国外标准、规范的份数：</w:t>
      </w:r>
      <w:r>
        <w:rPr>
          <w:rFonts w:hint="eastAsia" w:ascii="仿宋" w:eastAsia="仿宋"/>
          <w:sz w:val="21"/>
          <w:u w:val="single"/>
        </w:rPr>
        <w:t>/</w:t>
      </w:r>
      <w:r>
        <w:rPr>
          <w:rFonts w:hint="eastAsia" w:ascii="仿宋" w:eastAsia="仿宋"/>
          <w:sz w:val="21"/>
        </w:rPr>
        <w:t>； 发包人提供国外标准、规范的名称：</w:t>
      </w:r>
      <w:r>
        <w:rPr>
          <w:rFonts w:hint="eastAsia" w:ascii="仿宋" w:eastAsia="仿宋"/>
          <w:sz w:val="21"/>
          <w:u w:val="single"/>
        </w:rPr>
        <w:t>/</w:t>
      </w:r>
      <w:r>
        <w:rPr>
          <w:rFonts w:hint="eastAsia" w:ascii="仿宋" w:eastAsia="仿宋"/>
          <w:sz w:val="21"/>
        </w:rPr>
        <w:t>。</w:t>
      </w:r>
    </w:p>
    <w:p>
      <w:pPr>
        <w:pStyle w:val="13"/>
        <w:numPr>
          <w:ilvl w:val="2"/>
          <w:numId w:val="36"/>
        </w:numPr>
        <w:tabs>
          <w:tab w:val="left" w:pos="1800"/>
        </w:tabs>
        <w:spacing w:before="0" w:after="0" w:line="267" w:lineRule="exact"/>
        <w:ind w:left="1799" w:right="0" w:hanging="474"/>
        <w:jc w:val="left"/>
        <w:rPr>
          <w:rFonts w:hint="eastAsia" w:ascii="仿宋" w:eastAsia="仿宋"/>
          <w:sz w:val="21"/>
        </w:rPr>
      </w:pPr>
      <w:r>
        <w:rPr>
          <w:rFonts w:hint="eastAsia" w:ascii="仿宋" w:eastAsia="仿宋"/>
          <w:sz w:val="21"/>
        </w:rPr>
        <w:t>发包人对工程的技术标准和功能要求的特殊要求：</w:t>
      </w:r>
      <w:r>
        <w:rPr>
          <w:rFonts w:ascii="Times New Roman" w:eastAsia="Times New Roman"/>
          <w:sz w:val="21"/>
          <w:u w:val="single"/>
        </w:rPr>
        <w:t>/</w:t>
      </w:r>
      <w:r>
        <w:rPr>
          <w:rFonts w:ascii="Times New Roman" w:eastAsia="Times New Roman"/>
          <w:spacing w:val="52"/>
          <w:sz w:val="21"/>
        </w:rPr>
        <w:t xml:space="preserve"> </w:t>
      </w:r>
      <w:r>
        <w:rPr>
          <w:rFonts w:hint="eastAsia" w:ascii="仿宋" w:eastAsia="仿宋"/>
          <w:sz w:val="21"/>
        </w:rPr>
        <w:t>。</w:t>
      </w:r>
    </w:p>
    <w:p>
      <w:pPr>
        <w:pStyle w:val="13"/>
        <w:numPr>
          <w:ilvl w:val="1"/>
          <w:numId w:val="36"/>
        </w:numPr>
        <w:tabs>
          <w:tab w:val="left" w:pos="1519"/>
        </w:tabs>
        <w:spacing w:before="136" w:after="0" w:line="240" w:lineRule="auto"/>
        <w:ind w:left="1518" w:right="0" w:hanging="368"/>
        <w:jc w:val="left"/>
        <w:rPr>
          <w:rFonts w:hint="eastAsia" w:ascii="黑体" w:eastAsia="黑体"/>
          <w:sz w:val="21"/>
        </w:rPr>
      </w:pPr>
      <w:r>
        <w:rPr>
          <w:rFonts w:hint="eastAsia" w:ascii="黑体" w:eastAsia="黑体"/>
          <w:sz w:val="21"/>
        </w:rPr>
        <w:t>合同文件的优先顺序</w:t>
      </w:r>
    </w:p>
    <w:p>
      <w:pPr>
        <w:pStyle w:val="9"/>
        <w:spacing w:before="3"/>
        <w:rPr>
          <w:rFonts w:ascii="黑体"/>
          <w:sz w:val="20"/>
        </w:rPr>
      </w:pPr>
    </w:p>
    <w:p>
      <w:pPr>
        <w:spacing w:before="0"/>
        <w:ind w:left="1151" w:right="0" w:firstLine="0"/>
        <w:jc w:val="left"/>
        <w:rPr>
          <w:rFonts w:hint="eastAsia" w:ascii="仿宋" w:eastAsia="仿宋"/>
          <w:sz w:val="21"/>
        </w:rPr>
      </w:pPr>
      <w:r>
        <w:rPr>
          <w:rFonts w:hint="eastAsia" w:ascii="仿宋" w:eastAsia="仿宋"/>
          <w:sz w:val="21"/>
        </w:rPr>
        <w:t>合同文件组成及优先顺序为：</w:t>
      </w:r>
    </w:p>
    <w:p>
      <w:pPr>
        <w:pStyle w:val="9"/>
        <w:spacing w:before="8"/>
        <w:rPr>
          <w:rFonts w:ascii="仿宋"/>
          <w:sz w:val="25"/>
        </w:rPr>
      </w:pPr>
    </w:p>
    <w:p>
      <w:pPr>
        <w:pStyle w:val="13"/>
        <w:numPr>
          <w:ilvl w:val="0"/>
          <w:numId w:val="37"/>
        </w:numPr>
        <w:tabs>
          <w:tab w:val="left" w:pos="1676"/>
        </w:tabs>
        <w:spacing w:before="0" w:after="0" w:line="240" w:lineRule="auto"/>
        <w:ind w:left="1675" w:right="0" w:hanging="525"/>
        <w:jc w:val="left"/>
        <w:rPr>
          <w:rFonts w:hint="eastAsia" w:ascii="仿宋" w:eastAsia="仿宋"/>
          <w:sz w:val="21"/>
        </w:rPr>
      </w:pPr>
      <w:r>
        <w:rPr>
          <w:rFonts w:hint="eastAsia" w:ascii="仿宋" w:eastAsia="仿宋"/>
          <w:sz w:val="21"/>
        </w:rPr>
        <w:t>本合同签订后双方签订的补充协议等文件；</w:t>
      </w:r>
    </w:p>
    <w:p>
      <w:pPr>
        <w:pStyle w:val="9"/>
        <w:spacing w:before="12"/>
        <w:rPr>
          <w:rFonts w:ascii="仿宋"/>
          <w:sz w:val="17"/>
        </w:rPr>
      </w:pPr>
    </w:p>
    <w:p>
      <w:pPr>
        <w:pStyle w:val="13"/>
        <w:numPr>
          <w:ilvl w:val="0"/>
          <w:numId w:val="37"/>
        </w:numPr>
        <w:tabs>
          <w:tab w:val="left" w:pos="1676"/>
        </w:tabs>
        <w:spacing w:before="0" w:after="0" w:line="240" w:lineRule="auto"/>
        <w:ind w:left="1675" w:right="0" w:hanging="525"/>
        <w:jc w:val="left"/>
        <w:rPr>
          <w:rFonts w:hint="eastAsia" w:ascii="仿宋" w:eastAsia="仿宋"/>
          <w:sz w:val="21"/>
        </w:rPr>
      </w:pPr>
      <w:r>
        <w:rPr>
          <w:rFonts w:hint="eastAsia" w:ascii="仿宋" w:eastAsia="仿宋"/>
          <w:sz w:val="21"/>
        </w:rPr>
        <w:t>本合同协议书；</w:t>
      </w:r>
    </w:p>
    <w:p>
      <w:pPr>
        <w:pStyle w:val="9"/>
        <w:rPr>
          <w:rFonts w:ascii="仿宋"/>
          <w:sz w:val="18"/>
        </w:rPr>
      </w:pPr>
    </w:p>
    <w:p>
      <w:pPr>
        <w:pStyle w:val="13"/>
        <w:numPr>
          <w:ilvl w:val="0"/>
          <w:numId w:val="37"/>
        </w:numPr>
        <w:tabs>
          <w:tab w:val="left" w:pos="1676"/>
        </w:tabs>
        <w:spacing w:before="0" w:after="0" w:line="240" w:lineRule="auto"/>
        <w:ind w:left="1675" w:right="0" w:hanging="525"/>
        <w:jc w:val="left"/>
        <w:rPr>
          <w:rFonts w:hint="eastAsia" w:ascii="仿宋" w:eastAsia="仿宋"/>
          <w:sz w:val="21"/>
        </w:rPr>
      </w:pPr>
      <w:r>
        <w:rPr>
          <w:rFonts w:hint="eastAsia" w:ascii="仿宋" w:eastAsia="仿宋"/>
          <w:sz w:val="21"/>
        </w:rPr>
        <w:t>本合同专用条款；</w:t>
      </w:r>
    </w:p>
    <w:p>
      <w:pPr>
        <w:pStyle w:val="9"/>
        <w:spacing w:before="2"/>
        <w:rPr>
          <w:rFonts w:ascii="仿宋"/>
          <w:sz w:val="18"/>
        </w:rPr>
      </w:pPr>
    </w:p>
    <w:p>
      <w:pPr>
        <w:pStyle w:val="13"/>
        <w:numPr>
          <w:ilvl w:val="0"/>
          <w:numId w:val="37"/>
        </w:numPr>
        <w:tabs>
          <w:tab w:val="left" w:pos="1676"/>
        </w:tabs>
        <w:spacing w:before="0" w:after="0" w:line="240" w:lineRule="auto"/>
        <w:ind w:left="1675" w:right="0" w:hanging="525"/>
        <w:jc w:val="left"/>
        <w:rPr>
          <w:rFonts w:hint="eastAsia" w:ascii="仿宋" w:eastAsia="仿宋"/>
          <w:sz w:val="21"/>
        </w:rPr>
      </w:pPr>
      <w:r>
        <w:rPr>
          <w:rFonts w:hint="eastAsia" w:ascii="仿宋" w:eastAsia="仿宋"/>
          <w:sz w:val="21"/>
        </w:rPr>
        <w:t>中标通知书、询标回复与有关承诺；</w:t>
      </w:r>
    </w:p>
    <w:p>
      <w:pPr>
        <w:pStyle w:val="9"/>
        <w:spacing w:before="12"/>
        <w:rPr>
          <w:rFonts w:ascii="仿宋"/>
          <w:sz w:val="17"/>
        </w:rPr>
      </w:pPr>
    </w:p>
    <w:p>
      <w:pPr>
        <w:pStyle w:val="13"/>
        <w:numPr>
          <w:ilvl w:val="0"/>
          <w:numId w:val="37"/>
        </w:numPr>
        <w:tabs>
          <w:tab w:val="left" w:pos="1676"/>
        </w:tabs>
        <w:spacing w:before="0" w:after="0" w:line="240" w:lineRule="auto"/>
        <w:ind w:left="1675" w:right="0" w:hanging="525"/>
        <w:jc w:val="left"/>
        <w:rPr>
          <w:rFonts w:hint="eastAsia" w:ascii="仿宋" w:eastAsia="仿宋"/>
          <w:sz w:val="21"/>
        </w:rPr>
      </w:pPr>
      <w:r>
        <w:rPr>
          <w:rFonts w:hint="eastAsia" w:ascii="仿宋" w:eastAsia="仿宋"/>
          <w:sz w:val="21"/>
        </w:rPr>
        <w:t>投标函及其附录、已标价工程量清单；</w:t>
      </w:r>
    </w:p>
    <w:p>
      <w:pPr>
        <w:pStyle w:val="9"/>
        <w:spacing w:before="12"/>
        <w:rPr>
          <w:rFonts w:ascii="仿宋"/>
          <w:sz w:val="17"/>
        </w:rPr>
      </w:pPr>
    </w:p>
    <w:p>
      <w:pPr>
        <w:pStyle w:val="13"/>
        <w:numPr>
          <w:ilvl w:val="0"/>
          <w:numId w:val="37"/>
        </w:numPr>
        <w:tabs>
          <w:tab w:val="left" w:pos="1676"/>
        </w:tabs>
        <w:spacing w:before="0" w:after="0" w:line="240" w:lineRule="auto"/>
        <w:ind w:left="1675" w:right="0" w:hanging="525"/>
        <w:jc w:val="left"/>
        <w:rPr>
          <w:rFonts w:hint="eastAsia" w:ascii="仿宋" w:eastAsia="仿宋"/>
          <w:sz w:val="21"/>
        </w:rPr>
      </w:pPr>
      <w:r>
        <w:rPr>
          <w:rFonts w:hint="eastAsia" w:ascii="仿宋" w:eastAsia="仿宋"/>
          <w:sz w:val="21"/>
        </w:rPr>
        <w:t>本合同通用条款；</w:t>
      </w:r>
    </w:p>
    <w:p>
      <w:pPr>
        <w:pStyle w:val="9"/>
        <w:spacing w:before="2"/>
        <w:rPr>
          <w:rFonts w:ascii="仿宋"/>
          <w:sz w:val="18"/>
        </w:rPr>
      </w:pPr>
    </w:p>
    <w:p>
      <w:pPr>
        <w:pStyle w:val="13"/>
        <w:numPr>
          <w:ilvl w:val="0"/>
          <w:numId w:val="37"/>
        </w:numPr>
        <w:tabs>
          <w:tab w:val="left" w:pos="1676"/>
        </w:tabs>
        <w:spacing w:before="0" w:after="0" w:line="240" w:lineRule="auto"/>
        <w:ind w:left="1675" w:right="0" w:hanging="525"/>
        <w:jc w:val="left"/>
        <w:rPr>
          <w:rFonts w:hint="eastAsia" w:ascii="仿宋" w:eastAsia="仿宋"/>
          <w:sz w:val="21"/>
        </w:rPr>
      </w:pPr>
      <w:r>
        <w:rPr>
          <w:rFonts w:hint="eastAsia" w:ascii="仿宋" w:eastAsia="仿宋"/>
          <w:sz w:val="21"/>
        </w:rPr>
        <w:t>招标文件（包括投标人须知及工程量清单说明）；</w:t>
      </w:r>
    </w:p>
    <w:p>
      <w:pPr>
        <w:pStyle w:val="9"/>
        <w:rPr>
          <w:rFonts w:ascii="仿宋"/>
          <w:sz w:val="18"/>
        </w:rPr>
      </w:pPr>
    </w:p>
    <w:p>
      <w:pPr>
        <w:pStyle w:val="13"/>
        <w:numPr>
          <w:ilvl w:val="0"/>
          <w:numId w:val="37"/>
        </w:numPr>
        <w:tabs>
          <w:tab w:val="left" w:pos="1676"/>
        </w:tabs>
        <w:spacing w:before="0" w:after="0" w:line="240" w:lineRule="auto"/>
        <w:ind w:left="1675" w:right="0" w:hanging="525"/>
        <w:jc w:val="left"/>
        <w:rPr>
          <w:rFonts w:hint="eastAsia" w:ascii="仿宋" w:eastAsia="仿宋"/>
          <w:sz w:val="21"/>
        </w:rPr>
      </w:pPr>
      <w:r>
        <w:rPr>
          <w:rFonts w:hint="eastAsia" w:ascii="仿宋" w:eastAsia="仿宋"/>
          <w:sz w:val="21"/>
        </w:rPr>
        <w:t>上海市及国家现行相关工程标准、规范及技术文件等；</w:t>
      </w:r>
    </w:p>
    <w:p>
      <w:pPr>
        <w:pStyle w:val="9"/>
        <w:spacing w:before="12"/>
        <w:rPr>
          <w:rFonts w:ascii="仿宋"/>
          <w:sz w:val="17"/>
        </w:rPr>
      </w:pPr>
    </w:p>
    <w:p>
      <w:pPr>
        <w:pStyle w:val="13"/>
        <w:numPr>
          <w:ilvl w:val="0"/>
          <w:numId w:val="37"/>
        </w:numPr>
        <w:tabs>
          <w:tab w:val="left" w:pos="1676"/>
        </w:tabs>
        <w:spacing w:before="0" w:after="0" w:line="240" w:lineRule="auto"/>
        <w:ind w:left="1675" w:right="0" w:hanging="525"/>
        <w:jc w:val="left"/>
        <w:rPr>
          <w:rFonts w:hint="eastAsia" w:ascii="仿宋" w:eastAsia="仿宋"/>
          <w:sz w:val="21"/>
        </w:rPr>
      </w:pPr>
      <w:r>
        <w:rPr>
          <w:rFonts w:hint="eastAsia" w:ascii="仿宋" w:eastAsia="仿宋"/>
          <w:sz w:val="21"/>
        </w:rPr>
        <w:t>图纸及有关技术文件；</w:t>
      </w:r>
    </w:p>
    <w:p>
      <w:pPr>
        <w:pStyle w:val="9"/>
        <w:spacing w:before="2"/>
        <w:rPr>
          <w:rFonts w:ascii="仿宋"/>
          <w:sz w:val="18"/>
        </w:rPr>
      </w:pPr>
    </w:p>
    <w:p>
      <w:pPr>
        <w:pStyle w:val="13"/>
        <w:numPr>
          <w:ilvl w:val="0"/>
          <w:numId w:val="37"/>
        </w:numPr>
        <w:tabs>
          <w:tab w:val="left" w:pos="1782"/>
        </w:tabs>
        <w:spacing w:before="0" w:after="0" w:line="240" w:lineRule="auto"/>
        <w:ind w:left="1781" w:right="0" w:hanging="631"/>
        <w:jc w:val="left"/>
        <w:rPr>
          <w:rFonts w:hint="eastAsia" w:ascii="仿宋" w:eastAsia="仿宋"/>
          <w:sz w:val="21"/>
        </w:rPr>
      </w:pPr>
      <w:r>
        <w:rPr>
          <w:rFonts w:hint="eastAsia" w:ascii="仿宋" w:eastAsia="仿宋"/>
          <w:sz w:val="21"/>
        </w:rPr>
        <w:t>经批准实施的施工组织设计文件。</w:t>
      </w:r>
    </w:p>
    <w:p>
      <w:pPr>
        <w:spacing w:before="41" w:line="364" w:lineRule="auto"/>
        <w:ind w:left="731" w:right="788" w:firstLine="420"/>
        <w:jc w:val="both"/>
        <w:rPr>
          <w:rFonts w:hint="eastAsia" w:ascii="仿宋" w:eastAsia="仿宋"/>
          <w:sz w:val="21"/>
        </w:rPr>
      </w:pPr>
      <w:r>
        <w:rPr>
          <w:rFonts w:hint="eastAsia" w:ascii="仿宋" w:eastAsia="仿宋"/>
          <w:sz w:val="21"/>
        </w:rPr>
        <w:t>合同履行中，发包人和承包人有关工程的洽商、往来函件、承诺书、变更、技术核定、现场签证、工程核价等书面协议或文件视为本合同的组成部分，解释顺序遵循后签协议优先的原则。</w:t>
      </w:r>
      <w:r>
        <w:rPr>
          <w:rFonts w:hint="eastAsia" w:ascii="仿宋" w:eastAsia="仿宋"/>
          <w:w w:val="95"/>
          <w:sz w:val="21"/>
        </w:rPr>
        <w:t>合同、补充合同（包括其他书面文件）招标人和中标人不得签订背离招标投标实质性内容的条款。</w:t>
      </w:r>
    </w:p>
    <w:p>
      <w:pPr>
        <w:pStyle w:val="13"/>
        <w:numPr>
          <w:ilvl w:val="1"/>
          <w:numId w:val="36"/>
        </w:numPr>
        <w:tabs>
          <w:tab w:val="left" w:pos="1519"/>
        </w:tabs>
        <w:spacing w:before="119" w:after="0" w:line="240" w:lineRule="auto"/>
        <w:ind w:left="1518" w:right="0" w:hanging="368"/>
        <w:jc w:val="left"/>
        <w:rPr>
          <w:rFonts w:hint="eastAsia" w:ascii="黑体" w:eastAsia="黑体"/>
          <w:sz w:val="21"/>
        </w:rPr>
      </w:pPr>
      <w:r>
        <w:rPr>
          <w:rFonts w:hint="eastAsia" w:ascii="黑体" w:eastAsia="黑体"/>
          <w:sz w:val="21"/>
        </w:rPr>
        <w:t>图纸和承包人文件</w:t>
      </w:r>
    </w:p>
    <w:p>
      <w:pPr>
        <w:pStyle w:val="9"/>
        <w:spacing w:before="3"/>
        <w:rPr>
          <w:rFonts w:ascii="黑体"/>
          <w:sz w:val="20"/>
        </w:rPr>
      </w:pPr>
    </w:p>
    <w:p>
      <w:pPr>
        <w:pStyle w:val="13"/>
        <w:numPr>
          <w:ilvl w:val="2"/>
          <w:numId w:val="36"/>
        </w:numPr>
        <w:tabs>
          <w:tab w:val="left" w:pos="1677"/>
        </w:tabs>
        <w:spacing w:before="0" w:after="0" w:line="240" w:lineRule="auto"/>
        <w:ind w:left="1676" w:right="0" w:hanging="526"/>
        <w:jc w:val="left"/>
        <w:rPr>
          <w:rFonts w:hint="eastAsia" w:ascii="仿宋" w:eastAsia="仿宋"/>
          <w:sz w:val="21"/>
        </w:rPr>
      </w:pPr>
      <w:r>
        <w:rPr>
          <w:rFonts w:hint="eastAsia" w:ascii="仿宋" w:eastAsia="仿宋"/>
          <w:sz w:val="21"/>
        </w:rPr>
        <w:t>图纸的提供</w:t>
      </w:r>
    </w:p>
    <w:p>
      <w:pPr>
        <w:spacing w:before="139"/>
        <w:ind w:left="1151" w:right="0" w:firstLine="0"/>
        <w:jc w:val="left"/>
        <w:rPr>
          <w:rFonts w:hint="eastAsia" w:ascii="仿宋" w:eastAsia="仿宋"/>
          <w:sz w:val="21"/>
        </w:rPr>
      </w:pPr>
      <w:r>
        <w:rPr>
          <w:rFonts w:hint="eastAsia" w:ascii="仿宋" w:eastAsia="仿宋"/>
          <w:sz w:val="21"/>
        </w:rPr>
        <w:t>发包人向承包人提供图纸的期限：</w:t>
      </w:r>
      <w:r>
        <w:rPr>
          <w:rFonts w:hint="eastAsia" w:ascii="仿宋" w:eastAsia="仿宋"/>
          <w:sz w:val="21"/>
          <w:u w:val="single"/>
        </w:rPr>
        <w:t>正式开工前发包人提供全部施工图纸伍套。竣工验收结束</w:t>
      </w:r>
    </w:p>
    <w:p>
      <w:pPr>
        <w:spacing w:before="141"/>
        <w:ind w:left="731" w:right="0" w:firstLine="0"/>
        <w:jc w:val="left"/>
        <w:rPr>
          <w:rFonts w:hint="eastAsia" w:ascii="仿宋" w:eastAsia="仿宋"/>
          <w:sz w:val="21"/>
        </w:rPr>
      </w:pPr>
      <w:r>
        <w:rPr>
          <w:rFonts w:ascii="Times New Roman" w:eastAsia="Times New Roman"/>
          <w:sz w:val="21"/>
          <w:u w:val="single"/>
        </w:rPr>
        <w:t xml:space="preserve">15 </w:t>
      </w:r>
      <w:r>
        <w:rPr>
          <w:rFonts w:hint="eastAsia" w:ascii="仿宋" w:eastAsia="仿宋"/>
          <w:sz w:val="21"/>
          <w:u w:val="single"/>
        </w:rPr>
        <w:t>天内，承包人向发包人提供符合学校要求的竣工图纸肆套</w:t>
      </w:r>
      <w:r>
        <w:rPr>
          <w:rFonts w:hint="eastAsia" w:ascii="仿宋" w:eastAsia="仿宋"/>
          <w:sz w:val="21"/>
        </w:rPr>
        <w:t>。</w:t>
      </w:r>
    </w:p>
    <w:p>
      <w:pPr>
        <w:spacing w:before="139" w:line="364" w:lineRule="auto"/>
        <w:ind w:left="731" w:right="895" w:firstLine="420"/>
        <w:jc w:val="left"/>
        <w:rPr>
          <w:rFonts w:hint="eastAsia" w:ascii="仿宋" w:eastAsia="仿宋"/>
          <w:sz w:val="21"/>
        </w:rPr>
      </w:pPr>
      <w:r>
        <w:rPr>
          <w:rFonts w:hint="eastAsia" w:ascii="仿宋" w:eastAsia="仿宋"/>
          <w:w w:val="95"/>
          <w:sz w:val="21"/>
        </w:rPr>
        <w:t>发包人向承包人提供图纸的数量：</w:t>
      </w:r>
      <w:r>
        <w:rPr>
          <w:rFonts w:hint="eastAsia" w:ascii="仿宋" w:eastAsia="仿宋"/>
          <w:w w:val="95"/>
          <w:sz w:val="21"/>
          <w:u w:val="single"/>
        </w:rPr>
        <w:t xml:space="preserve">伍套（包括竣工图用），承包人需要增加图纸数量产生的   </w:t>
      </w:r>
      <w:r>
        <w:rPr>
          <w:rFonts w:hint="eastAsia" w:ascii="仿宋" w:eastAsia="仿宋"/>
          <w:sz w:val="21"/>
          <w:u w:val="single"/>
        </w:rPr>
        <w:t>费用由承包人承担；</w:t>
      </w:r>
    </w:p>
    <w:p>
      <w:pPr>
        <w:spacing w:before="0" w:line="267" w:lineRule="exact"/>
        <w:ind w:left="1151" w:right="0" w:firstLine="0"/>
        <w:jc w:val="left"/>
        <w:rPr>
          <w:rFonts w:hint="eastAsia" w:ascii="仿宋" w:eastAsia="仿宋"/>
          <w:sz w:val="21"/>
        </w:rPr>
      </w:pPr>
      <w:r>
        <w:rPr>
          <w:rFonts w:hint="eastAsia" w:ascii="仿宋" w:eastAsia="仿宋"/>
          <w:sz w:val="21"/>
        </w:rPr>
        <w:t>发包人向承包人提供图纸的内容：</w:t>
      </w:r>
      <w:r>
        <w:rPr>
          <w:rFonts w:hint="eastAsia" w:ascii="仿宋" w:eastAsia="仿宋"/>
          <w:sz w:val="21"/>
          <w:u w:val="single"/>
        </w:rPr>
        <w:t>施工图（如需审图的项目，应为通过审图的施工图）</w:t>
      </w:r>
      <w:r>
        <w:rPr>
          <w:rFonts w:hint="eastAsia" w:ascii="仿宋" w:eastAsia="仿宋"/>
          <w:sz w:val="21"/>
        </w:rPr>
        <w:t>。</w:t>
      </w:r>
    </w:p>
    <w:p>
      <w:pPr>
        <w:pStyle w:val="13"/>
        <w:numPr>
          <w:ilvl w:val="2"/>
          <w:numId w:val="38"/>
        </w:numPr>
        <w:tabs>
          <w:tab w:val="left" w:pos="1677"/>
        </w:tabs>
        <w:spacing w:before="139" w:after="0" w:line="240" w:lineRule="auto"/>
        <w:ind w:left="1676" w:right="0" w:hanging="526"/>
        <w:jc w:val="left"/>
        <w:rPr>
          <w:rFonts w:hint="eastAsia" w:ascii="仿宋" w:eastAsia="仿宋"/>
          <w:sz w:val="21"/>
        </w:rPr>
      </w:pPr>
      <w:r>
        <w:rPr>
          <w:rFonts w:hint="eastAsia" w:ascii="仿宋" w:eastAsia="仿宋"/>
          <w:sz w:val="21"/>
        </w:rPr>
        <w:t>承包人文件</w:t>
      </w:r>
    </w:p>
    <w:p>
      <w:pPr>
        <w:spacing w:before="139" w:line="367" w:lineRule="auto"/>
        <w:ind w:left="731" w:right="852" w:firstLine="420"/>
        <w:jc w:val="left"/>
        <w:rPr>
          <w:rFonts w:hint="eastAsia" w:ascii="仿宋" w:eastAsia="仿宋"/>
          <w:sz w:val="21"/>
        </w:rPr>
      </w:pPr>
      <w:r>
        <w:rPr>
          <w:rFonts w:hint="eastAsia" w:ascii="仿宋" w:eastAsia="仿宋"/>
          <w:sz w:val="21"/>
        </w:rPr>
        <w:t>需要由承包人提供的文件，包括：</w:t>
      </w:r>
      <w:r>
        <w:rPr>
          <w:rFonts w:hint="eastAsia" w:ascii="仿宋" w:eastAsia="仿宋"/>
          <w:spacing w:val="-5"/>
          <w:sz w:val="21"/>
          <w:u w:val="single"/>
        </w:rPr>
        <w:t xml:space="preserve">在收到施工图等技术资料后 </w:t>
      </w:r>
      <w:r>
        <w:rPr>
          <w:rFonts w:ascii="Times New Roman" w:eastAsia="Times New Roman"/>
          <w:sz w:val="21"/>
          <w:u w:val="single"/>
        </w:rPr>
        <w:t xml:space="preserve">7 </w:t>
      </w:r>
      <w:r>
        <w:rPr>
          <w:rFonts w:hint="eastAsia" w:ascii="仿宋" w:eastAsia="仿宋"/>
          <w:sz w:val="21"/>
          <w:u w:val="single"/>
        </w:rPr>
        <w:t>天内提交工程总进度计划和</w:t>
      </w:r>
      <w:r>
        <w:rPr>
          <w:rFonts w:hint="eastAsia" w:ascii="仿宋" w:eastAsia="仿宋"/>
          <w:spacing w:val="-199"/>
          <w:sz w:val="21"/>
          <w:u w:val="single"/>
        </w:rPr>
        <w:t>施工</w:t>
      </w:r>
      <w:r>
        <w:rPr>
          <w:rFonts w:hint="eastAsia" w:ascii="仿宋" w:eastAsia="仿宋"/>
          <w:sz w:val="21"/>
          <w:u w:val="single"/>
        </w:rPr>
        <w:t>组织设计，每周例会前提交本周周报表及下周的施工计划（施工方案），每月二十五日前提</w:t>
      </w:r>
    </w:p>
    <w:p>
      <w:pPr>
        <w:spacing w:after="0" w:line="367" w:lineRule="auto"/>
        <w:jc w:val="left"/>
        <w:rPr>
          <w:rFonts w:hint="eastAsia" w:ascii="仿宋" w:eastAsia="仿宋"/>
          <w:sz w:val="21"/>
        </w:rPr>
        <w:sectPr>
          <w:pgSz w:w="11910" w:h="16840"/>
          <w:pgMar w:top="1100" w:right="660" w:bottom="1200" w:left="800" w:header="878" w:footer="993" w:gutter="0"/>
          <w:cols w:space="720" w:num="1"/>
        </w:sectPr>
      </w:pPr>
    </w:p>
    <w:p>
      <w:pPr>
        <w:pStyle w:val="9"/>
        <w:spacing w:before="12"/>
        <w:rPr>
          <w:rFonts w:ascii="仿宋"/>
          <w:sz w:val="17"/>
        </w:rPr>
      </w:pPr>
    </w:p>
    <w:p>
      <w:pPr>
        <w:spacing w:before="70" w:line="364" w:lineRule="auto"/>
        <w:ind w:left="1151" w:right="4255" w:hanging="420"/>
        <w:jc w:val="left"/>
        <w:rPr>
          <w:rFonts w:hint="eastAsia" w:ascii="仿宋" w:eastAsia="仿宋"/>
          <w:sz w:val="21"/>
        </w:rPr>
      </w:pPr>
      <w:r>
        <w:rPr>
          <w:rFonts w:hint="eastAsia" w:ascii="仿宋" w:eastAsia="仿宋"/>
          <w:w w:val="95"/>
          <w:sz w:val="21"/>
          <w:u w:val="single"/>
        </w:rPr>
        <w:t xml:space="preserve">交当月工程量完成月报表及下月的施工计划（施工方案）； </w:t>
      </w:r>
      <w:r>
        <w:rPr>
          <w:rFonts w:hint="eastAsia" w:ascii="仿宋" w:eastAsia="仿宋"/>
          <w:sz w:val="21"/>
        </w:rPr>
        <w:t>承包人提供的文件的期限为：</w:t>
      </w:r>
      <w:r>
        <w:rPr>
          <w:rFonts w:hint="eastAsia" w:ascii="仿宋" w:eastAsia="仿宋"/>
          <w:sz w:val="21"/>
          <w:u w:val="single"/>
        </w:rPr>
        <w:t>每周周日前</w:t>
      </w:r>
      <w:r>
        <w:rPr>
          <w:rFonts w:hint="eastAsia" w:ascii="仿宋" w:eastAsia="仿宋"/>
          <w:sz w:val="21"/>
        </w:rPr>
        <w:t>；</w:t>
      </w:r>
    </w:p>
    <w:p>
      <w:pPr>
        <w:spacing w:before="0" w:line="364" w:lineRule="auto"/>
        <w:ind w:left="1151" w:right="5936" w:firstLine="0"/>
        <w:jc w:val="left"/>
        <w:rPr>
          <w:rFonts w:hint="eastAsia" w:ascii="仿宋" w:eastAsia="仿宋"/>
          <w:sz w:val="21"/>
        </w:rPr>
      </w:pPr>
      <w:r>
        <w:rPr>
          <w:rFonts w:hint="eastAsia" w:ascii="仿宋" w:eastAsia="仿宋"/>
          <w:sz w:val="21"/>
        </w:rPr>
        <w:t>承包人提供的文件的数量为：</w:t>
      </w:r>
      <w:r>
        <w:rPr>
          <w:rFonts w:ascii="Times New Roman" w:eastAsia="Times New Roman"/>
          <w:sz w:val="21"/>
          <w:u w:val="single"/>
        </w:rPr>
        <w:t xml:space="preserve">2 </w:t>
      </w:r>
      <w:r>
        <w:rPr>
          <w:rFonts w:hint="eastAsia" w:ascii="仿宋" w:eastAsia="仿宋"/>
          <w:sz w:val="21"/>
          <w:u w:val="single"/>
        </w:rPr>
        <w:t>份</w:t>
      </w:r>
      <w:r>
        <w:rPr>
          <w:rFonts w:hint="eastAsia" w:ascii="仿宋" w:eastAsia="仿宋"/>
          <w:sz w:val="21"/>
        </w:rPr>
        <w:t>； 承包人提供的文件的形式为：</w:t>
      </w:r>
      <w:r>
        <w:rPr>
          <w:rFonts w:hint="eastAsia" w:ascii="仿宋" w:eastAsia="仿宋"/>
          <w:sz w:val="21"/>
          <w:u w:val="single"/>
        </w:rPr>
        <w:t>书面</w:t>
      </w:r>
      <w:r>
        <w:rPr>
          <w:rFonts w:hint="eastAsia" w:ascii="仿宋" w:eastAsia="仿宋"/>
          <w:sz w:val="21"/>
        </w:rPr>
        <w:t>；</w:t>
      </w:r>
    </w:p>
    <w:p>
      <w:pPr>
        <w:spacing w:before="0" w:line="267" w:lineRule="exact"/>
        <w:ind w:left="1151" w:right="0" w:firstLine="0"/>
        <w:jc w:val="left"/>
        <w:rPr>
          <w:rFonts w:hint="eastAsia" w:ascii="仿宋" w:eastAsia="仿宋"/>
          <w:sz w:val="21"/>
        </w:rPr>
      </w:pPr>
      <w:r>
        <w:rPr>
          <w:rFonts w:hint="eastAsia" w:ascii="仿宋" w:eastAsia="仿宋"/>
          <w:sz w:val="21"/>
        </w:rPr>
        <w:t>发包人审批承包人文件的期限：</w:t>
      </w:r>
      <w:r>
        <w:rPr>
          <w:rFonts w:hint="eastAsia" w:ascii="仿宋" w:eastAsia="仿宋"/>
          <w:sz w:val="21"/>
          <w:u w:val="single"/>
        </w:rPr>
        <w:t>执行通用条款</w:t>
      </w:r>
      <w:r>
        <w:rPr>
          <w:rFonts w:hint="eastAsia" w:ascii="仿宋" w:eastAsia="仿宋"/>
          <w:sz w:val="21"/>
        </w:rPr>
        <w:t>。</w:t>
      </w:r>
    </w:p>
    <w:p>
      <w:pPr>
        <w:pStyle w:val="13"/>
        <w:numPr>
          <w:ilvl w:val="2"/>
          <w:numId w:val="38"/>
        </w:numPr>
        <w:tabs>
          <w:tab w:val="left" w:pos="1677"/>
        </w:tabs>
        <w:spacing w:before="139" w:after="0" w:line="240" w:lineRule="auto"/>
        <w:ind w:left="1676" w:right="0" w:hanging="526"/>
        <w:jc w:val="left"/>
        <w:rPr>
          <w:rFonts w:hint="eastAsia" w:ascii="仿宋" w:eastAsia="仿宋"/>
          <w:sz w:val="21"/>
        </w:rPr>
      </w:pPr>
      <w:r>
        <w:rPr>
          <w:rFonts w:hint="eastAsia" w:ascii="仿宋" w:eastAsia="仿宋"/>
          <w:sz w:val="21"/>
        </w:rPr>
        <w:t>现场图纸准备</w:t>
      </w:r>
    </w:p>
    <w:p>
      <w:pPr>
        <w:spacing w:before="141"/>
        <w:ind w:left="1151" w:right="0" w:firstLine="0"/>
        <w:jc w:val="left"/>
        <w:rPr>
          <w:rFonts w:hint="eastAsia" w:ascii="仿宋" w:eastAsia="仿宋"/>
          <w:sz w:val="21"/>
        </w:rPr>
      </w:pPr>
      <w:r>
        <w:rPr>
          <w:rFonts w:hint="eastAsia" w:ascii="仿宋" w:eastAsia="仿宋"/>
          <w:sz w:val="21"/>
        </w:rPr>
        <w:t>关于现场图纸准备的约定：</w:t>
      </w:r>
      <w:r>
        <w:rPr>
          <w:rFonts w:hint="eastAsia" w:ascii="仿宋" w:eastAsia="仿宋"/>
          <w:sz w:val="21"/>
          <w:u w:val="single"/>
        </w:rPr>
        <w:t>执行通用条款</w:t>
      </w:r>
      <w:r>
        <w:rPr>
          <w:rFonts w:hint="eastAsia" w:ascii="仿宋" w:eastAsia="仿宋"/>
          <w:sz w:val="21"/>
        </w:rPr>
        <w:t>。</w:t>
      </w:r>
    </w:p>
    <w:p>
      <w:pPr>
        <w:pStyle w:val="13"/>
        <w:numPr>
          <w:ilvl w:val="1"/>
          <w:numId w:val="36"/>
        </w:numPr>
        <w:tabs>
          <w:tab w:val="left" w:pos="1519"/>
        </w:tabs>
        <w:spacing w:before="139" w:after="0" w:line="240" w:lineRule="auto"/>
        <w:ind w:left="1518" w:right="0" w:hanging="368"/>
        <w:jc w:val="left"/>
        <w:rPr>
          <w:rFonts w:hint="eastAsia" w:ascii="黑体" w:eastAsia="黑体"/>
          <w:sz w:val="21"/>
        </w:rPr>
      </w:pPr>
      <w:r>
        <w:rPr>
          <w:rFonts w:hint="eastAsia" w:ascii="黑体" w:eastAsia="黑体"/>
          <w:sz w:val="21"/>
        </w:rPr>
        <w:t>联络</w:t>
      </w:r>
    </w:p>
    <w:p>
      <w:pPr>
        <w:pStyle w:val="9"/>
        <w:spacing w:before="3"/>
        <w:rPr>
          <w:rFonts w:ascii="黑体"/>
          <w:sz w:val="20"/>
        </w:rPr>
      </w:pPr>
    </w:p>
    <w:p>
      <w:pPr>
        <w:pStyle w:val="13"/>
        <w:numPr>
          <w:ilvl w:val="2"/>
          <w:numId w:val="36"/>
        </w:numPr>
        <w:tabs>
          <w:tab w:val="left" w:pos="1624"/>
        </w:tabs>
        <w:spacing w:before="0" w:after="0" w:line="364" w:lineRule="auto"/>
        <w:ind w:left="731" w:right="839" w:firstLine="420"/>
        <w:jc w:val="left"/>
        <w:rPr>
          <w:rFonts w:hint="eastAsia" w:ascii="仿宋" w:eastAsia="仿宋"/>
          <w:sz w:val="21"/>
        </w:rPr>
      </w:pPr>
      <w:r>
        <w:rPr>
          <w:rFonts w:hint="eastAsia" w:ascii="仿宋" w:eastAsia="仿宋"/>
          <w:spacing w:val="-6"/>
          <w:sz w:val="21"/>
        </w:rPr>
        <w:t xml:space="preserve">发包人和承包人应当在 </w:t>
      </w:r>
      <w:r>
        <w:rPr>
          <w:rFonts w:ascii="Times New Roman" w:eastAsia="Times New Roman"/>
          <w:sz w:val="21"/>
          <w:u w:val="single"/>
        </w:rPr>
        <w:t>3</w:t>
      </w:r>
      <w:r>
        <w:rPr>
          <w:rFonts w:ascii="Times New Roman" w:eastAsia="Times New Roman"/>
          <w:spacing w:val="-7"/>
          <w:sz w:val="21"/>
        </w:rPr>
        <w:t xml:space="preserve"> </w:t>
      </w:r>
      <w:r>
        <w:rPr>
          <w:rFonts w:hint="eastAsia" w:ascii="仿宋" w:eastAsia="仿宋"/>
          <w:sz w:val="21"/>
        </w:rPr>
        <w:t>天内将与合同有关的通知、批准、证明、证书、指示、指令、要求、请求、同意、意见、确定和决定等书面函件送达对方当事人。</w:t>
      </w:r>
    </w:p>
    <w:p>
      <w:pPr>
        <w:pStyle w:val="13"/>
        <w:numPr>
          <w:ilvl w:val="2"/>
          <w:numId w:val="36"/>
        </w:numPr>
        <w:tabs>
          <w:tab w:val="left" w:pos="1677"/>
        </w:tabs>
        <w:spacing w:before="0" w:after="0" w:line="364" w:lineRule="auto"/>
        <w:ind w:left="1151" w:right="3729" w:firstLine="0"/>
        <w:jc w:val="left"/>
        <w:rPr>
          <w:rFonts w:hint="eastAsia" w:ascii="仿宋" w:eastAsia="仿宋"/>
          <w:sz w:val="21"/>
        </w:rPr>
      </w:pPr>
      <w:r>
        <w:rPr>
          <w:rFonts w:hint="eastAsia" w:ascii="仿宋" w:eastAsia="仿宋"/>
          <w:w w:val="95"/>
          <w:sz w:val="21"/>
        </w:rPr>
        <w:t>发包人接收文件的地点：</w:t>
      </w:r>
      <w:r>
        <w:rPr>
          <w:rFonts w:hint="eastAsia" w:ascii="仿宋" w:eastAsia="仿宋"/>
          <w:w w:val="95"/>
          <w:sz w:val="21"/>
          <w:u w:val="single"/>
          <w:lang w:val="en-US" w:eastAsia="zh-CN"/>
        </w:rPr>
        <w:t>/</w:t>
      </w:r>
    </w:p>
    <w:p>
      <w:pPr>
        <w:pStyle w:val="13"/>
        <w:numPr>
          <w:ilvl w:val="2"/>
          <w:numId w:val="36"/>
        </w:numPr>
        <w:tabs>
          <w:tab w:val="left" w:pos="1677"/>
        </w:tabs>
        <w:spacing w:before="0" w:after="0" w:line="364" w:lineRule="auto"/>
        <w:ind w:left="1151" w:right="3729" w:firstLine="0"/>
        <w:jc w:val="left"/>
        <w:rPr>
          <w:rFonts w:hint="eastAsia" w:ascii="仿宋" w:eastAsia="仿宋"/>
          <w:sz w:val="21"/>
        </w:rPr>
      </w:pPr>
      <w:r>
        <w:rPr>
          <w:rFonts w:hint="eastAsia" w:ascii="仿宋" w:eastAsia="仿宋"/>
          <w:w w:val="95"/>
          <w:sz w:val="21"/>
        </w:rPr>
        <w:t xml:space="preserve">； </w:t>
      </w:r>
      <w:r>
        <w:rPr>
          <w:rFonts w:hint="eastAsia" w:ascii="仿宋" w:eastAsia="仿宋"/>
          <w:sz w:val="21"/>
        </w:rPr>
        <w:t>发包人指定的接收人为：</w:t>
      </w:r>
      <w:r>
        <w:rPr>
          <w:rFonts w:hint="eastAsia" w:ascii="仿宋" w:eastAsia="仿宋"/>
          <w:spacing w:val="-2"/>
          <w:sz w:val="21"/>
          <w:u w:val="single"/>
        </w:rPr>
        <w:t xml:space="preserve"> </w:t>
      </w:r>
      <w:r>
        <w:rPr>
          <w:rFonts w:hint="eastAsia" w:ascii="仿宋" w:eastAsia="仿宋"/>
          <w:spacing w:val="-2"/>
          <w:sz w:val="21"/>
          <w:u w:val="single"/>
          <w:lang w:val="en-US" w:eastAsia="zh-CN"/>
        </w:rPr>
        <w:t>/</w:t>
      </w:r>
      <w:r>
        <w:rPr>
          <w:rFonts w:hint="eastAsia" w:ascii="仿宋" w:eastAsia="仿宋"/>
          <w:sz w:val="21"/>
        </w:rPr>
        <w:t>；</w:t>
      </w:r>
    </w:p>
    <w:p>
      <w:pPr>
        <w:tabs>
          <w:tab w:val="left" w:pos="5139"/>
          <w:tab w:val="left" w:pos="5351"/>
        </w:tabs>
        <w:spacing w:before="0" w:line="364" w:lineRule="auto"/>
        <w:ind w:left="1151" w:right="4883" w:firstLine="0"/>
        <w:jc w:val="left"/>
        <w:rPr>
          <w:rFonts w:hint="eastAsia" w:ascii="仿宋" w:eastAsia="仿宋"/>
          <w:sz w:val="21"/>
        </w:rPr>
      </w:pPr>
      <w:r>
        <w:rPr>
          <w:rFonts w:hint="eastAsia" w:ascii="仿宋" w:eastAsia="仿宋"/>
          <w:sz w:val="21"/>
        </w:rPr>
        <w:t>承包人接收文件的地点：</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 承包人指定的接收人为：</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u w:val="single"/>
        </w:rPr>
        <w:tab/>
      </w:r>
      <w:r>
        <w:rPr>
          <w:rFonts w:hint="eastAsia" w:ascii="仿宋" w:eastAsia="仿宋"/>
          <w:spacing w:val="-17"/>
          <w:sz w:val="21"/>
        </w:rPr>
        <w:t>。</w:t>
      </w:r>
    </w:p>
    <w:p>
      <w:pPr>
        <w:spacing w:before="0" w:line="364" w:lineRule="auto"/>
        <w:ind w:left="1151" w:right="4463" w:firstLine="0"/>
        <w:jc w:val="left"/>
        <w:rPr>
          <w:rFonts w:hint="eastAsia" w:ascii="仿宋" w:eastAsia="仿宋"/>
          <w:sz w:val="21"/>
        </w:rPr>
      </w:pPr>
      <w:r>
        <w:rPr>
          <w:rFonts w:hint="eastAsia" w:ascii="仿宋" w:eastAsia="仿宋"/>
          <w:sz w:val="21"/>
        </w:rPr>
        <w:t>监理人接收文件的地点：</w:t>
      </w:r>
      <w:r>
        <w:rPr>
          <w:rFonts w:hint="eastAsia" w:ascii="仿宋" w:eastAsia="仿宋"/>
          <w:sz w:val="21"/>
          <w:u w:val="single"/>
        </w:rPr>
        <w:t>项目所在地监理人办公室</w:t>
      </w:r>
      <w:r>
        <w:rPr>
          <w:rFonts w:hint="eastAsia" w:ascii="仿宋" w:eastAsia="仿宋"/>
          <w:sz w:val="21"/>
        </w:rPr>
        <w:t>； 监理人指定的接收人为：</w:t>
      </w:r>
      <w:r>
        <w:rPr>
          <w:rFonts w:hint="eastAsia" w:ascii="仿宋" w:eastAsia="仿宋"/>
          <w:sz w:val="21"/>
          <w:u w:val="single"/>
        </w:rPr>
        <w:t>项目总监理工程师</w:t>
      </w:r>
      <w:r>
        <w:rPr>
          <w:rFonts w:hint="eastAsia" w:ascii="仿宋" w:eastAsia="仿宋"/>
          <w:sz w:val="21"/>
        </w:rPr>
        <w:t>。</w:t>
      </w:r>
    </w:p>
    <w:p>
      <w:pPr>
        <w:pStyle w:val="13"/>
        <w:numPr>
          <w:ilvl w:val="1"/>
          <w:numId w:val="39"/>
        </w:numPr>
        <w:tabs>
          <w:tab w:val="left" w:pos="1624"/>
        </w:tabs>
        <w:spacing w:before="0" w:after="0" w:line="240" w:lineRule="auto"/>
        <w:ind w:left="1624" w:right="0" w:hanging="473"/>
        <w:jc w:val="left"/>
        <w:rPr>
          <w:rFonts w:hint="eastAsia" w:ascii="黑体" w:eastAsia="黑体"/>
          <w:sz w:val="21"/>
        </w:rPr>
      </w:pPr>
      <w:r>
        <w:rPr>
          <w:rFonts w:hint="eastAsia" w:ascii="黑体" w:eastAsia="黑体"/>
          <w:sz w:val="21"/>
        </w:rPr>
        <w:t>交通运输</w:t>
      </w:r>
    </w:p>
    <w:p>
      <w:pPr>
        <w:pStyle w:val="9"/>
        <w:rPr>
          <w:rFonts w:ascii="黑体"/>
          <w:sz w:val="20"/>
        </w:rPr>
      </w:pPr>
    </w:p>
    <w:p>
      <w:pPr>
        <w:pStyle w:val="13"/>
        <w:numPr>
          <w:ilvl w:val="2"/>
          <w:numId w:val="39"/>
        </w:numPr>
        <w:tabs>
          <w:tab w:val="left" w:pos="1780"/>
        </w:tabs>
        <w:spacing w:before="0" w:after="0" w:line="240" w:lineRule="auto"/>
        <w:ind w:left="1780" w:right="0" w:hanging="629"/>
        <w:jc w:val="left"/>
        <w:rPr>
          <w:rFonts w:hint="eastAsia" w:ascii="仿宋" w:eastAsia="仿宋"/>
          <w:sz w:val="21"/>
        </w:rPr>
      </w:pPr>
      <w:r>
        <w:rPr>
          <w:rFonts w:hint="eastAsia" w:ascii="仿宋" w:eastAsia="仿宋"/>
          <w:sz w:val="21"/>
        </w:rPr>
        <w:t>出入现场的权利</w:t>
      </w:r>
    </w:p>
    <w:p>
      <w:pPr>
        <w:spacing w:before="139"/>
        <w:ind w:left="1326" w:right="0" w:firstLine="0"/>
        <w:jc w:val="left"/>
        <w:rPr>
          <w:rFonts w:hint="eastAsia" w:ascii="仿宋" w:eastAsia="仿宋"/>
          <w:sz w:val="21"/>
        </w:rPr>
      </w:pPr>
      <w:r>
        <w:rPr>
          <w:rFonts w:hint="eastAsia" w:ascii="仿宋" w:eastAsia="仿宋"/>
          <w:sz w:val="21"/>
        </w:rPr>
        <w:t>关于出入现场的权利的约定：</w:t>
      </w:r>
      <w:r>
        <w:rPr>
          <w:rFonts w:hint="eastAsia" w:ascii="仿宋" w:eastAsia="仿宋"/>
          <w:sz w:val="21"/>
          <w:u w:val="single"/>
        </w:rPr>
        <w:t>执行通用条款</w:t>
      </w:r>
      <w:r>
        <w:rPr>
          <w:rFonts w:hint="eastAsia" w:ascii="仿宋" w:eastAsia="仿宋"/>
          <w:sz w:val="21"/>
        </w:rPr>
        <w:t>。</w:t>
      </w:r>
    </w:p>
    <w:p>
      <w:pPr>
        <w:pStyle w:val="13"/>
        <w:numPr>
          <w:ilvl w:val="2"/>
          <w:numId w:val="40"/>
        </w:numPr>
        <w:tabs>
          <w:tab w:val="left" w:pos="1780"/>
        </w:tabs>
        <w:spacing w:before="139" w:after="0" w:line="240" w:lineRule="auto"/>
        <w:ind w:left="1780" w:right="0" w:hanging="629"/>
        <w:jc w:val="left"/>
        <w:rPr>
          <w:rFonts w:hint="eastAsia" w:ascii="仿宋" w:eastAsia="仿宋"/>
          <w:sz w:val="21"/>
        </w:rPr>
      </w:pPr>
      <w:r>
        <w:rPr>
          <w:rFonts w:hint="eastAsia" w:ascii="仿宋" w:eastAsia="仿宋"/>
          <w:sz w:val="21"/>
        </w:rPr>
        <w:t>场内交通</w:t>
      </w:r>
    </w:p>
    <w:p>
      <w:pPr>
        <w:spacing w:before="139"/>
        <w:ind w:left="1151" w:right="0" w:firstLine="0"/>
        <w:jc w:val="left"/>
        <w:rPr>
          <w:rFonts w:hint="eastAsia" w:ascii="仿宋" w:eastAsia="仿宋"/>
          <w:sz w:val="21"/>
        </w:rPr>
      </w:pPr>
      <w:r>
        <w:rPr>
          <w:rFonts w:hint="eastAsia" w:ascii="仿宋" w:eastAsia="仿宋"/>
          <w:sz w:val="21"/>
        </w:rPr>
        <w:t>关于场外交通和场内交通的边界的约定：</w:t>
      </w:r>
      <w:r>
        <w:rPr>
          <w:rFonts w:hint="eastAsia" w:ascii="仿宋" w:eastAsia="仿宋"/>
          <w:sz w:val="21"/>
          <w:u w:val="single"/>
        </w:rPr>
        <w:t>按设计文件及发包人指定</w:t>
      </w:r>
      <w:r>
        <w:rPr>
          <w:rFonts w:hint="eastAsia" w:ascii="仿宋" w:eastAsia="仿宋"/>
          <w:sz w:val="21"/>
        </w:rPr>
        <w:t>。</w:t>
      </w:r>
    </w:p>
    <w:p>
      <w:pPr>
        <w:spacing w:before="138" w:line="367" w:lineRule="auto"/>
        <w:ind w:left="731" w:right="895" w:firstLine="420"/>
        <w:jc w:val="left"/>
        <w:rPr>
          <w:rFonts w:hint="eastAsia" w:ascii="仿宋" w:eastAsia="仿宋"/>
          <w:sz w:val="21"/>
        </w:rPr>
      </w:pPr>
      <w:r>
        <w:rPr>
          <w:rFonts w:hint="eastAsia" w:ascii="仿宋" w:eastAsia="仿宋"/>
          <w:w w:val="95"/>
          <w:sz w:val="21"/>
        </w:rPr>
        <w:t>关于发包人向承包人免费提供满足工程施工需要的场内道路和交通设施的约定：</w:t>
      </w:r>
      <w:r>
        <w:rPr>
          <w:rFonts w:hint="eastAsia" w:ascii="仿宋" w:eastAsia="仿宋"/>
          <w:w w:val="95"/>
          <w:sz w:val="21"/>
          <w:u w:val="single"/>
        </w:rPr>
        <w:t xml:space="preserve">发包人提供   </w:t>
      </w:r>
      <w:r>
        <w:rPr>
          <w:rFonts w:hint="eastAsia" w:ascii="仿宋" w:eastAsia="仿宋"/>
          <w:sz w:val="21"/>
          <w:u w:val="single"/>
        </w:rPr>
        <w:t>如现状所示的场内交通条件</w:t>
      </w:r>
      <w:r>
        <w:rPr>
          <w:rFonts w:hint="eastAsia" w:ascii="仿宋" w:eastAsia="仿宋"/>
          <w:sz w:val="21"/>
        </w:rPr>
        <w:t>。</w:t>
      </w:r>
    </w:p>
    <w:p>
      <w:pPr>
        <w:pStyle w:val="13"/>
        <w:numPr>
          <w:ilvl w:val="2"/>
          <w:numId w:val="40"/>
        </w:numPr>
        <w:tabs>
          <w:tab w:val="left" w:pos="1728"/>
        </w:tabs>
        <w:spacing w:before="0" w:after="0" w:line="264" w:lineRule="exact"/>
        <w:ind w:left="1727" w:right="0" w:hanging="577"/>
        <w:jc w:val="left"/>
        <w:rPr>
          <w:rFonts w:hint="eastAsia" w:ascii="仿宋" w:eastAsia="仿宋"/>
          <w:sz w:val="21"/>
        </w:rPr>
      </w:pPr>
      <w:r>
        <w:rPr>
          <w:rFonts w:hint="eastAsia" w:ascii="仿宋" w:eastAsia="仿宋"/>
          <w:sz w:val="21"/>
        </w:rPr>
        <w:t>超大件和超重件的运输</w:t>
      </w:r>
    </w:p>
    <w:p>
      <w:pPr>
        <w:spacing w:before="139"/>
        <w:ind w:left="1151" w:right="0" w:firstLine="0"/>
        <w:jc w:val="left"/>
        <w:rPr>
          <w:rFonts w:hint="eastAsia" w:ascii="仿宋" w:eastAsia="仿宋"/>
          <w:sz w:val="21"/>
        </w:rPr>
      </w:pPr>
      <w:r>
        <w:rPr>
          <w:rFonts w:hint="eastAsia" w:ascii="仿宋" w:eastAsia="仿宋"/>
          <w:sz w:val="21"/>
        </w:rPr>
        <w:t>运输超大件或超重件所需的道路和桥梁临时加固改造费用和其他有关费用由</w:t>
      </w:r>
      <w:r>
        <w:rPr>
          <w:rFonts w:hint="eastAsia" w:ascii="仿宋" w:eastAsia="仿宋"/>
          <w:sz w:val="21"/>
          <w:u w:val="single"/>
        </w:rPr>
        <w:t>承包人</w:t>
      </w:r>
      <w:r>
        <w:rPr>
          <w:rFonts w:hint="eastAsia" w:ascii="仿宋" w:eastAsia="仿宋"/>
          <w:sz w:val="21"/>
        </w:rPr>
        <w:t>承担。</w:t>
      </w:r>
    </w:p>
    <w:p>
      <w:pPr>
        <w:pStyle w:val="13"/>
        <w:numPr>
          <w:ilvl w:val="1"/>
          <w:numId w:val="39"/>
        </w:numPr>
        <w:tabs>
          <w:tab w:val="left" w:pos="1615"/>
        </w:tabs>
        <w:spacing w:before="139" w:after="0" w:line="240" w:lineRule="auto"/>
        <w:ind w:left="1614" w:right="0" w:hanging="464"/>
        <w:jc w:val="left"/>
        <w:rPr>
          <w:rFonts w:hint="eastAsia" w:ascii="黑体" w:eastAsia="黑体"/>
          <w:sz w:val="21"/>
        </w:rPr>
      </w:pPr>
      <w:r>
        <w:rPr>
          <w:rFonts w:hint="eastAsia" w:ascii="黑体" w:eastAsia="黑体"/>
          <w:sz w:val="21"/>
        </w:rPr>
        <w:t>知识产权</w:t>
      </w:r>
    </w:p>
    <w:p>
      <w:pPr>
        <w:pStyle w:val="9"/>
        <w:spacing w:before="5"/>
        <w:rPr>
          <w:rFonts w:ascii="黑体"/>
          <w:sz w:val="20"/>
        </w:rPr>
      </w:pPr>
    </w:p>
    <w:p>
      <w:pPr>
        <w:pStyle w:val="13"/>
        <w:numPr>
          <w:ilvl w:val="2"/>
          <w:numId w:val="39"/>
        </w:numPr>
        <w:tabs>
          <w:tab w:val="left" w:pos="1723"/>
        </w:tabs>
        <w:spacing w:before="0" w:after="0" w:line="364" w:lineRule="auto"/>
        <w:ind w:left="731" w:right="890" w:firstLine="420"/>
        <w:jc w:val="left"/>
        <w:rPr>
          <w:rFonts w:hint="eastAsia" w:ascii="仿宋" w:eastAsia="仿宋"/>
          <w:sz w:val="21"/>
        </w:rPr>
      </w:pPr>
      <w:r>
        <w:rPr>
          <w:rFonts w:hint="eastAsia" w:ascii="仿宋" w:eastAsia="仿宋"/>
          <w:sz w:val="21"/>
        </w:rPr>
        <w:t>关于发包人提供给承包人的图纸、发包人为实施工程自行编制或委托编制的技术规范以及反映发包人关于合同要求或其他类似性质的文件的著作权的归属：</w:t>
      </w:r>
      <w:r>
        <w:rPr>
          <w:rFonts w:hint="eastAsia" w:ascii="仿宋" w:eastAsia="仿宋"/>
          <w:sz w:val="21"/>
          <w:u w:val="single"/>
        </w:rPr>
        <w:t>属于发包人</w:t>
      </w:r>
      <w:r>
        <w:rPr>
          <w:rFonts w:hint="eastAsia" w:ascii="仿宋" w:eastAsia="仿宋"/>
          <w:sz w:val="21"/>
        </w:rPr>
        <w:t>。</w:t>
      </w:r>
    </w:p>
    <w:p>
      <w:pPr>
        <w:spacing w:before="0" w:line="267" w:lineRule="exact"/>
        <w:ind w:left="1326" w:right="0" w:firstLine="0"/>
        <w:jc w:val="left"/>
        <w:rPr>
          <w:rFonts w:hint="eastAsia" w:ascii="仿宋" w:eastAsia="仿宋"/>
          <w:sz w:val="21"/>
        </w:rPr>
      </w:pPr>
      <w:r>
        <w:rPr>
          <w:rFonts w:hint="eastAsia" w:ascii="仿宋" w:eastAsia="仿宋"/>
          <w:w w:val="95"/>
          <w:sz w:val="21"/>
        </w:rPr>
        <w:t>关于发包人提供的上述文件的使用限制的要求：</w:t>
      </w:r>
      <w:r>
        <w:rPr>
          <w:rFonts w:hint="eastAsia" w:ascii="仿宋" w:eastAsia="仿宋"/>
          <w:w w:val="95"/>
          <w:sz w:val="21"/>
          <w:u w:val="single"/>
        </w:rPr>
        <w:t>执行通用条款</w:t>
      </w:r>
      <w:r>
        <w:rPr>
          <w:rFonts w:hint="eastAsia" w:ascii="仿宋" w:eastAsia="仿宋"/>
          <w:w w:val="95"/>
          <w:sz w:val="21"/>
        </w:rPr>
        <w:t>。</w:t>
      </w:r>
    </w:p>
    <w:p>
      <w:pPr>
        <w:pStyle w:val="13"/>
        <w:numPr>
          <w:ilvl w:val="2"/>
          <w:numId w:val="39"/>
        </w:numPr>
        <w:tabs>
          <w:tab w:val="left" w:pos="1948"/>
        </w:tabs>
        <w:spacing w:before="139" w:after="0" w:line="367" w:lineRule="auto"/>
        <w:ind w:left="1151" w:right="2195" w:firstLine="175"/>
        <w:jc w:val="left"/>
        <w:rPr>
          <w:rFonts w:hint="eastAsia" w:ascii="仿宋" w:eastAsia="仿宋"/>
          <w:sz w:val="21"/>
        </w:rPr>
      </w:pPr>
      <w:r>
        <w:rPr>
          <w:rFonts w:hint="eastAsia" w:ascii="仿宋" w:eastAsia="仿宋"/>
          <w:sz w:val="21"/>
        </w:rPr>
        <w:t>关于承包人为实施工程所编制文件的著作权的归属：</w:t>
      </w:r>
      <w:r>
        <w:rPr>
          <w:rFonts w:hint="eastAsia" w:ascii="仿宋" w:eastAsia="仿宋"/>
          <w:sz w:val="21"/>
          <w:u w:val="single"/>
        </w:rPr>
        <w:t>执行通用条款</w:t>
      </w:r>
      <w:r>
        <w:rPr>
          <w:rFonts w:hint="eastAsia" w:ascii="仿宋" w:eastAsia="仿宋"/>
          <w:sz w:val="21"/>
        </w:rPr>
        <w:t>。关于承包人提供的上述文件的使用限制的要求：</w:t>
      </w:r>
      <w:r>
        <w:rPr>
          <w:rFonts w:hint="eastAsia" w:ascii="仿宋" w:eastAsia="仿宋"/>
          <w:sz w:val="21"/>
          <w:u w:val="single"/>
        </w:rPr>
        <w:t>执行通用条款</w:t>
      </w:r>
      <w:r>
        <w:rPr>
          <w:rFonts w:hint="eastAsia" w:ascii="仿宋" w:eastAsia="仿宋"/>
          <w:sz w:val="21"/>
        </w:rPr>
        <w:t>。</w:t>
      </w:r>
    </w:p>
    <w:p>
      <w:pPr>
        <w:spacing w:before="0" w:line="364" w:lineRule="auto"/>
        <w:ind w:left="731" w:right="892" w:firstLine="420"/>
        <w:jc w:val="left"/>
        <w:rPr>
          <w:rFonts w:hint="eastAsia" w:ascii="仿宋" w:eastAsia="仿宋"/>
          <w:sz w:val="21"/>
        </w:rPr>
      </w:pPr>
      <w:r>
        <w:rPr>
          <w:rFonts w:ascii="Times New Roman" w:eastAsia="Times New Roman"/>
          <w:sz w:val="21"/>
        </w:rPr>
        <w:t xml:space="preserve">1.11.4 </w:t>
      </w:r>
      <w:r>
        <w:rPr>
          <w:rFonts w:hint="eastAsia" w:ascii="仿宋" w:eastAsia="仿宋"/>
          <w:sz w:val="21"/>
        </w:rPr>
        <w:t>承包人在施工过程中所采用的专利、专有技术、技术秘密的使用费的承担方式：</w:t>
      </w:r>
      <w:r>
        <w:rPr>
          <w:rFonts w:hint="eastAsia" w:ascii="仿宋" w:eastAsia="仿宋"/>
          <w:sz w:val="21"/>
          <w:u w:val="single"/>
        </w:rPr>
        <w:t>承包人承担</w:t>
      </w:r>
      <w:r>
        <w:rPr>
          <w:rFonts w:hint="eastAsia" w:ascii="仿宋" w:eastAsia="仿宋"/>
          <w:sz w:val="21"/>
        </w:rPr>
        <w:t>。</w:t>
      </w:r>
    </w:p>
    <w:p>
      <w:pPr>
        <w:spacing w:after="0" w:line="364" w:lineRule="auto"/>
        <w:jc w:val="left"/>
        <w:rPr>
          <w:rFonts w:hint="eastAsia" w:ascii="仿宋" w:eastAsia="仿宋"/>
          <w:sz w:val="21"/>
        </w:rPr>
        <w:sectPr>
          <w:footerReference r:id="rId10" w:type="default"/>
          <w:pgSz w:w="11910" w:h="16840"/>
          <w:pgMar w:top="1100" w:right="660" w:bottom="1200" w:left="800" w:header="878" w:footer="1003" w:gutter="0"/>
          <w:pgNumType w:start="30"/>
          <w:cols w:space="720" w:num="1"/>
        </w:sectPr>
      </w:pPr>
    </w:p>
    <w:p>
      <w:pPr>
        <w:pStyle w:val="9"/>
        <w:spacing w:before="5"/>
        <w:rPr>
          <w:rFonts w:ascii="仿宋"/>
          <w:sz w:val="17"/>
        </w:rPr>
      </w:pPr>
    </w:p>
    <w:p>
      <w:pPr>
        <w:spacing w:before="77"/>
        <w:ind w:left="1151" w:right="0" w:firstLine="0"/>
        <w:jc w:val="left"/>
        <w:rPr>
          <w:rFonts w:hint="eastAsia" w:ascii="黑体" w:eastAsia="黑体"/>
          <w:sz w:val="21"/>
        </w:rPr>
      </w:pPr>
      <w:r>
        <w:rPr>
          <w:rFonts w:ascii="Times New Roman" w:eastAsia="Times New Roman"/>
          <w:sz w:val="21"/>
        </w:rPr>
        <w:t xml:space="preserve">1.13 </w:t>
      </w:r>
      <w:r>
        <w:rPr>
          <w:rFonts w:hint="eastAsia" w:ascii="黑体" w:eastAsia="黑体"/>
          <w:sz w:val="21"/>
        </w:rPr>
        <w:t>工程量清单错误的修正</w:t>
      </w:r>
    </w:p>
    <w:p>
      <w:pPr>
        <w:pStyle w:val="9"/>
        <w:spacing w:before="2"/>
        <w:rPr>
          <w:rFonts w:ascii="黑体"/>
          <w:sz w:val="20"/>
        </w:rPr>
      </w:pPr>
    </w:p>
    <w:p>
      <w:pPr>
        <w:pStyle w:val="13"/>
        <w:numPr>
          <w:ilvl w:val="0"/>
          <w:numId w:val="41"/>
        </w:numPr>
        <w:tabs>
          <w:tab w:val="left" w:pos="1676"/>
        </w:tabs>
        <w:spacing w:before="0" w:after="0" w:line="367" w:lineRule="auto"/>
        <w:ind w:left="731" w:right="892" w:firstLine="420"/>
        <w:jc w:val="left"/>
        <w:rPr>
          <w:rFonts w:hint="eastAsia" w:ascii="仿宋" w:eastAsia="仿宋"/>
          <w:sz w:val="21"/>
        </w:rPr>
      </w:pPr>
      <w:r>
        <w:rPr>
          <w:rFonts w:hint="eastAsia" w:ascii="仿宋" w:eastAsia="仿宋"/>
          <w:spacing w:val="-3"/>
          <w:w w:val="95"/>
          <w:sz w:val="21"/>
        </w:rPr>
        <w:t>出现工程量清单错误时，是否调整合同价格：</w:t>
      </w:r>
      <w:r>
        <w:rPr>
          <w:rFonts w:hint="eastAsia" w:ascii="仿宋" w:eastAsia="仿宋"/>
          <w:spacing w:val="-4"/>
          <w:w w:val="95"/>
          <w:sz w:val="21"/>
          <w:u w:val="single"/>
        </w:rPr>
        <w:t xml:space="preserve">工程量清单存在缺项、漏项的，经合同双  </w:t>
      </w:r>
      <w:r>
        <w:rPr>
          <w:rFonts w:hint="eastAsia" w:ascii="仿宋" w:eastAsia="仿宋"/>
          <w:spacing w:val="-4"/>
          <w:sz w:val="21"/>
          <w:u w:val="single"/>
        </w:rPr>
        <w:t>方当事人协商一致，可调整合同价格。</w:t>
      </w:r>
    </w:p>
    <w:p>
      <w:pPr>
        <w:pStyle w:val="13"/>
        <w:numPr>
          <w:ilvl w:val="0"/>
          <w:numId w:val="41"/>
        </w:numPr>
        <w:tabs>
          <w:tab w:val="left" w:pos="1676"/>
        </w:tabs>
        <w:spacing w:before="0" w:after="0" w:line="264" w:lineRule="exact"/>
        <w:ind w:left="1675" w:right="0" w:hanging="525"/>
        <w:jc w:val="left"/>
        <w:rPr>
          <w:rFonts w:hint="eastAsia" w:ascii="仿宋" w:eastAsia="仿宋"/>
          <w:sz w:val="21"/>
        </w:rPr>
      </w:pPr>
      <w:r>
        <w:rPr>
          <w:rFonts w:hint="eastAsia" w:ascii="仿宋" w:eastAsia="仿宋"/>
          <w:sz w:val="21"/>
        </w:rPr>
        <w:t>允许调整合同价格的工程量偏差范围：</w:t>
      </w:r>
      <w:r>
        <w:rPr>
          <w:rFonts w:hint="eastAsia" w:ascii="仿宋" w:eastAsia="仿宋"/>
          <w:spacing w:val="-6"/>
          <w:sz w:val="21"/>
          <w:u w:val="single"/>
        </w:rPr>
        <w:t xml:space="preserve">详见合同专用条款 </w:t>
      </w:r>
      <w:r>
        <w:rPr>
          <w:rFonts w:ascii="Times New Roman" w:eastAsia="Times New Roman"/>
          <w:sz w:val="21"/>
          <w:u w:val="single"/>
        </w:rPr>
        <w:t>10.4</w:t>
      </w:r>
      <w:r>
        <w:rPr>
          <w:rFonts w:hint="eastAsia" w:ascii="仿宋" w:eastAsia="仿宋"/>
          <w:sz w:val="21"/>
        </w:rPr>
        <w:t>。</w:t>
      </w:r>
    </w:p>
    <w:p>
      <w:pPr>
        <w:pStyle w:val="9"/>
        <w:spacing w:before="3"/>
        <w:rPr>
          <w:rFonts w:ascii="仿宋"/>
          <w:sz w:val="20"/>
        </w:rPr>
      </w:pPr>
    </w:p>
    <w:p>
      <w:pPr>
        <w:pStyle w:val="13"/>
        <w:numPr>
          <w:ilvl w:val="0"/>
          <w:numId w:val="34"/>
        </w:numPr>
        <w:tabs>
          <w:tab w:val="left" w:pos="993"/>
        </w:tabs>
        <w:spacing w:before="0" w:after="0" w:line="240" w:lineRule="auto"/>
        <w:ind w:left="992" w:right="0" w:hanging="262"/>
        <w:jc w:val="left"/>
        <w:rPr>
          <w:rFonts w:hint="eastAsia" w:ascii="黑体" w:eastAsia="黑体"/>
          <w:sz w:val="21"/>
        </w:rPr>
      </w:pPr>
      <w:bookmarkStart w:id="58" w:name="2. 发包人"/>
      <w:bookmarkEnd w:id="58"/>
      <w:r>
        <w:rPr>
          <w:rFonts w:hint="eastAsia" w:ascii="黑体" w:eastAsia="黑体"/>
          <w:sz w:val="21"/>
        </w:rPr>
        <w:t>发包人</w:t>
      </w:r>
    </w:p>
    <w:p>
      <w:pPr>
        <w:pStyle w:val="9"/>
        <w:spacing w:before="3"/>
        <w:rPr>
          <w:rFonts w:ascii="黑体"/>
          <w:sz w:val="20"/>
        </w:rPr>
      </w:pPr>
    </w:p>
    <w:p>
      <w:pPr>
        <w:pStyle w:val="13"/>
        <w:numPr>
          <w:ilvl w:val="1"/>
          <w:numId w:val="34"/>
        </w:numPr>
        <w:tabs>
          <w:tab w:val="left" w:pos="1416"/>
        </w:tabs>
        <w:spacing w:before="0" w:after="0" w:line="240" w:lineRule="auto"/>
        <w:ind w:left="1415" w:right="0" w:hanging="265"/>
        <w:jc w:val="left"/>
        <w:rPr>
          <w:rFonts w:hint="eastAsia" w:ascii="黑体" w:eastAsia="黑体"/>
          <w:sz w:val="21"/>
        </w:rPr>
      </w:pPr>
      <w:r>
        <w:rPr>
          <w:rFonts w:hint="eastAsia" w:ascii="黑体" w:eastAsia="黑体"/>
          <w:sz w:val="21"/>
        </w:rPr>
        <w:t>许可或批准</w:t>
      </w:r>
    </w:p>
    <w:p>
      <w:pPr>
        <w:spacing w:before="141"/>
        <w:ind w:left="1151" w:right="0" w:firstLine="0"/>
        <w:jc w:val="left"/>
        <w:rPr>
          <w:rFonts w:hint="eastAsia" w:ascii="仿宋" w:eastAsia="仿宋"/>
          <w:sz w:val="21"/>
        </w:rPr>
      </w:pPr>
      <w:r>
        <w:rPr>
          <w:rFonts w:hint="eastAsia" w:ascii="仿宋" w:eastAsia="仿宋"/>
          <w:sz w:val="21"/>
        </w:rPr>
        <w:t>因发包人原因未能及时办理完毕前述许可、批准或备案，经发包人书面同意，工期可以顺延。</w:t>
      </w:r>
    </w:p>
    <w:p>
      <w:pPr>
        <w:pStyle w:val="13"/>
        <w:numPr>
          <w:ilvl w:val="1"/>
          <w:numId w:val="34"/>
        </w:numPr>
        <w:tabs>
          <w:tab w:val="left" w:pos="1519"/>
        </w:tabs>
        <w:spacing w:before="139" w:after="0" w:line="240" w:lineRule="auto"/>
        <w:ind w:left="1518" w:right="0" w:hanging="368"/>
        <w:jc w:val="left"/>
        <w:rPr>
          <w:rFonts w:hint="eastAsia" w:ascii="黑体" w:eastAsia="黑体"/>
          <w:sz w:val="21"/>
        </w:rPr>
      </w:pPr>
      <w:r>
        <w:rPr>
          <w:rFonts w:hint="eastAsia" w:ascii="黑体" w:eastAsia="黑体"/>
          <w:sz w:val="21"/>
        </w:rPr>
        <w:t>发包人代表</w:t>
      </w:r>
    </w:p>
    <w:p>
      <w:pPr>
        <w:pStyle w:val="9"/>
        <w:spacing w:before="3"/>
        <w:rPr>
          <w:rFonts w:ascii="黑体"/>
          <w:sz w:val="20"/>
        </w:rPr>
      </w:pPr>
    </w:p>
    <w:p>
      <w:pPr>
        <w:spacing w:before="0"/>
        <w:ind w:left="1151" w:right="0" w:firstLine="0"/>
        <w:jc w:val="left"/>
        <w:rPr>
          <w:rFonts w:hint="eastAsia" w:ascii="仿宋" w:eastAsia="仿宋"/>
          <w:sz w:val="21"/>
        </w:rPr>
      </w:pPr>
      <w:r>
        <w:rPr>
          <w:rFonts w:hint="eastAsia" w:ascii="仿宋" w:eastAsia="仿宋"/>
          <w:sz w:val="21"/>
        </w:rPr>
        <w:t>发包人代表：</w:t>
      </w:r>
    </w:p>
    <w:p>
      <w:pPr>
        <w:tabs>
          <w:tab w:val="left" w:pos="3145"/>
        </w:tabs>
        <w:spacing w:before="139"/>
        <w:ind w:left="1151" w:right="0" w:firstLine="0"/>
        <w:jc w:val="left"/>
        <w:rPr>
          <w:rFonts w:hint="eastAsia" w:ascii="仿宋" w:eastAsia="仿宋"/>
          <w:sz w:val="21"/>
        </w:rPr>
      </w:pPr>
      <w:r>
        <w:rPr>
          <w:rFonts w:hint="eastAsia" w:ascii="仿宋" w:eastAsia="仿宋"/>
          <w:sz w:val="21"/>
        </w:rPr>
        <w:t>姓名：</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w:t>
      </w:r>
    </w:p>
    <w:p>
      <w:pPr>
        <w:tabs>
          <w:tab w:val="left" w:pos="3565"/>
          <w:tab w:val="left" w:pos="3776"/>
        </w:tabs>
        <w:spacing w:before="139" w:line="364" w:lineRule="auto"/>
        <w:ind w:left="1151" w:right="6458" w:firstLine="0"/>
        <w:jc w:val="left"/>
        <w:rPr>
          <w:rFonts w:hint="eastAsia" w:ascii="仿宋" w:eastAsia="仿宋"/>
          <w:sz w:val="21"/>
        </w:rPr>
      </w:pPr>
      <w:r>
        <w:rPr>
          <w:rFonts w:hint="eastAsia" w:ascii="仿宋" w:eastAsia="仿宋"/>
          <w:sz w:val="21"/>
        </w:rPr>
        <w:t>联系电话：</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 电子信箱：</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u w:val="single"/>
        </w:rPr>
        <w:tab/>
      </w:r>
      <w:r>
        <w:rPr>
          <w:rFonts w:hint="eastAsia" w:ascii="仿宋" w:eastAsia="仿宋"/>
          <w:spacing w:val="-17"/>
          <w:sz w:val="21"/>
        </w:rPr>
        <w:t>；</w:t>
      </w:r>
    </w:p>
    <w:p>
      <w:pPr>
        <w:spacing w:before="0" w:line="364" w:lineRule="auto"/>
        <w:ind w:left="731" w:right="892" w:firstLine="420"/>
        <w:jc w:val="both"/>
        <w:rPr>
          <w:rFonts w:hint="eastAsia" w:ascii="仿宋" w:eastAsia="仿宋"/>
          <w:sz w:val="21"/>
        </w:rPr>
      </w:pPr>
      <w:r>
        <w:rPr>
          <w:rFonts w:hint="eastAsia" w:ascii="仿宋" w:eastAsia="仿宋"/>
          <w:w w:val="95"/>
          <w:sz w:val="21"/>
        </w:rPr>
        <w:t>发包人对发包人代表的授权范围如下：</w:t>
      </w:r>
      <w:r>
        <w:rPr>
          <w:rFonts w:hint="eastAsia" w:ascii="仿宋" w:eastAsia="仿宋"/>
          <w:w w:val="95"/>
          <w:sz w:val="21"/>
          <w:u w:val="single"/>
        </w:rPr>
        <w:t>督促指导监理工程师行使职权，协调施工现场各方面</w:t>
      </w:r>
      <w:r>
        <w:rPr>
          <w:rFonts w:hint="eastAsia" w:ascii="仿宋" w:eastAsia="仿宋"/>
          <w:spacing w:val="-197"/>
          <w:w w:val="95"/>
          <w:sz w:val="21"/>
          <w:u w:val="single"/>
        </w:rPr>
        <w:t>的关</w:t>
      </w:r>
      <w:r>
        <w:rPr>
          <w:rFonts w:hint="eastAsia" w:ascii="仿宋" w:eastAsia="仿宋"/>
          <w:spacing w:val="122"/>
          <w:w w:val="95"/>
          <w:sz w:val="21"/>
          <w:u w:val="single"/>
        </w:rPr>
        <w:t xml:space="preserve"> </w:t>
      </w:r>
      <w:r>
        <w:rPr>
          <w:rFonts w:hint="eastAsia" w:ascii="仿宋" w:eastAsia="仿宋"/>
          <w:w w:val="95"/>
          <w:sz w:val="21"/>
          <w:u w:val="single"/>
        </w:rPr>
        <w:t xml:space="preserve">系，协调工程质量，进度和安全文明施工中存在的问题，解决有关设计和技术签证，办理、签认   </w:t>
      </w:r>
      <w:r>
        <w:rPr>
          <w:rFonts w:hint="eastAsia" w:ascii="仿宋" w:eastAsia="仿宋"/>
          <w:sz w:val="21"/>
          <w:u w:val="single"/>
        </w:rPr>
        <w:t>现场经济技术签证，审核工程进度报表，代表发包人行使本合同约定的其他权利和义务等。</w:t>
      </w:r>
    </w:p>
    <w:p>
      <w:pPr>
        <w:pStyle w:val="13"/>
        <w:numPr>
          <w:ilvl w:val="1"/>
          <w:numId w:val="42"/>
        </w:numPr>
        <w:tabs>
          <w:tab w:val="left" w:pos="1519"/>
        </w:tabs>
        <w:spacing w:before="0" w:after="0" w:line="266" w:lineRule="exact"/>
        <w:ind w:left="1518" w:right="0" w:hanging="368"/>
        <w:jc w:val="left"/>
        <w:rPr>
          <w:rFonts w:hint="eastAsia" w:ascii="黑体" w:eastAsia="黑体"/>
          <w:sz w:val="21"/>
        </w:rPr>
      </w:pPr>
      <w:r>
        <w:rPr>
          <w:rFonts w:hint="eastAsia" w:ascii="黑体" w:eastAsia="黑体"/>
          <w:sz w:val="21"/>
        </w:rPr>
        <w:t>施工现场、施工条件和基础资料的提供</w:t>
      </w:r>
    </w:p>
    <w:p>
      <w:pPr>
        <w:pStyle w:val="9"/>
        <w:spacing w:before="5"/>
        <w:rPr>
          <w:rFonts w:ascii="黑体"/>
          <w:sz w:val="20"/>
        </w:rPr>
      </w:pPr>
    </w:p>
    <w:p>
      <w:pPr>
        <w:pStyle w:val="13"/>
        <w:numPr>
          <w:ilvl w:val="2"/>
          <w:numId w:val="42"/>
        </w:numPr>
        <w:tabs>
          <w:tab w:val="left" w:pos="1677"/>
        </w:tabs>
        <w:spacing w:before="0" w:after="0" w:line="240" w:lineRule="auto"/>
        <w:ind w:left="1676" w:right="0" w:hanging="526"/>
        <w:jc w:val="left"/>
        <w:rPr>
          <w:rFonts w:hint="eastAsia" w:ascii="仿宋" w:eastAsia="仿宋"/>
          <w:sz w:val="21"/>
        </w:rPr>
      </w:pPr>
      <w:r>
        <w:rPr>
          <w:rFonts w:hint="eastAsia" w:ascii="仿宋" w:eastAsia="仿宋"/>
          <w:sz w:val="21"/>
        </w:rPr>
        <w:t>提供施工现场</w:t>
      </w:r>
    </w:p>
    <w:p>
      <w:pPr>
        <w:spacing w:before="139"/>
        <w:ind w:left="1151" w:right="0" w:firstLine="0"/>
        <w:jc w:val="left"/>
        <w:rPr>
          <w:rFonts w:hint="eastAsia" w:ascii="仿宋" w:eastAsia="仿宋"/>
          <w:sz w:val="21"/>
        </w:rPr>
      </w:pPr>
      <w:r>
        <w:rPr>
          <w:rFonts w:hint="eastAsia" w:ascii="仿宋" w:eastAsia="仿宋"/>
          <w:sz w:val="21"/>
        </w:rPr>
        <w:t>关于发包人移交施工现场的期限要求：</w:t>
      </w:r>
      <w:r>
        <w:rPr>
          <w:rFonts w:hint="eastAsia" w:ascii="仿宋" w:eastAsia="仿宋"/>
          <w:sz w:val="21"/>
          <w:u w:val="single"/>
        </w:rPr>
        <w:t xml:space="preserve">开工前 </w:t>
      </w:r>
      <w:r>
        <w:rPr>
          <w:rFonts w:ascii="Times New Roman" w:eastAsia="Times New Roman"/>
          <w:sz w:val="21"/>
          <w:u w:val="single"/>
        </w:rPr>
        <w:t xml:space="preserve">5 </w:t>
      </w:r>
      <w:r>
        <w:rPr>
          <w:rFonts w:hint="eastAsia" w:ascii="仿宋" w:eastAsia="仿宋"/>
          <w:sz w:val="21"/>
          <w:u w:val="single"/>
        </w:rPr>
        <w:t>天</w:t>
      </w:r>
      <w:r>
        <w:rPr>
          <w:rFonts w:hint="eastAsia" w:ascii="仿宋" w:eastAsia="仿宋"/>
          <w:sz w:val="21"/>
        </w:rPr>
        <w:t>。</w:t>
      </w:r>
    </w:p>
    <w:p>
      <w:pPr>
        <w:pStyle w:val="13"/>
        <w:numPr>
          <w:ilvl w:val="2"/>
          <w:numId w:val="42"/>
        </w:numPr>
        <w:tabs>
          <w:tab w:val="left" w:pos="1677"/>
        </w:tabs>
        <w:spacing w:before="139" w:after="0" w:line="240" w:lineRule="auto"/>
        <w:ind w:left="1676" w:right="0" w:hanging="526"/>
        <w:jc w:val="left"/>
        <w:rPr>
          <w:rFonts w:hint="eastAsia" w:ascii="仿宋" w:eastAsia="仿宋"/>
          <w:sz w:val="21"/>
        </w:rPr>
      </w:pPr>
      <w:r>
        <w:rPr>
          <w:rFonts w:hint="eastAsia" w:ascii="仿宋" w:eastAsia="仿宋"/>
          <w:sz w:val="21"/>
        </w:rPr>
        <w:t>提供施工条件</w:t>
      </w:r>
    </w:p>
    <w:p>
      <w:pPr>
        <w:pStyle w:val="9"/>
        <w:spacing w:before="8"/>
        <w:rPr>
          <w:rFonts w:ascii="仿宋"/>
          <w:sz w:val="25"/>
        </w:rPr>
      </w:pPr>
    </w:p>
    <w:p>
      <w:pPr>
        <w:spacing w:before="0"/>
        <w:ind w:left="1151" w:right="0" w:firstLine="0"/>
        <w:jc w:val="left"/>
        <w:rPr>
          <w:rFonts w:hint="eastAsia" w:ascii="仿宋" w:eastAsia="仿宋"/>
          <w:sz w:val="21"/>
        </w:rPr>
      </w:pPr>
      <w:r>
        <w:rPr>
          <w:rFonts w:hint="eastAsia" w:ascii="仿宋" w:eastAsia="仿宋"/>
          <w:sz w:val="21"/>
        </w:rPr>
        <w:t>关于发包人应负责提供施工所需要的条件，包括：</w:t>
      </w:r>
    </w:p>
    <w:p>
      <w:pPr>
        <w:pStyle w:val="13"/>
        <w:numPr>
          <w:ilvl w:val="0"/>
          <w:numId w:val="43"/>
        </w:numPr>
        <w:tabs>
          <w:tab w:val="left" w:pos="1677"/>
        </w:tabs>
        <w:spacing w:before="41" w:after="0" w:line="364" w:lineRule="auto"/>
        <w:ind w:left="731" w:right="892" w:firstLine="420"/>
        <w:jc w:val="both"/>
        <w:rPr>
          <w:rFonts w:hint="eastAsia" w:ascii="仿宋" w:eastAsia="仿宋"/>
          <w:sz w:val="21"/>
        </w:rPr>
      </w:pPr>
      <w:r>
        <w:rPr>
          <w:rFonts w:hint="eastAsia" w:ascii="仿宋" w:eastAsia="仿宋"/>
          <w:spacing w:val="-2"/>
          <w:sz w:val="21"/>
        </w:rPr>
        <w:t xml:space="preserve">提供满足施工需要的施工用水和电，水、电管线应接至距离施工现场 </w:t>
      </w:r>
      <w:r>
        <w:rPr>
          <w:rFonts w:ascii="Times New Roman" w:eastAsia="Times New Roman"/>
          <w:sz w:val="21"/>
        </w:rPr>
        <w:t>50</w:t>
      </w:r>
      <w:r>
        <w:rPr>
          <w:rFonts w:ascii="Times New Roman" w:eastAsia="Times New Roman"/>
          <w:spacing w:val="-8"/>
          <w:sz w:val="21"/>
        </w:rPr>
        <w:t xml:space="preserve"> </w:t>
      </w:r>
      <w:r>
        <w:rPr>
          <w:rFonts w:hint="eastAsia" w:ascii="仿宋" w:eastAsia="仿宋"/>
          <w:sz w:val="21"/>
        </w:rPr>
        <w:t>米范围内移交</w:t>
      </w:r>
      <w:r>
        <w:rPr>
          <w:rFonts w:hint="eastAsia" w:ascii="仿宋" w:eastAsia="仿宋"/>
          <w:w w:val="95"/>
          <w:sz w:val="21"/>
        </w:rPr>
        <w:t xml:space="preserve">给承包人，需要增加容量由承包人自行承担，用水用电费用根据工程实际情况按照工程审定价的 </w:t>
      </w:r>
      <w:r>
        <w:rPr>
          <w:rFonts w:ascii="Times New Roman" w:eastAsia="Times New Roman"/>
          <w:sz w:val="21"/>
        </w:rPr>
        <w:t>0.5%</w:t>
      </w:r>
      <w:r>
        <w:rPr>
          <w:rFonts w:hint="eastAsia" w:ascii="仿宋" w:eastAsia="仿宋"/>
          <w:sz w:val="21"/>
        </w:rPr>
        <w:t>收取。</w:t>
      </w:r>
    </w:p>
    <w:p>
      <w:pPr>
        <w:pStyle w:val="13"/>
        <w:numPr>
          <w:ilvl w:val="0"/>
          <w:numId w:val="43"/>
        </w:numPr>
        <w:tabs>
          <w:tab w:val="left" w:pos="1676"/>
        </w:tabs>
        <w:spacing w:before="189" w:after="0" w:line="446" w:lineRule="auto"/>
        <w:ind w:left="731" w:right="895" w:firstLine="420"/>
        <w:jc w:val="left"/>
        <w:rPr>
          <w:rFonts w:hint="eastAsia" w:ascii="仿宋" w:eastAsia="仿宋"/>
          <w:sz w:val="21"/>
        </w:rPr>
      </w:pPr>
      <w:r>
        <w:rPr>
          <w:rFonts w:hint="eastAsia" w:ascii="仿宋" w:eastAsia="仿宋"/>
          <w:spacing w:val="-3"/>
          <w:sz w:val="21"/>
        </w:rPr>
        <w:t>施工场地与公共道路的通道开通时间和要求：开工前将施工场地与公共道路开通，满足施工机械进场使用。</w:t>
      </w:r>
    </w:p>
    <w:p>
      <w:pPr>
        <w:pStyle w:val="13"/>
        <w:numPr>
          <w:ilvl w:val="0"/>
          <w:numId w:val="43"/>
        </w:numPr>
        <w:tabs>
          <w:tab w:val="left" w:pos="1676"/>
        </w:tabs>
        <w:spacing w:before="0" w:after="0" w:line="446" w:lineRule="auto"/>
        <w:ind w:left="731" w:right="895" w:firstLine="420"/>
        <w:jc w:val="left"/>
        <w:rPr>
          <w:rFonts w:hint="eastAsia" w:ascii="仿宋" w:eastAsia="仿宋"/>
          <w:sz w:val="21"/>
        </w:rPr>
      </w:pPr>
      <w:r>
        <w:rPr>
          <w:rFonts w:hint="eastAsia" w:ascii="仿宋" w:eastAsia="仿宋"/>
          <w:spacing w:val="-2"/>
          <w:w w:val="95"/>
          <w:sz w:val="21"/>
        </w:rPr>
        <w:t>协调处理施工场地周围地下管线和邻近建筑物、构筑物</w:t>
      </w:r>
      <w:r>
        <w:rPr>
          <w:rFonts w:hint="eastAsia" w:ascii="仿宋" w:eastAsia="仿宋"/>
          <w:w w:val="95"/>
          <w:sz w:val="21"/>
        </w:rPr>
        <w:t>（含文物保护建筑</w:t>
      </w:r>
      <w:r>
        <w:rPr>
          <w:rFonts w:hint="eastAsia" w:ascii="仿宋" w:eastAsia="仿宋"/>
          <w:spacing w:val="-20"/>
          <w:w w:val="95"/>
          <w:sz w:val="21"/>
        </w:rPr>
        <w:t>）</w:t>
      </w:r>
      <w:r>
        <w:rPr>
          <w:rFonts w:hint="eastAsia" w:ascii="仿宋" w:eastAsia="仿宋"/>
          <w:spacing w:val="-5"/>
          <w:w w:val="95"/>
          <w:sz w:val="21"/>
        </w:rPr>
        <w:t xml:space="preserve">，协调处理  </w:t>
      </w:r>
      <w:r>
        <w:rPr>
          <w:rFonts w:hint="eastAsia" w:ascii="仿宋" w:eastAsia="仿宋"/>
          <w:spacing w:val="-5"/>
          <w:sz w:val="21"/>
        </w:rPr>
        <w:t>施工现场周围地下设施和邻近建筑物的保护。</w:t>
      </w:r>
    </w:p>
    <w:p>
      <w:pPr>
        <w:pStyle w:val="13"/>
        <w:numPr>
          <w:ilvl w:val="0"/>
          <w:numId w:val="43"/>
        </w:numPr>
        <w:tabs>
          <w:tab w:val="left" w:pos="1676"/>
        </w:tabs>
        <w:spacing w:before="0" w:after="0" w:line="267" w:lineRule="exact"/>
        <w:ind w:left="1675" w:right="0" w:hanging="525"/>
        <w:jc w:val="left"/>
        <w:rPr>
          <w:rFonts w:hint="eastAsia" w:ascii="仿宋" w:eastAsia="仿宋"/>
          <w:sz w:val="21"/>
        </w:rPr>
      </w:pPr>
      <w:r>
        <w:rPr>
          <w:rFonts w:hint="eastAsia" w:ascii="仿宋" w:eastAsia="仿宋"/>
          <w:sz w:val="21"/>
        </w:rPr>
        <w:t>双方约定发包人应做的其他工作：协调工地现场的相邻关系。</w:t>
      </w:r>
    </w:p>
    <w:p>
      <w:pPr>
        <w:pStyle w:val="13"/>
        <w:numPr>
          <w:ilvl w:val="1"/>
          <w:numId w:val="42"/>
        </w:numPr>
        <w:tabs>
          <w:tab w:val="left" w:pos="1519"/>
        </w:tabs>
        <w:spacing w:before="43" w:after="0" w:line="240" w:lineRule="auto"/>
        <w:ind w:left="1518" w:right="0" w:hanging="368"/>
        <w:jc w:val="left"/>
        <w:rPr>
          <w:rFonts w:hint="eastAsia" w:ascii="黑体" w:eastAsia="黑体"/>
          <w:sz w:val="21"/>
        </w:rPr>
      </w:pPr>
      <w:r>
        <w:rPr>
          <w:rFonts w:hint="eastAsia" w:ascii="黑体" w:eastAsia="黑体"/>
          <w:sz w:val="21"/>
        </w:rPr>
        <w:t>资金来源证明及支付担保</w:t>
      </w:r>
    </w:p>
    <w:p>
      <w:pPr>
        <w:pStyle w:val="9"/>
        <w:spacing w:before="2"/>
        <w:rPr>
          <w:rFonts w:ascii="黑体"/>
          <w:sz w:val="20"/>
        </w:rPr>
      </w:pPr>
    </w:p>
    <w:p>
      <w:pPr>
        <w:spacing w:before="0" w:line="364" w:lineRule="auto"/>
        <w:ind w:left="1371" w:leftChars="523" w:right="5456" w:hanging="220" w:hangingChars="100"/>
        <w:jc w:val="left"/>
        <w:rPr>
          <w:rFonts w:hint="eastAsia" w:ascii="仿宋" w:eastAsia="仿宋"/>
          <w:w w:val="95"/>
          <w:sz w:val="21"/>
        </w:rPr>
      </w:pPr>
      <w:r>
        <w:rPr>
          <w:rFonts w:ascii="宋体" w:hAnsi="宋体" w:eastAsia="宋体" w:cs="宋体"/>
          <w:sz w:val="22"/>
          <w:szCs w:val="22"/>
          <w:lang w:val="zh-CN" w:eastAsia="zh-CN" w:bidi="zh-CN"/>
        </w:rPr>
        <w:pict>
          <v:line id="直线 8" o:spid="_x0000_s1059" style="position:absolute;left:0;margin-left:276pt;margin-top:11.7pt;height:0.05pt;width:3pt;mso-position-horizontal-relative:page;rotation:0f;z-index:-251650048;" o:ole="f" fillcolor="#FFFFFF" filled="f" o:preferrelative="t" stroked="t" coordsize="21600,21600">
            <v:fill on="f" color2="#FFFFFF" focus="0%"/>
            <v:stroke weight="0.48pt" color="#000000" color2="#FFFFFF" miterlimit="2"/>
            <v:imagedata gain="65536f" blacklevel="0f" gamma="0"/>
            <o:lock v:ext="edit" position="f" selection="f" grouping="f" rotation="f" cropping="f" text="f" aspectratio="f"/>
          </v:line>
        </w:pict>
      </w:r>
      <w:r>
        <w:rPr>
          <w:rFonts w:hint="eastAsia" w:ascii="仿宋" w:eastAsia="仿宋"/>
          <w:w w:val="95"/>
          <w:sz w:val="21"/>
        </w:rPr>
        <w:t>发包人提供资金来源证明的期限要求：</w:t>
      </w:r>
      <w:r>
        <w:rPr>
          <w:rFonts w:ascii="Times New Roman" w:eastAsia="Times New Roman"/>
          <w:w w:val="95"/>
          <w:sz w:val="21"/>
        </w:rPr>
        <w:t>/</w:t>
      </w:r>
      <w:r>
        <w:rPr>
          <w:rFonts w:hint="eastAsia" w:ascii="仿宋" w:eastAsia="仿宋"/>
          <w:w w:val="95"/>
          <w:sz w:val="21"/>
        </w:rPr>
        <w:t>。</w:t>
      </w:r>
    </w:p>
    <w:p>
      <w:pPr>
        <w:spacing w:before="0" w:line="364" w:lineRule="auto"/>
        <w:ind w:left="1361" w:leftChars="523" w:right="5456" w:hanging="210" w:hangingChars="100"/>
        <w:jc w:val="left"/>
        <w:rPr>
          <w:rFonts w:hint="eastAsia" w:ascii="仿宋" w:eastAsia="仿宋"/>
          <w:sz w:val="21"/>
        </w:rPr>
      </w:pPr>
      <w:r>
        <w:rPr>
          <w:rFonts w:hint="eastAsia" w:ascii="仿宋" w:eastAsia="仿宋"/>
          <w:sz w:val="21"/>
        </w:rPr>
        <w:t>发包人是否提供支付担保：</w:t>
      </w:r>
      <w:r>
        <w:rPr>
          <w:rFonts w:hint="eastAsia" w:ascii="仿宋" w:eastAsia="仿宋"/>
          <w:sz w:val="21"/>
          <w:u w:val="single"/>
        </w:rPr>
        <w:t>否</w:t>
      </w:r>
      <w:r>
        <w:rPr>
          <w:rFonts w:hint="eastAsia" w:ascii="仿宋" w:eastAsia="仿宋"/>
          <w:sz w:val="21"/>
        </w:rPr>
        <w:t>。</w:t>
      </w:r>
    </w:p>
    <w:p>
      <w:pPr>
        <w:spacing w:after="0" w:line="364" w:lineRule="auto"/>
        <w:jc w:val="left"/>
        <w:rPr>
          <w:rFonts w:hint="eastAsia" w:ascii="仿宋" w:eastAsia="仿宋"/>
          <w:sz w:val="21"/>
        </w:rPr>
        <w:sectPr>
          <w:pgSz w:w="11910" w:h="16840"/>
          <w:pgMar w:top="1100" w:right="660" w:bottom="1200" w:left="800" w:header="878" w:footer="1003" w:gutter="0"/>
          <w:cols w:space="720" w:num="1"/>
        </w:sectPr>
      </w:pPr>
    </w:p>
    <w:p>
      <w:pPr>
        <w:pStyle w:val="9"/>
        <w:spacing w:before="12"/>
        <w:rPr>
          <w:rFonts w:ascii="仿宋"/>
          <w:sz w:val="17"/>
        </w:rPr>
      </w:pPr>
    </w:p>
    <w:p>
      <w:pPr>
        <w:spacing w:before="70"/>
        <w:ind w:left="1151" w:right="0" w:firstLine="0"/>
        <w:jc w:val="left"/>
        <w:rPr>
          <w:rFonts w:hint="eastAsia" w:ascii="仿宋" w:eastAsia="仿宋"/>
          <w:sz w:val="21"/>
        </w:rPr>
      </w:pPr>
      <w:r>
        <w:rPr>
          <w:rFonts w:hint="eastAsia" w:ascii="仿宋" w:eastAsia="仿宋"/>
          <w:sz w:val="21"/>
        </w:rPr>
        <w:t>发包人提供支付担保的形式：</w:t>
      </w:r>
      <w:r>
        <w:rPr>
          <w:rFonts w:hint="eastAsia" w:ascii="仿宋" w:eastAsia="仿宋"/>
          <w:sz w:val="21"/>
          <w:u w:val="single"/>
        </w:rPr>
        <w:t>/</w:t>
      </w:r>
      <w:r>
        <w:rPr>
          <w:rFonts w:hint="eastAsia" w:ascii="仿宋" w:eastAsia="仿宋"/>
          <w:sz w:val="21"/>
        </w:rPr>
        <w:t>。</w:t>
      </w:r>
    </w:p>
    <w:p>
      <w:pPr>
        <w:pStyle w:val="9"/>
        <w:spacing w:before="2"/>
        <w:rPr>
          <w:rFonts w:ascii="仿宋"/>
          <w:sz w:val="20"/>
        </w:rPr>
      </w:pPr>
    </w:p>
    <w:p>
      <w:pPr>
        <w:pStyle w:val="13"/>
        <w:numPr>
          <w:ilvl w:val="0"/>
          <w:numId w:val="34"/>
        </w:numPr>
        <w:tabs>
          <w:tab w:val="left" w:pos="993"/>
        </w:tabs>
        <w:spacing w:before="0" w:after="0" w:line="240" w:lineRule="auto"/>
        <w:ind w:left="992" w:right="0" w:hanging="262"/>
        <w:jc w:val="left"/>
        <w:rPr>
          <w:rFonts w:hint="eastAsia" w:ascii="黑体" w:eastAsia="黑体"/>
          <w:sz w:val="21"/>
        </w:rPr>
      </w:pPr>
      <w:bookmarkStart w:id="59" w:name="3. 承包人"/>
      <w:bookmarkEnd w:id="59"/>
      <w:r>
        <w:rPr>
          <w:rFonts w:hint="eastAsia" w:ascii="黑体" w:eastAsia="黑体"/>
          <w:sz w:val="21"/>
        </w:rPr>
        <w:t>承包人</w:t>
      </w:r>
    </w:p>
    <w:p>
      <w:pPr>
        <w:pStyle w:val="9"/>
        <w:spacing w:before="5"/>
        <w:rPr>
          <w:rFonts w:ascii="黑体"/>
          <w:sz w:val="20"/>
        </w:rPr>
      </w:pPr>
    </w:p>
    <w:p>
      <w:pPr>
        <w:pStyle w:val="13"/>
        <w:numPr>
          <w:ilvl w:val="1"/>
          <w:numId w:val="34"/>
        </w:numPr>
        <w:tabs>
          <w:tab w:val="left" w:pos="1519"/>
        </w:tabs>
        <w:spacing w:before="0" w:after="0" w:line="240" w:lineRule="auto"/>
        <w:ind w:left="1518" w:right="0" w:hanging="368"/>
        <w:jc w:val="left"/>
        <w:rPr>
          <w:rFonts w:hint="eastAsia" w:ascii="黑体" w:eastAsia="黑体"/>
          <w:sz w:val="21"/>
        </w:rPr>
      </w:pPr>
      <w:r>
        <w:rPr>
          <w:rFonts w:hint="eastAsia" w:ascii="黑体" w:eastAsia="黑体"/>
          <w:sz w:val="21"/>
        </w:rPr>
        <w:t>承包人的一般义务</w:t>
      </w:r>
    </w:p>
    <w:p>
      <w:pPr>
        <w:pStyle w:val="9"/>
        <w:spacing w:before="3"/>
        <w:rPr>
          <w:rFonts w:ascii="黑体"/>
          <w:sz w:val="20"/>
        </w:rPr>
      </w:pPr>
    </w:p>
    <w:p>
      <w:pPr>
        <w:spacing w:before="0" w:line="364" w:lineRule="auto"/>
        <w:ind w:left="731" w:right="895" w:firstLine="420"/>
        <w:jc w:val="left"/>
        <w:rPr>
          <w:rFonts w:hint="eastAsia" w:ascii="仿宋" w:eastAsia="仿宋"/>
          <w:sz w:val="21"/>
        </w:rPr>
      </w:pPr>
      <w:r>
        <w:rPr>
          <w:rFonts w:hint="eastAsia" w:ascii="仿宋" w:eastAsia="仿宋"/>
          <w:spacing w:val="-12"/>
          <w:w w:val="95"/>
          <w:sz w:val="21"/>
        </w:rPr>
        <w:t>（</w:t>
      </w:r>
      <w:r>
        <w:rPr>
          <w:rFonts w:ascii="Times New Roman" w:eastAsia="Times New Roman"/>
          <w:spacing w:val="-12"/>
          <w:w w:val="95"/>
          <w:sz w:val="21"/>
        </w:rPr>
        <w:t>1</w:t>
      </w:r>
      <w:r>
        <w:rPr>
          <w:rFonts w:hint="eastAsia" w:ascii="仿宋" w:eastAsia="仿宋"/>
          <w:spacing w:val="-12"/>
          <w:w w:val="95"/>
          <w:sz w:val="21"/>
        </w:rPr>
        <w:t>）</w:t>
      </w:r>
      <w:r>
        <w:rPr>
          <w:rFonts w:hint="eastAsia" w:ascii="仿宋" w:eastAsia="仿宋"/>
          <w:spacing w:val="-3"/>
          <w:w w:val="95"/>
          <w:sz w:val="21"/>
        </w:rPr>
        <w:t>承包人提交的竣工资料的内容：</w:t>
      </w:r>
      <w:r>
        <w:rPr>
          <w:rFonts w:hint="eastAsia" w:ascii="仿宋" w:eastAsia="仿宋"/>
          <w:spacing w:val="-2"/>
          <w:w w:val="95"/>
          <w:sz w:val="21"/>
          <w:u w:val="single"/>
        </w:rPr>
        <w:t>按照法律规定和合同约定编制竣工资料，完成竣工资料</w:t>
      </w:r>
      <w:r>
        <w:rPr>
          <w:rFonts w:hint="eastAsia" w:ascii="仿宋" w:eastAsia="仿宋"/>
          <w:spacing w:val="-199"/>
          <w:w w:val="95"/>
          <w:sz w:val="21"/>
          <w:u w:val="single"/>
        </w:rPr>
        <w:t>立卷</w:t>
      </w:r>
      <w:r>
        <w:rPr>
          <w:rFonts w:hint="eastAsia" w:ascii="仿宋" w:eastAsia="仿宋"/>
          <w:spacing w:val="120"/>
          <w:w w:val="95"/>
          <w:sz w:val="21"/>
          <w:u w:val="single"/>
        </w:rPr>
        <w:t xml:space="preserve"> </w:t>
      </w:r>
      <w:r>
        <w:rPr>
          <w:rFonts w:hint="eastAsia" w:ascii="仿宋" w:eastAsia="仿宋"/>
          <w:sz w:val="21"/>
          <w:u w:val="single"/>
        </w:rPr>
        <w:t>及归档，并按约定的竣工资料的要求移交发包人</w:t>
      </w:r>
      <w:r>
        <w:rPr>
          <w:rFonts w:hint="eastAsia" w:ascii="仿宋" w:eastAsia="仿宋"/>
          <w:sz w:val="21"/>
        </w:rPr>
        <w:t>。</w:t>
      </w:r>
    </w:p>
    <w:p>
      <w:pPr>
        <w:spacing w:before="0" w:line="367" w:lineRule="auto"/>
        <w:ind w:left="1369" w:right="3626" w:hanging="219"/>
        <w:jc w:val="left"/>
        <w:rPr>
          <w:rFonts w:hint="eastAsia" w:ascii="仿宋" w:eastAsia="仿宋"/>
          <w:sz w:val="21"/>
        </w:rPr>
      </w:pPr>
      <w:r>
        <w:rPr>
          <w:rFonts w:hint="eastAsia" w:ascii="仿宋" w:eastAsia="仿宋"/>
          <w:sz w:val="21"/>
        </w:rPr>
        <w:t>承包人需要提交的竣工资料套数：</w:t>
      </w:r>
      <w:r>
        <w:rPr>
          <w:rFonts w:hint="eastAsia" w:ascii="仿宋" w:eastAsia="仿宋"/>
          <w:spacing w:val="-14"/>
          <w:sz w:val="21"/>
          <w:u w:val="single"/>
        </w:rPr>
        <w:t xml:space="preserve">纸质版 </w:t>
      </w:r>
      <w:r>
        <w:rPr>
          <w:rFonts w:ascii="Times New Roman" w:eastAsia="Times New Roman"/>
          <w:sz w:val="21"/>
          <w:u w:val="single"/>
        </w:rPr>
        <w:t xml:space="preserve">4 </w:t>
      </w:r>
      <w:r>
        <w:rPr>
          <w:rFonts w:hint="eastAsia" w:ascii="仿宋" w:eastAsia="仿宋"/>
          <w:spacing w:val="-9"/>
          <w:sz w:val="21"/>
          <w:u w:val="single"/>
        </w:rPr>
        <w:t xml:space="preserve">套，电子版 </w:t>
      </w:r>
      <w:r>
        <w:rPr>
          <w:rFonts w:ascii="Times New Roman" w:eastAsia="Times New Roman"/>
          <w:sz w:val="21"/>
          <w:u w:val="single"/>
        </w:rPr>
        <w:t xml:space="preserve">1 </w:t>
      </w:r>
      <w:r>
        <w:rPr>
          <w:rFonts w:hint="eastAsia" w:ascii="仿宋" w:eastAsia="仿宋"/>
          <w:sz w:val="21"/>
          <w:u w:val="single"/>
        </w:rPr>
        <w:t>套。</w:t>
      </w:r>
      <w:r>
        <w:rPr>
          <w:rFonts w:hint="eastAsia" w:ascii="仿宋" w:eastAsia="仿宋"/>
          <w:sz w:val="21"/>
        </w:rPr>
        <w:t>承包人提交的竣工资料的费用承担：</w:t>
      </w:r>
      <w:r>
        <w:rPr>
          <w:rFonts w:hint="eastAsia" w:ascii="仿宋" w:eastAsia="仿宋"/>
          <w:sz w:val="21"/>
          <w:u w:val="single"/>
        </w:rPr>
        <w:t>承包人承担</w:t>
      </w:r>
      <w:r>
        <w:rPr>
          <w:rFonts w:hint="eastAsia" w:ascii="仿宋" w:eastAsia="仿宋"/>
          <w:sz w:val="21"/>
        </w:rPr>
        <w:t>。</w:t>
      </w:r>
    </w:p>
    <w:p>
      <w:pPr>
        <w:spacing w:before="0" w:line="364" w:lineRule="auto"/>
        <w:ind w:left="1151" w:right="3626" w:firstLine="218"/>
        <w:jc w:val="left"/>
        <w:rPr>
          <w:rFonts w:hint="eastAsia" w:ascii="仿宋" w:eastAsia="仿宋"/>
          <w:sz w:val="21"/>
        </w:rPr>
      </w:pPr>
      <w:r>
        <w:rPr>
          <w:rFonts w:hint="eastAsia" w:ascii="仿宋" w:eastAsia="仿宋"/>
          <w:sz w:val="21"/>
        </w:rPr>
        <w:t>承包人提交的竣工资料移交时间：</w:t>
      </w:r>
      <w:r>
        <w:rPr>
          <w:rFonts w:hint="eastAsia" w:ascii="仿宋" w:eastAsia="仿宋"/>
          <w:spacing w:val="-8"/>
          <w:sz w:val="21"/>
          <w:u w:val="single"/>
        </w:rPr>
        <w:t xml:space="preserve">竣工验收结束 </w:t>
      </w:r>
      <w:r>
        <w:rPr>
          <w:rFonts w:ascii="Times New Roman" w:eastAsia="Times New Roman"/>
          <w:sz w:val="21"/>
          <w:u w:val="single"/>
        </w:rPr>
        <w:t xml:space="preserve">15 </w:t>
      </w:r>
      <w:r>
        <w:rPr>
          <w:rFonts w:hint="eastAsia" w:ascii="仿宋" w:eastAsia="仿宋"/>
          <w:sz w:val="21"/>
          <w:u w:val="single"/>
        </w:rPr>
        <w:t>天内</w:t>
      </w:r>
      <w:r>
        <w:rPr>
          <w:rFonts w:hint="eastAsia" w:ascii="仿宋" w:eastAsia="仿宋"/>
          <w:sz w:val="21"/>
        </w:rPr>
        <w:t>。承包人提交的竣工资料形式要求：</w:t>
      </w:r>
      <w:r>
        <w:rPr>
          <w:rFonts w:hint="eastAsia" w:ascii="仿宋" w:eastAsia="仿宋"/>
          <w:spacing w:val="-14"/>
          <w:sz w:val="21"/>
          <w:u w:val="single"/>
        </w:rPr>
        <w:t xml:space="preserve">纸质版 </w:t>
      </w:r>
      <w:r>
        <w:rPr>
          <w:rFonts w:ascii="Times New Roman" w:eastAsia="Times New Roman"/>
          <w:sz w:val="21"/>
          <w:u w:val="single"/>
        </w:rPr>
        <w:t xml:space="preserve">4 </w:t>
      </w:r>
      <w:r>
        <w:rPr>
          <w:rFonts w:hint="eastAsia" w:ascii="仿宋" w:eastAsia="仿宋"/>
          <w:spacing w:val="-9"/>
          <w:sz w:val="21"/>
          <w:u w:val="single"/>
        </w:rPr>
        <w:t xml:space="preserve">套，电子版 </w:t>
      </w:r>
      <w:r>
        <w:rPr>
          <w:rFonts w:ascii="Times New Roman" w:eastAsia="Times New Roman"/>
          <w:sz w:val="21"/>
          <w:u w:val="single"/>
        </w:rPr>
        <w:t xml:space="preserve">1 </w:t>
      </w:r>
      <w:r>
        <w:rPr>
          <w:rFonts w:hint="eastAsia" w:ascii="仿宋" w:eastAsia="仿宋"/>
          <w:sz w:val="21"/>
          <w:u w:val="single"/>
        </w:rPr>
        <w:t>套。</w:t>
      </w:r>
    </w:p>
    <w:p>
      <w:pPr>
        <w:spacing w:before="0" w:line="267" w:lineRule="exact"/>
        <w:ind w:left="1256" w:right="0" w:firstLine="0"/>
        <w:jc w:val="left"/>
        <w:rPr>
          <w:rFonts w:hint="eastAsia" w:ascii="仿宋" w:eastAsia="仿宋"/>
          <w:sz w:val="21"/>
        </w:rPr>
      </w:pPr>
      <w:r>
        <w:rPr>
          <w:rFonts w:hint="eastAsia" w:ascii="仿宋" w:eastAsia="仿宋"/>
          <w:sz w:val="21"/>
        </w:rPr>
        <w:t>（</w:t>
      </w:r>
      <w:r>
        <w:rPr>
          <w:rFonts w:ascii="Times New Roman" w:eastAsia="Times New Roman"/>
          <w:sz w:val="21"/>
        </w:rPr>
        <w:t>2</w:t>
      </w:r>
      <w:r>
        <w:rPr>
          <w:rFonts w:hint="eastAsia" w:ascii="仿宋" w:eastAsia="仿宋"/>
          <w:sz w:val="21"/>
        </w:rPr>
        <w:t>）承包人应履行的其他义务：</w:t>
      </w:r>
    </w:p>
    <w:p>
      <w:pPr>
        <w:pStyle w:val="9"/>
        <w:spacing w:before="1"/>
        <w:rPr>
          <w:rFonts w:ascii="仿宋"/>
          <w:sz w:val="25"/>
        </w:rPr>
      </w:pPr>
    </w:p>
    <w:p>
      <w:pPr>
        <w:spacing w:before="0"/>
        <w:ind w:left="1360" w:right="0" w:firstLine="0"/>
        <w:jc w:val="left"/>
        <w:rPr>
          <w:rFonts w:hint="eastAsia" w:ascii="仿宋" w:eastAsia="仿宋"/>
          <w:sz w:val="21"/>
        </w:rPr>
      </w:pPr>
      <w:r>
        <w:rPr>
          <w:rFonts w:ascii="Times New Roman" w:eastAsia="Times New Roman"/>
          <w:sz w:val="21"/>
        </w:rPr>
        <w:t>a</w:t>
      </w:r>
      <w:r>
        <w:rPr>
          <w:rFonts w:hint="eastAsia" w:ascii="仿宋" w:eastAsia="仿宋"/>
          <w:sz w:val="21"/>
        </w:rPr>
        <w:t>、</w:t>
      </w:r>
      <w:r>
        <w:rPr>
          <w:rFonts w:hint="eastAsia" w:ascii="仿宋" w:eastAsia="仿宋"/>
          <w:sz w:val="21"/>
          <w:u w:val="single"/>
        </w:rPr>
        <w:t>承担施工安全保卫工作及非夜间施工照明的责任和要求：承包人应在工程现场保留足够</w:t>
      </w:r>
    </w:p>
    <w:p>
      <w:pPr>
        <w:pStyle w:val="9"/>
        <w:spacing w:before="7"/>
        <w:rPr>
          <w:rFonts w:ascii="仿宋"/>
          <w:sz w:val="12"/>
        </w:rPr>
      </w:pPr>
    </w:p>
    <w:p>
      <w:pPr>
        <w:spacing w:before="70"/>
        <w:ind w:left="731" w:right="0" w:firstLine="0"/>
        <w:jc w:val="left"/>
        <w:rPr>
          <w:rFonts w:hint="eastAsia" w:ascii="仿宋" w:eastAsia="仿宋"/>
          <w:sz w:val="21"/>
        </w:rPr>
      </w:pPr>
      <w:r>
        <w:rPr>
          <w:rFonts w:hint="eastAsia" w:ascii="仿宋" w:eastAsia="仿宋"/>
          <w:sz w:val="21"/>
          <w:u w:val="single"/>
        </w:rPr>
        <w:t>的看护人员，保护工程、材料、施工机械等一切设施，以确保工程的完好，直至工程交付。</w:t>
      </w:r>
    </w:p>
    <w:p>
      <w:pPr>
        <w:pStyle w:val="9"/>
        <w:spacing w:before="2"/>
        <w:rPr>
          <w:rFonts w:ascii="仿宋"/>
          <w:sz w:val="12"/>
        </w:rPr>
      </w:pPr>
    </w:p>
    <w:p>
      <w:pPr>
        <w:spacing w:before="77"/>
        <w:ind w:left="669" w:right="727" w:firstLine="0"/>
        <w:jc w:val="center"/>
        <w:rPr>
          <w:rFonts w:hint="eastAsia" w:ascii="仿宋" w:eastAsia="仿宋"/>
          <w:sz w:val="21"/>
        </w:rPr>
      </w:pPr>
      <w:r>
        <w:rPr>
          <w:rFonts w:ascii="Times New Roman" w:eastAsia="Times New Roman"/>
          <w:sz w:val="21"/>
        </w:rPr>
        <w:t>b</w:t>
      </w:r>
      <w:r>
        <w:rPr>
          <w:rFonts w:hint="eastAsia" w:ascii="仿宋" w:eastAsia="仿宋"/>
          <w:sz w:val="21"/>
        </w:rPr>
        <w:t>、</w:t>
      </w:r>
      <w:r>
        <w:rPr>
          <w:rFonts w:hint="eastAsia" w:ascii="仿宋" w:eastAsia="仿宋"/>
          <w:sz w:val="21"/>
          <w:u w:val="single"/>
        </w:rPr>
        <w:t>承包人将负责本工程的现场保卫工作，并有责任阻止非工程所需人员进入现场。</w:t>
      </w:r>
    </w:p>
    <w:p>
      <w:pPr>
        <w:pStyle w:val="9"/>
        <w:rPr>
          <w:rFonts w:ascii="仿宋"/>
          <w:sz w:val="12"/>
        </w:rPr>
      </w:pPr>
    </w:p>
    <w:p>
      <w:pPr>
        <w:spacing w:before="76"/>
        <w:ind w:left="1360" w:right="0" w:firstLine="0"/>
        <w:jc w:val="left"/>
        <w:rPr>
          <w:rFonts w:hint="eastAsia" w:ascii="仿宋" w:eastAsia="仿宋"/>
          <w:sz w:val="21"/>
        </w:rPr>
      </w:pPr>
      <w:r>
        <w:rPr>
          <w:rFonts w:ascii="Times New Roman" w:eastAsia="Times New Roman"/>
          <w:sz w:val="21"/>
        </w:rPr>
        <w:t>c</w:t>
      </w:r>
      <w:r>
        <w:rPr>
          <w:rFonts w:hint="eastAsia" w:ascii="仿宋" w:eastAsia="仿宋"/>
          <w:sz w:val="21"/>
        </w:rPr>
        <w:t>、</w:t>
      </w:r>
      <w:r>
        <w:rPr>
          <w:rFonts w:hint="eastAsia" w:ascii="仿宋" w:eastAsia="仿宋"/>
          <w:sz w:val="21"/>
          <w:u w:val="single"/>
        </w:rPr>
        <w:t>承包人在工程施工期间，必须配备专职安全员，建立动用明火申请批准制度，配备足够</w:t>
      </w:r>
    </w:p>
    <w:p>
      <w:pPr>
        <w:pStyle w:val="9"/>
        <w:spacing w:before="7"/>
        <w:rPr>
          <w:rFonts w:ascii="仿宋"/>
          <w:sz w:val="12"/>
        </w:rPr>
      </w:pPr>
    </w:p>
    <w:p>
      <w:pPr>
        <w:spacing w:before="69"/>
        <w:ind w:left="731" w:right="0" w:firstLine="0"/>
        <w:jc w:val="left"/>
        <w:rPr>
          <w:rFonts w:hint="eastAsia" w:ascii="仿宋" w:eastAsia="仿宋"/>
          <w:sz w:val="21"/>
        </w:rPr>
      </w:pPr>
      <w:r>
        <w:rPr>
          <w:rFonts w:hint="eastAsia" w:ascii="仿宋" w:eastAsia="仿宋"/>
          <w:sz w:val="21"/>
          <w:u w:val="single"/>
        </w:rPr>
        <w:t>的消防灭火器材，并按有关规定报批，另外还应抄送监理单位备案。</w:t>
      </w:r>
    </w:p>
    <w:p>
      <w:pPr>
        <w:pStyle w:val="9"/>
        <w:spacing w:before="3"/>
        <w:rPr>
          <w:rFonts w:ascii="仿宋"/>
          <w:sz w:val="12"/>
        </w:rPr>
      </w:pPr>
    </w:p>
    <w:p>
      <w:pPr>
        <w:spacing w:before="76"/>
        <w:ind w:left="1360" w:right="0" w:firstLine="0"/>
        <w:jc w:val="left"/>
        <w:rPr>
          <w:rFonts w:hint="eastAsia" w:ascii="仿宋" w:eastAsia="仿宋"/>
          <w:sz w:val="21"/>
        </w:rPr>
      </w:pPr>
      <w:r>
        <w:rPr>
          <w:rFonts w:ascii="Times New Roman" w:eastAsia="Times New Roman"/>
          <w:sz w:val="21"/>
        </w:rPr>
        <w:t>d</w:t>
      </w:r>
      <w:r>
        <w:rPr>
          <w:rFonts w:hint="eastAsia" w:ascii="仿宋" w:eastAsia="仿宋"/>
          <w:sz w:val="21"/>
        </w:rPr>
        <w:t>、</w:t>
      </w:r>
      <w:r>
        <w:rPr>
          <w:rFonts w:hint="eastAsia" w:ascii="仿宋" w:eastAsia="仿宋"/>
          <w:sz w:val="21"/>
          <w:u w:val="single"/>
        </w:rPr>
        <w:t>在施工期间，承包人必须建立安全用电制度，确保施工用电设备的完好，并设置漏电保</w:t>
      </w:r>
    </w:p>
    <w:p>
      <w:pPr>
        <w:pStyle w:val="9"/>
        <w:spacing w:before="7"/>
        <w:rPr>
          <w:rFonts w:ascii="仿宋"/>
          <w:sz w:val="12"/>
        </w:rPr>
      </w:pPr>
    </w:p>
    <w:p>
      <w:pPr>
        <w:spacing w:before="70"/>
        <w:ind w:left="731" w:right="0" w:firstLine="0"/>
        <w:jc w:val="left"/>
        <w:rPr>
          <w:rFonts w:hint="eastAsia" w:ascii="仿宋" w:eastAsia="仿宋"/>
          <w:sz w:val="21"/>
        </w:rPr>
      </w:pPr>
      <w:r>
        <w:rPr>
          <w:rFonts w:hint="eastAsia" w:ascii="仿宋" w:eastAsia="仿宋"/>
          <w:sz w:val="21"/>
          <w:u w:val="single"/>
        </w:rPr>
        <w:t>护装置。</w:t>
      </w:r>
    </w:p>
    <w:p>
      <w:pPr>
        <w:pStyle w:val="9"/>
        <w:rPr>
          <w:rFonts w:ascii="仿宋"/>
          <w:sz w:val="12"/>
        </w:rPr>
      </w:pPr>
    </w:p>
    <w:p>
      <w:pPr>
        <w:spacing w:before="76"/>
        <w:ind w:left="1360" w:right="0" w:firstLine="0"/>
        <w:jc w:val="left"/>
        <w:rPr>
          <w:rFonts w:hint="eastAsia" w:ascii="仿宋" w:eastAsia="仿宋"/>
          <w:sz w:val="21"/>
        </w:rPr>
      </w:pPr>
      <w:r>
        <w:rPr>
          <w:rFonts w:ascii="Times New Roman" w:eastAsia="Times New Roman"/>
          <w:w w:val="95"/>
          <w:sz w:val="21"/>
        </w:rPr>
        <w:t>e</w:t>
      </w:r>
      <w:r>
        <w:rPr>
          <w:rFonts w:hint="eastAsia" w:ascii="仿宋" w:eastAsia="仿宋"/>
          <w:spacing w:val="-29"/>
          <w:w w:val="95"/>
          <w:sz w:val="21"/>
        </w:rPr>
        <w:t>、</w:t>
      </w:r>
      <w:r>
        <w:rPr>
          <w:rFonts w:hint="eastAsia" w:ascii="仿宋" w:eastAsia="仿宋"/>
          <w:spacing w:val="-3"/>
          <w:w w:val="95"/>
          <w:sz w:val="21"/>
          <w:u w:val="single"/>
        </w:rPr>
        <w:t>需要承包人办理的有关施工场地交通、环卫和施工噪音管理等手续：遵守政府有关部门</w:t>
      </w:r>
    </w:p>
    <w:p>
      <w:pPr>
        <w:pStyle w:val="9"/>
        <w:spacing w:before="9"/>
        <w:rPr>
          <w:rFonts w:ascii="仿宋"/>
          <w:sz w:val="12"/>
        </w:rPr>
      </w:pPr>
    </w:p>
    <w:p>
      <w:pPr>
        <w:spacing w:before="70"/>
        <w:ind w:left="731" w:right="0" w:firstLine="0"/>
        <w:jc w:val="left"/>
        <w:rPr>
          <w:rFonts w:hint="eastAsia" w:ascii="仿宋" w:eastAsia="仿宋"/>
          <w:sz w:val="21"/>
        </w:rPr>
      </w:pPr>
      <w:r>
        <w:rPr>
          <w:rFonts w:hint="eastAsia" w:ascii="仿宋" w:eastAsia="仿宋"/>
          <w:w w:val="95"/>
          <w:sz w:val="21"/>
          <w:u w:val="single"/>
        </w:rPr>
        <w:t>对施工场地交通、环卫和施工燥音等的管理规定和要求，搞好环境卫生和文明施工，遵守发包人</w:t>
      </w:r>
    </w:p>
    <w:p>
      <w:pPr>
        <w:pStyle w:val="9"/>
        <w:spacing w:before="6"/>
        <w:rPr>
          <w:rFonts w:ascii="仿宋"/>
          <w:sz w:val="12"/>
        </w:rPr>
      </w:pPr>
    </w:p>
    <w:p>
      <w:pPr>
        <w:spacing w:before="70"/>
        <w:ind w:left="731" w:right="0" w:firstLine="0"/>
        <w:jc w:val="left"/>
        <w:rPr>
          <w:rFonts w:hint="eastAsia" w:ascii="仿宋" w:eastAsia="仿宋"/>
          <w:sz w:val="21"/>
        </w:rPr>
      </w:pPr>
      <w:r>
        <w:rPr>
          <w:rFonts w:hint="eastAsia" w:ascii="仿宋" w:eastAsia="仿宋"/>
          <w:w w:val="95"/>
          <w:sz w:val="21"/>
          <w:u w:val="single"/>
        </w:rPr>
        <w:t>单位的治安、防火、保密、安全生产等有关规章制度。有关手续经发包人同意后由承包人办理，</w:t>
      </w:r>
    </w:p>
    <w:p>
      <w:pPr>
        <w:pStyle w:val="9"/>
        <w:spacing w:before="7"/>
        <w:rPr>
          <w:rFonts w:ascii="仿宋"/>
          <w:sz w:val="12"/>
        </w:rPr>
      </w:pPr>
    </w:p>
    <w:p>
      <w:pPr>
        <w:spacing w:before="70"/>
        <w:ind w:left="731" w:right="0" w:firstLine="0"/>
        <w:jc w:val="left"/>
        <w:rPr>
          <w:rFonts w:hint="eastAsia" w:ascii="仿宋" w:eastAsia="仿宋"/>
          <w:sz w:val="21"/>
        </w:rPr>
      </w:pPr>
      <w:r>
        <w:rPr>
          <w:rFonts w:hint="eastAsia" w:ascii="仿宋" w:eastAsia="仿宋"/>
          <w:sz w:val="21"/>
          <w:u w:val="single"/>
        </w:rPr>
        <w:t>因承包人原因造成的损失和违约金由承包人承担。</w:t>
      </w:r>
    </w:p>
    <w:p>
      <w:pPr>
        <w:pStyle w:val="9"/>
        <w:spacing w:before="2"/>
        <w:rPr>
          <w:rFonts w:ascii="仿宋"/>
          <w:sz w:val="12"/>
        </w:rPr>
      </w:pPr>
    </w:p>
    <w:p>
      <w:pPr>
        <w:spacing w:before="76"/>
        <w:ind w:left="1360" w:right="0" w:firstLine="0"/>
        <w:jc w:val="left"/>
        <w:rPr>
          <w:rFonts w:hint="eastAsia" w:ascii="仿宋" w:eastAsia="仿宋"/>
          <w:sz w:val="21"/>
        </w:rPr>
      </w:pPr>
      <w:r>
        <w:rPr>
          <w:rFonts w:ascii="Times New Roman" w:eastAsia="Times New Roman"/>
          <w:w w:val="95"/>
          <w:sz w:val="21"/>
        </w:rPr>
        <w:t>f</w:t>
      </w:r>
      <w:r>
        <w:rPr>
          <w:rFonts w:hint="eastAsia" w:ascii="仿宋" w:eastAsia="仿宋"/>
          <w:spacing w:val="-22"/>
          <w:w w:val="95"/>
          <w:sz w:val="21"/>
        </w:rPr>
        <w:t>、</w:t>
      </w:r>
      <w:r>
        <w:rPr>
          <w:rFonts w:hint="eastAsia" w:ascii="仿宋" w:eastAsia="仿宋"/>
          <w:spacing w:val="-3"/>
          <w:w w:val="95"/>
          <w:sz w:val="21"/>
          <w:u w:val="single"/>
        </w:rPr>
        <w:t>已完成工程成品保护的特殊要求及费用承担：已竣工工程未交付发包人之前，承包人负</w:t>
      </w:r>
    </w:p>
    <w:p>
      <w:pPr>
        <w:pStyle w:val="9"/>
        <w:spacing w:before="7"/>
        <w:rPr>
          <w:rFonts w:ascii="仿宋"/>
          <w:sz w:val="12"/>
        </w:rPr>
      </w:pPr>
    </w:p>
    <w:p>
      <w:pPr>
        <w:spacing w:before="70"/>
        <w:ind w:left="731" w:right="0" w:firstLine="0"/>
        <w:jc w:val="left"/>
        <w:rPr>
          <w:rFonts w:hint="eastAsia" w:ascii="仿宋" w:eastAsia="仿宋"/>
          <w:sz w:val="21"/>
        </w:rPr>
      </w:pPr>
      <w:r>
        <w:rPr>
          <w:rFonts w:hint="eastAsia" w:ascii="仿宋" w:eastAsia="仿宋"/>
          <w:w w:val="95"/>
          <w:sz w:val="21"/>
          <w:u w:val="single"/>
        </w:rPr>
        <w:t>责完工工程成品保护，期间发生的损坏由承包人负责修复。发包人提前使用后发生人为损坏的修</w:t>
      </w:r>
    </w:p>
    <w:p>
      <w:pPr>
        <w:pStyle w:val="9"/>
        <w:spacing w:before="6"/>
        <w:rPr>
          <w:rFonts w:ascii="仿宋"/>
          <w:sz w:val="12"/>
        </w:rPr>
      </w:pPr>
    </w:p>
    <w:p>
      <w:pPr>
        <w:spacing w:before="70"/>
        <w:ind w:left="731" w:right="0" w:firstLine="0"/>
        <w:jc w:val="left"/>
        <w:rPr>
          <w:rFonts w:hint="eastAsia" w:ascii="仿宋" w:eastAsia="仿宋"/>
          <w:sz w:val="21"/>
        </w:rPr>
      </w:pPr>
      <w:r>
        <w:rPr>
          <w:rFonts w:hint="eastAsia" w:ascii="仿宋" w:eastAsia="仿宋"/>
          <w:sz w:val="21"/>
          <w:u w:val="single"/>
        </w:rPr>
        <w:t>复费用，由发包人承担。</w:t>
      </w:r>
    </w:p>
    <w:p>
      <w:pPr>
        <w:pStyle w:val="9"/>
        <w:spacing w:before="2"/>
        <w:rPr>
          <w:rFonts w:ascii="仿宋"/>
          <w:sz w:val="12"/>
        </w:rPr>
      </w:pPr>
    </w:p>
    <w:p>
      <w:pPr>
        <w:spacing w:before="77"/>
        <w:ind w:left="1360" w:right="0" w:firstLine="0"/>
        <w:jc w:val="left"/>
        <w:rPr>
          <w:rFonts w:hint="eastAsia" w:ascii="仿宋" w:eastAsia="仿宋"/>
          <w:sz w:val="21"/>
        </w:rPr>
      </w:pPr>
      <w:r>
        <w:rPr>
          <w:rFonts w:ascii="Times New Roman" w:eastAsia="Times New Roman"/>
          <w:w w:val="95"/>
          <w:sz w:val="21"/>
        </w:rPr>
        <w:t>g</w:t>
      </w:r>
      <w:r>
        <w:rPr>
          <w:rFonts w:hint="eastAsia" w:ascii="仿宋" w:eastAsia="仿宋"/>
          <w:spacing w:val="-17"/>
          <w:w w:val="95"/>
          <w:sz w:val="21"/>
        </w:rPr>
        <w:t>、</w:t>
      </w:r>
      <w:r>
        <w:rPr>
          <w:rFonts w:hint="eastAsia" w:ascii="仿宋" w:eastAsia="仿宋"/>
          <w:spacing w:val="-2"/>
          <w:w w:val="95"/>
          <w:sz w:val="21"/>
          <w:u w:val="single"/>
        </w:rPr>
        <w:t>施工场地周围地下管线和邻近建筑物、构筑物</w:t>
      </w:r>
      <w:r>
        <w:rPr>
          <w:rFonts w:hint="eastAsia" w:ascii="仿宋" w:eastAsia="仿宋"/>
          <w:w w:val="95"/>
          <w:sz w:val="21"/>
          <w:u w:val="single"/>
        </w:rPr>
        <w:t>（</w:t>
      </w:r>
      <w:r>
        <w:rPr>
          <w:rFonts w:hint="eastAsia" w:ascii="仿宋" w:eastAsia="仿宋"/>
          <w:spacing w:val="-4"/>
          <w:w w:val="95"/>
          <w:sz w:val="21"/>
          <w:u w:val="single"/>
        </w:rPr>
        <w:t>含文物、保护建筑</w:t>
      </w:r>
      <w:r>
        <w:rPr>
          <w:rFonts w:hint="eastAsia" w:ascii="仿宋" w:eastAsia="仿宋"/>
          <w:spacing w:val="-16"/>
          <w:w w:val="95"/>
          <w:sz w:val="21"/>
          <w:u w:val="single"/>
        </w:rPr>
        <w:t>）</w:t>
      </w:r>
      <w:r>
        <w:rPr>
          <w:rFonts w:hint="eastAsia" w:ascii="仿宋" w:eastAsia="仿宋"/>
          <w:spacing w:val="-4"/>
          <w:w w:val="95"/>
          <w:sz w:val="21"/>
          <w:u w:val="single"/>
        </w:rPr>
        <w:t>：做好施工现场周</w:t>
      </w:r>
    </w:p>
    <w:p>
      <w:pPr>
        <w:pStyle w:val="9"/>
        <w:spacing w:before="7"/>
        <w:rPr>
          <w:rFonts w:ascii="仿宋"/>
          <w:sz w:val="12"/>
        </w:rPr>
      </w:pPr>
    </w:p>
    <w:p>
      <w:pPr>
        <w:spacing w:before="69"/>
        <w:ind w:left="731" w:right="0" w:firstLine="0"/>
        <w:jc w:val="left"/>
        <w:rPr>
          <w:rFonts w:hint="eastAsia" w:ascii="仿宋" w:eastAsia="仿宋"/>
          <w:sz w:val="21"/>
        </w:rPr>
      </w:pPr>
      <w:r>
        <w:rPr>
          <w:rFonts w:hint="eastAsia" w:ascii="仿宋" w:eastAsia="仿宋"/>
          <w:w w:val="95"/>
          <w:sz w:val="21"/>
          <w:u w:val="single"/>
        </w:rPr>
        <w:t>围地下管线和邻近建筑物、构筑物、地下通道的勘探、保护工作，如因承包人施工原因引起的损</w:t>
      </w:r>
    </w:p>
    <w:p>
      <w:pPr>
        <w:pStyle w:val="9"/>
        <w:spacing w:before="7"/>
        <w:rPr>
          <w:rFonts w:ascii="仿宋"/>
          <w:sz w:val="12"/>
        </w:rPr>
      </w:pPr>
    </w:p>
    <w:p>
      <w:pPr>
        <w:spacing w:before="70"/>
        <w:ind w:left="731" w:right="0" w:firstLine="0"/>
        <w:jc w:val="left"/>
        <w:rPr>
          <w:rFonts w:hint="eastAsia" w:ascii="仿宋" w:eastAsia="仿宋"/>
          <w:sz w:val="21"/>
        </w:rPr>
      </w:pPr>
      <w:r>
        <w:rPr>
          <w:rFonts w:hint="eastAsia" w:ascii="仿宋" w:eastAsia="仿宋"/>
          <w:sz w:val="21"/>
          <w:u w:val="single"/>
        </w:rPr>
        <w:t>坏，承包人应负全部责任，并承担由此产生的一切赔偿。</w:t>
      </w:r>
    </w:p>
    <w:p>
      <w:pPr>
        <w:pStyle w:val="9"/>
        <w:spacing w:before="2"/>
        <w:rPr>
          <w:rFonts w:ascii="仿宋"/>
          <w:sz w:val="12"/>
        </w:rPr>
      </w:pPr>
    </w:p>
    <w:p>
      <w:pPr>
        <w:spacing w:before="76"/>
        <w:ind w:left="1360" w:right="0" w:firstLine="0"/>
        <w:jc w:val="left"/>
        <w:rPr>
          <w:rFonts w:hint="eastAsia" w:ascii="仿宋" w:eastAsia="仿宋"/>
          <w:sz w:val="21"/>
        </w:rPr>
      </w:pPr>
      <w:r>
        <w:rPr>
          <w:rFonts w:ascii="Times New Roman" w:eastAsia="Times New Roman"/>
          <w:w w:val="95"/>
          <w:sz w:val="21"/>
        </w:rPr>
        <w:t>h</w:t>
      </w:r>
      <w:r>
        <w:rPr>
          <w:rFonts w:hint="eastAsia" w:ascii="仿宋" w:eastAsia="仿宋"/>
          <w:spacing w:val="-25"/>
          <w:w w:val="95"/>
          <w:sz w:val="21"/>
        </w:rPr>
        <w:t>、</w:t>
      </w:r>
      <w:r>
        <w:rPr>
          <w:rFonts w:hint="eastAsia" w:ascii="仿宋" w:eastAsia="仿宋"/>
          <w:spacing w:val="-6"/>
          <w:w w:val="95"/>
          <w:sz w:val="21"/>
          <w:u w:val="single"/>
        </w:rPr>
        <w:t>施工场地清洁卫生的要求：文明施工，严格达到有关施工现场清洁卫生要求，保证施工</w:t>
      </w:r>
    </w:p>
    <w:p>
      <w:pPr>
        <w:pStyle w:val="9"/>
        <w:spacing w:before="7"/>
        <w:rPr>
          <w:rFonts w:ascii="仿宋"/>
          <w:sz w:val="12"/>
        </w:rPr>
      </w:pPr>
    </w:p>
    <w:p>
      <w:pPr>
        <w:spacing w:before="70"/>
        <w:ind w:left="731" w:right="0" w:firstLine="0"/>
        <w:jc w:val="left"/>
        <w:rPr>
          <w:rFonts w:hint="eastAsia" w:ascii="仿宋" w:eastAsia="仿宋"/>
          <w:sz w:val="21"/>
        </w:rPr>
      </w:pPr>
      <w:r>
        <w:rPr>
          <w:rFonts w:hint="eastAsia" w:ascii="仿宋" w:eastAsia="仿宋"/>
          <w:w w:val="95"/>
          <w:sz w:val="21"/>
          <w:u w:val="single"/>
        </w:rPr>
        <w:t>场地清洁，符合环境卫生管理的有关规定。施工期间，承包方自己形成的建筑垃圾、生活垃圾随</w:t>
      </w:r>
    </w:p>
    <w:p>
      <w:pPr>
        <w:spacing w:after="0"/>
        <w:jc w:val="left"/>
        <w:rPr>
          <w:rFonts w:hint="eastAsia" w:ascii="仿宋" w:eastAsia="仿宋"/>
          <w:sz w:val="21"/>
        </w:rPr>
        <w:sectPr>
          <w:pgSz w:w="11910" w:h="16840"/>
          <w:pgMar w:top="1100" w:right="660" w:bottom="1200" w:left="800" w:header="878" w:footer="1003" w:gutter="0"/>
          <w:cols w:space="720" w:num="1"/>
        </w:sectPr>
      </w:pPr>
    </w:p>
    <w:p>
      <w:pPr>
        <w:pStyle w:val="9"/>
        <w:rPr>
          <w:rFonts w:ascii="仿宋"/>
          <w:sz w:val="20"/>
        </w:rPr>
      </w:pPr>
    </w:p>
    <w:p>
      <w:pPr>
        <w:pStyle w:val="9"/>
        <w:spacing w:before="2"/>
        <w:rPr>
          <w:rFonts w:ascii="仿宋"/>
          <w:sz w:val="18"/>
        </w:rPr>
      </w:pPr>
    </w:p>
    <w:p>
      <w:pPr>
        <w:spacing w:before="0"/>
        <w:ind w:left="731" w:right="0" w:firstLine="0"/>
        <w:jc w:val="left"/>
        <w:rPr>
          <w:rFonts w:hint="eastAsia" w:ascii="仿宋" w:eastAsia="仿宋"/>
          <w:sz w:val="21"/>
        </w:rPr>
      </w:pPr>
      <w:r>
        <w:rPr>
          <w:rFonts w:hint="eastAsia" w:ascii="仿宋" w:eastAsia="仿宋"/>
          <w:w w:val="95"/>
          <w:sz w:val="21"/>
          <w:u w:val="single"/>
        </w:rPr>
        <w:t>时清理外运，费用由承包方承担。工程竣工时，应及时清理现场（包括堆放到场外）的余土及其</w:t>
      </w:r>
    </w:p>
    <w:p>
      <w:pPr>
        <w:pStyle w:val="9"/>
        <w:rPr>
          <w:rFonts w:ascii="仿宋"/>
          <w:sz w:val="12"/>
        </w:rPr>
      </w:pPr>
    </w:p>
    <w:p>
      <w:pPr>
        <w:spacing w:before="70"/>
        <w:ind w:left="731" w:right="0" w:firstLine="0"/>
        <w:jc w:val="left"/>
        <w:rPr>
          <w:rFonts w:hint="eastAsia" w:ascii="仿宋" w:eastAsia="仿宋"/>
          <w:sz w:val="21"/>
        </w:rPr>
      </w:pPr>
      <w:r>
        <w:rPr>
          <w:rFonts w:hint="eastAsia" w:ascii="仿宋" w:eastAsia="仿宋"/>
          <w:spacing w:val="-3"/>
          <w:sz w:val="21"/>
          <w:u w:val="single"/>
        </w:rPr>
        <w:t>他施工堆积物。</w:t>
      </w:r>
    </w:p>
    <w:p>
      <w:pPr>
        <w:pStyle w:val="9"/>
        <w:rPr>
          <w:rFonts w:ascii="仿宋"/>
          <w:sz w:val="12"/>
        </w:rPr>
      </w:pPr>
    </w:p>
    <w:p>
      <w:pPr>
        <w:spacing w:before="77"/>
        <w:ind w:left="1360" w:right="0" w:firstLine="0"/>
        <w:jc w:val="left"/>
        <w:rPr>
          <w:rFonts w:hint="eastAsia" w:ascii="仿宋" w:eastAsia="仿宋"/>
          <w:sz w:val="21"/>
        </w:rPr>
      </w:pPr>
      <w:r>
        <w:rPr>
          <w:rFonts w:ascii="Times New Roman" w:eastAsia="Times New Roman"/>
          <w:sz w:val="21"/>
        </w:rPr>
        <w:t>i</w:t>
      </w:r>
      <w:r>
        <w:rPr>
          <w:rFonts w:hint="eastAsia" w:ascii="仿宋" w:eastAsia="仿宋"/>
          <w:sz w:val="21"/>
        </w:rPr>
        <w:t>、</w:t>
      </w:r>
      <w:r>
        <w:rPr>
          <w:rFonts w:hint="eastAsia" w:ascii="仿宋" w:eastAsia="仿宋"/>
          <w:sz w:val="21"/>
          <w:u w:val="single"/>
        </w:rPr>
        <w:t>清理和移交：承包人必须负责清理、运走和处理所有承包人产生的废渣与垃圾，并缴付</w:t>
      </w:r>
    </w:p>
    <w:p>
      <w:pPr>
        <w:pStyle w:val="9"/>
        <w:spacing w:before="9"/>
        <w:rPr>
          <w:rFonts w:ascii="仿宋"/>
          <w:sz w:val="12"/>
        </w:rPr>
      </w:pPr>
    </w:p>
    <w:p>
      <w:pPr>
        <w:spacing w:before="69"/>
        <w:ind w:left="731" w:right="0" w:firstLine="0"/>
        <w:jc w:val="left"/>
        <w:rPr>
          <w:rFonts w:hint="eastAsia" w:ascii="仿宋" w:eastAsia="仿宋"/>
          <w:sz w:val="21"/>
        </w:rPr>
      </w:pPr>
      <w:r>
        <w:rPr>
          <w:rFonts w:hint="eastAsia" w:ascii="仿宋" w:eastAsia="仿宋"/>
          <w:sz w:val="21"/>
          <w:u w:val="single"/>
        </w:rPr>
        <w:t>所有当地政府所需的费用。</w:t>
      </w:r>
    </w:p>
    <w:p>
      <w:pPr>
        <w:pStyle w:val="9"/>
        <w:rPr>
          <w:rFonts w:ascii="仿宋"/>
          <w:sz w:val="12"/>
        </w:rPr>
      </w:pPr>
    </w:p>
    <w:p>
      <w:pPr>
        <w:spacing w:before="77"/>
        <w:ind w:left="1360" w:right="0" w:firstLine="0"/>
        <w:jc w:val="left"/>
        <w:rPr>
          <w:rFonts w:hint="eastAsia" w:ascii="仿宋" w:eastAsia="仿宋"/>
          <w:sz w:val="21"/>
        </w:rPr>
      </w:pPr>
      <w:r>
        <w:rPr>
          <w:rFonts w:ascii="Times New Roman" w:eastAsia="Times New Roman"/>
          <w:sz w:val="21"/>
        </w:rPr>
        <w:t>j</w:t>
      </w:r>
      <w:r>
        <w:rPr>
          <w:rFonts w:hint="eastAsia" w:ascii="仿宋" w:eastAsia="仿宋"/>
          <w:sz w:val="21"/>
        </w:rPr>
        <w:t>、</w:t>
      </w:r>
      <w:r>
        <w:rPr>
          <w:rFonts w:hint="eastAsia" w:ascii="仿宋" w:eastAsia="仿宋"/>
          <w:sz w:val="21"/>
          <w:u w:val="single"/>
        </w:rPr>
        <w:t>在工程竣工之后和移交完成工程之前，承包人必须搬走所有的施工机械、垃圾、容器、</w:t>
      </w:r>
    </w:p>
    <w:p>
      <w:pPr>
        <w:pStyle w:val="9"/>
        <w:spacing w:before="6"/>
        <w:rPr>
          <w:rFonts w:ascii="仿宋"/>
          <w:sz w:val="12"/>
        </w:rPr>
      </w:pPr>
    </w:p>
    <w:p>
      <w:pPr>
        <w:spacing w:before="70"/>
        <w:ind w:left="731" w:right="0" w:firstLine="0"/>
        <w:jc w:val="left"/>
        <w:rPr>
          <w:rFonts w:hint="eastAsia" w:ascii="仿宋" w:eastAsia="仿宋"/>
          <w:sz w:val="21"/>
        </w:rPr>
      </w:pPr>
      <w:r>
        <w:rPr>
          <w:rFonts w:hint="eastAsia" w:ascii="仿宋" w:eastAsia="仿宋"/>
          <w:sz w:val="21"/>
          <w:u w:val="single"/>
        </w:rPr>
        <w:t>剩余材料等，以保持工程范围内的清洁和整齐。</w:t>
      </w:r>
    </w:p>
    <w:p>
      <w:pPr>
        <w:pStyle w:val="9"/>
        <w:spacing w:before="2"/>
        <w:rPr>
          <w:rFonts w:ascii="仿宋"/>
          <w:sz w:val="12"/>
        </w:rPr>
      </w:pPr>
    </w:p>
    <w:p>
      <w:pPr>
        <w:spacing w:before="77"/>
        <w:ind w:left="1360" w:right="0" w:firstLine="0"/>
        <w:jc w:val="left"/>
        <w:rPr>
          <w:rFonts w:hint="eastAsia" w:ascii="仿宋" w:eastAsia="仿宋"/>
          <w:sz w:val="21"/>
        </w:rPr>
      </w:pPr>
      <w:r>
        <w:rPr>
          <w:rFonts w:ascii="Times New Roman" w:eastAsia="Times New Roman"/>
          <w:sz w:val="21"/>
        </w:rPr>
        <w:t>k</w:t>
      </w:r>
      <w:r>
        <w:rPr>
          <w:rFonts w:hint="eastAsia" w:ascii="仿宋" w:eastAsia="仿宋"/>
          <w:sz w:val="21"/>
        </w:rPr>
        <w:t>、</w:t>
      </w:r>
      <w:r>
        <w:rPr>
          <w:rFonts w:hint="eastAsia" w:ascii="仿宋" w:eastAsia="仿宋"/>
          <w:sz w:val="21"/>
          <w:u w:val="single"/>
        </w:rPr>
        <w:t>承包人在完成本项目后须按发包人指令无偿及时地撤离现场。</w:t>
      </w:r>
    </w:p>
    <w:p>
      <w:pPr>
        <w:pStyle w:val="9"/>
        <w:rPr>
          <w:rFonts w:ascii="仿宋"/>
          <w:sz w:val="12"/>
        </w:rPr>
      </w:pPr>
    </w:p>
    <w:p>
      <w:pPr>
        <w:spacing w:before="76"/>
        <w:ind w:left="1360" w:right="0" w:firstLine="0"/>
        <w:jc w:val="left"/>
        <w:rPr>
          <w:rFonts w:hint="eastAsia" w:ascii="仿宋" w:eastAsia="仿宋"/>
          <w:sz w:val="21"/>
        </w:rPr>
      </w:pPr>
      <w:r>
        <w:rPr>
          <w:rFonts w:ascii="Times New Roman" w:eastAsia="Times New Roman"/>
          <w:sz w:val="21"/>
        </w:rPr>
        <w:t>l</w:t>
      </w:r>
      <w:r>
        <w:rPr>
          <w:rFonts w:hint="eastAsia" w:ascii="仿宋" w:eastAsia="仿宋"/>
          <w:sz w:val="21"/>
        </w:rPr>
        <w:t>、</w:t>
      </w:r>
      <w:r>
        <w:rPr>
          <w:rFonts w:hint="eastAsia" w:ascii="仿宋" w:eastAsia="仿宋"/>
          <w:sz w:val="21"/>
          <w:u w:val="single"/>
        </w:rPr>
        <w:t>承包人有义务协调处理与周边管线相关的政府管理部门的关系。</w:t>
      </w:r>
    </w:p>
    <w:p>
      <w:pPr>
        <w:pStyle w:val="9"/>
        <w:rPr>
          <w:rFonts w:ascii="仿宋"/>
          <w:sz w:val="12"/>
        </w:rPr>
      </w:pPr>
    </w:p>
    <w:p>
      <w:pPr>
        <w:spacing w:before="77"/>
        <w:ind w:left="884" w:right="467" w:firstLine="0"/>
        <w:jc w:val="center"/>
        <w:rPr>
          <w:rFonts w:hint="eastAsia" w:ascii="仿宋" w:eastAsia="仿宋"/>
          <w:sz w:val="21"/>
        </w:rPr>
      </w:pPr>
      <w:r>
        <w:rPr>
          <w:rFonts w:ascii="Times New Roman" w:eastAsia="Times New Roman"/>
          <w:w w:val="95"/>
          <w:sz w:val="21"/>
        </w:rPr>
        <w:t>m</w:t>
      </w:r>
      <w:r>
        <w:rPr>
          <w:rFonts w:hint="eastAsia" w:ascii="仿宋" w:eastAsia="仿宋"/>
          <w:w w:val="95"/>
          <w:sz w:val="21"/>
        </w:rPr>
        <w:t>、</w:t>
      </w:r>
      <w:r>
        <w:rPr>
          <w:rFonts w:hint="eastAsia" w:ascii="仿宋" w:eastAsia="仿宋"/>
          <w:w w:val="95"/>
          <w:sz w:val="21"/>
          <w:u w:val="single"/>
        </w:rPr>
        <w:t>承担施工安全保卫工作及非夜间施工照明的责任和要求：承包人应在工程现场保留足</w:t>
      </w:r>
    </w:p>
    <w:p>
      <w:pPr>
        <w:pStyle w:val="9"/>
        <w:spacing w:before="9"/>
        <w:rPr>
          <w:rFonts w:ascii="仿宋"/>
          <w:sz w:val="12"/>
        </w:rPr>
      </w:pPr>
    </w:p>
    <w:p>
      <w:pPr>
        <w:spacing w:before="69"/>
        <w:ind w:left="731" w:right="0" w:firstLine="0"/>
        <w:jc w:val="left"/>
        <w:rPr>
          <w:rFonts w:hint="eastAsia" w:ascii="仿宋" w:eastAsia="仿宋"/>
          <w:sz w:val="21"/>
        </w:rPr>
      </w:pPr>
      <w:r>
        <w:rPr>
          <w:rFonts w:hint="eastAsia" w:ascii="仿宋" w:eastAsia="仿宋"/>
          <w:w w:val="95"/>
          <w:sz w:val="21"/>
          <w:u w:val="single"/>
        </w:rPr>
        <w:t>够的警卫员，保护工程、材料、施工机械等一切设施，以确保工程的完好，直至工程交付；承包</w:t>
      </w:r>
    </w:p>
    <w:p>
      <w:pPr>
        <w:pStyle w:val="9"/>
        <w:spacing w:before="7"/>
        <w:rPr>
          <w:rFonts w:ascii="仿宋"/>
          <w:sz w:val="12"/>
        </w:rPr>
      </w:pPr>
    </w:p>
    <w:p>
      <w:pPr>
        <w:spacing w:before="70"/>
        <w:ind w:left="731" w:right="0" w:firstLine="0"/>
        <w:jc w:val="left"/>
        <w:rPr>
          <w:rFonts w:hint="eastAsia" w:ascii="仿宋" w:eastAsia="仿宋"/>
          <w:sz w:val="21"/>
        </w:rPr>
      </w:pPr>
      <w:r>
        <w:rPr>
          <w:rFonts w:hint="eastAsia" w:ascii="仿宋" w:eastAsia="仿宋"/>
          <w:w w:val="95"/>
          <w:sz w:val="21"/>
          <w:u w:val="single"/>
        </w:rPr>
        <w:t>人将负责本工程的现场保卫工作，并有责任阻止非本工程所需人员进入现场；承包人在工程施工</w:t>
      </w:r>
    </w:p>
    <w:p>
      <w:pPr>
        <w:pStyle w:val="9"/>
        <w:spacing w:before="6"/>
        <w:rPr>
          <w:rFonts w:ascii="仿宋"/>
          <w:sz w:val="12"/>
        </w:rPr>
      </w:pPr>
    </w:p>
    <w:p>
      <w:pPr>
        <w:spacing w:before="70"/>
        <w:ind w:left="731" w:right="0" w:firstLine="0"/>
        <w:jc w:val="left"/>
        <w:rPr>
          <w:rFonts w:hint="eastAsia" w:ascii="仿宋" w:eastAsia="仿宋"/>
          <w:sz w:val="21"/>
        </w:rPr>
      </w:pPr>
      <w:r>
        <w:rPr>
          <w:rFonts w:hint="eastAsia" w:ascii="仿宋" w:eastAsia="仿宋"/>
          <w:w w:val="95"/>
          <w:sz w:val="21"/>
          <w:u w:val="single"/>
        </w:rPr>
        <w:t>期间，必须配备专职安全员，建立动用明火申请批准制度，配备一定数量的消防灭火器材，并按</w:t>
      </w:r>
    </w:p>
    <w:p>
      <w:pPr>
        <w:pStyle w:val="9"/>
        <w:spacing w:before="9"/>
        <w:rPr>
          <w:rFonts w:ascii="仿宋"/>
          <w:sz w:val="12"/>
        </w:rPr>
      </w:pPr>
    </w:p>
    <w:p>
      <w:pPr>
        <w:spacing w:before="70"/>
        <w:ind w:left="731" w:right="0" w:firstLine="0"/>
        <w:jc w:val="left"/>
        <w:rPr>
          <w:rFonts w:hint="eastAsia" w:ascii="仿宋" w:eastAsia="仿宋"/>
          <w:sz w:val="21"/>
        </w:rPr>
      </w:pPr>
      <w:r>
        <w:rPr>
          <w:rFonts w:hint="eastAsia" w:ascii="仿宋" w:eastAsia="仿宋"/>
          <w:w w:val="95"/>
          <w:sz w:val="21"/>
          <w:u w:val="single"/>
        </w:rPr>
        <w:t>有关规定报批及抄送监理单位备案；承包人在工程施工期间，必须建立安全用电制度，确保施工</w:t>
      </w:r>
    </w:p>
    <w:p>
      <w:pPr>
        <w:pStyle w:val="9"/>
        <w:spacing w:before="7"/>
        <w:rPr>
          <w:rFonts w:ascii="仿宋"/>
          <w:sz w:val="12"/>
        </w:rPr>
      </w:pPr>
    </w:p>
    <w:p>
      <w:pPr>
        <w:spacing w:before="69"/>
        <w:ind w:left="731" w:right="0" w:firstLine="0"/>
        <w:jc w:val="left"/>
        <w:rPr>
          <w:rFonts w:hint="eastAsia" w:ascii="仿宋" w:eastAsia="仿宋"/>
          <w:sz w:val="21"/>
        </w:rPr>
      </w:pPr>
      <w:r>
        <w:rPr>
          <w:rFonts w:hint="eastAsia" w:ascii="仿宋" w:eastAsia="仿宋"/>
          <w:w w:val="95"/>
          <w:sz w:val="21"/>
          <w:u w:val="single"/>
        </w:rPr>
        <w:t>用电设备的完好，并设置漏电保护装置。因非发包人原因造成工程、财产和人身伤害等，承担所</w:t>
      </w:r>
    </w:p>
    <w:p>
      <w:pPr>
        <w:pStyle w:val="9"/>
        <w:spacing w:before="7"/>
        <w:rPr>
          <w:rFonts w:ascii="仿宋"/>
          <w:sz w:val="12"/>
        </w:rPr>
      </w:pPr>
    </w:p>
    <w:p>
      <w:pPr>
        <w:spacing w:before="70"/>
        <w:ind w:left="731" w:right="0" w:firstLine="0"/>
        <w:jc w:val="left"/>
        <w:rPr>
          <w:rFonts w:hint="eastAsia" w:ascii="仿宋" w:eastAsia="仿宋"/>
          <w:sz w:val="21"/>
        </w:rPr>
      </w:pPr>
      <w:r>
        <w:rPr>
          <w:rFonts w:hint="eastAsia" w:ascii="仿宋" w:eastAsia="仿宋"/>
          <w:sz w:val="21"/>
          <w:u w:val="single"/>
        </w:rPr>
        <w:t>有责任及所发生的费用。</w:t>
      </w:r>
    </w:p>
    <w:p>
      <w:pPr>
        <w:pStyle w:val="9"/>
        <w:spacing w:before="2"/>
        <w:rPr>
          <w:rFonts w:ascii="仿宋"/>
          <w:sz w:val="12"/>
        </w:rPr>
      </w:pPr>
    </w:p>
    <w:p>
      <w:pPr>
        <w:spacing w:before="77"/>
        <w:ind w:left="884" w:right="422" w:firstLine="0"/>
        <w:jc w:val="center"/>
        <w:rPr>
          <w:rFonts w:hint="eastAsia" w:ascii="仿宋" w:eastAsia="仿宋"/>
          <w:sz w:val="21"/>
        </w:rPr>
      </w:pPr>
      <w:r>
        <w:rPr>
          <w:rFonts w:ascii="Times New Roman" w:eastAsia="Times New Roman"/>
          <w:w w:val="95"/>
          <w:sz w:val="21"/>
        </w:rPr>
        <w:t>n</w:t>
      </w:r>
      <w:r>
        <w:rPr>
          <w:rFonts w:hint="eastAsia" w:ascii="仿宋" w:eastAsia="仿宋"/>
          <w:spacing w:val="-51"/>
          <w:w w:val="95"/>
          <w:sz w:val="21"/>
        </w:rPr>
        <w:t>、</w:t>
      </w:r>
      <w:r>
        <w:rPr>
          <w:rFonts w:hint="eastAsia" w:ascii="仿宋" w:eastAsia="仿宋"/>
          <w:spacing w:val="-3"/>
          <w:w w:val="95"/>
          <w:sz w:val="21"/>
          <w:u w:val="single"/>
        </w:rPr>
        <w:t>已完成工程成品保护的特殊要求及费用承担：在竣工验收之前的承包范围内完成工程成</w:t>
      </w:r>
    </w:p>
    <w:p>
      <w:pPr>
        <w:pStyle w:val="9"/>
        <w:spacing w:before="6"/>
        <w:rPr>
          <w:rFonts w:ascii="仿宋"/>
          <w:sz w:val="12"/>
        </w:rPr>
      </w:pPr>
    </w:p>
    <w:p>
      <w:pPr>
        <w:spacing w:before="70"/>
        <w:ind w:left="731" w:right="0" w:firstLine="0"/>
        <w:jc w:val="left"/>
        <w:rPr>
          <w:rFonts w:hint="eastAsia" w:ascii="仿宋" w:eastAsia="仿宋"/>
          <w:sz w:val="21"/>
        </w:rPr>
      </w:pPr>
      <w:r>
        <w:rPr>
          <w:rFonts w:hint="eastAsia" w:ascii="仿宋" w:eastAsia="仿宋"/>
          <w:w w:val="95"/>
          <w:sz w:val="21"/>
          <w:u w:val="single"/>
        </w:rPr>
        <w:t>品保护工作及费用由承包人承担（含发包人另行发包的分项工程），保护期间如发生损坏，承包</w:t>
      </w:r>
    </w:p>
    <w:p>
      <w:pPr>
        <w:pStyle w:val="9"/>
        <w:spacing w:before="7"/>
        <w:rPr>
          <w:rFonts w:ascii="仿宋"/>
          <w:sz w:val="12"/>
        </w:rPr>
      </w:pPr>
    </w:p>
    <w:p>
      <w:pPr>
        <w:spacing w:before="69"/>
        <w:ind w:left="731" w:right="0" w:firstLine="0"/>
        <w:jc w:val="left"/>
        <w:rPr>
          <w:rFonts w:hint="eastAsia" w:ascii="仿宋" w:eastAsia="仿宋"/>
          <w:sz w:val="21"/>
        </w:rPr>
      </w:pPr>
      <w:r>
        <w:rPr>
          <w:rFonts w:hint="eastAsia" w:ascii="仿宋" w:eastAsia="仿宋"/>
          <w:w w:val="95"/>
          <w:sz w:val="21"/>
          <w:u w:val="single"/>
        </w:rPr>
        <w:t>人自费予以修复；承包人对发包人直接发包的成品工程负有检查、督促、保护等管理的责任。</w:t>
      </w:r>
    </w:p>
    <w:p>
      <w:pPr>
        <w:spacing w:before="43" w:line="364" w:lineRule="auto"/>
        <w:ind w:left="731" w:right="789" w:firstLine="628"/>
        <w:jc w:val="left"/>
        <w:rPr>
          <w:rFonts w:hint="eastAsia" w:ascii="仿宋" w:eastAsia="仿宋"/>
          <w:sz w:val="21"/>
        </w:rPr>
      </w:pPr>
      <w:r>
        <w:rPr>
          <w:rFonts w:ascii="Times New Roman" w:eastAsia="Times New Roman"/>
          <w:w w:val="95"/>
          <w:sz w:val="21"/>
        </w:rPr>
        <w:t>o</w:t>
      </w:r>
      <w:r>
        <w:rPr>
          <w:rFonts w:hint="eastAsia" w:ascii="仿宋" w:eastAsia="仿宋"/>
          <w:w w:val="95"/>
          <w:sz w:val="21"/>
        </w:rPr>
        <w:t>、</w:t>
      </w:r>
      <w:r>
        <w:rPr>
          <w:rFonts w:hint="eastAsia" w:ascii="仿宋" w:eastAsia="仿宋"/>
          <w:w w:val="95"/>
          <w:sz w:val="21"/>
          <w:u w:val="single"/>
        </w:rPr>
        <w:t>发包人在招标时已提供给承包人现场踏勘的机会，承包人在投标前已进行过现场踏勘，</w:t>
      </w:r>
      <w:r>
        <w:rPr>
          <w:rFonts w:hint="eastAsia" w:ascii="仿宋" w:eastAsia="仿宋"/>
          <w:spacing w:val="-208"/>
          <w:w w:val="95"/>
          <w:sz w:val="21"/>
          <w:u w:val="single"/>
        </w:rPr>
        <w:t>已</w:t>
      </w:r>
      <w:r>
        <w:rPr>
          <w:rFonts w:hint="eastAsia" w:ascii="仿宋" w:eastAsia="仿宋"/>
          <w:spacing w:val="121"/>
          <w:w w:val="95"/>
          <w:sz w:val="21"/>
          <w:u w:val="single"/>
        </w:rPr>
        <w:t xml:space="preserve"> </w:t>
      </w:r>
      <w:r>
        <w:rPr>
          <w:rFonts w:hint="eastAsia" w:ascii="仿宋" w:eastAsia="仿宋"/>
          <w:spacing w:val="-12"/>
          <w:sz w:val="21"/>
          <w:u w:val="single"/>
        </w:rPr>
        <w:t>经接受开工日的现场条件，并应自费消除影响工程进行的先前留在现场的任何垃圾及残留物</w:t>
      </w:r>
      <w:r>
        <w:rPr>
          <w:rFonts w:hint="eastAsia" w:ascii="仿宋" w:eastAsia="仿宋"/>
          <w:sz w:val="21"/>
          <w:u w:val="single"/>
        </w:rPr>
        <w:t>（如</w:t>
      </w:r>
    </w:p>
    <w:p>
      <w:pPr>
        <w:spacing w:after="0" w:line="364" w:lineRule="auto"/>
        <w:jc w:val="left"/>
        <w:rPr>
          <w:rFonts w:hint="eastAsia" w:ascii="仿宋" w:eastAsia="仿宋"/>
          <w:sz w:val="21"/>
        </w:rPr>
        <w:sectPr>
          <w:pgSz w:w="11910" w:h="16840"/>
          <w:pgMar w:top="1100" w:right="660" w:bottom="1200" w:left="800" w:header="878" w:footer="1003" w:gutter="0"/>
          <w:cols w:space="720" w:num="1"/>
        </w:sectPr>
      </w:pPr>
    </w:p>
    <w:p>
      <w:pPr>
        <w:pStyle w:val="9"/>
        <w:spacing w:before="12"/>
        <w:rPr>
          <w:rFonts w:ascii="仿宋"/>
          <w:sz w:val="17"/>
        </w:rPr>
      </w:pPr>
    </w:p>
    <w:p>
      <w:pPr>
        <w:spacing w:before="70"/>
        <w:ind w:left="731" w:right="0" w:firstLine="0"/>
        <w:jc w:val="left"/>
        <w:rPr>
          <w:rFonts w:hint="eastAsia" w:ascii="仿宋" w:eastAsia="仿宋"/>
          <w:sz w:val="21"/>
        </w:rPr>
      </w:pPr>
      <w:r>
        <w:rPr>
          <w:rFonts w:hint="eastAsia" w:ascii="仿宋" w:eastAsia="仿宋"/>
          <w:sz w:val="21"/>
          <w:u w:val="single"/>
        </w:rPr>
        <w:t>有）。承包人不得以不知道现场或现有建筑物等情况为由而要求额外赔偿或要求延长竣工期限。</w:t>
      </w:r>
    </w:p>
    <w:p>
      <w:pPr>
        <w:pStyle w:val="13"/>
        <w:numPr>
          <w:ilvl w:val="1"/>
          <w:numId w:val="34"/>
        </w:numPr>
        <w:tabs>
          <w:tab w:val="left" w:pos="1519"/>
        </w:tabs>
        <w:spacing w:before="139" w:after="0" w:line="240" w:lineRule="auto"/>
        <w:ind w:left="1518" w:right="0" w:hanging="368"/>
        <w:jc w:val="both"/>
        <w:rPr>
          <w:rFonts w:hint="eastAsia" w:ascii="黑体" w:eastAsia="黑体"/>
          <w:sz w:val="21"/>
        </w:rPr>
      </w:pPr>
      <w:r>
        <w:rPr>
          <w:rFonts w:hint="eastAsia" w:ascii="黑体" w:eastAsia="黑体"/>
          <w:sz w:val="21"/>
        </w:rPr>
        <w:t>项目经理</w:t>
      </w:r>
    </w:p>
    <w:p>
      <w:pPr>
        <w:pStyle w:val="9"/>
        <w:spacing w:before="5"/>
        <w:rPr>
          <w:rFonts w:ascii="黑体"/>
          <w:sz w:val="20"/>
        </w:rPr>
      </w:pPr>
    </w:p>
    <w:p>
      <w:pPr>
        <w:pStyle w:val="13"/>
        <w:numPr>
          <w:ilvl w:val="2"/>
          <w:numId w:val="34"/>
        </w:numPr>
        <w:tabs>
          <w:tab w:val="left" w:pos="1780"/>
        </w:tabs>
        <w:spacing w:before="0" w:after="0" w:line="240" w:lineRule="auto"/>
        <w:ind w:left="1780" w:right="0" w:hanging="629"/>
        <w:jc w:val="both"/>
        <w:rPr>
          <w:rFonts w:hint="eastAsia" w:ascii="仿宋" w:eastAsia="仿宋"/>
          <w:sz w:val="21"/>
        </w:rPr>
      </w:pPr>
      <w:r>
        <w:rPr>
          <w:rFonts w:hint="eastAsia" w:ascii="仿宋" w:eastAsia="仿宋"/>
          <w:sz w:val="21"/>
        </w:rPr>
        <w:t>项目经理：</w:t>
      </w:r>
    </w:p>
    <w:p>
      <w:pPr>
        <w:tabs>
          <w:tab w:val="left" w:pos="3565"/>
        </w:tabs>
        <w:spacing w:before="139"/>
        <w:ind w:left="1151" w:right="0" w:firstLine="0"/>
        <w:jc w:val="left"/>
        <w:rPr>
          <w:rFonts w:hint="eastAsia" w:ascii="仿宋" w:eastAsia="仿宋"/>
          <w:sz w:val="21"/>
        </w:rPr>
      </w:pPr>
      <w:r>
        <w:rPr>
          <w:rFonts w:hint="eastAsia" w:ascii="仿宋" w:eastAsia="仿宋"/>
          <w:sz w:val="21"/>
        </w:rPr>
        <w:t>姓名：</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w:t>
      </w:r>
    </w:p>
    <w:p>
      <w:pPr>
        <w:tabs>
          <w:tab w:val="left" w:pos="3985"/>
          <w:tab w:val="left" w:pos="4091"/>
        </w:tabs>
        <w:spacing w:before="139" w:line="364" w:lineRule="auto"/>
        <w:ind w:left="1151" w:right="6143" w:firstLine="0"/>
        <w:jc w:val="left"/>
        <w:rPr>
          <w:rFonts w:hint="eastAsia" w:ascii="仿宋" w:eastAsia="仿宋"/>
          <w:sz w:val="21"/>
        </w:rPr>
      </w:pPr>
      <w:r>
        <w:rPr>
          <w:rFonts w:hint="eastAsia" w:ascii="仿宋" w:eastAsia="仿宋"/>
          <w:sz w:val="21"/>
        </w:rPr>
        <w:t>身份证号：</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u w:val="single"/>
        </w:rPr>
        <w:tab/>
      </w:r>
      <w:r>
        <w:rPr>
          <w:rFonts w:hint="eastAsia" w:ascii="仿宋" w:eastAsia="仿宋"/>
          <w:spacing w:val="-17"/>
          <w:sz w:val="21"/>
        </w:rPr>
        <w:t xml:space="preserve">； </w:t>
      </w:r>
      <w:r>
        <w:rPr>
          <w:rFonts w:hint="eastAsia" w:ascii="仿宋" w:eastAsia="仿宋"/>
          <w:sz w:val="21"/>
        </w:rPr>
        <w:t>建造师执业资格等级：</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w:t>
      </w:r>
    </w:p>
    <w:p>
      <w:pPr>
        <w:tabs>
          <w:tab w:val="left" w:pos="4511"/>
          <w:tab w:val="left" w:pos="4719"/>
        </w:tabs>
        <w:spacing w:before="0" w:line="364" w:lineRule="auto"/>
        <w:ind w:left="1151" w:right="5516" w:firstLine="0"/>
        <w:jc w:val="left"/>
        <w:rPr>
          <w:rFonts w:hint="eastAsia" w:ascii="仿宋" w:eastAsia="仿宋"/>
          <w:sz w:val="21"/>
        </w:rPr>
      </w:pPr>
      <w:r>
        <w:rPr>
          <w:rFonts w:hint="eastAsia" w:ascii="仿宋" w:eastAsia="仿宋"/>
          <w:sz w:val="21"/>
        </w:rPr>
        <w:t>建造师注册证书号：</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 建造师执业印章号：</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u w:val="single"/>
        </w:rPr>
        <w:tab/>
      </w:r>
      <w:r>
        <w:rPr>
          <w:rFonts w:hint="eastAsia" w:ascii="仿宋" w:eastAsia="仿宋"/>
          <w:spacing w:val="-18"/>
          <w:sz w:val="21"/>
        </w:rPr>
        <w:t>；</w:t>
      </w:r>
    </w:p>
    <w:p>
      <w:pPr>
        <w:tabs>
          <w:tab w:val="left" w:pos="3879"/>
          <w:tab w:val="left" w:pos="5245"/>
        </w:tabs>
        <w:spacing w:before="0" w:line="364" w:lineRule="auto"/>
        <w:ind w:left="1151" w:right="4989" w:firstLine="0"/>
        <w:jc w:val="left"/>
        <w:rPr>
          <w:rFonts w:hint="eastAsia" w:ascii="仿宋" w:eastAsia="仿宋"/>
          <w:sz w:val="21"/>
        </w:rPr>
      </w:pPr>
      <w:r>
        <w:rPr>
          <w:rFonts w:hint="eastAsia" w:ascii="仿宋" w:eastAsia="仿宋"/>
          <w:sz w:val="21"/>
        </w:rPr>
        <w:t>安全生产考核合格证书号：</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u w:val="single"/>
        </w:rPr>
        <w:tab/>
      </w:r>
      <w:r>
        <w:rPr>
          <w:rFonts w:hint="eastAsia" w:ascii="仿宋" w:eastAsia="仿宋"/>
          <w:spacing w:val="-17"/>
          <w:sz w:val="21"/>
        </w:rPr>
        <w:t xml:space="preserve">； </w:t>
      </w:r>
      <w:r>
        <w:rPr>
          <w:rFonts w:hint="eastAsia" w:ascii="仿宋" w:eastAsia="仿宋"/>
          <w:sz w:val="21"/>
        </w:rPr>
        <w:t>联系电话：</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w:t>
      </w:r>
    </w:p>
    <w:p>
      <w:pPr>
        <w:tabs>
          <w:tab w:val="left" w:pos="3879"/>
        </w:tabs>
        <w:spacing w:before="0" w:line="267" w:lineRule="exact"/>
        <w:ind w:left="1151" w:right="0" w:firstLine="0"/>
        <w:jc w:val="left"/>
        <w:rPr>
          <w:rFonts w:hint="eastAsia" w:ascii="仿宋" w:eastAsia="仿宋"/>
          <w:sz w:val="21"/>
        </w:rPr>
      </w:pPr>
      <w:r>
        <w:rPr>
          <w:rFonts w:hint="eastAsia" w:ascii="仿宋" w:eastAsia="仿宋"/>
          <w:sz w:val="21"/>
        </w:rPr>
        <w:t>电子信箱：</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w:t>
      </w:r>
    </w:p>
    <w:p>
      <w:pPr>
        <w:tabs>
          <w:tab w:val="left" w:pos="5245"/>
        </w:tabs>
        <w:spacing w:before="137"/>
        <w:ind w:left="1256" w:right="0" w:firstLine="0"/>
        <w:jc w:val="left"/>
        <w:rPr>
          <w:rFonts w:hint="eastAsia" w:ascii="仿宋" w:eastAsia="仿宋"/>
          <w:sz w:val="21"/>
        </w:rPr>
      </w:pPr>
      <w:r>
        <w:rPr>
          <w:rFonts w:hint="eastAsia" w:ascii="仿宋" w:eastAsia="仿宋"/>
          <w:sz w:val="21"/>
        </w:rPr>
        <w:t>通信地址：</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w:t>
      </w:r>
    </w:p>
    <w:p>
      <w:pPr>
        <w:spacing w:before="141"/>
        <w:ind w:left="1151" w:right="0" w:firstLine="0"/>
        <w:jc w:val="left"/>
        <w:rPr>
          <w:rFonts w:hint="eastAsia" w:ascii="仿宋" w:eastAsia="仿宋"/>
          <w:sz w:val="21"/>
        </w:rPr>
      </w:pPr>
      <w:r>
        <w:rPr>
          <w:rFonts w:hint="eastAsia" w:ascii="仿宋" w:eastAsia="仿宋"/>
          <w:w w:val="95"/>
          <w:sz w:val="21"/>
        </w:rPr>
        <w:t>承包人对项目经理的授权范围如下：</w:t>
      </w:r>
      <w:r>
        <w:rPr>
          <w:rFonts w:hint="eastAsia" w:ascii="仿宋" w:eastAsia="仿宋"/>
          <w:w w:val="95"/>
          <w:sz w:val="21"/>
          <w:u w:val="single"/>
        </w:rPr>
        <w:t>同投标文件</w:t>
      </w:r>
      <w:r>
        <w:rPr>
          <w:rFonts w:hint="eastAsia" w:ascii="仿宋" w:eastAsia="仿宋"/>
          <w:w w:val="95"/>
          <w:sz w:val="21"/>
        </w:rPr>
        <w:t>。</w:t>
      </w:r>
    </w:p>
    <w:p>
      <w:pPr>
        <w:spacing w:before="139" w:line="364" w:lineRule="auto"/>
        <w:ind w:left="731" w:right="788" w:firstLine="420"/>
        <w:jc w:val="left"/>
        <w:rPr>
          <w:rFonts w:hint="eastAsia" w:ascii="仿宋" w:eastAsia="仿宋"/>
          <w:sz w:val="21"/>
        </w:rPr>
      </w:pPr>
      <w:r>
        <w:rPr>
          <w:rFonts w:hint="eastAsia" w:ascii="仿宋" w:eastAsia="仿宋"/>
          <w:spacing w:val="-6"/>
          <w:w w:val="95"/>
          <w:sz w:val="21"/>
        </w:rPr>
        <w:t>关于项目经理每月在施工现场的时间要求：</w:t>
      </w:r>
      <w:r>
        <w:rPr>
          <w:rFonts w:hint="eastAsia" w:ascii="仿宋" w:eastAsia="仿宋"/>
          <w:spacing w:val="-5"/>
          <w:w w:val="95"/>
          <w:sz w:val="21"/>
          <w:u w:val="single"/>
        </w:rPr>
        <w:t>项目经理在本工程施工期间,必须且只能在本工地任</w:t>
      </w:r>
      <w:r>
        <w:rPr>
          <w:rFonts w:hint="eastAsia" w:ascii="仿宋" w:eastAsia="仿宋"/>
          <w:spacing w:val="-189"/>
          <w:w w:val="95"/>
          <w:sz w:val="21"/>
          <w:u w:val="single"/>
        </w:rPr>
        <w:t>职</w:t>
      </w:r>
      <w:r>
        <w:rPr>
          <w:rFonts w:hint="eastAsia" w:ascii="仿宋" w:eastAsia="仿宋"/>
          <w:spacing w:val="172"/>
          <w:w w:val="95"/>
          <w:sz w:val="21"/>
          <w:u w:val="single"/>
        </w:rPr>
        <w:t xml:space="preserve"> </w:t>
      </w:r>
      <w:r>
        <w:rPr>
          <w:rFonts w:hint="eastAsia" w:ascii="仿宋" w:eastAsia="仿宋"/>
          <w:spacing w:val="-13"/>
          <w:sz w:val="21"/>
          <w:u w:val="single"/>
        </w:rPr>
        <w:t xml:space="preserve">，不得在其他工地兼职，并且保证在本工地工作时间不低于每周 </w:t>
      </w:r>
      <w:r>
        <w:rPr>
          <w:rFonts w:hint="eastAsia" w:ascii="仿宋" w:eastAsia="仿宋"/>
          <w:sz w:val="21"/>
          <w:u w:val="single"/>
        </w:rPr>
        <w:t>5</w:t>
      </w:r>
      <w:r>
        <w:rPr>
          <w:rFonts w:hint="eastAsia" w:ascii="仿宋" w:eastAsia="仿宋"/>
          <w:spacing w:val="-35"/>
          <w:sz w:val="21"/>
          <w:u w:val="single"/>
        </w:rPr>
        <w:t xml:space="preserve"> 天、</w:t>
      </w:r>
      <w:r>
        <w:rPr>
          <w:rFonts w:hint="eastAsia" w:ascii="仿宋" w:eastAsia="仿宋"/>
          <w:sz w:val="21"/>
          <w:u w:val="single"/>
        </w:rPr>
        <w:t>40</w:t>
      </w:r>
      <w:r>
        <w:rPr>
          <w:rFonts w:hint="eastAsia" w:ascii="仿宋" w:eastAsia="仿宋"/>
          <w:spacing w:val="-8"/>
          <w:sz w:val="21"/>
          <w:u w:val="single"/>
        </w:rPr>
        <w:t xml:space="preserve"> 小时的上岗到位率。由 施工监理公司对项目经理在本工程工作时间进行考核</w:t>
      </w:r>
      <w:r>
        <w:rPr>
          <w:rFonts w:hint="eastAsia" w:ascii="仿宋" w:eastAsia="仿宋"/>
          <w:spacing w:val="-8"/>
          <w:sz w:val="21"/>
        </w:rPr>
        <w:t>。</w:t>
      </w:r>
    </w:p>
    <w:p>
      <w:pPr>
        <w:spacing w:before="0" w:line="364" w:lineRule="auto"/>
        <w:ind w:left="731" w:right="892" w:firstLine="420"/>
        <w:jc w:val="left"/>
        <w:rPr>
          <w:rFonts w:hint="eastAsia" w:ascii="仿宋" w:eastAsia="仿宋"/>
          <w:sz w:val="21"/>
        </w:rPr>
      </w:pPr>
      <w:r>
        <w:rPr>
          <w:rFonts w:hint="eastAsia" w:ascii="仿宋" w:eastAsia="仿宋"/>
          <w:w w:val="95"/>
          <w:sz w:val="21"/>
        </w:rPr>
        <w:t>承包人未提交劳动合同，以及没有为项目经理缴纳社会保险证明的违约责任：</w:t>
      </w:r>
      <w:r>
        <w:rPr>
          <w:rFonts w:hint="eastAsia" w:ascii="仿宋" w:eastAsia="仿宋"/>
          <w:w w:val="95"/>
          <w:sz w:val="21"/>
          <w:u w:val="single"/>
        </w:rPr>
        <w:t>根据相关法律</w:t>
      </w:r>
      <w:r>
        <w:rPr>
          <w:rFonts w:hint="eastAsia" w:ascii="仿宋" w:eastAsia="仿宋"/>
          <w:spacing w:val="-209"/>
          <w:w w:val="95"/>
          <w:sz w:val="21"/>
          <w:u w:val="single"/>
        </w:rPr>
        <w:t>法</w:t>
      </w:r>
      <w:r>
        <w:rPr>
          <w:rFonts w:hint="eastAsia" w:ascii="仿宋" w:eastAsia="仿宋"/>
          <w:spacing w:val="127"/>
          <w:w w:val="95"/>
          <w:sz w:val="21"/>
          <w:u w:val="single"/>
        </w:rPr>
        <w:t xml:space="preserve"> </w:t>
      </w:r>
      <w:r>
        <w:rPr>
          <w:rFonts w:hint="eastAsia" w:ascii="仿宋" w:eastAsia="仿宋"/>
          <w:sz w:val="21"/>
          <w:u w:val="single"/>
        </w:rPr>
        <w:t>规执行</w:t>
      </w:r>
      <w:r>
        <w:rPr>
          <w:rFonts w:hint="eastAsia" w:ascii="仿宋" w:eastAsia="仿宋"/>
          <w:sz w:val="21"/>
        </w:rPr>
        <w:t>。</w:t>
      </w:r>
    </w:p>
    <w:p>
      <w:pPr>
        <w:spacing w:before="0" w:line="267" w:lineRule="exact"/>
        <w:ind w:left="1151" w:right="0" w:firstLine="0"/>
        <w:jc w:val="left"/>
        <w:rPr>
          <w:rFonts w:hint="eastAsia" w:ascii="仿宋" w:eastAsia="仿宋"/>
          <w:sz w:val="21"/>
        </w:rPr>
      </w:pPr>
      <w:r>
        <w:rPr>
          <w:rFonts w:hint="eastAsia" w:ascii="仿宋" w:eastAsia="仿宋"/>
          <w:sz w:val="21"/>
        </w:rPr>
        <w:t>项目经理及专职安全员未经批准，擅自离开施工现场的违约责任：</w:t>
      </w:r>
      <w:r>
        <w:rPr>
          <w:rFonts w:hint="eastAsia" w:ascii="仿宋" w:eastAsia="仿宋"/>
          <w:sz w:val="21"/>
          <w:u w:val="single"/>
        </w:rPr>
        <w:t xml:space="preserve">每次处以 </w:t>
      </w:r>
      <w:r>
        <w:rPr>
          <w:rFonts w:ascii="Times New Roman" w:eastAsia="Times New Roman"/>
          <w:sz w:val="21"/>
          <w:u w:val="single"/>
        </w:rPr>
        <w:t xml:space="preserve">1 </w:t>
      </w:r>
      <w:r>
        <w:rPr>
          <w:rFonts w:hint="eastAsia" w:ascii="仿宋" w:eastAsia="仿宋"/>
          <w:sz w:val="21"/>
          <w:u w:val="single"/>
        </w:rPr>
        <w:t>千元的违约金</w:t>
      </w:r>
      <w:r>
        <w:rPr>
          <w:rFonts w:hint="eastAsia" w:ascii="仿宋" w:eastAsia="仿宋"/>
          <w:sz w:val="21"/>
        </w:rPr>
        <w:t>。</w:t>
      </w:r>
    </w:p>
    <w:p>
      <w:pPr>
        <w:pStyle w:val="13"/>
        <w:numPr>
          <w:ilvl w:val="2"/>
          <w:numId w:val="44"/>
        </w:numPr>
        <w:tabs>
          <w:tab w:val="left" w:pos="1677"/>
        </w:tabs>
        <w:spacing w:before="139" w:after="0" w:line="364" w:lineRule="auto"/>
        <w:ind w:left="731" w:right="887" w:firstLine="420"/>
        <w:jc w:val="left"/>
        <w:rPr>
          <w:rFonts w:hint="eastAsia" w:ascii="仿宋" w:eastAsia="仿宋"/>
          <w:sz w:val="21"/>
        </w:rPr>
      </w:pPr>
      <w:r>
        <w:rPr>
          <w:rFonts w:hint="eastAsia" w:ascii="仿宋" w:eastAsia="仿宋"/>
          <w:spacing w:val="-1"/>
          <w:sz w:val="21"/>
        </w:rPr>
        <w:t>承包人擅自更换项目经理及专职安全员的违约责任：</w:t>
      </w:r>
      <w:r>
        <w:rPr>
          <w:rFonts w:hint="eastAsia" w:ascii="仿宋" w:eastAsia="仿宋"/>
          <w:spacing w:val="-11"/>
          <w:sz w:val="21"/>
          <w:u w:val="single"/>
        </w:rPr>
        <w:t xml:space="preserve">处以合同价款 </w:t>
      </w:r>
      <w:r>
        <w:rPr>
          <w:rFonts w:ascii="Times New Roman" w:eastAsia="Times New Roman"/>
          <w:sz w:val="21"/>
          <w:u w:val="single"/>
        </w:rPr>
        <w:t>3%</w:t>
      </w:r>
      <w:r>
        <w:rPr>
          <w:rFonts w:hint="eastAsia" w:ascii="仿宋" w:eastAsia="仿宋"/>
          <w:spacing w:val="-1"/>
          <w:sz w:val="21"/>
          <w:u w:val="single"/>
        </w:rPr>
        <w:t>的违约金，由此</w:t>
      </w:r>
      <w:r>
        <w:rPr>
          <w:rFonts w:hint="eastAsia" w:ascii="仿宋" w:eastAsia="仿宋"/>
          <w:spacing w:val="-199"/>
          <w:sz w:val="21"/>
          <w:u w:val="single"/>
        </w:rPr>
        <w:t>产生</w:t>
      </w:r>
      <w:r>
        <w:rPr>
          <w:rFonts w:hint="eastAsia" w:ascii="仿宋" w:eastAsia="仿宋"/>
          <w:sz w:val="21"/>
          <w:u w:val="single"/>
        </w:rPr>
        <w:t>的一切损失及后果由承包人承担。</w:t>
      </w:r>
    </w:p>
    <w:p>
      <w:pPr>
        <w:spacing w:before="0" w:line="367" w:lineRule="auto"/>
        <w:ind w:left="731" w:right="892" w:firstLine="420"/>
        <w:jc w:val="left"/>
        <w:rPr>
          <w:rFonts w:hint="eastAsia" w:ascii="仿宋" w:eastAsia="仿宋"/>
          <w:sz w:val="21"/>
        </w:rPr>
      </w:pPr>
      <w:r>
        <w:rPr>
          <w:rFonts w:hint="eastAsia" w:ascii="仿宋" w:eastAsia="仿宋"/>
          <w:w w:val="95"/>
          <w:sz w:val="21"/>
        </w:rPr>
        <w:t xml:space="preserve">承包人更换项目经理经发包人书面确认同意后，继任项目经理的执业资格、管理经验不得低   </w:t>
      </w:r>
      <w:r>
        <w:rPr>
          <w:rFonts w:hint="eastAsia" w:ascii="仿宋" w:eastAsia="仿宋"/>
          <w:sz w:val="21"/>
        </w:rPr>
        <w:t>于原项目经理标准，且不得同时担任其他项目的项目经理。</w:t>
      </w:r>
    </w:p>
    <w:p>
      <w:pPr>
        <w:pStyle w:val="13"/>
        <w:numPr>
          <w:ilvl w:val="2"/>
          <w:numId w:val="44"/>
        </w:numPr>
        <w:tabs>
          <w:tab w:val="left" w:pos="1857"/>
        </w:tabs>
        <w:spacing w:before="0" w:after="0" w:line="364" w:lineRule="auto"/>
        <w:ind w:left="731" w:right="892" w:firstLine="600"/>
        <w:jc w:val="left"/>
        <w:rPr>
          <w:rFonts w:hint="eastAsia" w:ascii="仿宋" w:eastAsia="仿宋"/>
          <w:sz w:val="21"/>
        </w:rPr>
      </w:pPr>
      <w:r>
        <w:rPr>
          <w:rFonts w:hint="eastAsia" w:ascii="仿宋" w:eastAsia="仿宋"/>
          <w:sz w:val="21"/>
        </w:rPr>
        <w:t>承包人无正当理由拒绝更换项目经理的违约责任：</w:t>
      </w:r>
      <w:r>
        <w:rPr>
          <w:rFonts w:hint="eastAsia" w:ascii="仿宋" w:eastAsia="仿宋"/>
          <w:spacing w:val="-8"/>
          <w:sz w:val="21"/>
          <w:u w:val="single"/>
        </w:rPr>
        <w:t xml:space="preserve">处以合同价款 </w:t>
      </w:r>
      <w:r>
        <w:rPr>
          <w:rFonts w:ascii="Times New Roman" w:eastAsia="Times New Roman"/>
          <w:sz w:val="21"/>
          <w:u w:val="single"/>
        </w:rPr>
        <w:t>3%</w:t>
      </w:r>
      <w:r>
        <w:rPr>
          <w:rFonts w:hint="eastAsia" w:ascii="仿宋" w:eastAsia="仿宋"/>
          <w:sz w:val="21"/>
          <w:u w:val="single"/>
        </w:rPr>
        <w:t>的违约金，由此</w:t>
      </w:r>
      <w:r>
        <w:rPr>
          <w:rFonts w:hint="eastAsia" w:ascii="仿宋" w:eastAsia="仿宋"/>
          <w:spacing w:val="-200"/>
          <w:sz w:val="21"/>
          <w:u w:val="single"/>
        </w:rPr>
        <w:t>产生</w:t>
      </w:r>
      <w:r>
        <w:rPr>
          <w:rFonts w:hint="eastAsia" w:ascii="仿宋" w:eastAsia="仿宋"/>
          <w:sz w:val="21"/>
          <w:u w:val="single"/>
        </w:rPr>
        <w:t>的一切损失及后果由承包人承担，发包人有权终止与承包人的施工合同。</w:t>
      </w:r>
    </w:p>
    <w:p>
      <w:pPr>
        <w:pStyle w:val="13"/>
        <w:numPr>
          <w:ilvl w:val="1"/>
          <w:numId w:val="34"/>
        </w:numPr>
        <w:tabs>
          <w:tab w:val="left" w:pos="1699"/>
        </w:tabs>
        <w:spacing w:before="0" w:after="0" w:line="267" w:lineRule="exact"/>
        <w:ind w:left="1698" w:right="0" w:hanging="368"/>
        <w:jc w:val="left"/>
        <w:rPr>
          <w:rFonts w:hint="eastAsia" w:ascii="黑体" w:eastAsia="黑体"/>
          <w:sz w:val="21"/>
        </w:rPr>
      </w:pPr>
      <w:r>
        <w:rPr>
          <w:rFonts w:hint="eastAsia" w:ascii="黑体" w:eastAsia="黑体"/>
          <w:sz w:val="21"/>
        </w:rPr>
        <w:t>承包人人员</w:t>
      </w:r>
    </w:p>
    <w:p>
      <w:pPr>
        <w:pStyle w:val="13"/>
        <w:numPr>
          <w:ilvl w:val="2"/>
          <w:numId w:val="34"/>
        </w:numPr>
        <w:tabs>
          <w:tab w:val="left" w:pos="1677"/>
        </w:tabs>
        <w:spacing w:before="134" w:after="0" w:line="240" w:lineRule="auto"/>
        <w:ind w:left="1676" w:right="0" w:hanging="526"/>
        <w:jc w:val="both"/>
        <w:rPr>
          <w:rFonts w:ascii="Times New Roman" w:eastAsia="Times New Roman"/>
          <w:sz w:val="21"/>
        </w:rPr>
      </w:pPr>
      <w:r>
        <w:rPr>
          <w:rFonts w:hint="eastAsia" w:ascii="仿宋" w:eastAsia="仿宋"/>
          <w:sz w:val="21"/>
        </w:rPr>
        <w:t>承包人提交项目管理机构及施工现场管理人员安排报告的期限：</w:t>
      </w:r>
      <w:r>
        <w:rPr>
          <w:rFonts w:hint="eastAsia" w:ascii="仿宋" w:eastAsia="仿宋"/>
          <w:sz w:val="21"/>
          <w:u w:val="single"/>
        </w:rPr>
        <w:t>执行通用条款</w:t>
      </w:r>
      <w:r>
        <w:rPr>
          <w:rFonts w:hint="eastAsia" w:ascii="仿宋" w:eastAsia="仿宋"/>
          <w:sz w:val="21"/>
        </w:rPr>
        <w:t>。</w:t>
      </w:r>
    </w:p>
    <w:p>
      <w:pPr>
        <w:pStyle w:val="13"/>
        <w:numPr>
          <w:ilvl w:val="2"/>
          <w:numId w:val="45"/>
        </w:numPr>
        <w:tabs>
          <w:tab w:val="left" w:pos="1677"/>
        </w:tabs>
        <w:spacing w:before="139" w:after="0" w:line="364" w:lineRule="auto"/>
        <w:ind w:left="731" w:right="892" w:firstLine="420"/>
        <w:jc w:val="both"/>
        <w:rPr>
          <w:rFonts w:hint="eastAsia" w:ascii="仿宋" w:eastAsia="仿宋"/>
          <w:sz w:val="21"/>
        </w:rPr>
      </w:pPr>
      <w:r>
        <w:rPr>
          <w:rFonts w:hint="eastAsia" w:ascii="仿宋" w:eastAsia="仿宋"/>
          <w:spacing w:val="-3"/>
          <w:sz w:val="21"/>
        </w:rPr>
        <w:t>承包人无正当理由拒绝撤换主要施工管理人员的违约责任：</w:t>
      </w:r>
      <w:r>
        <w:rPr>
          <w:rFonts w:hint="eastAsia" w:ascii="仿宋" w:eastAsia="仿宋"/>
          <w:spacing w:val="-21"/>
          <w:sz w:val="21"/>
          <w:u w:val="single"/>
        </w:rPr>
        <w:t xml:space="preserve">处以 </w:t>
      </w:r>
      <w:r>
        <w:rPr>
          <w:rFonts w:hint="eastAsia" w:ascii="仿宋" w:eastAsia="仿宋"/>
          <w:sz w:val="21"/>
          <w:u w:val="single"/>
        </w:rPr>
        <w:t>1</w:t>
      </w:r>
      <w:r>
        <w:rPr>
          <w:rFonts w:hint="eastAsia" w:ascii="仿宋" w:eastAsia="仿宋"/>
          <w:spacing w:val="-12"/>
          <w:sz w:val="21"/>
          <w:u w:val="single"/>
        </w:rPr>
        <w:t xml:space="preserve"> 万元违约金，由此产</w:t>
      </w:r>
      <w:r>
        <w:rPr>
          <w:rFonts w:hint="eastAsia" w:ascii="仿宋" w:eastAsia="仿宋"/>
          <w:spacing w:val="-207"/>
          <w:sz w:val="21"/>
          <w:u w:val="single"/>
        </w:rPr>
        <w:t>生</w:t>
      </w:r>
      <w:r>
        <w:rPr>
          <w:rFonts w:hint="eastAsia" w:ascii="仿宋" w:eastAsia="仿宋"/>
          <w:sz w:val="21"/>
          <w:u w:val="single"/>
        </w:rPr>
        <w:t>的一切损失及后果由承包人承担，且经发包人警告仍不改正的，发包人有权终止与承包人的施 工合同。</w:t>
      </w:r>
    </w:p>
    <w:p>
      <w:pPr>
        <w:pStyle w:val="13"/>
        <w:numPr>
          <w:ilvl w:val="2"/>
          <w:numId w:val="45"/>
        </w:numPr>
        <w:tabs>
          <w:tab w:val="left" w:pos="1677"/>
        </w:tabs>
        <w:spacing w:before="0" w:after="0" w:line="364" w:lineRule="auto"/>
        <w:ind w:left="731" w:right="890" w:firstLine="420"/>
        <w:jc w:val="both"/>
        <w:rPr>
          <w:rFonts w:hint="eastAsia" w:ascii="仿宋" w:eastAsia="仿宋"/>
          <w:sz w:val="21"/>
        </w:rPr>
      </w:pPr>
      <w:r>
        <w:rPr>
          <w:rFonts w:hint="eastAsia" w:ascii="仿宋" w:eastAsia="仿宋"/>
          <w:spacing w:val="-2"/>
          <w:w w:val="95"/>
          <w:sz w:val="21"/>
        </w:rPr>
        <w:t>承包人主要施工管理人员离开施工现场的批准要求：</w:t>
      </w:r>
      <w:r>
        <w:rPr>
          <w:rFonts w:hint="eastAsia" w:ascii="仿宋" w:eastAsia="仿宋"/>
          <w:spacing w:val="-9"/>
          <w:w w:val="95"/>
          <w:sz w:val="21"/>
          <w:u w:val="single"/>
        </w:rPr>
        <w:t xml:space="preserve">由业主、总监理工程师批准，发包  </w:t>
      </w:r>
      <w:r>
        <w:rPr>
          <w:rFonts w:hint="eastAsia" w:ascii="仿宋" w:eastAsia="仿宋"/>
          <w:spacing w:val="-9"/>
          <w:sz w:val="21"/>
          <w:u w:val="single"/>
        </w:rPr>
        <w:t>人认可后方可离开</w:t>
      </w:r>
      <w:r>
        <w:rPr>
          <w:rFonts w:hint="eastAsia" w:ascii="仿宋" w:eastAsia="仿宋"/>
          <w:spacing w:val="-9"/>
          <w:sz w:val="21"/>
        </w:rPr>
        <w:t>。</w:t>
      </w:r>
    </w:p>
    <w:p>
      <w:pPr>
        <w:pStyle w:val="13"/>
        <w:numPr>
          <w:ilvl w:val="2"/>
          <w:numId w:val="45"/>
        </w:numPr>
        <w:tabs>
          <w:tab w:val="left" w:pos="1624"/>
        </w:tabs>
        <w:spacing w:before="0" w:after="0" w:line="364" w:lineRule="auto"/>
        <w:ind w:left="731" w:right="890" w:firstLine="420"/>
        <w:jc w:val="both"/>
        <w:rPr>
          <w:rFonts w:hint="eastAsia" w:ascii="仿宋" w:eastAsia="仿宋"/>
          <w:sz w:val="21"/>
        </w:rPr>
      </w:pPr>
      <w:r>
        <w:rPr>
          <w:rFonts w:hint="eastAsia" w:ascii="仿宋" w:eastAsia="仿宋"/>
          <w:spacing w:val="-2"/>
          <w:sz w:val="21"/>
        </w:rPr>
        <w:t>承包人擅自更换主要施工管理人员的违约责任：</w:t>
      </w:r>
      <w:r>
        <w:rPr>
          <w:rFonts w:hint="eastAsia" w:ascii="仿宋" w:eastAsia="仿宋"/>
          <w:spacing w:val="-21"/>
          <w:sz w:val="21"/>
          <w:u w:val="single"/>
        </w:rPr>
        <w:t xml:space="preserve">处以 </w:t>
      </w:r>
      <w:r>
        <w:rPr>
          <w:rFonts w:hint="eastAsia" w:ascii="仿宋" w:eastAsia="仿宋"/>
          <w:sz w:val="21"/>
          <w:u w:val="single"/>
        </w:rPr>
        <w:t>1</w:t>
      </w:r>
      <w:r>
        <w:rPr>
          <w:rFonts w:hint="eastAsia" w:ascii="仿宋" w:eastAsia="仿宋"/>
          <w:spacing w:val="-10"/>
          <w:sz w:val="21"/>
          <w:u w:val="single"/>
        </w:rPr>
        <w:t xml:space="preserve"> 万元违约金，承包人承担上述违约造成的一切损失，工期不予顺延。</w:t>
      </w:r>
    </w:p>
    <w:p>
      <w:pPr>
        <w:spacing w:after="0" w:line="364" w:lineRule="auto"/>
        <w:jc w:val="both"/>
        <w:rPr>
          <w:rFonts w:hint="eastAsia" w:ascii="仿宋" w:eastAsia="仿宋"/>
          <w:sz w:val="21"/>
        </w:rPr>
        <w:sectPr>
          <w:pgSz w:w="11910" w:h="16840"/>
          <w:pgMar w:top="1100" w:right="660" w:bottom="1200" w:left="800" w:header="878" w:footer="1003" w:gutter="0"/>
          <w:cols w:space="720" w:num="1"/>
        </w:sectPr>
      </w:pPr>
    </w:p>
    <w:p>
      <w:pPr>
        <w:pStyle w:val="9"/>
        <w:spacing w:before="5"/>
        <w:rPr>
          <w:rFonts w:ascii="仿宋"/>
          <w:sz w:val="17"/>
        </w:rPr>
      </w:pPr>
    </w:p>
    <w:p>
      <w:pPr>
        <w:spacing w:before="77" w:line="364" w:lineRule="auto"/>
        <w:ind w:left="731" w:right="890" w:firstLine="420"/>
        <w:jc w:val="both"/>
        <w:rPr>
          <w:rFonts w:hint="eastAsia" w:ascii="仿宋" w:eastAsia="仿宋"/>
          <w:sz w:val="21"/>
        </w:rPr>
      </w:pPr>
      <w:r>
        <w:rPr>
          <w:rFonts w:hint="eastAsia" w:ascii="仿宋" w:eastAsia="仿宋"/>
          <w:sz w:val="21"/>
        </w:rPr>
        <w:t>承包人主要施工管理人员擅自离开施工现场的违约责任：</w:t>
      </w:r>
      <w:r>
        <w:rPr>
          <w:rFonts w:hint="eastAsia" w:ascii="仿宋" w:eastAsia="仿宋"/>
          <w:spacing w:val="-17"/>
          <w:sz w:val="21"/>
          <w:u w:val="single"/>
        </w:rPr>
        <w:t xml:space="preserve">处以 </w:t>
      </w:r>
      <w:r>
        <w:rPr>
          <w:rFonts w:ascii="Times New Roman" w:eastAsia="Times New Roman"/>
          <w:sz w:val="21"/>
          <w:u w:val="single"/>
        </w:rPr>
        <w:t xml:space="preserve">1,000-3,000 </w:t>
      </w:r>
      <w:r>
        <w:rPr>
          <w:rFonts w:hint="eastAsia" w:ascii="仿宋" w:eastAsia="仿宋"/>
          <w:spacing w:val="4"/>
          <w:sz w:val="21"/>
          <w:u w:val="single"/>
        </w:rPr>
        <w:t>元</w:t>
      </w:r>
      <w:r>
        <w:rPr>
          <w:rFonts w:ascii="Times New Roman" w:eastAsia="Times New Roman"/>
          <w:sz w:val="21"/>
          <w:u w:val="single"/>
        </w:rPr>
        <w:t>/</w:t>
      </w:r>
      <w:r>
        <w:rPr>
          <w:rFonts w:hint="eastAsia" w:ascii="仿宋" w:eastAsia="仿宋"/>
          <w:sz w:val="21"/>
          <w:u w:val="single"/>
        </w:rPr>
        <w:t xml:space="preserve">次的违约金， </w:t>
      </w:r>
      <w:r>
        <w:rPr>
          <w:rFonts w:hint="eastAsia" w:ascii="仿宋" w:eastAsia="仿宋"/>
          <w:spacing w:val="-11"/>
          <w:sz w:val="21"/>
          <w:u w:val="single"/>
        </w:rPr>
        <w:t xml:space="preserve">若累计达到 </w:t>
      </w:r>
      <w:r>
        <w:rPr>
          <w:rFonts w:ascii="Times New Roman" w:eastAsia="Times New Roman"/>
          <w:sz w:val="21"/>
          <w:u w:val="single"/>
        </w:rPr>
        <w:t xml:space="preserve">3 </w:t>
      </w:r>
      <w:r>
        <w:rPr>
          <w:rFonts w:hint="eastAsia" w:ascii="仿宋" w:eastAsia="仿宋"/>
          <w:sz w:val="21"/>
          <w:u w:val="single"/>
        </w:rPr>
        <w:t xml:space="preserve">次不在施工现场，发包人有权要求承包人更换主要施工管理人员或解除施工合同， </w:t>
      </w:r>
      <w:r>
        <w:rPr>
          <w:rFonts w:hint="eastAsia" w:ascii="仿宋" w:eastAsia="仿宋"/>
          <w:spacing w:val="-1"/>
          <w:sz w:val="21"/>
          <w:u w:val="single"/>
        </w:rPr>
        <w:t>由此带来的损失全部由承包人承担 。</w:t>
      </w:r>
    </w:p>
    <w:p>
      <w:pPr>
        <w:pStyle w:val="13"/>
        <w:numPr>
          <w:ilvl w:val="1"/>
          <w:numId w:val="46"/>
        </w:numPr>
        <w:tabs>
          <w:tab w:val="left" w:pos="1519"/>
        </w:tabs>
        <w:spacing w:before="0" w:after="0" w:line="269" w:lineRule="exact"/>
        <w:ind w:left="1518" w:right="0" w:hanging="368"/>
        <w:jc w:val="left"/>
        <w:rPr>
          <w:rFonts w:hint="eastAsia" w:ascii="黑体" w:eastAsia="黑体"/>
          <w:sz w:val="21"/>
        </w:rPr>
      </w:pPr>
      <w:r>
        <w:rPr>
          <w:rFonts w:hint="eastAsia" w:ascii="黑体" w:eastAsia="黑体"/>
          <w:sz w:val="21"/>
        </w:rPr>
        <w:t>分包</w:t>
      </w:r>
    </w:p>
    <w:p>
      <w:pPr>
        <w:spacing w:before="139"/>
        <w:ind w:left="1151" w:right="0" w:firstLine="0"/>
        <w:jc w:val="left"/>
        <w:rPr>
          <w:rFonts w:hint="eastAsia" w:ascii="仿宋" w:eastAsia="仿宋"/>
          <w:sz w:val="21"/>
        </w:rPr>
      </w:pPr>
      <w:r>
        <w:rPr>
          <w:rFonts w:hint="eastAsia" w:ascii="仿宋" w:eastAsia="仿宋"/>
          <w:sz w:val="21"/>
        </w:rPr>
        <w:t>分包的一般约定</w:t>
      </w:r>
    </w:p>
    <w:p>
      <w:pPr>
        <w:spacing w:before="139"/>
        <w:ind w:left="1151" w:right="0" w:firstLine="0"/>
        <w:jc w:val="left"/>
        <w:rPr>
          <w:rFonts w:hint="eastAsia" w:ascii="仿宋" w:eastAsia="仿宋"/>
          <w:sz w:val="21"/>
        </w:rPr>
      </w:pPr>
      <w:r>
        <w:rPr>
          <w:rFonts w:hint="eastAsia" w:ascii="仿宋" w:eastAsia="仿宋"/>
          <w:sz w:val="21"/>
        </w:rPr>
        <w:t>禁止分包的工程包括：本项目禁止分包。</w:t>
      </w:r>
    </w:p>
    <w:p>
      <w:pPr>
        <w:pStyle w:val="13"/>
        <w:numPr>
          <w:ilvl w:val="1"/>
          <w:numId w:val="46"/>
        </w:numPr>
        <w:tabs>
          <w:tab w:val="left" w:pos="1519"/>
        </w:tabs>
        <w:spacing w:before="141" w:after="0" w:line="240" w:lineRule="auto"/>
        <w:ind w:left="1518" w:right="0" w:hanging="368"/>
        <w:jc w:val="left"/>
        <w:rPr>
          <w:rFonts w:hint="eastAsia" w:ascii="黑体" w:eastAsia="黑体"/>
          <w:sz w:val="21"/>
        </w:rPr>
      </w:pPr>
      <w:r>
        <w:rPr>
          <w:rFonts w:hint="eastAsia" w:ascii="黑体" w:eastAsia="黑体"/>
          <w:sz w:val="21"/>
        </w:rPr>
        <w:t>工程照管与成品、半成品保护</w:t>
      </w:r>
    </w:p>
    <w:p>
      <w:pPr>
        <w:pStyle w:val="9"/>
        <w:spacing w:before="2"/>
        <w:rPr>
          <w:rFonts w:ascii="黑体"/>
          <w:sz w:val="20"/>
        </w:rPr>
      </w:pPr>
    </w:p>
    <w:p>
      <w:pPr>
        <w:spacing w:before="1"/>
        <w:ind w:left="1151" w:right="0" w:firstLine="0"/>
        <w:jc w:val="left"/>
        <w:rPr>
          <w:rFonts w:hint="eastAsia" w:ascii="仿宋" w:eastAsia="仿宋"/>
          <w:sz w:val="21"/>
        </w:rPr>
      </w:pPr>
      <w:r>
        <w:rPr>
          <w:rFonts w:hint="eastAsia" w:ascii="仿宋" w:eastAsia="仿宋"/>
          <w:sz w:val="21"/>
        </w:rPr>
        <w:t>承包人负责照管工程及工程相关的材料、工程设备的起始时间：</w:t>
      </w:r>
      <w:r>
        <w:rPr>
          <w:rFonts w:hint="eastAsia" w:ascii="仿宋" w:eastAsia="仿宋"/>
          <w:sz w:val="21"/>
          <w:u w:val="single"/>
        </w:rPr>
        <w:t>执行通用条款</w:t>
      </w:r>
      <w:r>
        <w:rPr>
          <w:rFonts w:hint="eastAsia" w:ascii="仿宋" w:eastAsia="仿宋"/>
          <w:sz w:val="21"/>
        </w:rPr>
        <w:t>。</w:t>
      </w:r>
    </w:p>
    <w:p>
      <w:pPr>
        <w:pStyle w:val="9"/>
        <w:spacing w:before="2"/>
        <w:rPr>
          <w:rFonts w:ascii="仿宋"/>
          <w:sz w:val="20"/>
        </w:rPr>
      </w:pPr>
    </w:p>
    <w:p>
      <w:pPr>
        <w:pStyle w:val="13"/>
        <w:numPr>
          <w:ilvl w:val="1"/>
          <w:numId w:val="46"/>
        </w:numPr>
        <w:tabs>
          <w:tab w:val="left" w:pos="1519"/>
        </w:tabs>
        <w:spacing w:before="0" w:after="0" w:line="240" w:lineRule="auto"/>
        <w:ind w:left="1518" w:right="0" w:hanging="368"/>
        <w:jc w:val="left"/>
        <w:rPr>
          <w:rFonts w:hint="eastAsia" w:ascii="黑体" w:eastAsia="黑体"/>
          <w:sz w:val="21"/>
        </w:rPr>
      </w:pPr>
      <w:r>
        <w:rPr>
          <w:rFonts w:hint="eastAsia" w:ascii="黑体" w:eastAsia="黑体"/>
          <w:sz w:val="21"/>
        </w:rPr>
        <w:t>履约担保</w:t>
      </w:r>
    </w:p>
    <w:p>
      <w:pPr>
        <w:pStyle w:val="9"/>
        <w:spacing w:before="3"/>
        <w:rPr>
          <w:rFonts w:ascii="黑体"/>
          <w:sz w:val="20"/>
        </w:rPr>
      </w:pPr>
    </w:p>
    <w:p>
      <w:pPr>
        <w:spacing w:before="0"/>
        <w:ind w:left="1151" w:right="0" w:firstLine="0"/>
        <w:jc w:val="left"/>
        <w:rPr>
          <w:rFonts w:hint="eastAsia" w:ascii="仿宋" w:eastAsia="仿宋"/>
          <w:sz w:val="21"/>
        </w:rPr>
      </w:pPr>
      <w:r>
        <w:rPr>
          <w:rFonts w:hint="eastAsia" w:ascii="仿宋" w:eastAsia="仿宋"/>
          <w:sz w:val="21"/>
        </w:rPr>
        <w:t>承包人是否提供履约担保：</w:t>
      </w:r>
      <w:r>
        <w:rPr>
          <w:rFonts w:hint="eastAsia" w:ascii="仿宋" w:eastAsia="仿宋"/>
          <w:sz w:val="21"/>
          <w:u w:val="single"/>
        </w:rPr>
        <w:t xml:space="preserve"> 否 </w:t>
      </w:r>
      <w:r>
        <w:rPr>
          <w:rFonts w:hint="eastAsia" w:ascii="仿宋" w:eastAsia="仿宋"/>
          <w:sz w:val="21"/>
        </w:rPr>
        <w:t>。</w:t>
      </w:r>
    </w:p>
    <w:p>
      <w:pPr>
        <w:tabs>
          <w:tab w:val="left" w:pos="5827"/>
        </w:tabs>
        <w:spacing w:before="139"/>
        <w:ind w:left="1151" w:right="0" w:firstLine="0"/>
        <w:jc w:val="left"/>
        <w:rPr>
          <w:rFonts w:hint="eastAsia" w:ascii="仿宋" w:eastAsia="仿宋"/>
          <w:sz w:val="21"/>
        </w:rPr>
      </w:pPr>
      <w:r>
        <w:rPr>
          <w:rFonts w:hint="eastAsia" w:ascii="仿宋" w:eastAsia="仿宋"/>
          <w:sz w:val="21"/>
        </w:rPr>
        <w:t>承包人提供履约担保的形式、金额及期限的：</w:t>
      </w:r>
      <w:r>
        <w:rPr>
          <w:rFonts w:hint="eastAsia" w:ascii="仿宋" w:eastAsia="仿宋"/>
          <w:spacing w:val="97"/>
          <w:sz w:val="21"/>
          <w:u w:val="single"/>
        </w:rPr>
        <w:t xml:space="preserve"> </w:t>
      </w:r>
      <w:r>
        <w:rPr>
          <w:rFonts w:ascii="Times New Roman" w:eastAsia="Times New Roman"/>
          <w:sz w:val="21"/>
          <w:u w:val="single"/>
        </w:rPr>
        <w:t>/</w:t>
      </w:r>
      <w:r>
        <w:rPr>
          <w:rFonts w:ascii="Times New Roman" w:eastAsia="Times New Roman"/>
          <w:sz w:val="21"/>
          <w:u w:val="single"/>
        </w:rPr>
        <w:tab/>
      </w:r>
      <w:r>
        <w:rPr>
          <w:rFonts w:hint="eastAsia" w:ascii="仿宋" w:eastAsia="仿宋"/>
          <w:sz w:val="21"/>
        </w:rPr>
        <w:t>。</w:t>
      </w:r>
    </w:p>
    <w:p>
      <w:pPr>
        <w:pStyle w:val="9"/>
        <w:spacing w:before="2"/>
        <w:rPr>
          <w:rFonts w:ascii="仿宋"/>
          <w:sz w:val="20"/>
        </w:rPr>
      </w:pPr>
    </w:p>
    <w:p>
      <w:pPr>
        <w:pStyle w:val="13"/>
        <w:numPr>
          <w:ilvl w:val="0"/>
          <w:numId w:val="34"/>
        </w:numPr>
        <w:tabs>
          <w:tab w:val="left" w:pos="993"/>
        </w:tabs>
        <w:spacing w:before="1" w:after="0" w:line="240" w:lineRule="auto"/>
        <w:ind w:left="992" w:right="0" w:hanging="262"/>
        <w:jc w:val="left"/>
        <w:rPr>
          <w:rFonts w:hint="eastAsia" w:ascii="黑体" w:eastAsia="黑体"/>
          <w:sz w:val="21"/>
        </w:rPr>
      </w:pPr>
      <w:bookmarkStart w:id="60" w:name="4. 监理人"/>
      <w:bookmarkEnd w:id="60"/>
      <w:r>
        <w:rPr>
          <w:rFonts w:hint="eastAsia" w:ascii="黑体" w:eastAsia="黑体"/>
          <w:sz w:val="21"/>
        </w:rPr>
        <w:t>监理人</w:t>
      </w:r>
    </w:p>
    <w:p>
      <w:pPr>
        <w:pStyle w:val="9"/>
        <w:spacing w:before="4"/>
        <w:rPr>
          <w:rFonts w:ascii="黑体"/>
          <w:sz w:val="20"/>
        </w:rPr>
      </w:pPr>
    </w:p>
    <w:p>
      <w:pPr>
        <w:pStyle w:val="13"/>
        <w:numPr>
          <w:ilvl w:val="1"/>
          <w:numId w:val="34"/>
        </w:numPr>
        <w:tabs>
          <w:tab w:val="left" w:pos="1466"/>
        </w:tabs>
        <w:spacing w:before="1" w:after="0" w:line="240" w:lineRule="auto"/>
        <w:ind w:left="1465" w:right="0" w:hanging="315"/>
        <w:jc w:val="left"/>
        <w:rPr>
          <w:rFonts w:hint="eastAsia" w:ascii="黑体" w:eastAsia="黑体"/>
          <w:sz w:val="21"/>
        </w:rPr>
      </w:pPr>
      <w:r>
        <w:rPr>
          <w:rFonts w:hint="eastAsia" w:ascii="黑体" w:eastAsia="黑体"/>
          <w:sz w:val="21"/>
        </w:rPr>
        <w:t>监理人的一般规定</w:t>
      </w:r>
    </w:p>
    <w:p>
      <w:pPr>
        <w:pStyle w:val="9"/>
        <w:spacing w:before="2"/>
        <w:rPr>
          <w:rFonts w:ascii="黑体"/>
          <w:sz w:val="20"/>
        </w:rPr>
      </w:pPr>
    </w:p>
    <w:p>
      <w:pPr>
        <w:spacing w:before="0" w:line="364" w:lineRule="auto"/>
        <w:ind w:left="731" w:right="895" w:firstLine="420"/>
        <w:jc w:val="both"/>
        <w:rPr>
          <w:rFonts w:hint="eastAsia" w:ascii="仿宋" w:eastAsia="仿宋"/>
          <w:sz w:val="21"/>
        </w:rPr>
      </w:pPr>
      <w:r>
        <w:rPr>
          <w:rFonts w:hint="eastAsia" w:ascii="仿宋" w:eastAsia="仿宋"/>
          <w:w w:val="95"/>
          <w:sz w:val="21"/>
        </w:rPr>
        <w:t>关于监理人的监理内容：</w:t>
      </w:r>
      <w:r>
        <w:rPr>
          <w:rFonts w:hint="eastAsia" w:ascii="仿宋" w:eastAsia="仿宋"/>
          <w:w w:val="95"/>
          <w:sz w:val="21"/>
          <w:u w:val="single"/>
        </w:rPr>
        <w:t>履行委托监理合同，全面主持工程监理日常工作，参与图纸会审和</w:t>
      </w:r>
      <w:r>
        <w:rPr>
          <w:rFonts w:hint="eastAsia" w:ascii="仿宋" w:eastAsia="仿宋"/>
          <w:spacing w:val="-199"/>
          <w:w w:val="95"/>
          <w:sz w:val="21"/>
          <w:u w:val="single"/>
        </w:rPr>
        <w:t>施工</w:t>
      </w:r>
      <w:r>
        <w:rPr>
          <w:rFonts w:hint="eastAsia" w:ascii="仿宋" w:eastAsia="仿宋"/>
          <w:spacing w:val="122"/>
          <w:w w:val="95"/>
          <w:sz w:val="21"/>
          <w:u w:val="single"/>
        </w:rPr>
        <w:t xml:space="preserve"> </w:t>
      </w:r>
      <w:r>
        <w:rPr>
          <w:rFonts w:hint="eastAsia" w:ascii="仿宋" w:eastAsia="仿宋"/>
          <w:w w:val="95"/>
          <w:sz w:val="21"/>
          <w:u w:val="single"/>
        </w:rPr>
        <w:t xml:space="preserve">例会，负责对施工组织设计、质量、进度等进行审核，对工程变更、签证等的办理和审查，以及   </w:t>
      </w:r>
      <w:r>
        <w:rPr>
          <w:rFonts w:hint="eastAsia" w:ascii="仿宋" w:eastAsia="仿宋"/>
          <w:sz w:val="21"/>
          <w:u w:val="single"/>
        </w:rPr>
        <w:t>发生工期增减的报告审核等。</w:t>
      </w:r>
    </w:p>
    <w:p>
      <w:pPr>
        <w:spacing w:before="0" w:line="269" w:lineRule="exact"/>
        <w:ind w:left="1151" w:right="0" w:firstLine="0"/>
        <w:jc w:val="left"/>
        <w:rPr>
          <w:rFonts w:hint="eastAsia" w:ascii="仿宋" w:eastAsia="仿宋"/>
          <w:sz w:val="21"/>
        </w:rPr>
      </w:pPr>
      <w:r>
        <w:rPr>
          <w:rFonts w:hint="eastAsia" w:ascii="仿宋" w:eastAsia="仿宋"/>
          <w:sz w:val="21"/>
        </w:rPr>
        <w:t>关于监理人的监理权限：</w:t>
      </w:r>
      <w:r>
        <w:rPr>
          <w:rFonts w:hint="eastAsia" w:ascii="仿宋" w:eastAsia="仿宋"/>
          <w:sz w:val="21"/>
          <w:u w:val="single"/>
        </w:rPr>
        <w:t>现场签证（核量）、下达工程停工令。</w:t>
      </w:r>
    </w:p>
    <w:p>
      <w:pPr>
        <w:spacing w:before="139"/>
        <w:ind w:left="1151" w:right="0" w:firstLine="0"/>
        <w:jc w:val="left"/>
        <w:rPr>
          <w:rFonts w:hint="eastAsia" w:ascii="仿宋" w:eastAsia="仿宋"/>
          <w:sz w:val="21"/>
        </w:rPr>
      </w:pPr>
      <w:r>
        <w:rPr>
          <w:rFonts w:hint="eastAsia" w:ascii="仿宋" w:eastAsia="仿宋"/>
          <w:sz w:val="21"/>
        </w:rPr>
        <w:t>关于监理人在施工现场的办公场所、生活场所的提供和费用承担的约定：</w:t>
      </w:r>
      <w:r>
        <w:rPr>
          <w:rFonts w:hint="eastAsia" w:ascii="仿宋" w:eastAsia="仿宋"/>
          <w:sz w:val="21"/>
          <w:u w:val="single"/>
        </w:rPr>
        <w:t>根据监理合同约定</w:t>
      </w:r>
    </w:p>
    <w:p>
      <w:pPr>
        <w:pStyle w:val="13"/>
        <w:numPr>
          <w:ilvl w:val="1"/>
          <w:numId w:val="34"/>
        </w:numPr>
        <w:tabs>
          <w:tab w:val="left" w:pos="1519"/>
        </w:tabs>
        <w:spacing w:before="139" w:after="0" w:line="240" w:lineRule="auto"/>
        <w:ind w:left="1518" w:right="0" w:hanging="368"/>
        <w:jc w:val="left"/>
        <w:rPr>
          <w:rFonts w:hint="eastAsia" w:ascii="黑体" w:eastAsia="黑体"/>
          <w:sz w:val="21"/>
        </w:rPr>
      </w:pPr>
      <w:r>
        <w:rPr>
          <w:rFonts w:hint="eastAsia" w:ascii="黑体" w:eastAsia="黑体"/>
          <w:sz w:val="21"/>
        </w:rPr>
        <w:t>监理人员</w:t>
      </w:r>
    </w:p>
    <w:p>
      <w:pPr>
        <w:pStyle w:val="9"/>
        <w:spacing w:before="3"/>
        <w:rPr>
          <w:rFonts w:ascii="黑体"/>
          <w:sz w:val="20"/>
        </w:rPr>
      </w:pPr>
    </w:p>
    <w:p>
      <w:pPr>
        <w:spacing w:before="0"/>
        <w:ind w:left="1151" w:right="0" w:firstLine="0"/>
        <w:jc w:val="left"/>
        <w:rPr>
          <w:rFonts w:hint="eastAsia" w:ascii="仿宋" w:eastAsia="仿宋"/>
          <w:sz w:val="21"/>
        </w:rPr>
      </w:pPr>
      <w:r>
        <w:rPr>
          <w:rFonts w:hint="eastAsia" w:ascii="仿宋" w:eastAsia="仿宋"/>
          <w:sz w:val="21"/>
        </w:rPr>
        <w:t>总监理工程师：</w:t>
      </w:r>
    </w:p>
    <w:p>
      <w:pPr>
        <w:tabs>
          <w:tab w:val="left" w:pos="4196"/>
          <w:tab w:val="left" w:pos="4299"/>
        </w:tabs>
        <w:spacing w:before="139" w:line="364" w:lineRule="auto"/>
        <w:ind w:left="1151" w:right="5936" w:firstLine="0"/>
        <w:jc w:val="left"/>
        <w:rPr>
          <w:rFonts w:hint="eastAsia" w:ascii="仿宋" w:eastAsia="仿宋"/>
          <w:sz w:val="21"/>
        </w:rPr>
      </w:pPr>
      <w:r>
        <w:rPr>
          <w:rFonts w:hint="eastAsia" w:ascii="仿宋" w:eastAsia="仿宋"/>
          <w:sz w:val="21"/>
        </w:rPr>
        <w:t>姓名：</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 职务：</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u w:val="single"/>
        </w:rPr>
        <w:tab/>
      </w:r>
      <w:r>
        <w:rPr>
          <w:rFonts w:hint="eastAsia" w:ascii="仿宋" w:eastAsia="仿宋"/>
          <w:spacing w:val="-18"/>
          <w:sz w:val="21"/>
        </w:rPr>
        <w:t>；</w:t>
      </w:r>
    </w:p>
    <w:p>
      <w:pPr>
        <w:tabs>
          <w:tab w:val="left" w:pos="4511"/>
          <w:tab w:val="left" w:pos="5979"/>
        </w:tabs>
        <w:spacing w:before="0" w:line="364" w:lineRule="auto"/>
        <w:ind w:left="1151" w:right="4256" w:firstLine="0"/>
        <w:jc w:val="left"/>
        <w:rPr>
          <w:rFonts w:hint="eastAsia" w:ascii="仿宋" w:eastAsia="仿宋"/>
          <w:sz w:val="21"/>
        </w:rPr>
      </w:pPr>
      <w:r>
        <w:rPr>
          <w:rFonts w:hint="eastAsia" w:ascii="仿宋" w:eastAsia="仿宋"/>
          <w:sz w:val="21"/>
        </w:rPr>
        <w:t>监理工程师执业资格证书号：</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u w:val="single"/>
        </w:rPr>
        <w:tab/>
      </w:r>
      <w:r>
        <w:rPr>
          <w:rFonts w:hint="eastAsia" w:ascii="仿宋" w:eastAsia="仿宋"/>
          <w:spacing w:val="-18"/>
          <w:sz w:val="21"/>
        </w:rPr>
        <w:t xml:space="preserve">； </w:t>
      </w:r>
      <w:r>
        <w:rPr>
          <w:rFonts w:hint="eastAsia" w:ascii="仿宋" w:eastAsia="仿宋"/>
          <w:sz w:val="21"/>
        </w:rPr>
        <w:t>联系电话：</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w:t>
      </w:r>
    </w:p>
    <w:p>
      <w:pPr>
        <w:tabs>
          <w:tab w:val="left" w:pos="4299"/>
        </w:tabs>
        <w:spacing w:before="0" w:line="267" w:lineRule="exact"/>
        <w:ind w:left="1151" w:right="0" w:firstLine="0"/>
        <w:jc w:val="left"/>
        <w:rPr>
          <w:rFonts w:hint="eastAsia" w:ascii="仿宋" w:eastAsia="仿宋"/>
          <w:sz w:val="21"/>
        </w:rPr>
      </w:pPr>
      <w:r>
        <w:rPr>
          <w:rFonts w:hint="eastAsia" w:ascii="仿宋" w:eastAsia="仿宋"/>
          <w:sz w:val="21"/>
        </w:rPr>
        <w:t>电子信箱：</w:t>
      </w:r>
      <w:r>
        <w:rPr>
          <w:rFonts w:hint="eastAsia" w:ascii="仿宋" w:eastAsia="仿宋"/>
          <w:sz w:val="21"/>
          <w:u w:val="single"/>
        </w:rPr>
        <w:t xml:space="preserve"> </w:t>
      </w:r>
      <w:r>
        <w:rPr>
          <w:rFonts w:hint="eastAsia" w:ascii="仿宋" w:eastAsia="仿宋"/>
          <w:sz w:val="21"/>
          <w:u w:val="single"/>
        </w:rPr>
        <w:tab/>
      </w:r>
      <w:r>
        <w:fldChar w:fldCharType="begin"/>
      </w:r>
      <w:r>
        <w:instrText xml:space="preserve"> HYPERLINK "mailto:1252816039@qq.com" \h </w:instrText>
      </w:r>
      <w:r>
        <w:fldChar w:fldCharType="separate"/>
      </w:r>
      <w:r>
        <w:rPr>
          <w:rFonts w:hint="eastAsia" w:ascii="仿宋" w:eastAsia="仿宋"/>
          <w:sz w:val="21"/>
        </w:rPr>
        <w:t>；</w:t>
      </w:r>
      <w:r>
        <w:rPr>
          <w:rFonts w:hint="eastAsia" w:ascii="仿宋" w:eastAsia="仿宋"/>
          <w:sz w:val="21"/>
        </w:rPr>
        <w:fldChar w:fldCharType="end"/>
      </w:r>
    </w:p>
    <w:p>
      <w:pPr>
        <w:tabs>
          <w:tab w:val="left" w:pos="5036"/>
        </w:tabs>
        <w:spacing w:before="5"/>
        <w:ind w:left="1151" w:right="0" w:firstLine="0"/>
        <w:jc w:val="left"/>
        <w:rPr>
          <w:rFonts w:hint="eastAsia" w:ascii="仿宋" w:eastAsia="仿宋"/>
          <w:sz w:val="21"/>
        </w:rPr>
      </w:pPr>
      <w:r>
        <w:rPr>
          <w:rFonts w:hint="eastAsia" w:ascii="仿宋" w:eastAsia="仿宋"/>
          <w:sz w:val="21"/>
        </w:rPr>
        <w:t>通信地址：</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w:t>
      </w:r>
    </w:p>
    <w:p>
      <w:pPr>
        <w:tabs>
          <w:tab w:val="left" w:pos="5770"/>
        </w:tabs>
        <w:spacing w:before="139"/>
        <w:ind w:left="1151" w:right="0" w:firstLine="0"/>
        <w:jc w:val="left"/>
        <w:rPr>
          <w:rFonts w:hint="eastAsia" w:ascii="仿宋" w:eastAsia="仿宋"/>
          <w:sz w:val="21"/>
        </w:rPr>
      </w:pPr>
      <w:r>
        <w:rPr>
          <w:rFonts w:hint="eastAsia" w:ascii="仿宋" w:eastAsia="仿宋"/>
          <w:sz w:val="21"/>
        </w:rPr>
        <w:t>关于监理人的其他约定：</w:t>
      </w:r>
      <w:r>
        <w:rPr>
          <w:rFonts w:hint="eastAsia" w:ascii="仿宋" w:eastAsia="仿宋"/>
          <w:spacing w:val="-6"/>
          <w:sz w:val="21"/>
          <w:u w:val="single"/>
        </w:rPr>
        <w:t xml:space="preserve"> </w:t>
      </w:r>
      <w:r>
        <w:rPr>
          <w:rFonts w:hint="eastAsia" w:ascii="仿宋" w:eastAsia="仿宋"/>
          <w:sz w:val="21"/>
          <w:u w:val="single"/>
        </w:rPr>
        <w:t>根据监理合同约定</w:t>
      </w:r>
      <w:r>
        <w:rPr>
          <w:rFonts w:hint="eastAsia" w:ascii="仿宋" w:eastAsia="仿宋"/>
          <w:sz w:val="21"/>
          <w:u w:val="single"/>
        </w:rPr>
        <w:tab/>
      </w:r>
      <w:r>
        <w:rPr>
          <w:rFonts w:hint="eastAsia" w:ascii="仿宋" w:eastAsia="仿宋"/>
          <w:sz w:val="21"/>
        </w:rPr>
        <w:t>。</w:t>
      </w:r>
    </w:p>
    <w:p>
      <w:pPr>
        <w:pStyle w:val="13"/>
        <w:numPr>
          <w:ilvl w:val="0"/>
          <w:numId w:val="34"/>
        </w:numPr>
        <w:tabs>
          <w:tab w:val="left" w:pos="993"/>
        </w:tabs>
        <w:spacing w:before="122" w:after="0" w:line="240" w:lineRule="auto"/>
        <w:ind w:left="992" w:right="0" w:hanging="262"/>
        <w:jc w:val="left"/>
        <w:rPr>
          <w:rFonts w:hint="eastAsia" w:ascii="黑体" w:eastAsia="黑体"/>
          <w:sz w:val="21"/>
        </w:rPr>
      </w:pPr>
      <w:bookmarkStart w:id="61" w:name="5. 工程质量"/>
      <w:bookmarkEnd w:id="61"/>
      <w:r>
        <w:rPr>
          <w:rFonts w:hint="eastAsia" w:ascii="黑体" w:eastAsia="黑体"/>
          <w:sz w:val="21"/>
        </w:rPr>
        <w:t>工程质量</w:t>
      </w:r>
    </w:p>
    <w:p>
      <w:pPr>
        <w:pStyle w:val="9"/>
        <w:spacing w:before="5"/>
        <w:rPr>
          <w:rFonts w:ascii="黑体"/>
          <w:sz w:val="20"/>
        </w:rPr>
      </w:pPr>
    </w:p>
    <w:p>
      <w:pPr>
        <w:pStyle w:val="13"/>
        <w:numPr>
          <w:ilvl w:val="1"/>
          <w:numId w:val="34"/>
        </w:numPr>
        <w:tabs>
          <w:tab w:val="left" w:pos="1519"/>
        </w:tabs>
        <w:spacing w:before="0" w:after="0" w:line="240" w:lineRule="auto"/>
        <w:ind w:left="1518" w:right="0" w:hanging="368"/>
        <w:jc w:val="left"/>
        <w:rPr>
          <w:rFonts w:hint="eastAsia" w:ascii="黑体" w:eastAsia="黑体"/>
          <w:sz w:val="21"/>
        </w:rPr>
      </w:pPr>
      <w:r>
        <w:rPr>
          <w:rFonts w:hint="eastAsia" w:ascii="黑体" w:eastAsia="黑体"/>
          <w:sz w:val="21"/>
        </w:rPr>
        <w:t>质量要求</w:t>
      </w:r>
    </w:p>
    <w:p>
      <w:pPr>
        <w:pStyle w:val="9"/>
        <w:spacing w:before="2"/>
        <w:rPr>
          <w:rFonts w:ascii="黑体"/>
          <w:sz w:val="20"/>
        </w:rPr>
      </w:pPr>
    </w:p>
    <w:p>
      <w:pPr>
        <w:pStyle w:val="13"/>
        <w:numPr>
          <w:ilvl w:val="2"/>
          <w:numId w:val="34"/>
        </w:numPr>
        <w:tabs>
          <w:tab w:val="left" w:pos="1677"/>
        </w:tabs>
        <w:spacing w:before="1" w:after="0" w:line="364" w:lineRule="auto"/>
        <w:ind w:left="1151" w:right="6356" w:firstLine="0"/>
        <w:jc w:val="left"/>
        <w:rPr>
          <w:rFonts w:ascii="Times New Roman" w:eastAsia="Times New Roman"/>
          <w:sz w:val="21"/>
        </w:rPr>
      </w:pPr>
      <w:r>
        <w:rPr>
          <w:rFonts w:hint="eastAsia" w:ascii="仿宋" w:eastAsia="仿宋"/>
          <w:sz w:val="21"/>
        </w:rPr>
        <w:t>特殊质量标准和要求：</w:t>
      </w:r>
      <w:r>
        <w:rPr>
          <w:rFonts w:hint="eastAsia" w:ascii="仿宋" w:eastAsia="仿宋"/>
          <w:sz w:val="21"/>
          <w:u w:val="single"/>
        </w:rPr>
        <w:t>/</w:t>
      </w:r>
      <w:r>
        <w:rPr>
          <w:rFonts w:hint="eastAsia" w:ascii="仿宋" w:eastAsia="仿宋"/>
          <w:spacing w:val="-12"/>
          <w:sz w:val="21"/>
        </w:rPr>
        <w:t>。</w:t>
      </w:r>
      <w:r>
        <w:rPr>
          <w:rFonts w:hint="eastAsia" w:ascii="仿宋" w:eastAsia="仿宋"/>
          <w:sz w:val="21"/>
        </w:rPr>
        <w:t>关于工程奖项的约定：</w:t>
      </w:r>
      <w:r>
        <w:rPr>
          <w:rFonts w:hint="eastAsia" w:ascii="仿宋" w:eastAsia="仿宋"/>
          <w:sz w:val="21"/>
          <w:u w:val="single"/>
        </w:rPr>
        <w:t>/</w:t>
      </w:r>
      <w:r>
        <w:rPr>
          <w:rFonts w:hint="eastAsia" w:ascii="仿宋" w:eastAsia="仿宋"/>
          <w:sz w:val="21"/>
        </w:rPr>
        <w:t>。</w:t>
      </w:r>
    </w:p>
    <w:p>
      <w:pPr>
        <w:spacing w:before="0" w:line="267" w:lineRule="exact"/>
        <w:ind w:left="1151" w:right="0" w:firstLine="0"/>
        <w:jc w:val="left"/>
        <w:rPr>
          <w:rFonts w:hint="eastAsia" w:ascii="仿宋" w:eastAsia="仿宋"/>
          <w:sz w:val="21"/>
        </w:rPr>
      </w:pPr>
      <w:r>
        <w:rPr>
          <w:rFonts w:ascii="Times New Roman" w:eastAsia="Times New Roman"/>
          <w:sz w:val="21"/>
        </w:rPr>
        <w:t xml:space="preserve">5.1.3 </w:t>
      </w:r>
      <w:r>
        <w:rPr>
          <w:rFonts w:hint="eastAsia" w:ascii="仿宋" w:eastAsia="仿宋"/>
          <w:spacing w:val="-3"/>
          <w:sz w:val="21"/>
        </w:rPr>
        <w:t xml:space="preserve">因承包人原因造成工程质量未达到一次性验收合格率 </w:t>
      </w:r>
      <w:r>
        <w:rPr>
          <w:rFonts w:ascii="Times New Roman" w:eastAsia="Times New Roman"/>
          <w:spacing w:val="-3"/>
          <w:sz w:val="21"/>
        </w:rPr>
        <w:t>100%</w:t>
      </w:r>
      <w:r>
        <w:rPr>
          <w:rFonts w:hint="eastAsia" w:ascii="仿宋" w:eastAsia="仿宋"/>
          <w:spacing w:val="-2"/>
          <w:sz w:val="21"/>
        </w:rPr>
        <w:t>，承包人需要按合同总金额</w:t>
      </w:r>
    </w:p>
    <w:p>
      <w:pPr>
        <w:spacing w:after="0" w:line="267" w:lineRule="exact"/>
        <w:jc w:val="left"/>
        <w:rPr>
          <w:rFonts w:hint="eastAsia" w:ascii="仿宋" w:eastAsia="仿宋"/>
          <w:sz w:val="21"/>
        </w:rPr>
        <w:sectPr>
          <w:pgSz w:w="11910" w:h="16840"/>
          <w:pgMar w:top="1100" w:right="660" w:bottom="1200" w:left="800" w:header="878" w:footer="1003" w:gutter="0"/>
          <w:cols w:space="720" w:num="1"/>
        </w:sectPr>
      </w:pPr>
    </w:p>
    <w:p>
      <w:pPr>
        <w:pStyle w:val="9"/>
        <w:spacing w:before="5"/>
        <w:rPr>
          <w:rFonts w:ascii="仿宋"/>
          <w:sz w:val="17"/>
        </w:rPr>
      </w:pPr>
    </w:p>
    <w:p>
      <w:pPr>
        <w:spacing w:before="77" w:line="364" w:lineRule="auto"/>
        <w:ind w:left="731" w:right="917" w:firstLine="0"/>
        <w:jc w:val="left"/>
        <w:rPr>
          <w:rFonts w:hint="eastAsia" w:ascii="仿宋" w:eastAsia="仿宋"/>
          <w:sz w:val="21"/>
        </w:rPr>
      </w:pPr>
      <w:r>
        <w:rPr>
          <w:rFonts w:hint="eastAsia" w:ascii="仿宋" w:eastAsia="仿宋"/>
          <w:sz w:val="21"/>
        </w:rPr>
        <w:t xml:space="preserve">的 </w:t>
      </w:r>
      <w:r>
        <w:rPr>
          <w:rFonts w:ascii="Times New Roman" w:eastAsia="Times New Roman"/>
          <w:sz w:val="21"/>
        </w:rPr>
        <w:t>5%</w:t>
      </w:r>
      <w:r>
        <w:rPr>
          <w:rFonts w:hint="eastAsia" w:ascii="仿宋" w:eastAsia="仿宋"/>
          <w:sz w:val="21"/>
        </w:rPr>
        <w:t>向发包人支付违约金，同时发包人有权要求承包人返工直至工程质量达到合同约定的标准为止，并由承包人承担由此增加的费用和延误的工期。</w:t>
      </w:r>
    </w:p>
    <w:p>
      <w:pPr>
        <w:spacing w:before="0"/>
        <w:ind w:left="1151" w:right="0" w:firstLine="0"/>
        <w:jc w:val="left"/>
        <w:rPr>
          <w:rFonts w:hint="eastAsia" w:ascii="黑体" w:eastAsia="黑体"/>
          <w:sz w:val="21"/>
        </w:rPr>
      </w:pPr>
      <w:r>
        <w:rPr>
          <w:rFonts w:ascii="Times New Roman" w:eastAsia="Times New Roman"/>
          <w:sz w:val="21"/>
        </w:rPr>
        <w:t>5.3</w:t>
      </w:r>
      <w:r>
        <w:rPr>
          <w:rFonts w:ascii="Times New Roman" w:eastAsia="Times New Roman"/>
          <w:spacing w:val="51"/>
          <w:sz w:val="21"/>
        </w:rPr>
        <w:t xml:space="preserve"> </w:t>
      </w:r>
      <w:r>
        <w:rPr>
          <w:rFonts w:hint="eastAsia" w:ascii="黑体" w:eastAsia="黑体"/>
          <w:sz w:val="21"/>
        </w:rPr>
        <w:t>隐蔽工程检查</w:t>
      </w:r>
    </w:p>
    <w:p>
      <w:pPr>
        <w:pStyle w:val="9"/>
        <w:spacing w:before="3"/>
        <w:rPr>
          <w:rFonts w:ascii="黑体"/>
          <w:sz w:val="20"/>
        </w:rPr>
      </w:pPr>
    </w:p>
    <w:p>
      <w:pPr>
        <w:spacing w:before="0" w:line="364" w:lineRule="auto"/>
        <w:ind w:left="731" w:right="852" w:firstLine="420"/>
        <w:jc w:val="left"/>
        <w:rPr>
          <w:rFonts w:hint="eastAsia" w:ascii="仿宋" w:hAnsi="仿宋" w:eastAsia="仿宋"/>
          <w:sz w:val="21"/>
        </w:rPr>
      </w:pPr>
      <w:r>
        <w:rPr>
          <w:rFonts w:ascii="Times New Roman" w:hAnsi="Times New Roman" w:eastAsia="Times New Roman"/>
          <w:sz w:val="21"/>
        </w:rPr>
        <w:t xml:space="preserve">5.3.2 </w:t>
      </w:r>
      <w:r>
        <w:rPr>
          <w:rFonts w:hint="eastAsia" w:ascii="仿宋" w:hAnsi="仿宋" w:eastAsia="仿宋"/>
          <w:spacing w:val="-1"/>
          <w:sz w:val="21"/>
        </w:rPr>
        <w:t>承包人提前通知监理人隐蔽工程检查的期限的约定：</w:t>
      </w:r>
      <w:r>
        <w:rPr>
          <w:spacing w:val="-13"/>
          <w:sz w:val="21"/>
          <w:u w:val="single"/>
        </w:rPr>
        <w:t>①</w:t>
      </w:r>
      <w:r>
        <w:rPr>
          <w:rFonts w:hint="eastAsia" w:ascii="仿宋" w:hAnsi="仿宋" w:eastAsia="仿宋"/>
          <w:spacing w:val="-2"/>
          <w:sz w:val="21"/>
          <w:u w:val="single"/>
        </w:rPr>
        <w:t>所有隐蔽工程验收；</w:t>
      </w:r>
      <w:r>
        <w:rPr>
          <w:spacing w:val="-13"/>
          <w:sz w:val="21"/>
          <w:u w:val="single"/>
        </w:rPr>
        <w:t>②</w:t>
      </w:r>
      <w:r>
        <w:rPr>
          <w:rFonts w:hint="eastAsia" w:ascii="仿宋" w:hAnsi="仿宋" w:eastAsia="仿宋"/>
          <w:sz w:val="21"/>
          <w:u w:val="single"/>
        </w:rPr>
        <w:t>其它质量</w:t>
      </w:r>
      <w:r>
        <w:rPr>
          <w:rFonts w:hint="eastAsia" w:ascii="仿宋" w:hAnsi="仿宋" w:eastAsia="仿宋"/>
          <w:spacing w:val="-198"/>
          <w:sz w:val="21"/>
          <w:u w:val="single"/>
        </w:rPr>
        <w:t>监督</w:t>
      </w:r>
      <w:r>
        <w:rPr>
          <w:rFonts w:hint="eastAsia" w:ascii="仿宋" w:hAnsi="仿宋" w:eastAsia="仿宋"/>
          <w:sz w:val="21"/>
          <w:u w:val="single"/>
        </w:rPr>
        <w:t>站要求进行的验收。</w:t>
      </w:r>
    </w:p>
    <w:p>
      <w:pPr>
        <w:spacing w:before="0" w:line="367" w:lineRule="auto"/>
        <w:ind w:left="1151" w:right="3245" w:firstLine="0"/>
        <w:jc w:val="left"/>
        <w:rPr>
          <w:rFonts w:hint="eastAsia" w:ascii="仿宋" w:eastAsia="仿宋"/>
          <w:sz w:val="21"/>
        </w:rPr>
      </w:pPr>
      <w:r>
        <w:rPr>
          <w:rFonts w:hint="eastAsia" w:ascii="仿宋" w:eastAsia="仿宋"/>
          <w:sz w:val="21"/>
        </w:rPr>
        <w:t xml:space="preserve">监理人不能按时进行检查时，应提前 </w:t>
      </w:r>
      <w:r>
        <w:rPr>
          <w:rFonts w:ascii="Times New Roman" w:eastAsia="Times New Roman"/>
          <w:sz w:val="21"/>
          <w:u w:val="single"/>
        </w:rPr>
        <w:t>24</w:t>
      </w:r>
      <w:r>
        <w:rPr>
          <w:rFonts w:ascii="Times New Roman" w:eastAsia="Times New Roman"/>
          <w:sz w:val="21"/>
        </w:rPr>
        <w:t xml:space="preserve"> </w:t>
      </w:r>
      <w:r>
        <w:rPr>
          <w:rFonts w:hint="eastAsia" w:ascii="仿宋" w:eastAsia="仿宋"/>
          <w:sz w:val="21"/>
        </w:rPr>
        <w:t>小时提交书面延期要求。关于延期最长不得超过：</w:t>
      </w:r>
      <w:r>
        <w:rPr>
          <w:rFonts w:ascii="Times New Roman" w:eastAsia="Times New Roman"/>
          <w:sz w:val="21"/>
          <w:u w:val="single"/>
        </w:rPr>
        <w:t>48</w:t>
      </w:r>
      <w:r>
        <w:rPr>
          <w:rFonts w:ascii="Times New Roman" w:eastAsia="Times New Roman"/>
          <w:sz w:val="21"/>
        </w:rPr>
        <w:t xml:space="preserve"> </w:t>
      </w:r>
      <w:r>
        <w:rPr>
          <w:rFonts w:hint="eastAsia" w:ascii="仿宋" w:eastAsia="仿宋"/>
          <w:sz w:val="21"/>
        </w:rPr>
        <w:t>小时。</w:t>
      </w:r>
    </w:p>
    <w:p>
      <w:pPr>
        <w:pStyle w:val="13"/>
        <w:numPr>
          <w:ilvl w:val="0"/>
          <w:numId w:val="34"/>
        </w:numPr>
        <w:tabs>
          <w:tab w:val="left" w:pos="993"/>
        </w:tabs>
        <w:spacing w:before="113" w:after="0" w:line="240" w:lineRule="auto"/>
        <w:ind w:left="992" w:right="0" w:hanging="262"/>
        <w:jc w:val="left"/>
        <w:rPr>
          <w:rFonts w:hint="eastAsia" w:ascii="黑体" w:eastAsia="黑体"/>
          <w:sz w:val="21"/>
        </w:rPr>
      </w:pPr>
      <w:bookmarkStart w:id="62" w:name="6. 安全文明施工与环境保护"/>
      <w:bookmarkEnd w:id="62"/>
      <w:r>
        <w:rPr>
          <w:rFonts w:hint="eastAsia" w:ascii="黑体" w:eastAsia="黑体"/>
          <w:sz w:val="21"/>
        </w:rPr>
        <w:t>安全文明施工与环境保护</w:t>
      </w:r>
    </w:p>
    <w:p>
      <w:pPr>
        <w:pStyle w:val="9"/>
        <w:spacing w:before="2"/>
        <w:rPr>
          <w:rFonts w:ascii="黑体"/>
          <w:sz w:val="20"/>
        </w:rPr>
      </w:pPr>
    </w:p>
    <w:p>
      <w:pPr>
        <w:pStyle w:val="13"/>
        <w:numPr>
          <w:ilvl w:val="1"/>
          <w:numId w:val="34"/>
        </w:numPr>
        <w:tabs>
          <w:tab w:val="left" w:pos="1466"/>
        </w:tabs>
        <w:spacing w:before="1" w:after="0" w:line="240" w:lineRule="auto"/>
        <w:ind w:left="1465" w:right="0" w:hanging="315"/>
        <w:jc w:val="left"/>
        <w:rPr>
          <w:rFonts w:hint="eastAsia" w:ascii="黑体" w:eastAsia="黑体"/>
          <w:sz w:val="21"/>
        </w:rPr>
      </w:pPr>
      <w:r>
        <w:rPr>
          <w:rFonts w:hint="eastAsia" w:ascii="黑体" w:eastAsia="黑体"/>
          <w:sz w:val="21"/>
        </w:rPr>
        <w:t>安全文明施工</w:t>
      </w:r>
    </w:p>
    <w:p>
      <w:pPr>
        <w:pStyle w:val="9"/>
        <w:spacing w:before="2"/>
        <w:rPr>
          <w:rFonts w:ascii="黑体"/>
          <w:sz w:val="20"/>
        </w:rPr>
      </w:pPr>
    </w:p>
    <w:p>
      <w:pPr>
        <w:pStyle w:val="13"/>
        <w:numPr>
          <w:ilvl w:val="2"/>
          <w:numId w:val="34"/>
        </w:numPr>
        <w:tabs>
          <w:tab w:val="left" w:pos="1624"/>
        </w:tabs>
        <w:spacing w:before="0" w:after="0" w:line="240" w:lineRule="auto"/>
        <w:ind w:left="1624" w:right="0" w:hanging="473"/>
        <w:jc w:val="left"/>
        <w:rPr>
          <w:rFonts w:ascii="Times New Roman" w:eastAsia="Times New Roman"/>
          <w:sz w:val="21"/>
        </w:rPr>
      </w:pPr>
      <w:r>
        <w:rPr>
          <w:rFonts w:hint="eastAsia" w:ascii="仿宋" w:eastAsia="仿宋"/>
          <w:sz w:val="21"/>
        </w:rPr>
        <w:t>项目安全生产的达标目标及相应事项的约定：</w:t>
      </w:r>
      <w:r>
        <w:rPr>
          <w:rFonts w:hint="eastAsia" w:ascii="仿宋" w:eastAsia="仿宋"/>
          <w:sz w:val="21"/>
          <w:u w:val="single"/>
        </w:rPr>
        <w:t>无重大伤害及死亡事故</w:t>
      </w:r>
      <w:r>
        <w:rPr>
          <w:rFonts w:hint="eastAsia" w:ascii="仿宋" w:eastAsia="仿宋"/>
          <w:sz w:val="21"/>
        </w:rPr>
        <w:t>。</w:t>
      </w:r>
    </w:p>
    <w:p>
      <w:pPr>
        <w:pStyle w:val="13"/>
        <w:numPr>
          <w:ilvl w:val="2"/>
          <w:numId w:val="47"/>
        </w:numPr>
        <w:tabs>
          <w:tab w:val="left" w:pos="1677"/>
        </w:tabs>
        <w:spacing w:before="139" w:after="0" w:line="240" w:lineRule="auto"/>
        <w:ind w:left="1676" w:right="0" w:hanging="526"/>
        <w:jc w:val="left"/>
        <w:rPr>
          <w:rFonts w:hint="eastAsia" w:ascii="仿宋" w:eastAsia="仿宋"/>
          <w:sz w:val="21"/>
        </w:rPr>
      </w:pPr>
      <w:r>
        <w:rPr>
          <w:rFonts w:hint="eastAsia" w:ascii="仿宋" w:eastAsia="仿宋"/>
          <w:sz w:val="21"/>
        </w:rPr>
        <w:t>关于治安保卫的特别约定：</w:t>
      </w:r>
      <w:r>
        <w:rPr>
          <w:rFonts w:hint="eastAsia" w:ascii="仿宋" w:eastAsia="仿宋"/>
          <w:sz w:val="21"/>
          <w:u w:val="single"/>
        </w:rPr>
        <w:t>执行通用条款</w:t>
      </w:r>
      <w:r>
        <w:rPr>
          <w:rFonts w:hint="eastAsia" w:ascii="仿宋" w:eastAsia="仿宋"/>
          <w:sz w:val="21"/>
        </w:rPr>
        <w:t>。</w:t>
      </w:r>
    </w:p>
    <w:p>
      <w:pPr>
        <w:spacing w:before="139"/>
        <w:ind w:left="1151" w:right="0" w:firstLine="0"/>
        <w:jc w:val="left"/>
        <w:rPr>
          <w:rFonts w:hint="eastAsia" w:ascii="仿宋" w:eastAsia="仿宋"/>
          <w:sz w:val="21"/>
        </w:rPr>
      </w:pPr>
      <w:r>
        <w:rPr>
          <w:rFonts w:hint="eastAsia" w:ascii="仿宋" w:eastAsia="仿宋"/>
          <w:sz w:val="21"/>
        </w:rPr>
        <w:t>关于编制施工场地治安管理计划的约定：</w:t>
      </w:r>
      <w:r>
        <w:rPr>
          <w:rFonts w:hint="eastAsia" w:ascii="仿宋" w:eastAsia="仿宋"/>
          <w:sz w:val="21"/>
          <w:u w:val="single"/>
        </w:rPr>
        <w:t>执行通用条款</w:t>
      </w:r>
      <w:r>
        <w:rPr>
          <w:rFonts w:hint="eastAsia" w:ascii="仿宋" w:eastAsia="仿宋"/>
          <w:sz w:val="21"/>
        </w:rPr>
        <w:t>。</w:t>
      </w:r>
    </w:p>
    <w:p>
      <w:pPr>
        <w:pStyle w:val="13"/>
        <w:numPr>
          <w:ilvl w:val="2"/>
          <w:numId w:val="47"/>
        </w:numPr>
        <w:tabs>
          <w:tab w:val="left" w:pos="1677"/>
        </w:tabs>
        <w:spacing w:before="142" w:after="0" w:line="240" w:lineRule="auto"/>
        <w:ind w:left="1676" w:right="0" w:hanging="526"/>
        <w:jc w:val="left"/>
        <w:rPr>
          <w:rFonts w:hint="eastAsia" w:ascii="仿宋" w:eastAsia="仿宋"/>
          <w:sz w:val="21"/>
        </w:rPr>
      </w:pPr>
      <w:r>
        <w:rPr>
          <w:rFonts w:hint="eastAsia" w:ascii="仿宋" w:eastAsia="仿宋"/>
          <w:sz w:val="21"/>
        </w:rPr>
        <w:t>文明施工</w:t>
      </w:r>
    </w:p>
    <w:p>
      <w:pPr>
        <w:spacing w:before="138" w:line="364" w:lineRule="auto"/>
        <w:ind w:left="731" w:right="895" w:firstLine="525"/>
        <w:jc w:val="left"/>
        <w:rPr>
          <w:rFonts w:hint="eastAsia" w:ascii="仿宋" w:eastAsia="仿宋"/>
          <w:sz w:val="21"/>
        </w:rPr>
      </w:pPr>
      <w:r>
        <w:rPr>
          <w:rFonts w:hint="eastAsia" w:ascii="仿宋" w:eastAsia="仿宋"/>
          <w:spacing w:val="-6"/>
          <w:w w:val="95"/>
          <w:sz w:val="21"/>
        </w:rPr>
        <w:t xml:space="preserve">合同当事人对文明施工的要求：在实施和完成本工程及其缺陷修复的整个过程中，除遵守招   </w:t>
      </w:r>
      <w:r>
        <w:rPr>
          <w:rFonts w:hint="eastAsia" w:ascii="仿宋" w:eastAsia="仿宋"/>
          <w:spacing w:val="-6"/>
          <w:sz w:val="21"/>
        </w:rPr>
        <w:t>标文件投标须知、通用条款的有关规定外，承包人还应该：</w:t>
      </w:r>
    </w:p>
    <w:p>
      <w:pPr>
        <w:pStyle w:val="13"/>
        <w:numPr>
          <w:ilvl w:val="0"/>
          <w:numId w:val="48"/>
        </w:numPr>
        <w:tabs>
          <w:tab w:val="left" w:pos="1467"/>
        </w:tabs>
        <w:spacing w:before="0" w:after="0" w:line="367" w:lineRule="auto"/>
        <w:ind w:left="731" w:right="892" w:firstLine="208"/>
        <w:jc w:val="left"/>
        <w:rPr>
          <w:rFonts w:hint="eastAsia" w:ascii="仿宋" w:eastAsia="仿宋"/>
          <w:sz w:val="21"/>
        </w:rPr>
      </w:pPr>
      <w:r>
        <w:rPr>
          <w:rFonts w:hint="eastAsia" w:ascii="仿宋" w:eastAsia="仿宋"/>
          <w:spacing w:val="-4"/>
          <w:sz w:val="21"/>
        </w:rPr>
        <w:t>充分关注和保障所有在现场工作的人员的安全，采取有效措施，使现场和本合同工程的实施保持有条不紊，以免使上述人员的安全受到威胁：</w:t>
      </w:r>
    </w:p>
    <w:p>
      <w:pPr>
        <w:spacing w:before="0" w:line="264" w:lineRule="exact"/>
        <w:ind w:left="731" w:right="0" w:firstLine="0"/>
        <w:jc w:val="left"/>
        <w:rPr>
          <w:rFonts w:hint="eastAsia" w:ascii="仿宋" w:hAnsi="仿宋" w:eastAsia="仿宋"/>
          <w:sz w:val="21"/>
        </w:rPr>
      </w:pPr>
      <w:r>
        <w:rPr>
          <w:rFonts w:hint="eastAsia" w:ascii="仿宋" w:hAnsi="仿宋" w:eastAsia="仿宋"/>
          <w:sz w:val="21"/>
        </w:rPr>
        <w:t>①按上海市相关规定配备专职安全员；</w:t>
      </w:r>
    </w:p>
    <w:p>
      <w:pPr>
        <w:spacing w:before="137" w:line="364" w:lineRule="auto"/>
        <w:ind w:left="731" w:right="895" w:firstLine="0"/>
        <w:jc w:val="left"/>
        <w:rPr>
          <w:rFonts w:hint="eastAsia" w:ascii="仿宋" w:hAnsi="仿宋" w:eastAsia="仿宋"/>
          <w:sz w:val="21"/>
        </w:rPr>
      </w:pPr>
      <w:r>
        <w:rPr>
          <w:rFonts w:hint="eastAsia" w:ascii="仿宋" w:hAnsi="仿宋" w:eastAsia="仿宋"/>
          <w:w w:val="95"/>
          <w:sz w:val="21"/>
        </w:rPr>
        <w:t xml:space="preserve">②特殊工种（电工、电梯工、起重工、电焊工、车船驾驶员、爆破工、潜水工、瓦斯检验员等）   </w:t>
      </w:r>
      <w:r>
        <w:rPr>
          <w:rFonts w:hint="eastAsia" w:ascii="仿宋" w:hAnsi="仿宋" w:eastAsia="仿宋"/>
          <w:sz w:val="21"/>
        </w:rPr>
        <w:t>要经过专业培训，并持有专业主管部门签发的合格证上岗；</w:t>
      </w:r>
    </w:p>
    <w:p>
      <w:pPr>
        <w:spacing w:before="0" w:line="364" w:lineRule="auto"/>
        <w:ind w:left="731" w:right="895" w:firstLine="0"/>
        <w:jc w:val="left"/>
        <w:rPr>
          <w:rFonts w:hint="eastAsia" w:ascii="仿宋" w:hAnsi="仿宋" w:eastAsia="仿宋"/>
          <w:sz w:val="21"/>
        </w:rPr>
      </w:pPr>
      <w:r>
        <w:rPr>
          <w:rFonts w:hint="eastAsia" w:ascii="仿宋" w:hAnsi="仿宋" w:eastAsia="仿宋"/>
          <w:w w:val="95"/>
          <w:sz w:val="21"/>
        </w:rPr>
        <w:t xml:space="preserve">③对于易燃易爆的材料除应专门妥善保管之外，还应配备有足够的消防设备，所有施工人员都应   </w:t>
      </w:r>
      <w:r>
        <w:rPr>
          <w:rFonts w:hint="eastAsia" w:ascii="仿宋" w:hAnsi="仿宋" w:eastAsia="仿宋"/>
          <w:sz w:val="21"/>
        </w:rPr>
        <w:t>熟悉消防设备的性能和使用方法。</w:t>
      </w:r>
    </w:p>
    <w:p>
      <w:pPr>
        <w:spacing w:before="0"/>
        <w:ind w:left="731" w:right="0" w:firstLine="0"/>
        <w:jc w:val="left"/>
        <w:rPr>
          <w:rFonts w:hint="eastAsia" w:ascii="仿宋" w:hAnsi="仿宋" w:eastAsia="仿宋"/>
          <w:sz w:val="21"/>
        </w:rPr>
      </w:pPr>
      <w:r>
        <w:rPr>
          <w:rFonts w:hint="eastAsia" w:ascii="仿宋" w:hAnsi="仿宋" w:eastAsia="仿宋"/>
          <w:sz w:val="21"/>
        </w:rPr>
        <w:t>④所有施工机具设备和高空作业设备均应定期检查，并有安全员的签字纪录；</w:t>
      </w:r>
    </w:p>
    <w:p>
      <w:pPr>
        <w:spacing w:before="138"/>
        <w:ind w:left="731" w:right="0" w:firstLine="0"/>
        <w:jc w:val="left"/>
        <w:rPr>
          <w:rFonts w:hint="eastAsia" w:ascii="仿宋" w:hAnsi="仿宋" w:eastAsia="仿宋"/>
          <w:sz w:val="21"/>
        </w:rPr>
      </w:pPr>
      <w:r>
        <w:rPr>
          <w:rFonts w:hint="eastAsia" w:ascii="仿宋" w:hAnsi="仿宋" w:eastAsia="仿宋"/>
          <w:sz w:val="21"/>
        </w:rPr>
        <w:t>⑤根据本合同各单位工程的施工特点，严格执行相关施工安全技术文件的规定。</w:t>
      </w:r>
    </w:p>
    <w:p>
      <w:pPr>
        <w:pStyle w:val="13"/>
        <w:numPr>
          <w:ilvl w:val="0"/>
          <w:numId w:val="48"/>
        </w:numPr>
        <w:tabs>
          <w:tab w:val="left" w:pos="1467"/>
        </w:tabs>
        <w:spacing w:before="139" w:after="0" w:line="364" w:lineRule="auto"/>
        <w:ind w:left="731" w:right="895" w:firstLine="208"/>
        <w:jc w:val="both"/>
        <w:rPr>
          <w:rFonts w:hint="eastAsia" w:ascii="仿宋" w:eastAsia="仿宋"/>
          <w:sz w:val="21"/>
        </w:rPr>
      </w:pPr>
      <w:r>
        <w:rPr>
          <w:rFonts w:hint="eastAsia" w:ascii="仿宋" w:eastAsia="仿宋"/>
          <w:spacing w:val="-4"/>
          <w:sz w:val="21"/>
        </w:rPr>
        <w:t>为了保护本合同工程免遭损坏，或为了现场附近和过往群众的安全与方便，在确有必要</w:t>
      </w:r>
      <w:r>
        <w:rPr>
          <w:rFonts w:hint="eastAsia" w:ascii="仿宋" w:eastAsia="仿宋"/>
          <w:spacing w:val="-4"/>
          <w:w w:val="95"/>
          <w:sz w:val="21"/>
        </w:rPr>
        <w:t xml:space="preserve">的时候和地方，或当监理工程师或有关主管部门要求时，承包人应自费提供照明、警卫、护栅、   </w:t>
      </w:r>
      <w:r>
        <w:rPr>
          <w:rFonts w:hint="eastAsia" w:ascii="仿宋" w:eastAsia="仿宋"/>
          <w:spacing w:val="-4"/>
          <w:sz w:val="21"/>
        </w:rPr>
        <w:t>警告标志等安全防护设施。</w:t>
      </w:r>
    </w:p>
    <w:p>
      <w:pPr>
        <w:pStyle w:val="13"/>
        <w:numPr>
          <w:ilvl w:val="0"/>
          <w:numId w:val="48"/>
        </w:numPr>
        <w:tabs>
          <w:tab w:val="left" w:pos="1467"/>
        </w:tabs>
        <w:spacing w:before="0" w:after="0" w:line="364" w:lineRule="auto"/>
        <w:ind w:left="731" w:right="895" w:firstLine="208"/>
        <w:jc w:val="left"/>
        <w:rPr>
          <w:rFonts w:hint="eastAsia" w:ascii="仿宋" w:eastAsia="仿宋"/>
          <w:sz w:val="21"/>
        </w:rPr>
      </w:pPr>
      <w:r>
        <w:rPr>
          <w:rFonts w:hint="eastAsia" w:ascii="仿宋" w:eastAsia="仿宋"/>
          <w:spacing w:val="-5"/>
          <w:sz w:val="21"/>
        </w:rPr>
        <w:t>本合同发包人的施工安全责任约定为：监督承包人安全工作的实施，组织承包人和有关单位进行安全检查。</w:t>
      </w:r>
    </w:p>
    <w:p>
      <w:pPr>
        <w:spacing w:before="0" w:line="364" w:lineRule="auto"/>
        <w:ind w:left="731" w:right="895" w:firstLine="420"/>
        <w:jc w:val="both"/>
        <w:rPr>
          <w:rFonts w:hint="eastAsia" w:ascii="仿宋" w:eastAsia="仿宋"/>
          <w:sz w:val="21"/>
        </w:rPr>
      </w:pPr>
      <w:r>
        <w:rPr>
          <w:rFonts w:hint="eastAsia" w:ascii="仿宋" w:eastAsia="仿宋"/>
          <w:w w:val="95"/>
          <w:sz w:val="21"/>
        </w:rPr>
        <w:t xml:space="preserve">本合同承包人的施工安全责任约定为：承包人应按国家现行有关安全生产法律、法规、标准   组织施工，加强安全防护措施，杜绝安全事故的发生，按要求做好安全文明施工。施工中出现安   </w:t>
      </w:r>
      <w:r>
        <w:rPr>
          <w:rFonts w:hint="eastAsia" w:ascii="仿宋" w:eastAsia="仿宋"/>
          <w:sz w:val="21"/>
        </w:rPr>
        <w:t>全事故的责任和因此发生的费用以及因不文明施工产生的整改费用，由承包人承担。</w:t>
      </w:r>
    </w:p>
    <w:p>
      <w:pPr>
        <w:spacing w:before="0" w:line="269" w:lineRule="exact"/>
        <w:ind w:left="1151" w:right="0" w:firstLine="0"/>
        <w:jc w:val="left"/>
        <w:rPr>
          <w:rFonts w:hint="eastAsia" w:ascii="仿宋" w:eastAsia="仿宋"/>
          <w:sz w:val="21"/>
        </w:rPr>
      </w:pPr>
      <w:r>
        <w:rPr>
          <w:rFonts w:hint="eastAsia" w:ascii="仿宋" w:eastAsia="仿宋"/>
          <w:sz w:val="21"/>
        </w:rPr>
        <w:t>承包人报送施工安全措施计划的约定为：和施工组织设计一起报送。</w:t>
      </w:r>
    </w:p>
    <w:p>
      <w:pPr>
        <w:spacing w:after="0" w:line="269" w:lineRule="exact"/>
        <w:jc w:val="left"/>
        <w:rPr>
          <w:rFonts w:hint="eastAsia" w:ascii="仿宋" w:eastAsia="仿宋"/>
          <w:sz w:val="21"/>
        </w:rPr>
        <w:sectPr>
          <w:pgSz w:w="11910" w:h="16840"/>
          <w:pgMar w:top="1100" w:right="660" w:bottom="1200" w:left="800" w:header="878" w:footer="1003" w:gutter="0"/>
          <w:cols w:space="720" w:num="1"/>
        </w:sectPr>
      </w:pPr>
    </w:p>
    <w:p>
      <w:pPr>
        <w:pStyle w:val="9"/>
        <w:spacing w:before="5"/>
        <w:rPr>
          <w:rFonts w:ascii="仿宋"/>
          <w:sz w:val="17"/>
        </w:rPr>
      </w:pPr>
    </w:p>
    <w:p>
      <w:pPr>
        <w:pStyle w:val="13"/>
        <w:numPr>
          <w:ilvl w:val="0"/>
          <w:numId w:val="48"/>
        </w:numPr>
        <w:tabs>
          <w:tab w:val="left" w:pos="1467"/>
        </w:tabs>
        <w:spacing w:before="77" w:after="0" w:line="364" w:lineRule="auto"/>
        <w:ind w:left="731" w:right="895" w:firstLine="208"/>
        <w:jc w:val="left"/>
        <w:rPr>
          <w:rFonts w:hint="eastAsia" w:ascii="仿宋" w:eastAsia="仿宋"/>
          <w:sz w:val="21"/>
        </w:rPr>
      </w:pPr>
      <w:r>
        <w:rPr>
          <w:rFonts w:hint="eastAsia" w:ascii="仿宋" w:eastAsia="仿宋"/>
          <w:spacing w:val="-4"/>
          <w:sz w:val="21"/>
        </w:rPr>
        <w:t>承包人应建立安全防护和文明施工制度，严格按照《上海市建设工程施工文明标准》和安全防护和文明施工的相关规定组织施工，并做好下列工作：</w:t>
      </w:r>
    </w:p>
    <w:p>
      <w:pPr>
        <w:spacing w:before="0" w:line="364" w:lineRule="auto"/>
        <w:ind w:left="731" w:right="895" w:firstLine="0"/>
        <w:jc w:val="left"/>
        <w:rPr>
          <w:rFonts w:hint="eastAsia" w:ascii="仿宋" w:hAnsi="仿宋" w:eastAsia="仿宋"/>
          <w:sz w:val="21"/>
        </w:rPr>
      </w:pPr>
      <w:r>
        <w:rPr>
          <w:rFonts w:hint="eastAsia" w:ascii="仿宋" w:hAnsi="仿宋" w:eastAsia="仿宋"/>
          <w:w w:val="95"/>
          <w:sz w:val="21"/>
        </w:rPr>
        <w:t xml:space="preserve">①在施工出入口处、施工起重机械、临时用电设施、出入通道口、基坑边沿、爆破物及有害危险   </w:t>
      </w:r>
      <w:r>
        <w:rPr>
          <w:rFonts w:hint="eastAsia" w:ascii="仿宋" w:hAnsi="仿宋" w:eastAsia="仿宋"/>
          <w:sz w:val="21"/>
        </w:rPr>
        <w:t>气体和液体存放处等危险部位，设置明显的安全警示标志；</w:t>
      </w:r>
    </w:p>
    <w:p>
      <w:pPr>
        <w:spacing w:before="0" w:line="267" w:lineRule="exact"/>
        <w:ind w:left="731" w:right="0" w:firstLine="0"/>
        <w:jc w:val="left"/>
        <w:rPr>
          <w:rFonts w:hint="eastAsia" w:ascii="仿宋" w:hAnsi="仿宋" w:eastAsia="仿宋"/>
          <w:sz w:val="21"/>
        </w:rPr>
      </w:pPr>
      <w:r>
        <w:rPr>
          <w:rFonts w:hint="eastAsia" w:ascii="仿宋" w:hAnsi="仿宋" w:eastAsia="仿宋"/>
          <w:sz w:val="21"/>
        </w:rPr>
        <w:t>②保持现场道路畅通、排水及排水设施通畅，作必要的现场地面硬化处理和设置必要的绿化带。</w:t>
      </w:r>
    </w:p>
    <w:p>
      <w:pPr>
        <w:spacing w:before="139" w:line="367" w:lineRule="auto"/>
        <w:ind w:left="731" w:right="895" w:firstLine="0"/>
        <w:jc w:val="left"/>
        <w:rPr>
          <w:rFonts w:hint="eastAsia" w:ascii="仿宋" w:hAnsi="仿宋" w:eastAsia="仿宋"/>
          <w:sz w:val="21"/>
        </w:rPr>
      </w:pPr>
      <w:r>
        <w:rPr>
          <w:rFonts w:hint="eastAsia" w:ascii="仿宋" w:hAnsi="仿宋" w:eastAsia="仿宋"/>
          <w:w w:val="95"/>
          <w:sz w:val="21"/>
        </w:rPr>
        <w:t xml:space="preserve">③妥善存放和处理材料设备和施工机械，水泥和其他易飞扬细颗粒的建筑材料应密闭存放或采取   </w:t>
      </w:r>
      <w:r>
        <w:rPr>
          <w:rFonts w:hint="eastAsia" w:ascii="仿宋" w:hAnsi="仿宋" w:eastAsia="仿宋"/>
          <w:sz w:val="21"/>
        </w:rPr>
        <w:t>覆盖等措施，易燃易爆和有毒有害气体应分类存放。</w:t>
      </w:r>
    </w:p>
    <w:p>
      <w:pPr>
        <w:spacing w:before="0" w:line="264" w:lineRule="exact"/>
        <w:ind w:left="731" w:right="0" w:firstLine="0"/>
        <w:jc w:val="left"/>
        <w:rPr>
          <w:rFonts w:hint="eastAsia" w:ascii="仿宋" w:hAnsi="仿宋" w:eastAsia="仿宋"/>
          <w:sz w:val="21"/>
        </w:rPr>
      </w:pPr>
      <w:r>
        <w:rPr>
          <w:rFonts w:hint="eastAsia" w:ascii="仿宋" w:hAnsi="仿宋" w:eastAsia="仿宋"/>
          <w:sz w:val="21"/>
        </w:rPr>
        <w:t>④现场设置消防通道、配置消防设施和灭火器材，保证施工现场安全。</w:t>
      </w:r>
    </w:p>
    <w:p>
      <w:pPr>
        <w:spacing w:before="139"/>
        <w:ind w:left="731" w:right="0" w:firstLine="0"/>
        <w:jc w:val="left"/>
        <w:rPr>
          <w:rFonts w:hint="eastAsia" w:ascii="仿宋" w:hAnsi="仿宋" w:eastAsia="仿宋"/>
          <w:sz w:val="21"/>
        </w:rPr>
      </w:pPr>
      <w:r>
        <w:rPr>
          <w:rFonts w:hint="eastAsia" w:ascii="仿宋" w:hAnsi="仿宋" w:eastAsia="仿宋"/>
          <w:sz w:val="21"/>
        </w:rPr>
        <w:t>⑤现场设置封闭式垃圾站，施工垃圾、生活垃圾应分类存放，并及时从现场清运。</w:t>
      </w:r>
    </w:p>
    <w:p>
      <w:pPr>
        <w:spacing w:before="139" w:line="364" w:lineRule="auto"/>
        <w:ind w:left="731" w:right="895" w:firstLine="0"/>
        <w:jc w:val="both"/>
        <w:rPr>
          <w:rFonts w:hint="eastAsia" w:ascii="仿宋" w:eastAsia="仿宋"/>
          <w:sz w:val="21"/>
        </w:rPr>
      </w:pPr>
      <w:r>
        <w:rPr>
          <w:rFonts w:hint="eastAsia" w:ascii="仿宋" w:eastAsia="仿宋"/>
          <w:w w:val="95"/>
          <w:sz w:val="21"/>
        </w:rPr>
        <w:t xml:space="preserve">安全生产费用的使用管理：安全生产费用包含在投标报价中，安全生产费用应专款专用，实行专   户核算。承包人应根据安全施工防护、文明施工措施费用表和施工组织设计所确定的安全防护、   </w:t>
      </w:r>
      <w:r>
        <w:rPr>
          <w:rFonts w:hint="eastAsia" w:ascii="仿宋" w:eastAsia="仿宋"/>
          <w:sz w:val="21"/>
        </w:rPr>
        <w:t>文明施工措施等项目总费用使用计划落实费用使用情况。实行总价闭口包干。</w:t>
      </w:r>
    </w:p>
    <w:p>
      <w:pPr>
        <w:spacing w:before="0" w:line="364" w:lineRule="auto"/>
        <w:ind w:left="731" w:right="895" w:firstLine="420"/>
        <w:jc w:val="left"/>
        <w:rPr>
          <w:rFonts w:hint="eastAsia" w:ascii="仿宋" w:eastAsia="仿宋"/>
          <w:sz w:val="21"/>
        </w:rPr>
      </w:pPr>
      <w:r>
        <w:rPr>
          <w:rFonts w:hint="eastAsia" w:ascii="仿宋" w:eastAsia="仿宋"/>
          <w:w w:val="95"/>
          <w:sz w:val="21"/>
        </w:rPr>
        <w:t xml:space="preserve">本合同发包人应履行的合同工程治安保卫责任约定为：协助承包方联系当地治安管理部门，   </w:t>
      </w:r>
      <w:r>
        <w:rPr>
          <w:rFonts w:hint="eastAsia" w:ascii="仿宋" w:eastAsia="仿宋"/>
          <w:sz w:val="21"/>
        </w:rPr>
        <w:t>督促承包方搞好治安保卫工作。</w:t>
      </w:r>
    </w:p>
    <w:p>
      <w:pPr>
        <w:pStyle w:val="13"/>
        <w:numPr>
          <w:ilvl w:val="2"/>
          <w:numId w:val="47"/>
        </w:numPr>
        <w:tabs>
          <w:tab w:val="left" w:pos="1677"/>
        </w:tabs>
        <w:spacing w:before="0" w:after="0" w:line="267" w:lineRule="exact"/>
        <w:ind w:left="1676" w:right="0" w:hanging="526"/>
        <w:jc w:val="left"/>
        <w:rPr>
          <w:rFonts w:hint="eastAsia" w:ascii="仿宋" w:eastAsia="仿宋"/>
          <w:sz w:val="21"/>
        </w:rPr>
      </w:pPr>
      <w:r>
        <w:rPr>
          <w:rFonts w:hint="eastAsia" w:ascii="仿宋" w:eastAsia="仿宋"/>
          <w:sz w:val="21"/>
        </w:rPr>
        <w:t>关于安全文明施工费支付比例和支付期限的约定：</w:t>
      </w:r>
      <w:r>
        <w:rPr>
          <w:rFonts w:hint="eastAsia" w:ascii="仿宋" w:eastAsia="仿宋"/>
          <w:sz w:val="21"/>
          <w:u w:val="single"/>
        </w:rPr>
        <w:t>按青岛市相关文件规定</w:t>
      </w:r>
      <w:r>
        <w:rPr>
          <w:rFonts w:hint="eastAsia" w:ascii="仿宋" w:eastAsia="仿宋"/>
          <w:sz w:val="21"/>
        </w:rPr>
        <w:t>。</w:t>
      </w:r>
    </w:p>
    <w:p>
      <w:pPr>
        <w:pStyle w:val="9"/>
        <w:spacing w:before="2"/>
        <w:rPr>
          <w:rFonts w:ascii="仿宋"/>
          <w:sz w:val="20"/>
        </w:rPr>
      </w:pPr>
    </w:p>
    <w:p>
      <w:pPr>
        <w:pStyle w:val="13"/>
        <w:numPr>
          <w:ilvl w:val="0"/>
          <w:numId w:val="34"/>
        </w:numPr>
        <w:tabs>
          <w:tab w:val="left" w:pos="993"/>
        </w:tabs>
        <w:spacing w:before="0" w:after="0" w:line="240" w:lineRule="auto"/>
        <w:ind w:left="992" w:right="0" w:hanging="262"/>
        <w:jc w:val="left"/>
        <w:rPr>
          <w:rFonts w:hint="eastAsia" w:ascii="黑体" w:eastAsia="黑体"/>
          <w:sz w:val="21"/>
        </w:rPr>
      </w:pPr>
      <w:bookmarkStart w:id="63" w:name="7. 工期和进度"/>
      <w:bookmarkEnd w:id="63"/>
      <w:r>
        <w:rPr>
          <w:rFonts w:hint="eastAsia" w:ascii="黑体" w:eastAsia="黑体"/>
          <w:sz w:val="21"/>
        </w:rPr>
        <w:t>工期和进度</w:t>
      </w:r>
    </w:p>
    <w:p>
      <w:pPr>
        <w:pStyle w:val="9"/>
        <w:spacing w:before="5"/>
        <w:rPr>
          <w:rFonts w:ascii="黑体"/>
          <w:sz w:val="20"/>
        </w:rPr>
      </w:pPr>
    </w:p>
    <w:p>
      <w:pPr>
        <w:pStyle w:val="13"/>
        <w:numPr>
          <w:ilvl w:val="1"/>
          <w:numId w:val="34"/>
        </w:numPr>
        <w:tabs>
          <w:tab w:val="left" w:pos="1519"/>
        </w:tabs>
        <w:spacing w:before="0" w:after="0" w:line="240" w:lineRule="auto"/>
        <w:ind w:left="1518" w:right="0" w:hanging="368"/>
        <w:jc w:val="left"/>
        <w:rPr>
          <w:rFonts w:hint="eastAsia" w:ascii="黑体" w:eastAsia="黑体"/>
          <w:sz w:val="21"/>
        </w:rPr>
      </w:pPr>
      <w:r>
        <w:rPr>
          <w:rFonts w:hint="eastAsia" w:ascii="黑体" w:eastAsia="黑体"/>
          <w:sz w:val="21"/>
        </w:rPr>
        <w:t>施工组织设计</w:t>
      </w:r>
    </w:p>
    <w:p>
      <w:pPr>
        <w:pStyle w:val="9"/>
        <w:spacing w:before="3"/>
        <w:rPr>
          <w:rFonts w:ascii="黑体"/>
          <w:sz w:val="20"/>
        </w:rPr>
      </w:pPr>
    </w:p>
    <w:p>
      <w:pPr>
        <w:pStyle w:val="13"/>
        <w:numPr>
          <w:ilvl w:val="2"/>
          <w:numId w:val="34"/>
        </w:numPr>
        <w:tabs>
          <w:tab w:val="left" w:pos="1677"/>
        </w:tabs>
        <w:spacing w:before="0" w:after="0" w:line="364" w:lineRule="auto"/>
        <w:ind w:left="731" w:right="892" w:firstLine="420"/>
        <w:jc w:val="left"/>
        <w:rPr>
          <w:rFonts w:ascii="Times New Roman" w:eastAsia="Times New Roman"/>
          <w:sz w:val="21"/>
        </w:rPr>
      </w:pPr>
      <w:r>
        <w:rPr>
          <w:rFonts w:hint="eastAsia" w:ascii="仿宋" w:eastAsia="仿宋"/>
          <w:spacing w:val="-2"/>
          <w:w w:val="95"/>
          <w:sz w:val="21"/>
        </w:rPr>
        <w:t>合同当事人约定的施工组织设计应包括的其他内容：</w:t>
      </w:r>
      <w:r>
        <w:rPr>
          <w:rFonts w:hint="eastAsia" w:ascii="仿宋" w:eastAsia="仿宋"/>
          <w:spacing w:val="-5"/>
          <w:w w:val="95"/>
          <w:sz w:val="21"/>
          <w:u w:val="single"/>
        </w:rPr>
        <w:t>按招标文件</w:t>
      </w:r>
      <w:r>
        <w:rPr>
          <w:rFonts w:hint="eastAsia" w:ascii="仿宋" w:eastAsia="仿宋"/>
          <w:w w:val="95"/>
          <w:sz w:val="21"/>
          <w:u w:val="single"/>
        </w:rPr>
        <w:t>（投标文件</w:t>
      </w:r>
      <w:r>
        <w:rPr>
          <w:rFonts w:hint="eastAsia" w:ascii="仿宋" w:eastAsia="仿宋"/>
          <w:spacing w:val="-25"/>
          <w:w w:val="95"/>
          <w:sz w:val="21"/>
          <w:u w:val="single"/>
        </w:rPr>
        <w:t>）</w:t>
      </w:r>
      <w:r>
        <w:rPr>
          <w:rFonts w:hint="eastAsia" w:ascii="仿宋" w:eastAsia="仿宋"/>
          <w:spacing w:val="-7"/>
          <w:w w:val="95"/>
          <w:sz w:val="21"/>
          <w:u w:val="single"/>
        </w:rPr>
        <w:t xml:space="preserve">约定，招  </w:t>
      </w:r>
      <w:r>
        <w:rPr>
          <w:rFonts w:hint="eastAsia" w:ascii="仿宋" w:eastAsia="仿宋"/>
          <w:spacing w:val="-7"/>
          <w:sz w:val="21"/>
          <w:u w:val="single"/>
        </w:rPr>
        <w:t>标文件（投标文件）无约定的按通用条款或双方另行约定。</w:t>
      </w:r>
    </w:p>
    <w:p>
      <w:pPr>
        <w:pStyle w:val="13"/>
        <w:numPr>
          <w:ilvl w:val="2"/>
          <w:numId w:val="34"/>
        </w:numPr>
        <w:tabs>
          <w:tab w:val="left" w:pos="1574"/>
        </w:tabs>
        <w:spacing w:before="0" w:after="0" w:line="267" w:lineRule="exact"/>
        <w:ind w:left="1573" w:right="0" w:hanging="423"/>
        <w:jc w:val="left"/>
        <w:rPr>
          <w:rFonts w:ascii="Times New Roman" w:eastAsia="Times New Roman"/>
          <w:sz w:val="19"/>
        </w:rPr>
      </w:pPr>
      <w:r>
        <w:rPr>
          <w:rFonts w:hint="eastAsia" w:ascii="仿宋" w:eastAsia="仿宋"/>
          <w:sz w:val="21"/>
        </w:rPr>
        <w:t>施工组织设计的提交和修改</w:t>
      </w:r>
    </w:p>
    <w:p>
      <w:pPr>
        <w:spacing w:before="139" w:line="364" w:lineRule="auto"/>
        <w:ind w:left="731" w:right="895" w:firstLine="420"/>
        <w:jc w:val="left"/>
        <w:rPr>
          <w:rFonts w:hint="eastAsia" w:ascii="仿宋" w:eastAsia="仿宋"/>
          <w:sz w:val="21"/>
        </w:rPr>
      </w:pPr>
      <w:r>
        <w:rPr>
          <w:rFonts w:hint="eastAsia" w:ascii="仿宋" w:eastAsia="仿宋"/>
          <w:spacing w:val="-3"/>
          <w:w w:val="95"/>
          <w:sz w:val="21"/>
        </w:rPr>
        <w:t>承包人提交详细施工组织设计的期限的约定：</w:t>
      </w:r>
      <w:r>
        <w:rPr>
          <w:rFonts w:hint="eastAsia" w:ascii="仿宋" w:eastAsia="仿宋"/>
          <w:w w:val="95"/>
          <w:sz w:val="21"/>
          <w:u w:val="single"/>
        </w:rPr>
        <w:t>承包人应在收到施工图后</w:t>
      </w:r>
      <w:r>
        <w:rPr>
          <w:rFonts w:ascii="Times New Roman" w:eastAsia="Times New Roman"/>
          <w:w w:val="95"/>
          <w:sz w:val="21"/>
          <w:u w:val="single"/>
        </w:rPr>
        <w:t>7</w:t>
      </w:r>
      <w:r>
        <w:rPr>
          <w:rFonts w:hint="eastAsia" w:ascii="仿宋" w:eastAsia="仿宋"/>
          <w:spacing w:val="-25"/>
          <w:w w:val="95"/>
          <w:sz w:val="21"/>
          <w:u w:val="single"/>
        </w:rPr>
        <w:t>天内</w:t>
      </w:r>
      <w:r>
        <w:rPr>
          <w:rFonts w:hint="eastAsia" w:ascii="仿宋" w:eastAsia="仿宋"/>
          <w:w w:val="95"/>
          <w:sz w:val="21"/>
          <w:u w:val="single"/>
        </w:rPr>
        <w:t>（或按发包人要</w:t>
      </w:r>
      <w:r>
        <w:rPr>
          <w:rFonts w:hint="eastAsia" w:ascii="仿宋" w:eastAsia="仿宋"/>
          <w:spacing w:val="-206"/>
          <w:w w:val="95"/>
          <w:sz w:val="21"/>
          <w:u w:val="single"/>
        </w:rPr>
        <w:t>求</w:t>
      </w:r>
      <w:r>
        <w:rPr>
          <w:rFonts w:hint="eastAsia" w:ascii="仿宋" w:eastAsia="仿宋"/>
          <w:spacing w:val="-200"/>
          <w:w w:val="95"/>
          <w:sz w:val="21"/>
          <w:u w:val="single"/>
        </w:rPr>
        <w:t>），</w:t>
      </w:r>
      <w:r>
        <w:rPr>
          <w:rFonts w:hint="eastAsia" w:ascii="仿宋" w:eastAsia="仿宋"/>
          <w:spacing w:val="123"/>
          <w:w w:val="95"/>
          <w:sz w:val="21"/>
          <w:u w:val="single"/>
        </w:rPr>
        <w:t xml:space="preserve"> </w:t>
      </w:r>
      <w:r>
        <w:rPr>
          <w:rFonts w:hint="eastAsia" w:ascii="仿宋" w:eastAsia="仿宋"/>
          <w:sz w:val="21"/>
          <w:u w:val="single"/>
        </w:rPr>
        <w:t>提供施工组织设计（施工方案）和进度计划表</w:t>
      </w:r>
      <w:r>
        <w:rPr>
          <w:rFonts w:hint="eastAsia" w:ascii="仿宋" w:eastAsia="仿宋"/>
          <w:sz w:val="21"/>
        </w:rPr>
        <w:t>。</w:t>
      </w:r>
    </w:p>
    <w:p>
      <w:pPr>
        <w:spacing w:before="0" w:line="364" w:lineRule="auto"/>
        <w:ind w:left="731" w:right="895" w:firstLine="420"/>
        <w:jc w:val="left"/>
        <w:rPr>
          <w:rFonts w:hint="eastAsia" w:ascii="仿宋" w:eastAsia="仿宋"/>
          <w:sz w:val="21"/>
        </w:rPr>
      </w:pPr>
      <w:r>
        <w:rPr>
          <w:rFonts w:hint="eastAsia" w:ascii="仿宋" w:eastAsia="仿宋"/>
          <w:w w:val="95"/>
          <w:sz w:val="21"/>
        </w:rPr>
        <w:t>发包人和监理人在收到详细的施工组织设计后确认或提出修改意见的期限：</w:t>
      </w:r>
      <w:r>
        <w:rPr>
          <w:rFonts w:hint="eastAsia" w:ascii="仿宋" w:eastAsia="仿宋"/>
          <w:w w:val="95"/>
          <w:sz w:val="21"/>
          <w:u w:val="single"/>
        </w:rPr>
        <w:t>发包人和监理单</w:t>
      </w:r>
      <w:r>
        <w:rPr>
          <w:rFonts w:hint="eastAsia" w:ascii="仿宋" w:eastAsia="仿宋"/>
          <w:spacing w:val="-199"/>
          <w:w w:val="95"/>
          <w:sz w:val="21"/>
          <w:u w:val="single"/>
        </w:rPr>
        <w:t>位应</w:t>
      </w:r>
      <w:r>
        <w:rPr>
          <w:rFonts w:hint="eastAsia" w:ascii="仿宋" w:eastAsia="仿宋"/>
          <w:spacing w:val="114"/>
          <w:w w:val="95"/>
          <w:sz w:val="21"/>
          <w:u w:val="single"/>
        </w:rPr>
        <w:t xml:space="preserve"> </w:t>
      </w:r>
      <w:r>
        <w:rPr>
          <w:rFonts w:hint="eastAsia" w:ascii="仿宋" w:eastAsia="仿宋"/>
          <w:spacing w:val="-7"/>
          <w:sz w:val="21"/>
          <w:u w:val="single"/>
        </w:rPr>
        <w:t xml:space="preserve">在收到上述文件 </w:t>
      </w:r>
      <w:r>
        <w:rPr>
          <w:rFonts w:ascii="Times New Roman" w:eastAsia="Times New Roman"/>
          <w:sz w:val="21"/>
          <w:u w:val="single"/>
        </w:rPr>
        <w:t xml:space="preserve">10 </w:t>
      </w:r>
      <w:r>
        <w:rPr>
          <w:rFonts w:hint="eastAsia" w:ascii="仿宋" w:eastAsia="仿宋"/>
          <w:sz w:val="21"/>
          <w:u w:val="single"/>
        </w:rPr>
        <w:t>天内予以审核认可或提出修改意见</w:t>
      </w:r>
      <w:r>
        <w:rPr>
          <w:rFonts w:hint="eastAsia" w:ascii="仿宋" w:eastAsia="仿宋"/>
          <w:sz w:val="21"/>
        </w:rPr>
        <w:t>。</w:t>
      </w:r>
    </w:p>
    <w:p>
      <w:pPr>
        <w:pStyle w:val="13"/>
        <w:numPr>
          <w:ilvl w:val="1"/>
          <w:numId w:val="34"/>
        </w:numPr>
        <w:tabs>
          <w:tab w:val="left" w:pos="1519"/>
        </w:tabs>
        <w:spacing w:before="0" w:after="0" w:line="267" w:lineRule="exact"/>
        <w:ind w:left="1518" w:right="0" w:hanging="368"/>
        <w:jc w:val="left"/>
        <w:rPr>
          <w:rFonts w:hint="eastAsia" w:ascii="黑体" w:eastAsia="黑体"/>
          <w:sz w:val="21"/>
        </w:rPr>
      </w:pPr>
      <w:r>
        <w:rPr>
          <w:rFonts w:hint="eastAsia" w:ascii="黑体" w:eastAsia="黑体"/>
          <w:sz w:val="21"/>
        </w:rPr>
        <w:t>施工进度计划</w:t>
      </w:r>
    </w:p>
    <w:p>
      <w:pPr>
        <w:pStyle w:val="9"/>
        <w:spacing w:before="3"/>
        <w:rPr>
          <w:rFonts w:ascii="黑体"/>
          <w:sz w:val="20"/>
        </w:rPr>
      </w:pPr>
    </w:p>
    <w:p>
      <w:pPr>
        <w:spacing w:before="0"/>
        <w:ind w:left="1151" w:right="0" w:firstLine="0"/>
        <w:jc w:val="left"/>
        <w:rPr>
          <w:rFonts w:hint="eastAsia" w:ascii="仿宋" w:eastAsia="仿宋"/>
          <w:sz w:val="21"/>
        </w:rPr>
      </w:pPr>
      <w:r>
        <w:rPr>
          <w:rFonts w:ascii="Times New Roman" w:eastAsia="Times New Roman"/>
          <w:sz w:val="21"/>
        </w:rPr>
        <w:t>7.2.2</w:t>
      </w:r>
      <w:r>
        <w:rPr>
          <w:rFonts w:ascii="Times New Roman" w:eastAsia="Times New Roman"/>
          <w:spacing w:val="51"/>
          <w:sz w:val="21"/>
        </w:rPr>
        <w:t xml:space="preserve"> </w:t>
      </w:r>
      <w:r>
        <w:rPr>
          <w:rFonts w:hint="eastAsia" w:ascii="仿宋" w:eastAsia="仿宋"/>
          <w:sz w:val="21"/>
        </w:rPr>
        <w:t>施工进度计划的修订</w:t>
      </w:r>
    </w:p>
    <w:p>
      <w:pPr>
        <w:spacing w:before="141"/>
        <w:ind w:left="1151" w:right="0" w:firstLine="0"/>
        <w:jc w:val="left"/>
        <w:rPr>
          <w:rFonts w:hint="eastAsia" w:ascii="仿宋" w:eastAsia="仿宋"/>
          <w:sz w:val="21"/>
        </w:rPr>
      </w:pPr>
      <w:r>
        <w:rPr>
          <w:rFonts w:hint="eastAsia" w:ascii="仿宋" w:eastAsia="仿宋"/>
          <w:sz w:val="21"/>
        </w:rPr>
        <w:t>发包人和监理人在收到修订的施工进度计划后确认或提出修改意见的期限：</w:t>
      </w:r>
      <w:r>
        <w:rPr>
          <w:rFonts w:hint="eastAsia" w:ascii="仿宋" w:eastAsia="仿宋"/>
          <w:sz w:val="21"/>
          <w:u w:val="single"/>
        </w:rPr>
        <w:t>执行通用条款</w:t>
      </w:r>
      <w:r>
        <w:rPr>
          <w:rFonts w:hint="eastAsia" w:ascii="仿宋" w:eastAsia="仿宋"/>
          <w:sz w:val="21"/>
        </w:rPr>
        <w:t>。</w:t>
      </w:r>
    </w:p>
    <w:p>
      <w:pPr>
        <w:pStyle w:val="13"/>
        <w:numPr>
          <w:ilvl w:val="1"/>
          <w:numId w:val="34"/>
        </w:numPr>
        <w:tabs>
          <w:tab w:val="left" w:pos="1519"/>
        </w:tabs>
        <w:spacing w:before="139" w:after="0" w:line="240" w:lineRule="auto"/>
        <w:ind w:left="1518" w:right="0" w:hanging="368"/>
        <w:jc w:val="left"/>
        <w:rPr>
          <w:rFonts w:hint="eastAsia" w:ascii="黑体" w:eastAsia="黑体"/>
          <w:sz w:val="21"/>
        </w:rPr>
      </w:pPr>
      <w:r>
        <w:rPr>
          <w:rFonts w:hint="eastAsia" w:ascii="黑体" w:eastAsia="黑体"/>
          <w:sz w:val="21"/>
        </w:rPr>
        <w:t>开工</w:t>
      </w:r>
    </w:p>
    <w:p>
      <w:pPr>
        <w:pStyle w:val="9"/>
        <w:spacing w:before="3"/>
        <w:rPr>
          <w:rFonts w:ascii="黑体"/>
          <w:sz w:val="20"/>
        </w:rPr>
      </w:pPr>
    </w:p>
    <w:p>
      <w:pPr>
        <w:pStyle w:val="13"/>
        <w:numPr>
          <w:ilvl w:val="2"/>
          <w:numId w:val="34"/>
        </w:numPr>
        <w:tabs>
          <w:tab w:val="left" w:pos="1677"/>
        </w:tabs>
        <w:spacing w:before="0" w:after="0" w:line="240" w:lineRule="auto"/>
        <w:ind w:left="1676" w:right="0" w:hanging="526"/>
        <w:jc w:val="left"/>
        <w:rPr>
          <w:rFonts w:ascii="Times New Roman" w:eastAsia="Times New Roman"/>
          <w:sz w:val="21"/>
        </w:rPr>
      </w:pPr>
      <w:r>
        <w:rPr>
          <w:rFonts w:hint="eastAsia" w:ascii="仿宋" w:eastAsia="仿宋"/>
          <w:sz w:val="21"/>
        </w:rPr>
        <w:t>开工准备</w:t>
      </w:r>
    </w:p>
    <w:p>
      <w:pPr>
        <w:spacing w:before="139"/>
        <w:ind w:left="1376" w:right="0" w:firstLine="0"/>
        <w:jc w:val="left"/>
        <w:rPr>
          <w:rFonts w:hint="eastAsia" w:ascii="仿宋" w:eastAsia="仿宋"/>
          <w:sz w:val="21"/>
        </w:rPr>
      </w:pPr>
      <w:r>
        <w:rPr>
          <w:rFonts w:hint="eastAsia" w:ascii="仿宋" w:eastAsia="仿宋"/>
          <w:sz w:val="21"/>
        </w:rPr>
        <w:t>关于承包人提交工程开工报审表的期限：</w:t>
      </w:r>
      <w:r>
        <w:rPr>
          <w:rFonts w:hint="eastAsia" w:ascii="仿宋" w:eastAsia="仿宋"/>
          <w:sz w:val="21"/>
          <w:u w:val="single"/>
        </w:rPr>
        <w:t>执行通用条款</w:t>
      </w:r>
      <w:r>
        <w:rPr>
          <w:rFonts w:hint="eastAsia" w:ascii="仿宋" w:eastAsia="仿宋"/>
          <w:sz w:val="21"/>
        </w:rPr>
        <w:t>。</w:t>
      </w:r>
    </w:p>
    <w:p>
      <w:pPr>
        <w:spacing w:before="141" w:line="364" w:lineRule="auto"/>
        <w:ind w:left="1151" w:right="3189" w:firstLine="225"/>
        <w:jc w:val="left"/>
        <w:rPr>
          <w:rFonts w:hint="eastAsia" w:ascii="仿宋" w:eastAsia="仿宋"/>
          <w:sz w:val="21"/>
        </w:rPr>
      </w:pPr>
      <w:r>
        <w:rPr>
          <w:rFonts w:hint="eastAsia" w:ascii="仿宋" w:eastAsia="仿宋"/>
          <w:w w:val="95"/>
          <w:sz w:val="21"/>
        </w:rPr>
        <w:t>关于发包人应完成的其他开工准备工作及期限：</w:t>
      </w:r>
      <w:r>
        <w:rPr>
          <w:rFonts w:hint="eastAsia" w:ascii="仿宋" w:eastAsia="仿宋"/>
          <w:w w:val="95"/>
          <w:sz w:val="21"/>
          <w:u w:val="single"/>
        </w:rPr>
        <w:t>执行通用条款</w:t>
      </w:r>
      <w:r>
        <w:rPr>
          <w:rFonts w:hint="eastAsia" w:ascii="仿宋" w:eastAsia="仿宋"/>
          <w:w w:val="95"/>
          <w:sz w:val="21"/>
        </w:rPr>
        <w:t xml:space="preserve">。 </w:t>
      </w:r>
      <w:r>
        <w:rPr>
          <w:rFonts w:hint="eastAsia" w:ascii="仿宋" w:eastAsia="仿宋"/>
          <w:sz w:val="21"/>
        </w:rPr>
        <w:t>关于承包人应完成的其他开工准备工作及期限：</w:t>
      </w:r>
      <w:r>
        <w:rPr>
          <w:rFonts w:hint="eastAsia" w:ascii="仿宋" w:eastAsia="仿宋"/>
          <w:sz w:val="21"/>
          <w:u w:val="single"/>
        </w:rPr>
        <w:t>执行通用条款</w:t>
      </w:r>
      <w:r>
        <w:rPr>
          <w:rFonts w:hint="eastAsia" w:ascii="仿宋" w:eastAsia="仿宋"/>
          <w:sz w:val="21"/>
        </w:rPr>
        <w:t>。</w:t>
      </w:r>
    </w:p>
    <w:p>
      <w:pPr>
        <w:pStyle w:val="13"/>
        <w:numPr>
          <w:ilvl w:val="2"/>
          <w:numId w:val="34"/>
        </w:numPr>
        <w:tabs>
          <w:tab w:val="left" w:pos="1624"/>
        </w:tabs>
        <w:spacing w:before="0" w:after="0" w:line="267" w:lineRule="exact"/>
        <w:ind w:left="1624" w:right="0" w:hanging="473"/>
        <w:jc w:val="left"/>
        <w:rPr>
          <w:rFonts w:ascii="Times New Roman" w:eastAsia="Times New Roman"/>
          <w:sz w:val="21"/>
        </w:rPr>
      </w:pPr>
      <w:r>
        <w:rPr>
          <w:rFonts w:hint="eastAsia" w:ascii="仿宋" w:eastAsia="仿宋"/>
          <w:sz w:val="21"/>
        </w:rPr>
        <w:t>开工通知</w:t>
      </w:r>
    </w:p>
    <w:p>
      <w:pPr>
        <w:spacing w:after="0" w:line="267" w:lineRule="exact"/>
        <w:jc w:val="left"/>
        <w:rPr>
          <w:rFonts w:ascii="Times New Roman" w:eastAsia="Times New Roman"/>
          <w:sz w:val="21"/>
        </w:rPr>
        <w:sectPr>
          <w:pgSz w:w="11910" w:h="16840"/>
          <w:pgMar w:top="1100" w:right="660" w:bottom="1200" w:left="800" w:header="878" w:footer="1003" w:gutter="0"/>
          <w:cols w:space="720" w:num="1"/>
        </w:sectPr>
      </w:pPr>
    </w:p>
    <w:p>
      <w:pPr>
        <w:pStyle w:val="9"/>
        <w:spacing w:before="5"/>
        <w:rPr>
          <w:rFonts w:ascii="仿宋"/>
          <w:sz w:val="17"/>
        </w:rPr>
      </w:pPr>
    </w:p>
    <w:p>
      <w:pPr>
        <w:spacing w:before="77" w:line="364" w:lineRule="auto"/>
        <w:ind w:left="731" w:right="895" w:firstLine="420"/>
        <w:jc w:val="left"/>
        <w:rPr>
          <w:rFonts w:hint="eastAsia" w:ascii="仿宋" w:eastAsia="仿宋"/>
          <w:sz w:val="21"/>
        </w:rPr>
      </w:pPr>
      <w:r>
        <w:rPr>
          <w:rFonts w:hint="eastAsia" w:ascii="仿宋" w:eastAsia="仿宋"/>
          <w:spacing w:val="-3"/>
          <w:sz w:val="21"/>
        </w:rPr>
        <w:t xml:space="preserve">因发包人原因造成监理人未能在计划开工日期之日起 </w:t>
      </w:r>
      <w:r>
        <w:rPr>
          <w:rFonts w:ascii="Times New Roman" w:eastAsia="Times New Roman"/>
          <w:sz w:val="21"/>
          <w:u w:val="single"/>
        </w:rPr>
        <w:t>90</w:t>
      </w:r>
      <w:r>
        <w:rPr>
          <w:rFonts w:ascii="Times New Roman" w:eastAsia="Times New Roman"/>
          <w:spacing w:val="-9"/>
          <w:sz w:val="21"/>
        </w:rPr>
        <w:t xml:space="preserve"> </w:t>
      </w:r>
      <w:r>
        <w:rPr>
          <w:rFonts w:hint="eastAsia" w:ascii="仿宋" w:eastAsia="仿宋"/>
          <w:spacing w:val="-10"/>
          <w:sz w:val="21"/>
        </w:rPr>
        <w:t>天内发出开工通知的，承包人有权提出价格调整要求，或者解除合同。</w:t>
      </w:r>
    </w:p>
    <w:p>
      <w:pPr>
        <w:pStyle w:val="13"/>
        <w:numPr>
          <w:ilvl w:val="1"/>
          <w:numId w:val="34"/>
        </w:numPr>
        <w:tabs>
          <w:tab w:val="left" w:pos="1519"/>
        </w:tabs>
        <w:spacing w:before="0" w:after="0" w:line="240" w:lineRule="auto"/>
        <w:ind w:left="1518" w:right="0" w:hanging="368"/>
        <w:jc w:val="left"/>
        <w:rPr>
          <w:rFonts w:hint="eastAsia" w:ascii="黑体" w:eastAsia="黑体"/>
          <w:sz w:val="21"/>
        </w:rPr>
      </w:pPr>
      <w:r>
        <w:rPr>
          <w:rFonts w:hint="eastAsia" w:ascii="黑体" w:eastAsia="黑体"/>
          <w:w w:val="95"/>
          <w:sz w:val="21"/>
        </w:rPr>
        <w:t>工期延误</w:t>
      </w:r>
    </w:p>
    <w:p>
      <w:pPr>
        <w:pStyle w:val="9"/>
        <w:spacing w:before="3"/>
        <w:rPr>
          <w:rFonts w:ascii="黑体"/>
          <w:sz w:val="20"/>
        </w:rPr>
      </w:pPr>
    </w:p>
    <w:p>
      <w:pPr>
        <w:pStyle w:val="13"/>
        <w:numPr>
          <w:ilvl w:val="2"/>
          <w:numId w:val="34"/>
        </w:numPr>
        <w:tabs>
          <w:tab w:val="left" w:pos="1677"/>
        </w:tabs>
        <w:spacing w:before="0" w:after="0" w:line="240" w:lineRule="auto"/>
        <w:ind w:left="1676" w:right="0" w:hanging="526"/>
        <w:jc w:val="left"/>
        <w:rPr>
          <w:rFonts w:ascii="Times New Roman" w:eastAsia="Times New Roman"/>
          <w:sz w:val="21"/>
        </w:rPr>
      </w:pPr>
      <w:r>
        <w:rPr>
          <w:rFonts w:hint="eastAsia" w:ascii="仿宋" w:eastAsia="仿宋"/>
          <w:sz w:val="21"/>
        </w:rPr>
        <w:t>因发包人原因导致工期延误</w:t>
      </w:r>
    </w:p>
    <w:p>
      <w:pPr>
        <w:spacing w:before="139"/>
        <w:ind w:left="1151" w:right="0" w:firstLine="0"/>
        <w:jc w:val="left"/>
        <w:rPr>
          <w:rFonts w:hint="eastAsia" w:ascii="仿宋" w:eastAsia="仿宋"/>
          <w:sz w:val="21"/>
        </w:rPr>
      </w:pPr>
      <w:r>
        <w:rPr>
          <w:rFonts w:hint="eastAsia" w:ascii="仿宋" w:eastAsia="仿宋"/>
          <w:sz w:val="21"/>
        </w:rPr>
        <w:t>因发包人原因导致的工期延误，经发包人确认，工期可顺延。</w:t>
      </w:r>
    </w:p>
    <w:p>
      <w:pPr>
        <w:spacing w:before="139" w:line="367" w:lineRule="auto"/>
        <w:ind w:left="731" w:right="895" w:firstLine="420"/>
        <w:jc w:val="left"/>
        <w:rPr>
          <w:rFonts w:hint="eastAsia" w:ascii="仿宋" w:hAnsi="仿宋" w:eastAsia="仿宋"/>
          <w:sz w:val="21"/>
        </w:rPr>
      </w:pPr>
      <w:r>
        <w:rPr>
          <w:rFonts w:hint="eastAsia" w:ascii="仿宋" w:hAnsi="仿宋" w:eastAsia="仿宋"/>
          <w:w w:val="95"/>
          <w:sz w:val="21"/>
        </w:rPr>
        <w:t>因发包人原因导致工期延误的情形：</w:t>
      </w:r>
      <w:r>
        <w:rPr>
          <w:rFonts w:hint="eastAsia" w:ascii="仿宋" w:hAnsi="仿宋" w:eastAsia="仿宋"/>
          <w:w w:val="95"/>
          <w:sz w:val="21"/>
          <w:u w:val="single"/>
        </w:rPr>
        <w:t>①重大设计变更而影响施工进度；②政策处理问题影响</w:t>
      </w:r>
      <w:r>
        <w:rPr>
          <w:rFonts w:hint="eastAsia" w:ascii="仿宋" w:hAnsi="仿宋" w:eastAsia="仿宋"/>
          <w:spacing w:val="-208"/>
          <w:w w:val="95"/>
          <w:sz w:val="21"/>
          <w:u w:val="single"/>
        </w:rPr>
        <w:t>施</w:t>
      </w:r>
      <w:r>
        <w:rPr>
          <w:rFonts w:hint="eastAsia" w:ascii="仿宋" w:hAnsi="仿宋" w:eastAsia="仿宋"/>
          <w:spacing w:val="123"/>
          <w:w w:val="95"/>
          <w:sz w:val="21"/>
          <w:u w:val="single"/>
        </w:rPr>
        <w:t xml:space="preserve"> </w:t>
      </w:r>
      <w:r>
        <w:rPr>
          <w:rFonts w:hint="eastAsia" w:ascii="仿宋" w:hAnsi="仿宋" w:eastAsia="仿宋"/>
          <w:sz w:val="21"/>
          <w:u w:val="single"/>
        </w:rPr>
        <w:t>工进度；</w:t>
      </w:r>
      <w:r>
        <w:rPr>
          <w:sz w:val="21"/>
          <w:u w:val="single"/>
        </w:rPr>
        <w:t>③</w:t>
      </w:r>
      <w:r>
        <w:rPr>
          <w:rFonts w:hint="eastAsia" w:ascii="仿宋" w:hAnsi="仿宋" w:eastAsia="仿宋"/>
          <w:spacing w:val="-4"/>
          <w:sz w:val="21"/>
          <w:u w:val="single"/>
        </w:rPr>
        <w:t xml:space="preserve">不可抗力，此延误工期须在发现后 </w:t>
      </w:r>
      <w:r>
        <w:rPr>
          <w:rFonts w:ascii="Times New Roman" w:hAnsi="Times New Roman" w:eastAsia="Times New Roman"/>
          <w:sz w:val="21"/>
          <w:u w:val="single"/>
        </w:rPr>
        <w:t xml:space="preserve">7 </w:t>
      </w:r>
      <w:r>
        <w:rPr>
          <w:rFonts w:hint="eastAsia" w:ascii="仿宋" w:hAnsi="仿宋" w:eastAsia="仿宋"/>
          <w:sz w:val="21"/>
          <w:u w:val="single"/>
        </w:rPr>
        <w:t>天内办理签证，逾期不予认可。</w:t>
      </w:r>
    </w:p>
    <w:p>
      <w:pPr>
        <w:pStyle w:val="13"/>
        <w:numPr>
          <w:ilvl w:val="2"/>
          <w:numId w:val="34"/>
        </w:numPr>
        <w:tabs>
          <w:tab w:val="left" w:pos="1677"/>
        </w:tabs>
        <w:spacing w:before="0" w:after="0" w:line="264" w:lineRule="exact"/>
        <w:ind w:left="1676" w:right="0" w:hanging="526"/>
        <w:jc w:val="left"/>
        <w:rPr>
          <w:rFonts w:ascii="Times New Roman" w:eastAsia="Times New Roman"/>
          <w:sz w:val="21"/>
        </w:rPr>
      </w:pPr>
      <w:r>
        <w:rPr>
          <w:rFonts w:hint="eastAsia" w:ascii="仿宋" w:eastAsia="仿宋"/>
          <w:sz w:val="21"/>
        </w:rPr>
        <w:t>因承包人原因导致工期延误</w:t>
      </w:r>
    </w:p>
    <w:p>
      <w:pPr>
        <w:spacing w:before="139"/>
        <w:ind w:left="1151" w:right="0" w:firstLine="0"/>
        <w:jc w:val="left"/>
        <w:rPr>
          <w:rFonts w:ascii="Times New Roman" w:eastAsia="Times New Roman"/>
          <w:sz w:val="21"/>
        </w:rPr>
      </w:pPr>
      <w:r>
        <w:rPr>
          <w:rFonts w:hint="eastAsia" w:ascii="仿宋" w:eastAsia="仿宋"/>
          <w:sz w:val="21"/>
        </w:rPr>
        <w:t>因承包人原因造成工期延误，逾期竣工违约金的计算方法为：</w:t>
      </w:r>
      <w:r>
        <w:rPr>
          <w:rFonts w:hint="eastAsia" w:ascii="仿宋" w:eastAsia="仿宋"/>
          <w:sz w:val="21"/>
          <w:u w:val="single"/>
        </w:rPr>
        <w:t xml:space="preserve">每延误一天支付违约金 </w:t>
      </w:r>
      <w:r>
        <w:rPr>
          <w:rFonts w:ascii="Times New Roman" w:eastAsia="Times New Roman"/>
          <w:sz w:val="21"/>
          <w:u w:val="single"/>
        </w:rPr>
        <w:t>3,000</w:t>
      </w:r>
    </w:p>
    <w:p>
      <w:pPr>
        <w:spacing w:before="139"/>
        <w:ind w:left="731" w:right="0" w:firstLine="0"/>
        <w:jc w:val="left"/>
        <w:rPr>
          <w:rFonts w:hint="eastAsia" w:ascii="仿宋" w:eastAsia="仿宋"/>
          <w:sz w:val="21"/>
        </w:rPr>
      </w:pPr>
      <w:r>
        <w:rPr>
          <w:rFonts w:hint="eastAsia" w:ascii="仿宋" w:eastAsia="仿宋"/>
          <w:sz w:val="21"/>
          <w:u w:val="single"/>
        </w:rPr>
        <w:t>元。</w:t>
      </w:r>
    </w:p>
    <w:p>
      <w:pPr>
        <w:spacing w:before="139"/>
        <w:ind w:left="1151" w:right="0" w:firstLine="0"/>
        <w:jc w:val="left"/>
        <w:rPr>
          <w:rFonts w:hint="eastAsia" w:ascii="仿宋" w:eastAsia="仿宋"/>
          <w:sz w:val="21"/>
        </w:rPr>
      </w:pPr>
      <w:r>
        <w:rPr>
          <w:rFonts w:hint="eastAsia" w:ascii="仿宋" w:eastAsia="仿宋"/>
          <w:sz w:val="21"/>
        </w:rPr>
        <w:t>因承包人原因造成工期延误，逾期竣工违约金的上限：</w:t>
      </w:r>
      <w:r>
        <w:rPr>
          <w:rFonts w:hint="eastAsia" w:ascii="仿宋" w:eastAsia="仿宋"/>
          <w:sz w:val="21"/>
          <w:u w:val="single"/>
        </w:rPr>
        <w:t xml:space="preserve">违约金上限为合同总价款的 </w:t>
      </w:r>
      <w:r>
        <w:rPr>
          <w:rFonts w:ascii="Times New Roman" w:eastAsia="Times New Roman"/>
          <w:sz w:val="21"/>
          <w:u w:val="single"/>
        </w:rPr>
        <w:t>3%</w:t>
      </w:r>
      <w:r>
        <w:rPr>
          <w:rFonts w:hint="eastAsia" w:ascii="仿宋" w:eastAsia="仿宋"/>
          <w:sz w:val="21"/>
        </w:rPr>
        <w:t>。</w:t>
      </w:r>
    </w:p>
    <w:p>
      <w:pPr>
        <w:pStyle w:val="13"/>
        <w:numPr>
          <w:ilvl w:val="1"/>
          <w:numId w:val="49"/>
        </w:numPr>
        <w:tabs>
          <w:tab w:val="left" w:pos="1519"/>
        </w:tabs>
        <w:spacing w:before="138" w:after="0" w:line="240" w:lineRule="auto"/>
        <w:ind w:left="1518" w:right="0" w:hanging="368"/>
        <w:jc w:val="left"/>
        <w:rPr>
          <w:rFonts w:hint="eastAsia" w:ascii="黑体" w:eastAsia="黑体"/>
          <w:sz w:val="21"/>
        </w:rPr>
      </w:pPr>
      <w:r>
        <w:rPr>
          <w:rFonts w:hint="eastAsia" w:ascii="黑体" w:eastAsia="黑体"/>
          <w:sz w:val="21"/>
        </w:rPr>
        <w:t>不利物质条件</w:t>
      </w:r>
    </w:p>
    <w:p>
      <w:pPr>
        <w:pStyle w:val="9"/>
        <w:spacing w:before="5"/>
        <w:rPr>
          <w:rFonts w:ascii="黑体"/>
          <w:sz w:val="20"/>
        </w:rPr>
      </w:pPr>
    </w:p>
    <w:p>
      <w:pPr>
        <w:spacing w:before="1"/>
        <w:ind w:left="1151" w:right="0" w:firstLine="0"/>
        <w:jc w:val="left"/>
        <w:rPr>
          <w:rFonts w:hint="eastAsia" w:ascii="仿宋" w:eastAsia="仿宋"/>
          <w:sz w:val="21"/>
        </w:rPr>
      </w:pPr>
      <w:r>
        <w:rPr>
          <w:rFonts w:hint="eastAsia" w:ascii="仿宋" w:eastAsia="仿宋"/>
          <w:sz w:val="21"/>
        </w:rPr>
        <w:t>不利物质条件的其他情形和有关约定：</w:t>
      </w:r>
      <w:r>
        <w:rPr>
          <w:rFonts w:hint="eastAsia" w:ascii="仿宋" w:eastAsia="仿宋"/>
          <w:sz w:val="21"/>
          <w:u w:val="single"/>
        </w:rPr>
        <w:t>/</w:t>
      </w:r>
      <w:r>
        <w:rPr>
          <w:rFonts w:hint="eastAsia" w:ascii="仿宋" w:eastAsia="仿宋"/>
          <w:sz w:val="21"/>
        </w:rPr>
        <w:t>。</w:t>
      </w:r>
    </w:p>
    <w:p>
      <w:pPr>
        <w:pStyle w:val="13"/>
        <w:numPr>
          <w:ilvl w:val="1"/>
          <w:numId w:val="49"/>
        </w:numPr>
        <w:tabs>
          <w:tab w:val="left" w:pos="1466"/>
        </w:tabs>
        <w:spacing w:before="138" w:after="0" w:line="240" w:lineRule="auto"/>
        <w:ind w:left="1465" w:right="0" w:hanging="315"/>
        <w:jc w:val="left"/>
        <w:rPr>
          <w:rFonts w:hint="eastAsia" w:ascii="黑体" w:eastAsia="黑体"/>
          <w:sz w:val="21"/>
        </w:rPr>
      </w:pPr>
      <w:r>
        <w:rPr>
          <w:rFonts w:hint="eastAsia" w:ascii="黑体" w:eastAsia="黑体"/>
          <w:sz w:val="21"/>
        </w:rPr>
        <w:t>异常恶劣的气候条件</w:t>
      </w:r>
    </w:p>
    <w:p>
      <w:pPr>
        <w:pStyle w:val="9"/>
        <w:spacing w:before="10"/>
        <w:rPr>
          <w:rFonts w:ascii="黑体"/>
          <w:sz w:val="14"/>
        </w:rPr>
      </w:pPr>
    </w:p>
    <w:p>
      <w:pPr>
        <w:spacing w:before="70" w:line="364" w:lineRule="auto"/>
        <w:ind w:left="731" w:right="895" w:firstLine="420"/>
        <w:jc w:val="left"/>
        <w:rPr>
          <w:rFonts w:hint="eastAsia" w:ascii="仿宋" w:eastAsia="仿宋"/>
          <w:sz w:val="21"/>
        </w:rPr>
      </w:pPr>
      <w:r>
        <w:rPr>
          <w:rFonts w:hint="eastAsia" w:ascii="仿宋" w:eastAsia="仿宋"/>
          <w:w w:val="95"/>
          <w:sz w:val="21"/>
        </w:rPr>
        <w:t>发包人和承包人同意以下情形视为异常恶劣的气候条件：</w:t>
      </w:r>
      <w:r>
        <w:rPr>
          <w:rFonts w:hint="eastAsia" w:ascii="仿宋" w:eastAsia="仿宋"/>
          <w:w w:val="95"/>
          <w:sz w:val="21"/>
          <w:u w:val="single"/>
        </w:rPr>
        <w:t>本市气象部门发布的有关异常恶劣</w:t>
      </w:r>
      <w:r>
        <w:rPr>
          <w:rFonts w:hint="eastAsia" w:ascii="仿宋" w:eastAsia="仿宋"/>
          <w:spacing w:val="-209"/>
          <w:w w:val="95"/>
          <w:sz w:val="21"/>
          <w:u w:val="single"/>
        </w:rPr>
        <w:t>天</w:t>
      </w:r>
      <w:r>
        <w:rPr>
          <w:rFonts w:hint="eastAsia" w:ascii="仿宋" w:eastAsia="仿宋"/>
          <w:spacing w:val="124"/>
          <w:w w:val="95"/>
          <w:sz w:val="21"/>
          <w:u w:val="single"/>
        </w:rPr>
        <w:t xml:space="preserve"> </w:t>
      </w:r>
      <w:r>
        <w:rPr>
          <w:rFonts w:hint="eastAsia" w:ascii="仿宋" w:eastAsia="仿宋"/>
          <w:sz w:val="21"/>
          <w:u w:val="single"/>
        </w:rPr>
        <w:t>气的警报为准。</w:t>
      </w:r>
    </w:p>
    <w:p>
      <w:pPr>
        <w:pStyle w:val="13"/>
        <w:numPr>
          <w:ilvl w:val="1"/>
          <w:numId w:val="49"/>
        </w:numPr>
        <w:tabs>
          <w:tab w:val="left" w:pos="1466"/>
        </w:tabs>
        <w:spacing w:before="0" w:after="0" w:line="240" w:lineRule="auto"/>
        <w:ind w:left="1465" w:right="0" w:hanging="315"/>
        <w:jc w:val="left"/>
        <w:rPr>
          <w:rFonts w:hint="eastAsia" w:ascii="黑体" w:eastAsia="黑体"/>
          <w:sz w:val="21"/>
        </w:rPr>
      </w:pPr>
      <w:r>
        <w:rPr>
          <w:rFonts w:hint="eastAsia" w:ascii="黑体" w:eastAsia="黑体"/>
          <w:sz w:val="21"/>
        </w:rPr>
        <w:t>暂停施工</w:t>
      </w:r>
    </w:p>
    <w:p>
      <w:pPr>
        <w:pStyle w:val="9"/>
        <w:spacing w:before="3"/>
        <w:rPr>
          <w:rFonts w:ascii="黑体"/>
          <w:sz w:val="20"/>
        </w:rPr>
      </w:pPr>
    </w:p>
    <w:p>
      <w:pPr>
        <w:pStyle w:val="13"/>
        <w:numPr>
          <w:ilvl w:val="2"/>
          <w:numId w:val="49"/>
        </w:numPr>
        <w:tabs>
          <w:tab w:val="left" w:pos="1624"/>
        </w:tabs>
        <w:spacing w:before="0" w:after="0" w:line="240" w:lineRule="auto"/>
        <w:ind w:left="1624" w:right="0" w:hanging="473"/>
        <w:jc w:val="left"/>
        <w:rPr>
          <w:rFonts w:hint="eastAsia" w:ascii="仿宋" w:eastAsia="仿宋"/>
          <w:sz w:val="21"/>
        </w:rPr>
      </w:pPr>
      <w:r>
        <w:rPr>
          <w:rFonts w:hint="eastAsia" w:ascii="仿宋" w:eastAsia="仿宋"/>
          <w:sz w:val="21"/>
        </w:rPr>
        <w:t>发包人原因引起的暂停施工</w:t>
      </w:r>
    </w:p>
    <w:p>
      <w:pPr>
        <w:pStyle w:val="9"/>
        <w:spacing w:before="3"/>
        <w:rPr>
          <w:rFonts w:ascii="仿宋"/>
          <w:sz w:val="20"/>
        </w:rPr>
      </w:pPr>
    </w:p>
    <w:p>
      <w:pPr>
        <w:spacing w:before="0" w:line="364" w:lineRule="auto"/>
        <w:ind w:left="731" w:right="895" w:firstLine="420"/>
        <w:jc w:val="left"/>
        <w:rPr>
          <w:rFonts w:hint="eastAsia" w:ascii="仿宋" w:eastAsia="仿宋"/>
          <w:sz w:val="21"/>
        </w:rPr>
      </w:pPr>
      <w:r>
        <w:rPr>
          <w:rFonts w:hint="eastAsia" w:ascii="仿宋" w:eastAsia="仿宋"/>
          <w:w w:val="95"/>
          <w:sz w:val="21"/>
        </w:rPr>
        <w:t xml:space="preserve">因发包人原因引起暂停施工的，监理人经发包人同意后，应及时下达暂停施工指示。情况紧   </w:t>
      </w:r>
      <w:r>
        <w:rPr>
          <w:rFonts w:hint="eastAsia" w:ascii="仿宋" w:eastAsia="仿宋"/>
          <w:sz w:val="21"/>
        </w:rPr>
        <w:t>急且监理人未及时下达暂停施工指示的，按照通用条款〔紧急情况下的暂停施工〕执行。</w:t>
      </w:r>
    </w:p>
    <w:p>
      <w:pPr>
        <w:spacing w:before="0" w:line="267" w:lineRule="exact"/>
        <w:ind w:left="1151" w:right="0" w:firstLine="0"/>
        <w:jc w:val="left"/>
        <w:rPr>
          <w:rFonts w:hint="eastAsia" w:ascii="仿宋" w:eastAsia="仿宋"/>
          <w:sz w:val="21"/>
        </w:rPr>
      </w:pPr>
      <w:r>
        <w:rPr>
          <w:rFonts w:hint="eastAsia" w:ascii="仿宋" w:eastAsia="仿宋"/>
          <w:sz w:val="21"/>
        </w:rPr>
        <w:t>因发包人原因引起的暂停施工，经发包人同意，工期顺延。</w:t>
      </w:r>
    </w:p>
    <w:p>
      <w:pPr>
        <w:pStyle w:val="9"/>
        <w:spacing w:before="2"/>
        <w:rPr>
          <w:rFonts w:ascii="仿宋"/>
          <w:sz w:val="20"/>
        </w:rPr>
      </w:pPr>
    </w:p>
    <w:p>
      <w:pPr>
        <w:pStyle w:val="13"/>
        <w:numPr>
          <w:ilvl w:val="1"/>
          <w:numId w:val="49"/>
        </w:numPr>
        <w:tabs>
          <w:tab w:val="left" w:pos="1519"/>
        </w:tabs>
        <w:spacing w:before="1" w:after="0" w:line="240" w:lineRule="auto"/>
        <w:ind w:left="1518" w:right="0" w:hanging="368"/>
        <w:jc w:val="left"/>
        <w:rPr>
          <w:rFonts w:hint="eastAsia" w:ascii="黑体" w:eastAsia="黑体"/>
          <w:sz w:val="21"/>
        </w:rPr>
      </w:pPr>
      <w:r>
        <w:rPr>
          <w:rFonts w:hint="eastAsia" w:ascii="黑体" w:eastAsia="黑体"/>
          <w:sz w:val="21"/>
        </w:rPr>
        <w:t>提前竣工的奖励</w:t>
      </w:r>
    </w:p>
    <w:p>
      <w:pPr>
        <w:pStyle w:val="9"/>
        <w:spacing w:before="4"/>
        <w:rPr>
          <w:rFonts w:ascii="黑体"/>
          <w:sz w:val="20"/>
        </w:rPr>
      </w:pPr>
    </w:p>
    <w:p>
      <w:pPr>
        <w:pStyle w:val="13"/>
        <w:numPr>
          <w:ilvl w:val="2"/>
          <w:numId w:val="49"/>
        </w:numPr>
        <w:tabs>
          <w:tab w:val="left" w:pos="1574"/>
        </w:tabs>
        <w:spacing w:before="1" w:after="0" w:line="364" w:lineRule="auto"/>
        <w:ind w:left="731" w:right="788" w:firstLine="420"/>
        <w:jc w:val="left"/>
        <w:rPr>
          <w:rFonts w:hint="eastAsia" w:ascii="仿宋" w:hAnsi="仿宋" w:eastAsia="仿宋"/>
          <w:sz w:val="21"/>
        </w:rPr>
      </w:pPr>
      <w:r>
        <w:rPr>
          <w:rFonts w:hint="eastAsia" w:ascii="仿宋" w:hAnsi="仿宋" w:eastAsia="仿宋"/>
          <w:sz w:val="21"/>
        </w:rPr>
        <w:t>“发包人要求承包人提前竣工的，发包人应通过监理人向承包人下达提前竣工指示，承</w:t>
      </w:r>
      <w:r>
        <w:rPr>
          <w:rFonts w:hint="eastAsia" w:ascii="仿宋" w:hAnsi="仿宋" w:eastAsia="仿宋"/>
          <w:spacing w:val="-5"/>
          <w:w w:val="95"/>
          <w:sz w:val="21"/>
        </w:rPr>
        <w:t xml:space="preserve">包人应向发包人和监理人提交提前竣工建议书，提前竣工建议书应包括实施的方案、缩短的时间、   </w:t>
      </w:r>
      <w:r>
        <w:rPr>
          <w:rFonts w:hint="eastAsia" w:ascii="仿宋" w:hAnsi="仿宋" w:eastAsia="仿宋"/>
          <w:spacing w:val="-5"/>
          <w:sz w:val="21"/>
        </w:rPr>
        <w:t>增加的合同价格等内容。发包人接受该提前竣工建议书的，监理人应与发包人和承包人协商采取加快工程进度的措施，并修订施工进度计划，由此增加的费用由发包人承担。承包人认为提前竣</w:t>
      </w:r>
      <w:r>
        <w:rPr>
          <w:rFonts w:hint="eastAsia" w:ascii="仿宋" w:hAnsi="仿宋" w:eastAsia="仿宋"/>
          <w:spacing w:val="-7"/>
          <w:sz w:val="21"/>
        </w:rPr>
        <w:t xml:space="preserve">工指示无法执行的，应向监理人和发包人提出书面异议，发包人和监理人应在收到异议后 </w:t>
      </w:r>
      <w:r>
        <w:rPr>
          <w:rFonts w:ascii="Times New Roman" w:hAnsi="Times New Roman" w:eastAsia="Times New Roman"/>
          <w:sz w:val="21"/>
        </w:rPr>
        <w:t>7</w:t>
      </w:r>
      <w:r>
        <w:rPr>
          <w:rFonts w:ascii="Times New Roman" w:hAnsi="Times New Roman" w:eastAsia="Times New Roman"/>
          <w:spacing w:val="-4"/>
          <w:sz w:val="21"/>
        </w:rPr>
        <w:t xml:space="preserve"> </w:t>
      </w:r>
      <w:r>
        <w:rPr>
          <w:rFonts w:hint="eastAsia" w:ascii="仿宋" w:hAnsi="仿宋" w:eastAsia="仿宋"/>
          <w:sz w:val="21"/>
        </w:rPr>
        <w:t>天内予以答复。”</w:t>
      </w:r>
    </w:p>
    <w:p>
      <w:pPr>
        <w:pStyle w:val="13"/>
        <w:numPr>
          <w:ilvl w:val="2"/>
          <w:numId w:val="49"/>
        </w:numPr>
        <w:tabs>
          <w:tab w:val="left" w:pos="1624"/>
        </w:tabs>
        <w:spacing w:before="0" w:after="0" w:line="266" w:lineRule="exact"/>
        <w:ind w:left="1624" w:right="0" w:hanging="473"/>
        <w:jc w:val="left"/>
        <w:rPr>
          <w:rFonts w:hint="eastAsia" w:ascii="仿宋" w:eastAsia="仿宋"/>
          <w:sz w:val="21"/>
        </w:rPr>
      </w:pPr>
      <w:r>
        <w:rPr>
          <w:rFonts w:ascii="宋体" w:hAnsi="宋体" w:eastAsia="宋体" w:cs="宋体"/>
          <w:sz w:val="22"/>
          <w:szCs w:val="22"/>
          <w:lang w:val="zh-CN" w:eastAsia="zh-CN" w:bidi="zh-CN"/>
        </w:rPr>
        <w:pict>
          <v:line id="直线 9" o:spid="_x0000_s1060" style="position:absolute;left:0;margin-left:205.15pt;margin-top:11.65pt;height:0.05pt;width:2.85pt;mso-position-horizontal-relative:page;rotation:0f;z-index:251674624;" o:ole="f" fillcolor="#FFFFFF" filled="f" o:preferrelative="t" stroked="t" coordsize="21600,21600">
            <v:fill on="f" color2="#FFFFFF" focus="0%"/>
            <v:stroke weight="0.48pt" color="#000000" color2="#FFFFFF" miterlimit="2"/>
            <v:imagedata gain="65536f" blacklevel="0f" gamma="0"/>
            <o:lock v:ext="edit" position="f" selection="f" grouping="f" rotation="f" cropping="f" text="f" aspectratio="f"/>
          </v:line>
        </w:pict>
      </w:r>
      <w:r>
        <w:rPr>
          <w:rFonts w:hint="eastAsia" w:ascii="仿宋" w:eastAsia="仿宋"/>
          <w:sz w:val="21"/>
        </w:rPr>
        <w:t>提前竣工的奖励：</w:t>
      </w:r>
      <w:r>
        <w:rPr>
          <w:rFonts w:ascii="Times New Roman" w:eastAsia="Times New Roman"/>
          <w:sz w:val="21"/>
        </w:rPr>
        <w:t>/</w:t>
      </w:r>
      <w:r>
        <w:rPr>
          <w:rFonts w:hint="eastAsia" w:ascii="仿宋" w:eastAsia="仿宋"/>
          <w:sz w:val="21"/>
        </w:rPr>
        <w:t>。</w:t>
      </w:r>
    </w:p>
    <w:p>
      <w:pPr>
        <w:pStyle w:val="9"/>
        <w:spacing w:before="2"/>
        <w:rPr>
          <w:rFonts w:ascii="仿宋"/>
          <w:sz w:val="20"/>
        </w:rPr>
      </w:pPr>
    </w:p>
    <w:p>
      <w:pPr>
        <w:pStyle w:val="13"/>
        <w:numPr>
          <w:ilvl w:val="0"/>
          <w:numId w:val="34"/>
        </w:numPr>
        <w:tabs>
          <w:tab w:val="left" w:pos="993"/>
        </w:tabs>
        <w:spacing w:before="0" w:after="0" w:line="240" w:lineRule="auto"/>
        <w:ind w:left="992" w:right="0" w:hanging="262"/>
        <w:jc w:val="left"/>
        <w:rPr>
          <w:rFonts w:hint="eastAsia" w:ascii="黑体" w:eastAsia="黑体"/>
          <w:sz w:val="21"/>
        </w:rPr>
      </w:pPr>
      <w:bookmarkStart w:id="64" w:name="8. 材料与设备"/>
      <w:bookmarkEnd w:id="64"/>
      <w:r>
        <w:rPr>
          <w:rFonts w:hint="eastAsia" w:ascii="黑体" w:eastAsia="黑体"/>
          <w:sz w:val="21"/>
        </w:rPr>
        <w:t>材料与设备</w:t>
      </w:r>
    </w:p>
    <w:p>
      <w:pPr>
        <w:pStyle w:val="9"/>
        <w:spacing w:before="5"/>
        <w:rPr>
          <w:rFonts w:ascii="黑体"/>
          <w:sz w:val="20"/>
        </w:rPr>
      </w:pPr>
    </w:p>
    <w:p>
      <w:pPr>
        <w:pStyle w:val="13"/>
        <w:numPr>
          <w:ilvl w:val="1"/>
          <w:numId w:val="50"/>
        </w:numPr>
        <w:tabs>
          <w:tab w:val="left" w:pos="1466"/>
        </w:tabs>
        <w:spacing w:before="0" w:after="0" w:line="240" w:lineRule="auto"/>
        <w:ind w:left="1465" w:right="0" w:hanging="315"/>
        <w:jc w:val="left"/>
        <w:rPr>
          <w:rFonts w:hint="eastAsia" w:ascii="黑体" w:eastAsia="黑体"/>
          <w:sz w:val="21"/>
        </w:rPr>
      </w:pPr>
      <w:r>
        <w:rPr>
          <w:rFonts w:hint="eastAsia" w:ascii="黑体" w:eastAsia="黑体"/>
          <w:sz w:val="21"/>
        </w:rPr>
        <w:t>材料与工程设备的保管与使用</w:t>
      </w:r>
    </w:p>
    <w:p>
      <w:pPr>
        <w:spacing w:after="0" w:line="240" w:lineRule="auto"/>
        <w:jc w:val="left"/>
        <w:rPr>
          <w:rFonts w:hint="eastAsia" w:ascii="黑体" w:eastAsia="黑体"/>
          <w:sz w:val="21"/>
        </w:rPr>
        <w:sectPr>
          <w:pgSz w:w="11910" w:h="16840"/>
          <w:pgMar w:top="1100" w:right="660" w:bottom="1200" w:left="800" w:header="878" w:footer="1003" w:gutter="0"/>
          <w:cols w:space="720" w:num="1"/>
        </w:sectPr>
      </w:pPr>
    </w:p>
    <w:p>
      <w:pPr>
        <w:pStyle w:val="9"/>
        <w:spacing w:before="5"/>
        <w:rPr>
          <w:rFonts w:ascii="黑体"/>
          <w:sz w:val="17"/>
        </w:rPr>
      </w:pPr>
    </w:p>
    <w:p>
      <w:pPr>
        <w:pStyle w:val="13"/>
        <w:numPr>
          <w:ilvl w:val="2"/>
          <w:numId w:val="50"/>
        </w:numPr>
        <w:tabs>
          <w:tab w:val="left" w:pos="1624"/>
        </w:tabs>
        <w:spacing w:before="77" w:after="0" w:line="240" w:lineRule="auto"/>
        <w:ind w:left="1624" w:right="0" w:hanging="473"/>
        <w:jc w:val="both"/>
        <w:rPr>
          <w:rFonts w:hint="eastAsia" w:ascii="仿宋" w:eastAsia="仿宋"/>
          <w:sz w:val="21"/>
        </w:rPr>
      </w:pPr>
      <w:r>
        <w:rPr>
          <w:rFonts w:hint="eastAsia" w:ascii="仿宋" w:eastAsia="仿宋"/>
          <w:sz w:val="21"/>
        </w:rPr>
        <w:t>发包人供应的材料设备的保管费用的承担：</w:t>
      </w:r>
      <w:r>
        <w:rPr>
          <w:rFonts w:hint="eastAsia" w:ascii="仿宋" w:eastAsia="仿宋"/>
          <w:sz w:val="21"/>
          <w:u w:val="single"/>
        </w:rPr>
        <w:t>承包人承担</w:t>
      </w:r>
      <w:r>
        <w:rPr>
          <w:rFonts w:hint="eastAsia" w:ascii="仿宋" w:eastAsia="仿宋"/>
          <w:sz w:val="21"/>
        </w:rPr>
        <w:t>。</w:t>
      </w:r>
    </w:p>
    <w:p>
      <w:pPr>
        <w:pStyle w:val="13"/>
        <w:numPr>
          <w:ilvl w:val="1"/>
          <w:numId w:val="51"/>
        </w:numPr>
        <w:tabs>
          <w:tab w:val="left" w:pos="1519"/>
        </w:tabs>
        <w:spacing w:before="139" w:after="0" w:line="240" w:lineRule="auto"/>
        <w:ind w:left="1518" w:right="0" w:hanging="368"/>
        <w:jc w:val="left"/>
        <w:rPr>
          <w:rFonts w:hint="eastAsia" w:ascii="黑体" w:eastAsia="黑体"/>
          <w:sz w:val="21"/>
        </w:rPr>
      </w:pPr>
      <w:r>
        <w:rPr>
          <w:rFonts w:hint="eastAsia" w:ascii="黑体" w:eastAsia="黑体"/>
          <w:sz w:val="21"/>
        </w:rPr>
        <w:t>样品</w:t>
      </w:r>
    </w:p>
    <w:p>
      <w:pPr>
        <w:pStyle w:val="9"/>
        <w:spacing w:before="5"/>
        <w:rPr>
          <w:rFonts w:ascii="黑体"/>
          <w:sz w:val="20"/>
        </w:rPr>
      </w:pPr>
    </w:p>
    <w:p>
      <w:pPr>
        <w:pStyle w:val="13"/>
        <w:numPr>
          <w:ilvl w:val="2"/>
          <w:numId w:val="51"/>
        </w:numPr>
        <w:tabs>
          <w:tab w:val="left" w:pos="1992"/>
        </w:tabs>
        <w:spacing w:before="0" w:after="0" w:line="240" w:lineRule="auto"/>
        <w:ind w:left="1991" w:right="0" w:hanging="841"/>
        <w:jc w:val="both"/>
        <w:rPr>
          <w:rFonts w:hint="eastAsia" w:ascii="仿宋" w:eastAsia="仿宋"/>
          <w:sz w:val="21"/>
        </w:rPr>
      </w:pPr>
      <w:r>
        <w:rPr>
          <w:rFonts w:hint="eastAsia" w:ascii="仿宋" w:eastAsia="仿宋"/>
          <w:sz w:val="21"/>
        </w:rPr>
        <w:t>样品的报送与封存</w:t>
      </w:r>
    </w:p>
    <w:p>
      <w:pPr>
        <w:spacing w:before="139" w:line="364" w:lineRule="auto"/>
        <w:ind w:left="731" w:right="895" w:firstLine="420"/>
        <w:jc w:val="both"/>
        <w:rPr>
          <w:rFonts w:hint="eastAsia" w:ascii="仿宋" w:eastAsia="仿宋"/>
          <w:sz w:val="21"/>
        </w:rPr>
      </w:pPr>
      <w:r>
        <w:rPr>
          <w:rFonts w:hint="eastAsia" w:ascii="仿宋" w:eastAsia="仿宋"/>
          <w:w w:val="95"/>
          <w:sz w:val="21"/>
        </w:rPr>
        <w:t>需要承包人报送样品的材料或工程设备，样品的种类、名称、规格、数量要求：</w:t>
      </w:r>
      <w:r>
        <w:rPr>
          <w:rFonts w:hint="eastAsia" w:ascii="仿宋" w:eastAsia="仿宋"/>
          <w:w w:val="95"/>
          <w:sz w:val="21"/>
          <w:u w:val="single"/>
        </w:rPr>
        <w:t>工程使用的</w:t>
      </w:r>
      <w:r>
        <w:rPr>
          <w:rFonts w:hint="eastAsia" w:ascii="仿宋" w:eastAsia="仿宋"/>
          <w:spacing w:val="-199"/>
          <w:w w:val="95"/>
          <w:sz w:val="21"/>
          <w:u w:val="single"/>
        </w:rPr>
        <w:t>所有</w:t>
      </w:r>
      <w:r>
        <w:rPr>
          <w:rFonts w:hint="eastAsia" w:ascii="仿宋" w:eastAsia="仿宋"/>
          <w:spacing w:val="123"/>
          <w:w w:val="95"/>
          <w:sz w:val="21"/>
          <w:u w:val="single"/>
        </w:rPr>
        <w:t xml:space="preserve"> </w:t>
      </w:r>
      <w:r>
        <w:rPr>
          <w:rFonts w:hint="eastAsia" w:ascii="仿宋" w:eastAsia="仿宋"/>
          <w:w w:val="95"/>
          <w:sz w:val="21"/>
          <w:u w:val="single"/>
        </w:rPr>
        <w:t xml:space="preserve">材料设备均应按规定进行现场取样试验，并提供相应试验报告，乙供材料设备试验费用由承包人   自理。如承包人对甲供材料的质量存有疑问，有权对甲供的材料的质量要求复验，复验由承包人   认可的建设工程质量检验中心承担。经复验检测后，甲供的材料如质量不符合本招标文件及有关   规定的要求，由供货方负责清运至施工区域外，并由供货方承担相应的经济损失（包括复验检测   费用）。如质量符合本招标文件及有关规定的要求，复验检测费用及相应的工期和经济损失由承   </w:t>
      </w:r>
      <w:r>
        <w:rPr>
          <w:rFonts w:hint="eastAsia" w:ascii="仿宋" w:eastAsia="仿宋"/>
          <w:sz w:val="21"/>
          <w:u w:val="single"/>
        </w:rPr>
        <w:t>包人承担</w:t>
      </w:r>
      <w:r>
        <w:rPr>
          <w:rFonts w:hint="eastAsia" w:ascii="仿宋" w:eastAsia="仿宋"/>
          <w:sz w:val="21"/>
        </w:rPr>
        <w:t>。</w:t>
      </w:r>
    </w:p>
    <w:p>
      <w:pPr>
        <w:pStyle w:val="13"/>
        <w:numPr>
          <w:ilvl w:val="1"/>
          <w:numId w:val="52"/>
        </w:numPr>
        <w:tabs>
          <w:tab w:val="left" w:pos="1519"/>
        </w:tabs>
        <w:spacing w:before="0" w:after="0" w:line="265" w:lineRule="exact"/>
        <w:ind w:left="1518" w:right="0" w:hanging="368"/>
        <w:jc w:val="left"/>
        <w:rPr>
          <w:rFonts w:hint="eastAsia" w:ascii="黑体" w:eastAsia="黑体"/>
          <w:sz w:val="21"/>
        </w:rPr>
      </w:pPr>
      <w:r>
        <w:rPr>
          <w:rFonts w:hint="eastAsia" w:ascii="黑体" w:eastAsia="黑体"/>
          <w:sz w:val="21"/>
        </w:rPr>
        <w:t>施工设备和临时设施</w:t>
      </w:r>
    </w:p>
    <w:p>
      <w:pPr>
        <w:pStyle w:val="9"/>
        <w:spacing w:before="2"/>
        <w:rPr>
          <w:rFonts w:ascii="黑体"/>
          <w:sz w:val="20"/>
        </w:rPr>
      </w:pPr>
    </w:p>
    <w:p>
      <w:pPr>
        <w:pStyle w:val="13"/>
        <w:numPr>
          <w:ilvl w:val="2"/>
          <w:numId w:val="52"/>
        </w:numPr>
        <w:tabs>
          <w:tab w:val="left" w:pos="1677"/>
        </w:tabs>
        <w:spacing w:before="0" w:after="0" w:line="240" w:lineRule="auto"/>
        <w:ind w:left="1676" w:right="0" w:hanging="526"/>
        <w:jc w:val="both"/>
        <w:rPr>
          <w:rFonts w:hint="eastAsia" w:ascii="仿宋" w:eastAsia="仿宋"/>
          <w:sz w:val="21"/>
        </w:rPr>
      </w:pPr>
      <w:r>
        <w:rPr>
          <w:rFonts w:hint="eastAsia" w:ascii="仿宋" w:eastAsia="仿宋"/>
          <w:sz w:val="21"/>
        </w:rPr>
        <w:t>承包人提供的施工设备和临时设施</w:t>
      </w:r>
    </w:p>
    <w:p>
      <w:pPr>
        <w:spacing w:before="142"/>
        <w:ind w:left="1151" w:right="0" w:firstLine="0"/>
        <w:jc w:val="left"/>
        <w:rPr>
          <w:rFonts w:hint="eastAsia" w:ascii="仿宋" w:eastAsia="仿宋"/>
          <w:sz w:val="21"/>
        </w:rPr>
      </w:pPr>
      <w:r>
        <w:rPr>
          <w:rFonts w:hint="eastAsia" w:ascii="仿宋" w:eastAsia="仿宋"/>
          <w:sz w:val="21"/>
        </w:rPr>
        <w:t>关于修建临时设施费用承担的约定：</w:t>
      </w:r>
      <w:r>
        <w:rPr>
          <w:rFonts w:hint="eastAsia" w:ascii="仿宋" w:eastAsia="仿宋"/>
          <w:sz w:val="21"/>
          <w:u w:val="single"/>
        </w:rPr>
        <w:t>承包人承担</w:t>
      </w:r>
      <w:r>
        <w:rPr>
          <w:rFonts w:hint="eastAsia" w:ascii="仿宋" w:eastAsia="仿宋"/>
          <w:sz w:val="21"/>
        </w:rPr>
        <w:t>。</w:t>
      </w:r>
    </w:p>
    <w:p>
      <w:pPr>
        <w:pStyle w:val="9"/>
        <w:spacing w:before="2"/>
        <w:rPr>
          <w:rFonts w:ascii="仿宋"/>
          <w:sz w:val="20"/>
        </w:rPr>
      </w:pPr>
    </w:p>
    <w:p>
      <w:pPr>
        <w:pStyle w:val="13"/>
        <w:numPr>
          <w:ilvl w:val="0"/>
          <w:numId w:val="34"/>
        </w:numPr>
        <w:tabs>
          <w:tab w:val="left" w:pos="993"/>
        </w:tabs>
        <w:spacing w:before="0" w:after="0" w:line="240" w:lineRule="auto"/>
        <w:ind w:left="992" w:right="0" w:hanging="262"/>
        <w:jc w:val="left"/>
        <w:rPr>
          <w:rFonts w:hint="eastAsia" w:ascii="黑体" w:eastAsia="黑体"/>
          <w:sz w:val="21"/>
        </w:rPr>
      </w:pPr>
      <w:bookmarkStart w:id="65" w:name="9. 试验与检验"/>
      <w:bookmarkEnd w:id="65"/>
      <w:r>
        <w:rPr>
          <w:rFonts w:hint="eastAsia" w:ascii="黑体" w:eastAsia="黑体"/>
          <w:sz w:val="21"/>
        </w:rPr>
        <w:t>试验与检验</w:t>
      </w:r>
    </w:p>
    <w:p>
      <w:pPr>
        <w:pStyle w:val="9"/>
        <w:spacing w:before="3"/>
        <w:rPr>
          <w:rFonts w:ascii="黑体"/>
          <w:sz w:val="20"/>
        </w:rPr>
      </w:pPr>
    </w:p>
    <w:p>
      <w:pPr>
        <w:pStyle w:val="13"/>
        <w:numPr>
          <w:ilvl w:val="1"/>
          <w:numId w:val="34"/>
        </w:numPr>
        <w:tabs>
          <w:tab w:val="left" w:pos="1466"/>
        </w:tabs>
        <w:spacing w:before="0" w:after="0" w:line="240" w:lineRule="auto"/>
        <w:ind w:left="1465" w:right="0" w:hanging="315"/>
        <w:jc w:val="left"/>
        <w:rPr>
          <w:rFonts w:hint="eastAsia" w:ascii="黑体" w:eastAsia="黑体"/>
          <w:sz w:val="21"/>
        </w:rPr>
      </w:pPr>
      <w:r>
        <w:rPr>
          <w:rFonts w:hint="eastAsia" w:ascii="黑体" w:eastAsia="黑体"/>
          <w:sz w:val="21"/>
        </w:rPr>
        <w:t>试验设备与试验人员</w:t>
      </w:r>
    </w:p>
    <w:p>
      <w:pPr>
        <w:pStyle w:val="9"/>
        <w:spacing w:before="3"/>
        <w:rPr>
          <w:rFonts w:ascii="黑体"/>
          <w:sz w:val="20"/>
        </w:rPr>
      </w:pPr>
    </w:p>
    <w:p>
      <w:pPr>
        <w:spacing w:before="0"/>
        <w:ind w:left="1151" w:right="0" w:firstLine="0"/>
        <w:jc w:val="left"/>
        <w:rPr>
          <w:rFonts w:hint="eastAsia" w:ascii="仿宋" w:eastAsia="仿宋"/>
          <w:sz w:val="21"/>
        </w:rPr>
      </w:pPr>
      <w:r>
        <w:rPr>
          <w:rFonts w:ascii="Times New Roman" w:eastAsia="Times New Roman"/>
          <w:sz w:val="21"/>
        </w:rPr>
        <w:t>9.1.2</w:t>
      </w:r>
      <w:r>
        <w:rPr>
          <w:rFonts w:ascii="Times New Roman" w:eastAsia="Times New Roman"/>
          <w:spacing w:val="51"/>
          <w:sz w:val="21"/>
        </w:rPr>
        <w:t xml:space="preserve"> </w:t>
      </w:r>
      <w:r>
        <w:rPr>
          <w:rFonts w:hint="eastAsia" w:ascii="仿宋" w:eastAsia="仿宋"/>
          <w:sz w:val="21"/>
        </w:rPr>
        <w:t>试验设备</w:t>
      </w:r>
    </w:p>
    <w:p>
      <w:pPr>
        <w:spacing w:before="141" w:line="364" w:lineRule="auto"/>
        <w:ind w:left="1151" w:right="6086" w:firstLine="0"/>
        <w:jc w:val="left"/>
        <w:rPr>
          <w:rFonts w:hint="eastAsia" w:ascii="仿宋" w:eastAsia="仿宋"/>
          <w:sz w:val="21"/>
        </w:rPr>
      </w:pPr>
      <w:r>
        <w:rPr>
          <w:rFonts w:ascii="宋体" w:hAnsi="宋体" w:eastAsia="宋体" w:cs="宋体"/>
          <w:sz w:val="22"/>
          <w:szCs w:val="22"/>
          <w:lang w:val="zh-CN" w:eastAsia="zh-CN" w:bidi="zh-CN"/>
        </w:rPr>
        <w:pict>
          <v:line id="直线 10" o:spid="_x0000_s1061" style="position:absolute;left:0;margin-left:244.55pt;margin-top:18.8pt;height:0.05pt;width:2.85pt;mso-position-horizontal-relative:page;rotation:0f;z-index:-251649024;" o:ole="f" fillcolor="#FFFFFF" filled="f" o:preferrelative="t" stroked="t" coordsize="21600,21600">
            <v:fill on="f" color2="#FFFFFF" focus="0%"/>
            <v:stroke weight="0.48pt" color="#000000" color2="#FFFFFF" miterlimit="2"/>
            <v:imagedata gain="65536f" blacklevel="0f" gamma="0"/>
            <o:lock v:ext="edit" position="f" selection="f" grouping="f" rotation="f" cropping="f" text="f" aspectratio="f"/>
          </v:line>
        </w:pict>
      </w:r>
      <w:r>
        <w:rPr>
          <w:rFonts w:ascii="宋体" w:hAnsi="宋体" w:eastAsia="宋体" w:cs="宋体"/>
          <w:sz w:val="22"/>
          <w:szCs w:val="22"/>
          <w:lang w:val="zh-CN" w:eastAsia="zh-CN" w:bidi="zh-CN"/>
        </w:rPr>
        <w:pict>
          <v:line id="直线 11" o:spid="_x0000_s1062" style="position:absolute;left:0;margin-left:244.55pt;margin-top:39.2pt;height:0.05pt;width:2.85pt;mso-position-horizontal-relative:page;rotation:0f;z-index:-251648000;" o:ole="f" fillcolor="#FFFFFF" filled="f" o:preferrelative="t" stroked="t" coordsize="21600,21600">
            <v:fill on="f" color2="#FFFFFF" focus="0%"/>
            <v:stroke weight="0.48pt" color="#000000" color2="#FFFFFF" miterlimit="2"/>
            <v:imagedata gain="65536f" blacklevel="0f" gamma="0"/>
            <o:lock v:ext="edit" position="f" selection="f" grouping="f" rotation="f" cropping="f" text="f" aspectratio="f"/>
          </v:line>
        </w:pict>
      </w:r>
      <w:r>
        <w:rPr>
          <w:rFonts w:hint="eastAsia" w:ascii="仿宋" w:eastAsia="仿宋"/>
          <w:sz w:val="21"/>
        </w:rPr>
        <w:t>施工现场需要配置的试验场所：</w:t>
      </w:r>
      <w:r>
        <w:rPr>
          <w:rFonts w:ascii="Times New Roman" w:eastAsia="Times New Roman"/>
          <w:sz w:val="21"/>
        </w:rPr>
        <w:t>/</w:t>
      </w:r>
      <w:r>
        <w:rPr>
          <w:rFonts w:hint="eastAsia" w:ascii="仿宋" w:eastAsia="仿宋"/>
          <w:sz w:val="21"/>
        </w:rPr>
        <w:t>。施工现场需要配备的试验设备：</w:t>
      </w:r>
      <w:r>
        <w:rPr>
          <w:rFonts w:ascii="Times New Roman" w:eastAsia="Times New Roman"/>
          <w:sz w:val="21"/>
        </w:rPr>
        <w:t>/</w:t>
      </w:r>
      <w:r>
        <w:rPr>
          <w:rFonts w:hint="eastAsia" w:ascii="仿宋" w:eastAsia="仿宋"/>
          <w:sz w:val="21"/>
        </w:rPr>
        <w:t>。</w:t>
      </w:r>
    </w:p>
    <w:p>
      <w:pPr>
        <w:spacing w:before="0" w:line="267" w:lineRule="exact"/>
        <w:ind w:left="1151" w:right="0" w:firstLine="0"/>
        <w:jc w:val="left"/>
        <w:rPr>
          <w:rFonts w:hint="eastAsia" w:ascii="仿宋" w:eastAsia="仿宋"/>
          <w:sz w:val="21"/>
        </w:rPr>
      </w:pPr>
      <w:r>
        <w:rPr>
          <w:rFonts w:ascii="宋体" w:hAnsi="宋体" w:eastAsia="宋体" w:cs="宋体"/>
          <w:sz w:val="22"/>
          <w:szCs w:val="22"/>
          <w:lang w:val="zh-CN" w:eastAsia="zh-CN" w:bidi="zh-CN"/>
        </w:rPr>
        <w:pict>
          <v:line id="直线 12" o:spid="_x0000_s1063" style="position:absolute;left:0;margin-left:265.5pt;margin-top:11.75pt;height:0.05pt;width:2.85pt;mso-position-horizontal-relative:page;rotation:0f;z-index:251675648;" o:ole="f" fillcolor="#FFFFFF" filled="f" o:preferrelative="t" stroked="t" coordsize="21600,21600">
            <v:fill on="f" color2="#FFFFFF" focus="0%"/>
            <v:stroke weight="0.48pt" color="#000000" color2="#FFFFFF" miterlimit="2"/>
            <v:imagedata gain="65536f" blacklevel="0f" gamma="0"/>
            <o:lock v:ext="edit" position="f" selection="f" grouping="f" rotation="f" cropping="f" text="f" aspectratio="f"/>
          </v:line>
        </w:pict>
      </w:r>
      <w:r>
        <w:rPr>
          <w:rFonts w:hint="eastAsia" w:ascii="仿宋" w:eastAsia="仿宋"/>
          <w:sz w:val="21"/>
        </w:rPr>
        <w:t>施工现场需要具备的其他试验条件：</w:t>
      </w:r>
      <w:r>
        <w:rPr>
          <w:rFonts w:ascii="Times New Roman" w:eastAsia="Times New Roman"/>
          <w:sz w:val="21"/>
        </w:rPr>
        <w:t>/</w:t>
      </w:r>
      <w:r>
        <w:rPr>
          <w:rFonts w:hint="eastAsia" w:ascii="仿宋" w:eastAsia="仿宋"/>
          <w:sz w:val="21"/>
        </w:rPr>
        <w:t>。</w:t>
      </w:r>
    </w:p>
    <w:p>
      <w:pPr>
        <w:spacing w:before="139"/>
        <w:ind w:left="1151" w:right="0" w:firstLine="0"/>
        <w:jc w:val="left"/>
        <w:rPr>
          <w:rFonts w:hint="eastAsia" w:ascii="黑体" w:eastAsia="黑体"/>
          <w:sz w:val="21"/>
        </w:rPr>
      </w:pPr>
      <w:r>
        <w:rPr>
          <w:rFonts w:ascii="Times New Roman" w:eastAsia="Times New Roman"/>
          <w:sz w:val="21"/>
        </w:rPr>
        <w:t>9.4</w:t>
      </w:r>
      <w:r>
        <w:rPr>
          <w:rFonts w:ascii="Times New Roman" w:eastAsia="Times New Roman"/>
          <w:spacing w:val="51"/>
          <w:sz w:val="21"/>
        </w:rPr>
        <w:t xml:space="preserve"> </w:t>
      </w:r>
      <w:r>
        <w:rPr>
          <w:rFonts w:hint="eastAsia" w:ascii="黑体" w:eastAsia="黑体"/>
          <w:sz w:val="21"/>
        </w:rPr>
        <w:t>现场工艺试验</w:t>
      </w:r>
    </w:p>
    <w:p>
      <w:pPr>
        <w:pStyle w:val="9"/>
        <w:spacing w:before="3"/>
        <w:rPr>
          <w:rFonts w:ascii="黑体"/>
          <w:sz w:val="20"/>
        </w:rPr>
      </w:pPr>
    </w:p>
    <w:p>
      <w:pPr>
        <w:spacing w:before="0"/>
        <w:ind w:left="1151" w:right="0" w:firstLine="0"/>
        <w:jc w:val="left"/>
        <w:rPr>
          <w:rFonts w:hint="eastAsia" w:ascii="仿宋" w:eastAsia="仿宋"/>
          <w:sz w:val="21"/>
        </w:rPr>
      </w:pPr>
      <w:r>
        <w:rPr>
          <w:rFonts w:ascii="宋体" w:hAnsi="宋体" w:eastAsia="宋体" w:cs="宋体"/>
          <w:sz w:val="22"/>
          <w:szCs w:val="22"/>
          <w:lang w:val="zh-CN" w:eastAsia="zh-CN" w:bidi="zh-CN"/>
        </w:rPr>
        <w:pict>
          <v:line id="直线 13" o:spid="_x0000_s1064" style="position:absolute;left:0;margin-left:223.55pt;margin-top:11.85pt;height:0.05pt;width:2.85pt;mso-position-horizontal-relative:page;rotation:0f;z-index:251676672;" o:ole="f" fillcolor="#FFFFFF" filled="f" o:preferrelative="t" stroked="t" coordsize="21600,21600">
            <v:fill on="f" color2="#FFFFFF" focus="0%"/>
            <v:stroke weight="0.48pt" color="#000000" color2="#FFFFFF" miterlimit="2"/>
            <v:imagedata gain="65536f" blacklevel="0f" gamma="0"/>
            <o:lock v:ext="edit" position="f" selection="f" grouping="f" rotation="f" cropping="f" text="f" aspectratio="f"/>
          </v:line>
        </w:pict>
      </w:r>
      <w:r>
        <w:rPr>
          <w:rFonts w:hint="eastAsia" w:ascii="仿宋" w:eastAsia="仿宋"/>
          <w:sz w:val="21"/>
        </w:rPr>
        <w:t>现场工艺试验的有关约定：</w:t>
      </w:r>
      <w:r>
        <w:rPr>
          <w:rFonts w:ascii="Times New Roman" w:eastAsia="Times New Roman"/>
          <w:sz w:val="21"/>
        </w:rPr>
        <w:t>/</w:t>
      </w:r>
      <w:r>
        <w:rPr>
          <w:rFonts w:hint="eastAsia" w:ascii="仿宋" w:eastAsia="仿宋"/>
          <w:sz w:val="21"/>
        </w:rPr>
        <w:t>。</w:t>
      </w:r>
    </w:p>
    <w:p>
      <w:pPr>
        <w:pStyle w:val="9"/>
        <w:spacing w:before="2"/>
        <w:rPr>
          <w:rFonts w:ascii="仿宋"/>
          <w:sz w:val="20"/>
        </w:rPr>
      </w:pPr>
    </w:p>
    <w:p>
      <w:pPr>
        <w:pStyle w:val="13"/>
        <w:numPr>
          <w:ilvl w:val="0"/>
          <w:numId w:val="34"/>
        </w:numPr>
        <w:tabs>
          <w:tab w:val="left" w:pos="1099"/>
        </w:tabs>
        <w:spacing w:before="0" w:after="0" w:line="240" w:lineRule="auto"/>
        <w:ind w:left="1098" w:right="0" w:hanging="368"/>
        <w:jc w:val="left"/>
        <w:rPr>
          <w:rFonts w:hint="eastAsia" w:ascii="黑体" w:eastAsia="黑体"/>
          <w:sz w:val="21"/>
        </w:rPr>
      </w:pPr>
      <w:bookmarkStart w:id="66" w:name="10. 变更"/>
      <w:bookmarkEnd w:id="66"/>
      <w:r>
        <w:rPr>
          <w:rFonts w:hint="eastAsia" w:ascii="黑体" w:eastAsia="黑体"/>
          <w:sz w:val="21"/>
        </w:rPr>
        <w:t>变更</w:t>
      </w:r>
    </w:p>
    <w:p>
      <w:pPr>
        <w:pStyle w:val="9"/>
        <w:spacing w:before="5"/>
        <w:rPr>
          <w:rFonts w:ascii="黑体"/>
          <w:sz w:val="20"/>
        </w:rPr>
      </w:pPr>
    </w:p>
    <w:p>
      <w:pPr>
        <w:pStyle w:val="13"/>
        <w:numPr>
          <w:ilvl w:val="1"/>
          <w:numId w:val="34"/>
        </w:numPr>
        <w:tabs>
          <w:tab w:val="left" w:pos="1572"/>
        </w:tabs>
        <w:spacing w:before="0" w:after="0" w:line="240" w:lineRule="auto"/>
        <w:ind w:left="1571" w:right="0" w:hanging="421"/>
        <w:jc w:val="left"/>
        <w:rPr>
          <w:rFonts w:hint="eastAsia" w:ascii="黑体" w:eastAsia="黑体"/>
          <w:sz w:val="21"/>
        </w:rPr>
      </w:pPr>
      <w:r>
        <w:rPr>
          <w:rFonts w:hint="eastAsia" w:ascii="黑体" w:eastAsia="黑体"/>
          <w:sz w:val="21"/>
        </w:rPr>
        <w:t>变更的范围</w:t>
      </w:r>
    </w:p>
    <w:p>
      <w:pPr>
        <w:pStyle w:val="9"/>
        <w:spacing w:before="3"/>
        <w:rPr>
          <w:rFonts w:ascii="黑体"/>
          <w:sz w:val="20"/>
        </w:rPr>
      </w:pPr>
    </w:p>
    <w:p>
      <w:pPr>
        <w:spacing w:before="0"/>
        <w:ind w:left="1331" w:right="0" w:firstLine="0"/>
        <w:jc w:val="left"/>
        <w:rPr>
          <w:rFonts w:hint="eastAsia" w:ascii="仿宋" w:eastAsia="仿宋"/>
          <w:sz w:val="21"/>
        </w:rPr>
      </w:pPr>
      <w:r>
        <w:rPr>
          <w:rFonts w:hint="eastAsia" w:ascii="仿宋" w:eastAsia="仿宋"/>
          <w:sz w:val="21"/>
        </w:rPr>
        <w:t>关于变更的范围的约定：</w:t>
      </w:r>
      <w:r>
        <w:rPr>
          <w:rFonts w:hint="eastAsia" w:ascii="仿宋" w:eastAsia="仿宋"/>
          <w:sz w:val="21"/>
          <w:u w:val="single"/>
        </w:rPr>
        <w:t>执行通用条款</w:t>
      </w:r>
      <w:r>
        <w:rPr>
          <w:rFonts w:hint="eastAsia" w:ascii="仿宋" w:eastAsia="仿宋"/>
          <w:sz w:val="21"/>
        </w:rPr>
        <w:t>。</w:t>
      </w:r>
    </w:p>
    <w:p>
      <w:pPr>
        <w:pStyle w:val="13"/>
        <w:numPr>
          <w:ilvl w:val="1"/>
          <w:numId w:val="53"/>
        </w:numPr>
        <w:tabs>
          <w:tab w:val="left" w:pos="1624"/>
        </w:tabs>
        <w:spacing w:before="139" w:after="0" w:line="240" w:lineRule="auto"/>
        <w:ind w:left="1624" w:right="0" w:hanging="473"/>
        <w:jc w:val="left"/>
        <w:rPr>
          <w:rFonts w:hint="eastAsia" w:ascii="黑体" w:eastAsia="黑体"/>
          <w:sz w:val="21"/>
        </w:rPr>
      </w:pPr>
      <w:r>
        <w:rPr>
          <w:rFonts w:hint="eastAsia" w:ascii="黑体" w:eastAsia="黑体"/>
          <w:sz w:val="21"/>
        </w:rPr>
        <w:t>变更估价</w:t>
      </w:r>
    </w:p>
    <w:p>
      <w:pPr>
        <w:pStyle w:val="9"/>
        <w:spacing w:before="3"/>
        <w:rPr>
          <w:rFonts w:ascii="黑体"/>
          <w:sz w:val="20"/>
        </w:rPr>
      </w:pPr>
    </w:p>
    <w:p>
      <w:pPr>
        <w:pStyle w:val="13"/>
        <w:numPr>
          <w:ilvl w:val="2"/>
          <w:numId w:val="53"/>
        </w:numPr>
        <w:tabs>
          <w:tab w:val="left" w:pos="1780"/>
        </w:tabs>
        <w:spacing w:before="0" w:after="0" w:line="367" w:lineRule="auto"/>
        <w:ind w:left="1151" w:right="7345" w:firstLine="0"/>
        <w:jc w:val="left"/>
        <w:rPr>
          <w:rFonts w:ascii="Times New Roman" w:eastAsia="Times New Roman"/>
          <w:sz w:val="21"/>
        </w:rPr>
      </w:pPr>
      <w:r>
        <w:rPr>
          <w:rFonts w:hint="eastAsia" w:ascii="仿宋" w:eastAsia="仿宋"/>
          <w:sz w:val="21"/>
        </w:rPr>
        <w:t>变更估价原则关于变更估价的约定</w:t>
      </w:r>
      <w:r>
        <w:rPr>
          <w:rFonts w:ascii="Times New Roman" w:eastAsia="Times New Roman"/>
          <w:spacing w:val="-13"/>
          <w:sz w:val="21"/>
        </w:rPr>
        <w:t>:</w:t>
      </w:r>
    </w:p>
    <w:p>
      <w:pPr>
        <w:spacing w:before="0" w:line="264" w:lineRule="exact"/>
        <w:ind w:left="1151" w:right="0" w:firstLine="0"/>
        <w:jc w:val="left"/>
        <w:rPr>
          <w:rFonts w:hint="eastAsia" w:ascii="仿宋" w:eastAsia="仿宋"/>
          <w:sz w:val="21"/>
        </w:rPr>
      </w:pPr>
      <w:r>
        <w:rPr>
          <w:rFonts w:hint="eastAsia" w:ascii="仿宋" w:eastAsia="仿宋"/>
          <w:sz w:val="21"/>
        </w:rPr>
        <w:t>实际完成的工程量与工程量清单列明的工程量有偏差的，其综合单价不作调整。</w:t>
      </w:r>
    </w:p>
    <w:p>
      <w:pPr>
        <w:pStyle w:val="13"/>
        <w:numPr>
          <w:ilvl w:val="1"/>
          <w:numId w:val="53"/>
        </w:numPr>
        <w:tabs>
          <w:tab w:val="left" w:pos="1572"/>
        </w:tabs>
        <w:spacing w:before="139" w:after="0" w:line="240" w:lineRule="auto"/>
        <w:ind w:left="1571" w:right="0" w:hanging="421"/>
        <w:jc w:val="left"/>
        <w:rPr>
          <w:rFonts w:hint="eastAsia" w:ascii="黑体" w:eastAsia="黑体"/>
          <w:sz w:val="21"/>
        </w:rPr>
      </w:pPr>
      <w:r>
        <w:rPr>
          <w:rFonts w:hint="eastAsia" w:ascii="黑体" w:eastAsia="黑体"/>
          <w:sz w:val="21"/>
        </w:rPr>
        <w:t>承包人的合理化建议</w:t>
      </w:r>
    </w:p>
    <w:p>
      <w:pPr>
        <w:pStyle w:val="9"/>
        <w:spacing w:before="2"/>
        <w:rPr>
          <w:rFonts w:ascii="黑体"/>
          <w:sz w:val="20"/>
        </w:rPr>
      </w:pPr>
    </w:p>
    <w:p>
      <w:pPr>
        <w:spacing w:before="0" w:line="367" w:lineRule="auto"/>
        <w:ind w:left="1151" w:right="4256" w:firstLine="0"/>
        <w:jc w:val="left"/>
        <w:rPr>
          <w:rFonts w:hint="eastAsia" w:ascii="仿宋" w:eastAsia="仿宋"/>
          <w:sz w:val="21"/>
        </w:rPr>
      </w:pPr>
      <w:r>
        <w:rPr>
          <w:rFonts w:hint="eastAsia" w:ascii="仿宋" w:eastAsia="仿宋"/>
          <w:w w:val="95"/>
          <w:sz w:val="21"/>
        </w:rPr>
        <w:t>监理人审查承包人合理化建议的期限：</w:t>
      </w:r>
      <w:r>
        <w:rPr>
          <w:rFonts w:hint="eastAsia" w:ascii="仿宋" w:eastAsia="仿宋"/>
          <w:w w:val="95"/>
          <w:sz w:val="21"/>
          <w:u w:val="single"/>
        </w:rPr>
        <w:t>执行通用条款</w:t>
      </w:r>
      <w:r>
        <w:rPr>
          <w:rFonts w:hint="eastAsia" w:ascii="仿宋" w:eastAsia="仿宋"/>
          <w:w w:val="95"/>
          <w:sz w:val="21"/>
        </w:rPr>
        <w:t>。 发包人审批承包人合理化建议的期限：</w:t>
      </w:r>
      <w:r>
        <w:rPr>
          <w:rFonts w:hint="eastAsia" w:ascii="仿宋" w:eastAsia="仿宋"/>
          <w:w w:val="95"/>
          <w:sz w:val="21"/>
          <w:u w:val="single"/>
        </w:rPr>
        <w:t>执行通用条款</w:t>
      </w:r>
      <w:r>
        <w:rPr>
          <w:rFonts w:hint="eastAsia" w:ascii="仿宋" w:eastAsia="仿宋"/>
          <w:w w:val="95"/>
          <w:sz w:val="21"/>
        </w:rPr>
        <w:t>。</w:t>
      </w:r>
    </w:p>
    <w:p>
      <w:pPr>
        <w:spacing w:after="0" w:line="367" w:lineRule="auto"/>
        <w:jc w:val="left"/>
        <w:rPr>
          <w:rFonts w:hint="eastAsia" w:ascii="仿宋" w:eastAsia="仿宋"/>
          <w:sz w:val="21"/>
        </w:rPr>
        <w:sectPr>
          <w:pgSz w:w="11910" w:h="16840"/>
          <w:pgMar w:top="1100" w:right="660" w:bottom="1200" w:left="800" w:header="878" w:footer="1003" w:gutter="0"/>
          <w:cols w:space="720" w:num="1"/>
        </w:sectPr>
      </w:pPr>
    </w:p>
    <w:p>
      <w:pPr>
        <w:pStyle w:val="9"/>
        <w:spacing w:before="5"/>
        <w:rPr>
          <w:rFonts w:ascii="仿宋"/>
          <w:sz w:val="17"/>
        </w:rPr>
      </w:pPr>
    </w:p>
    <w:p>
      <w:pPr>
        <w:pStyle w:val="13"/>
        <w:numPr>
          <w:ilvl w:val="1"/>
          <w:numId w:val="54"/>
        </w:numPr>
        <w:tabs>
          <w:tab w:val="left" w:pos="1624"/>
        </w:tabs>
        <w:spacing w:before="77" w:after="0" w:line="240" w:lineRule="auto"/>
        <w:ind w:left="1624" w:right="0" w:hanging="473"/>
        <w:jc w:val="left"/>
        <w:rPr>
          <w:rFonts w:hint="eastAsia" w:ascii="黑体" w:eastAsia="黑体"/>
          <w:sz w:val="21"/>
        </w:rPr>
      </w:pPr>
      <w:r>
        <w:rPr>
          <w:rFonts w:hint="eastAsia" w:ascii="黑体" w:eastAsia="黑体"/>
          <w:sz w:val="21"/>
        </w:rPr>
        <w:t>暂估价</w:t>
      </w:r>
    </w:p>
    <w:p>
      <w:pPr>
        <w:spacing w:before="139" w:line="367" w:lineRule="auto"/>
        <w:ind w:left="731" w:right="895" w:firstLine="420"/>
        <w:jc w:val="left"/>
        <w:rPr>
          <w:rFonts w:hint="eastAsia" w:ascii="仿宋" w:eastAsia="仿宋"/>
          <w:sz w:val="21"/>
        </w:rPr>
      </w:pPr>
      <w:r>
        <w:rPr>
          <w:rFonts w:hint="eastAsia" w:ascii="仿宋" w:eastAsia="仿宋"/>
          <w:w w:val="95"/>
          <w:sz w:val="21"/>
        </w:rPr>
        <w:t xml:space="preserve">暂估价材料和工程设备的明细由工程例会会议纪要确定，经审价单位确认后与合同价款一起   </w:t>
      </w:r>
      <w:r>
        <w:rPr>
          <w:rFonts w:hint="eastAsia" w:ascii="仿宋" w:eastAsia="仿宋"/>
          <w:sz w:val="21"/>
        </w:rPr>
        <w:t>支付。</w:t>
      </w:r>
    </w:p>
    <w:p>
      <w:pPr>
        <w:pStyle w:val="13"/>
        <w:numPr>
          <w:ilvl w:val="2"/>
          <w:numId w:val="54"/>
        </w:numPr>
        <w:tabs>
          <w:tab w:val="left" w:pos="1780"/>
        </w:tabs>
        <w:spacing w:before="0" w:after="0" w:line="264" w:lineRule="exact"/>
        <w:ind w:left="1780" w:right="0" w:hanging="629"/>
        <w:jc w:val="left"/>
        <w:rPr>
          <w:rFonts w:hint="eastAsia" w:ascii="仿宋" w:eastAsia="仿宋"/>
          <w:sz w:val="21"/>
        </w:rPr>
      </w:pPr>
      <w:r>
        <w:rPr>
          <w:rFonts w:hint="eastAsia" w:ascii="仿宋" w:eastAsia="仿宋"/>
          <w:sz w:val="21"/>
        </w:rPr>
        <w:t>依法必须招标的暂估价项目</w:t>
      </w:r>
    </w:p>
    <w:p>
      <w:pPr>
        <w:spacing w:before="139"/>
        <w:ind w:left="1151" w:right="0" w:firstLine="0"/>
        <w:jc w:val="left"/>
        <w:rPr>
          <w:rFonts w:hint="eastAsia" w:ascii="仿宋" w:eastAsia="仿宋"/>
          <w:sz w:val="21"/>
        </w:rPr>
      </w:pPr>
      <w:r>
        <w:rPr>
          <w:rFonts w:hint="eastAsia" w:ascii="仿宋" w:eastAsia="仿宋"/>
          <w:sz w:val="21"/>
        </w:rPr>
        <w:t xml:space="preserve">对于依法必须招标的暂估价项目的确认和批准采取通用条款第 </w:t>
      </w:r>
      <w:r>
        <w:rPr>
          <w:rFonts w:ascii="Times New Roman" w:eastAsia="Times New Roman"/>
          <w:sz w:val="21"/>
          <w:u w:val="single"/>
        </w:rPr>
        <w:t>2</w:t>
      </w:r>
      <w:r>
        <w:rPr>
          <w:rFonts w:ascii="Times New Roman" w:eastAsia="Times New Roman"/>
          <w:sz w:val="21"/>
        </w:rPr>
        <w:t xml:space="preserve"> </w:t>
      </w:r>
      <w:r>
        <w:rPr>
          <w:rFonts w:hint="eastAsia" w:ascii="仿宋" w:eastAsia="仿宋"/>
          <w:sz w:val="21"/>
        </w:rPr>
        <w:t>种方式确定（根据住建部</w:t>
      </w:r>
    </w:p>
    <w:p>
      <w:pPr>
        <w:spacing w:before="138"/>
        <w:ind w:left="731" w:right="0" w:firstLine="0"/>
        <w:jc w:val="left"/>
        <w:rPr>
          <w:rFonts w:hint="eastAsia" w:ascii="仿宋" w:eastAsia="仿宋"/>
          <w:sz w:val="21"/>
        </w:rPr>
      </w:pPr>
      <w:r>
        <w:rPr>
          <w:rFonts w:ascii="Times New Roman" w:eastAsia="Times New Roman"/>
          <w:sz w:val="21"/>
        </w:rPr>
        <w:t xml:space="preserve">GF-2017-0201 </w:t>
      </w:r>
      <w:r>
        <w:rPr>
          <w:rFonts w:hint="eastAsia" w:ascii="仿宋" w:eastAsia="仿宋"/>
          <w:sz w:val="21"/>
        </w:rPr>
        <w:t>格式合同通用条款）。</w:t>
      </w:r>
    </w:p>
    <w:p>
      <w:pPr>
        <w:spacing w:before="142"/>
        <w:ind w:left="1151" w:right="0" w:firstLine="0"/>
        <w:jc w:val="left"/>
        <w:rPr>
          <w:rFonts w:hint="eastAsia" w:ascii="仿宋" w:eastAsia="仿宋"/>
          <w:sz w:val="21"/>
        </w:rPr>
      </w:pPr>
      <w:r>
        <w:rPr>
          <w:rFonts w:hint="eastAsia" w:ascii="仿宋" w:eastAsia="仿宋"/>
          <w:sz w:val="21"/>
        </w:rPr>
        <w:t>建设单位在暂估价项目的招标过程中行使决策权。</w:t>
      </w:r>
    </w:p>
    <w:p>
      <w:pPr>
        <w:pStyle w:val="13"/>
        <w:numPr>
          <w:ilvl w:val="2"/>
          <w:numId w:val="54"/>
        </w:numPr>
        <w:tabs>
          <w:tab w:val="left" w:pos="1780"/>
        </w:tabs>
        <w:spacing w:before="139" w:after="0" w:line="240" w:lineRule="auto"/>
        <w:ind w:left="1780" w:right="0" w:hanging="629"/>
        <w:jc w:val="both"/>
        <w:rPr>
          <w:rFonts w:hint="eastAsia" w:ascii="仿宋" w:eastAsia="仿宋"/>
          <w:sz w:val="21"/>
        </w:rPr>
      </w:pPr>
      <w:r>
        <w:rPr>
          <w:rFonts w:hint="eastAsia" w:ascii="仿宋" w:eastAsia="仿宋"/>
          <w:sz w:val="21"/>
        </w:rPr>
        <w:t>不属于依法必须招标的暂估价项目</w:t>
      </w:r>
    </w:p>
    <w:p>
      <w:pPr>
        <w:spacing w:before="139" w:line="364" w:lineRule="auto"/>
        <w:ind w:left="731" w:right="895" w:firstLine="420"/>
        <w:jc w:val="both"/>
        <w:rPr>
          <w:rFonts w:hint="eastAsia" w:ascii="仿宋" w:eastAsia="仿宋"/>
          <w:sz w:val="21"/>
        </w:rPr>
      </w:pPr>
      <w:r>
        <w:rPr>
          <w:rFonts w:hint="eastAsia" w:ascii="仿宋" w:eastAsia="仿宋"/>
          <w:w w:val="95"/>
          <w:sz w:val="21"/>
        </w:rPr>
        <w:t>对于不属于依法必须招标的暂估价项目的确认和批准：</w:t>
      </w:r>
      <w:r>
        <w:rPr>
          <w:rFonts w:hint="eastAsia" w:ascii="仿宋" w:eastAsia="仿宋"/>
          <w:w w:val="95"/>
          <w:sz w:val="21"/>
          <w:u w:val="single"/>
        </w:rPr>
        <w:t>由总包单位确定暂估价项目的施工单</w:t>
      </w:r>
      <w:r>
        <w:rPr>
          <w:rFonts w:hint="eastAsia" w:ascii="仿宋" w:eastAsia="仿宋"/>
          <w:spacing w:val="-199"/>
          <w:w w:val="95"/>
          <w:sz w:val="21"/>
          <w:u w:val="single"/>
        </w:rPr>
        <w:t>位或</w:t>
      </w:r>
      <w:r>
        <w:rPr>
          <w:rFonts w:hint="eastAsia" w:ascii="仿宋" w:eastAsia="仿宋"/>
          <w:spacing w:val="122"/>
          <w:w w:val="95"/>
          <w:sz w:val="21"/>
          <w:u w:val="single"/>
        </w:rPr>
        <w:t xml:space="preserve"> </w:t>
      </w:r>
      <w:r>
        <w:rPr>
          <w:rFonts w:hint="eastAsia" w:ascii="仿宋" w:eastAsia="仿宋"/>
          <w:w w:val="95"/>
          <w:sz w:val="21"/>
          <w:u w:val="single"/>
        </w:rPr>
        <w:t xml:space="preserve">材料供应商并承担相应的责任及风险，暂估价项目的最终结算价格不得超过本招标文件中暂估价   </w:t>
      </w:r>
      <w:r>
        <w:rPr>
          <w:rFonts w:hint="eastAsia" w:ascii="仿宋" w:eastAsia="仿宋"/>
          <w:sz w:val="21"/>
          <w:u w:val="single"/>
        </w:rPr>
        <w:t>金额，如超出则由总包单位承担，业主不再另行追加费用。</w:t>
      </w:r>
    </w:p>
    <w:p>
      <w:pPr>
        <w:pStyle w:val="13"/>
        <w:numPr>
          <w:ilvl w:val="1"/>
          <w:numId w:val="54"/>
        </w:numPr>
        <w:tabs>
          <w:tab w:val="left" w:pos="1624"/>
        </w:tabs>
        <w:spacing w:before="0" w:after="0" w:line="266" w:lineRule="exact"/>
        <w:ind w:left="1624" w:right="0" w:hanging="473"/>
        <w:jc w:val="both"/>
        <w:rPr>
          <w:rFonts w:hint="eastAsia" w:ascii="黑体" w:eastAsia="黑体"/>
          <w:sz w:val="21"/>
        </w:rPr>
      </w:pPr>
      <w:r>
        <w:rPr>
          <w:rFonts w:hint="eastAsia" w:ascii="黑体" w:eastAsia="黑体"/>
          <w:sz w:val="21"/>
        </w:rPr>
        <w:t>暂列金额</w:t>
      </w:r>
    </w:p>
    <w:p>
      <w:pPr>
        <w:pStyle w:val="9"/>
        <w:spacing w:before="5"/>
        <w:rPr>
          <w:rFonts w:ascii="黑体"/>
          <w:sz w:val="20"/>
        </w:rPr>
      </w:pPr>
    </w:p>
    <w:p>
      <w:pPr>
        <w:spacing w:before="0" w:line="364" w:lineRule="auto"/>
        <w:ind w:left="731" w:right="788" w:firstLine="420"/>
        <w:jc w:val="left"/>
        <w:rPr>
          <w:rFonts w:hint="eastAsia" w:ascii="仿宋" w:eastAsia="仿宋"/>
          <w:sz w:val="21"/>
        </w:rPr>
      </w:pPr>
      <w:r>
        <w:rPr>
          <w:rFonts w:hint="eastAsia" w:ascii="仿宋" w:eastAsia="仿宋"/>
          <w:sz w:val="21"/>
        </w:rPr>
        <w:t>合同当事人关于暂列金额使用的约定：</w:t>
      </w:r>
      <w:r>
        <w:rPr>
          <w:rFonts w:hint="eastAsia" w:ascii="仿宋" w:eastAsia="仿宋"/>
          <w:sz w:val="21"/>
          <w:u w:val="single"/>
        </w:rPr>
        <w:t>暂列金额是指发包人为可能发生工程变更而暂列的金</w:t>
      </w:r>
      <w:r>
        <w:rPr>
          <w:rFonts w:hint="eastAsia" w:ascii="仿宋" w:eastAsia="仿宋"/>
          <w:spacing w:val="-3"/>
          <w:w w:val="95"/>
          <w:sz w:val="21"/>
          <w:u w:val="single"/>
        </w:rPr>
        <w:t>额，包括因发包人提供的工程量清单漏项、清单有误引起的工程数量增加和施工过程中设计变更引</w:t>
      </w:r>
      <w:r>
        <w:rPr>
          <w:rFonts w:hint="eastAsia" w:ascii="仿宋" w:eastAsia="仿宋"/>
          <w:spacing w:val="143"/>
          <w:w w:val="95"/>
          <w:sz w:val="21"/>
          <w:u w:val="single"/>
        </w:rPr>
        <w:t xml:space="preserve"> </w:t>
      </w:r>
      <w:r>
        <w:rPr>
          <w:rFonts w:hint="eastAsia" w:ascii="仿宋" w:eastAsia="仿宋"/>
          <w:sz w:val="21"/>
          <w:u w:val="single"/>
        </w:rPr>
        <w:t xml:space="preserve">起新的清单项目或工程数量增加等需要增加的金额，招标人委托具有建设行政主管部门颁发资  </w:t>
      </w:r>
      <w:r>
        <w:rPr>
          <w:rFonts w:hint="eastAsia" w:ascii="仿宋" w:eastAsia="仿宋"/>
          <w:spacing w:val="-7"/>
          <w:w w:val="95"/>
          <w:sz w:val="21"/>
          <w:u w:val="single"/>
        </w:rPr>
        <w:t>质的造价咨询机构审定后，按照审定造价支付部分暂列金额。暂列金额是招标人自行确定设立的，</w:t>
      </w:r>
      <w:r>
        <w:rPr>
          <w:rFonts w:hint="eastAsia" w:ascii="仿宋" w:eastAsia="仿宋"/>
          <w:spacing w:val="-199"/>
          <w:w w:val="95"/>
          <w:sz w:val="21"/>
          <w:u w:val="single"/>
        </w:rPr>
        <w:t>承包</w:t>
      </w:r>
      <w:r>
        <w:rPr>
          <w:rFonts w:hint="eastAsia" w:ascii="仿宋" w:eastAsia="仿宋"/>
          <w:spacing w:val="153"/>
          <w:w w:val="95"/>
          <w:sz w:val="21"/>
          <w:u w:val="single"/>
        </w:rPr>
        <w:t xml:space="preserve"> </w:t>
      </w:r>
      <w:r>
        <w:rPr>
          <w:rFonts w:hint="eastAsia" w:ascii="仿宋" w:eastAsia="仿宋"/>
          <w:spacing w:val="-8"/>
          <w:w w:val="95"/>
          <w:sz w:val="21"/>
          <w:u w:val="single"/>
        </w:rPr>
        <w:t xml:space="preserve">商无权使用此笔费用。此费用按实际发生经招标人签证后确定全部使用、部分使用或不使用。暂列   </w:t>
      </w:r>
      <w:r>
        <w:rPr>
          <w:rFonts w:hint="eastAsia" w:ascii="仿宋" w:eastAsia="仿宋"/>
          <w:spacing w:val="-8"/>
          <w:sz w:val="21"/>
          <w:u w:val="single"/>
        </w:rPr>
        <w:t>金额不计入工程款付款的基数。</w:t>
      </w:r>
    </w:p>
    <w:p>
      <w:pPr>
        <w:pStyle w:val="13"/>
        <w:numPr>
          <w:ilvl w:val="0"/>
          <w:numId w:val="34"/>
        </w:numPr>
        <w:tabs>
          <w:tab w:val="left" w:pos="1099"/>
        </w:tabs>
        <w:spacing w:before="116" w:after="0" w:line="240" w:lineRule="auto"/>
        <w:ind w:left="1098" w:right="0" w:hanging="368"/>
        <w:jc w:val="left"/>
        <w:rPr>
          <w:rFonts w:hint="eastAsia" w:ascii="黑体" w:eastAsia="黑体"/>
          <w:sz w:val="21"/>
        </w:rPr>
      </w:pPr>
      <w:bookmarkStart w:id="67" w:name="11. 价格调整"/>
      <w:bookmarkEnd w:id="67"/>
      <w:r>
        <w:rPr>
          <w:rFonts w:hint="eastAsia" w:ascii="黑体" w:eastAsia="黑体"/>
          <w:sz w:val="21"/>
        </w:rPr>
        <w:t>价格调整</w:t>
      </w:r>
    </w:p>
    <w:p>
      <w:pPr>
        <w:pStyle w:val="9"/>
        <w:spacing w:before="3"/>
        <w:rPr>
          <w:rFonts w:ascii="黑体"/>
          <w:sz w:val="20"/>
        </w:rPr>
      </w:pPr>
    </w:p>
    <w:p>
      <w:pPr>
        <w:pStyle w:val="13"/>
        <w:numPr>
          <w:ilvl w:val="1"/>
          <w:numId w:val="34"/>
        </w:numPr>
        <w:tabs>
          <w:tab w:val="left" w:pos="1615"/>
        </w:tabs>
        <w:spacing w:before="0" w:after="0" w:line="240" w:lineRule="auto"/>
        <w:ind w:left="1614" w:right="0" w:hanging="464"/>
        <w:jc w:val="left"/>
        <w:rPr>
          <w:rFonts w:hint="eastAsia" w:ascii="黑体" w:eastAsia="黑体"/>
          <w:sz w:val="21"/>
        </w:rPr>
      </w:pPr>
      <w:r>
        <w:rPr>
          <w:rFonts w:hint="eastAsia" w:ascii="黑体" w:eastAsia="黑体"/>
          <w:sz w:val="21"/>
        </w:rPr>
        <w:t>市场价格波动引起的调整</w:t>
      </w:r>
    </w:p>
    <w:p>
      <w:pPr>
        <w:pStyle w:val="9"/>
        <w:spacing w:before="3"/>
        <w:rPr>
          <w:rFonts w:ascii="黑体"/>
          <w:sz w:val="20"/>
        </w:rPr>
      </w:pPr>
    </w:p>
    <w:p>
      <w:pPr>
        <w:spacing w:before="0"/>
        <w:ind w:left="1151" w:right="0" w:firstLine="0"/>
        <w:jc w:val="left"/>
        <w:rPr>
          <w:rFonts w:hint="eastAsia" w:ascii="仿宋" w:eastAsia="仿宋"/>
          <w:sz w:val="21"/>
        </w:rPr>
      </w:pPr>
      <w:r>
        <w:rPr>
          <w:rFonts w:hint="eastAsia" w:ascii="仿宋" w:eastAsia="仿宋"/>
          <w:sz w:val="21"/>
        </w:rPr>
        <w:t>市场价格波动是否调整合同价格的约定：</w:t>
      </w:r>
      <w:r>
        <w:rPr>
          <w:rFonts w:hint="eastAsia" w:ascii="仿宋" w:eastAsia="仿宋"/>
          <w:sz w:val="21"/>
          <w:u w:val="single"/>
        </w:rPr>
        <w:t>否</w:t>
      </w:r>
      <w:r>
        <w:rPr>
          <w:rFonts w:hint="eastAsia" w:ascii="仿宋" w:eastAsia="仿宋"/>
          <w:sz w:val="21"/>
        </w:rPr>
        <w:t>。</w:t>
      </w:r>
    </w:p>
    <w:p>
      <w:pPr>
        <w:pStyle w:val="9"/>
        <w:spacing w:before="2"/>
        <w:rPr>
          <w:rFonts w:ascii="仿宋"/>
          <w:sz w:val="20"/>
        </w:rPr>
      </w:pPr>
    </w:p>
    <w:p>
      <w:pPr>
        <w:pStyle w:val="13"/>
        <w:numPr>
          <w:ilvl w:val="0"/>
          <w:numId w:val="34"/>
        </w:numPr>
        <w:tabs>
          <w:tab w:val="left" w:pos="1099"/>
        </w:tabs>
        <w:spacing w:before="0" w:after="0" w:line="240" w:lineRule="auto"/>
        <w:ind w:left="1098" w:right="0" w:hanging="368"/>
        <w:jc w:val="left"/>
        <w:rPr>
          <w:rFonts w:hint="eastAsia" w:ascii="黑体" w:eastAsia="黑体"/>
          <w:sz w:val="21"/>
        </w:rPr>
      </w:pPr>
      <w:bookmarkStart w:id="68" w:name="12. 合同价格、计量与支付"/>
      <w:bookmarkEnd w:id="68"/>
      <w:r>
        <w:rPr>
          <w:rFonts w:hint="eastAsia" w:ascii="黑体" w:eastAsia="黑体"/>
          <w:sz w:val="21"/>
        </w:rPr>
        <w:t>合同价格、计量与支付</w:t>
      </w:r>
    </w:p>
    <w:p>
      <w:pPr>
        <w:pStyle w:val="9"/>
        <w:spacing w:before="5"/>
        <w:rPr>
          <w:rFonts w:ascii="黑体"/>
          <w:sz w:val="20"/>
        </w:rPr>
      </w:pPr>
    </w:p>
    <w:p>
      <w:pPr>
        <w:pStyle w:val="13"/>
        <w:numPr>
          <w:ilvl w:val="1"/>
          <w:numId w:val="34"/>
        </w:numPr>
        <w:tabs>
          <w:tab w:val="left" w:pos="1624"/>
        </w:tabs>
        <w:spacing w:before="0" w:after="0" w:line="240" w:lineRule="auto"/>
        <w:ind w:left="1624" w:right="0" w:hanging="473"/>
        <w:jc w:val="left"/>
        <w:rPr>
          <w:rFonts w:hint="eastAsia" w:ascii="黑体" w:eastAsia="黑体"/>
          <w:sz w:val="21"/>
        </w:rPr>
      </w:pPr>
      <w:r>
        <w:rPr>
          <w:rFonts w:hint="eastAsia" w:ascii="黑体" w:eastAsia="黑体"/>
          <w:sz w:val="21"/>
        </w:rPr>
        <w:t>合同价格形式</w:t>
      </w:r>
    </w:p>
    <w:p>
      <w:pPr>
        <w:pStyle w:val="9"/>
        <w:spacing w:before="4"/>
        <w:rPr>
          <w:rFonts w:ascii="黑体"/>
          <w:sz w:val="14"/>
        </w:rPr>
      </w:pPr>
    </w:p>
    <w:p>
      <w:pPr>
        <w:spacing w:before="76"/>
        <w:ind w:left="1151" w:right="0" w:firstLine="0"/>
        <w:jc w:val="left"/>
        <w:rPr>
          <w:rFonts w:hint="eastAsia" w:ascii="仿宋" w:eastAsia="仿宋"/>
          <w:sz w:val="21"/>
        </w:rPr>
      </w:pPr>
      <w:r>
        <w:rPr>
          <w:rFonts w:ascii="Times New Roman" w:eastAsia="Times New Roman"/>
          <w:sz w:val="21"/>
        </w:rPr>
        <w:t>1</w:t>
      </w:r>
      <w:r>
        <w:rPr>
          <w:rFonts w:hint="eastAsia" w:ascii="仿宋" w:eastAsia="仿宋"/>
          <w:sz w:val="21"/>
        </w:rPr>
        <w:t>、单价合同</w:t>
      </w:r>
    </w:p>
    <w:p>
      <w:pPr>
        <w:spacing w:before="139"/>
        <w:ind w:left="1151" w:right="0" w:firstLine="0"/>
        <w:jc w:val="left"/>
        <w:rPr>
          <w:rFonts w:hint="eastAsia" w:ascii="仿宋" w:eastAsia="仿宋"/>
          <w:sz w:val="21"/>
        </w:rPr>
      </w:pPr>
      <w:r>
        <w:rPr>
          <w:rFonts w:hint="eastAsia" w:ascii="仿宋" w:eastAsia="仿宋"/>
          <w:sz w:val="21"/>
        </w:rPr>
        <w:t>每一项综合单价包括但不限于以下内容：</w:t>
      </w:r>
    </w:p>
    <w:p>
      <w:pPr>
        <w:spacing w:before="139"/>
        <w:ind w:left="1151" w:right="0" w:firstLine="0"/>
        <w:jc w:val="left"/>
        <w:rPr>
          <w:rFonts w:hint="eastAsia" w:ascii="仿宋" w:hAnsi="仿宋" w:eastAsia="仿宋"/>
          <w:sz w:val="21"/>
        </w:rPr>
      </w:pPr>
      <w:r>
        <w:rPr>
          <w:rFonts w:hint="eastAsia" w:ascii="仿宋" w:hAnsi="仿宋" w:eastAsia="仿宋"/>
          <w:sz w:val="21"/>
        </w:rPr>
        <w:t>①人工及所有有关费用</w:t>
      </w:r>
      <w:r>
        <w:rPr>
          <w:rFonts w:ascii="Times New Roman" w:hAnsi="Times New Roman" w:eastAsia="Times New Roman"/>
          <w:sz w:val="21"/>
        </w:rPr>
        <w:t xml:space="preserve">: </w:t>
      </w:r>
      <w:r>
        <w:rPr>
          <w:rFonts w:hint="eastAsia" w:ascii="仿宋" w:hAnsi="仿宋" w:eastAsia="仿宋"/>
          <w:sz w:val="21"/>
        </w:rPr>
        <w:t>支付给从事工程建设施工的生产工人和附属生产单位工人的各项费</w:t>
      </w:r>
    </w:p>
    <w:p>
      <w:pPr>
        <w:spacing w:before="141"/>
        <w:ind w:left="731" w:right="0" w:firstLine="0"/>
        <w:jc w:val="left"/>
        <w:rPr>
          <w:rFonts w:hint="eastAsia" w:ascii="仿宋" w:eastAsia="仿宋"/>
          <w:sz w:val="21"/>
        </w:rPr>
      </w:pPr>
      <w:r>
        <w:rPr>
          <w:rFonts w:hint="eastAsia" w:ascii="仿宋" w:eastAsia="仿宋"/>
          <w:sz w:val="21"/>
        </w:rPr>
        <w:t>用。</w:t>
      </w:r>
    </w:p>
    <w:p>
      <w:pPr>
        <w:spacing w:before="139"/>
        <w:ind w:left="1151" w:right="0" w:firstLine="0"/>
        <w:jc w:val="left"/>
        <w:rPr>
          <w:rFonts w:hint="eastAsia" w:ascii="仿宋" w:hAnsi="仿宋" w:eastAsia="仿宋"/>
          <w:sz w:val="21"/>
        </w:rPr>
      </w:pPr>
      <w:r>
        <w:rPr>
          <w:rFonts w:hint="eastAsia" w:ascii="仿宋" w:hAnsi="仿宋" w:eastAsia="仿宋"/>
          <w:sz w:val="21"/>
        </w:rPr>
        <w:t>②材料、物品及裁切及损耗等所有有关费用</w:t>
      </w:r>
      <w:r>
        <w:rPr>
          <w:rFonts w:ascii="Times New Roman" w:hAnsi="Times New Roman" w:eastAsia="Times New Roman"/>
          <w:sz w:val="21"/>
        </w:rPr>
        <w:t xml:space="preserve">: </w:t>
      </w:r>
      <w:r>
        <w:rPr>
          <w:rFonts w:hint="eastAsia" w:ascii="仿宋" w:hAnsi="仿宋" w:eastAsia="仿宋"/>
          <w:sz w:val="21"/>
        </w:rPr>
        <w:t>施工过程中耗费的原材料、辅助材料、构配件、</w:t>
      </w:r>
    </w:p>
    <w:p>
      <w:pPr>
        <w:spacing w:before="139"/>
        <w:ind w:left="731" w:right="0" w:firstLine="0"/>
        <w:jc w:val="left"/>
        <w:rPr>
          <w:rFonts w:hint="eastAsia" w:ascii="仿宋" w:eastAsia="仿宋"/>
          <w:sz w:val="21"/>
        </w:rPr>
      </w:pPr>
      <w:r>
        <w:rPr>
          <w:rFonts w:hint="eastAsia" w:ascii="仿宋" w:eastAsia="仿宋"/>
          <w:sz w:val="21"/>
        </w:rPr>
        <w:t>零件、半成品或成品的费用。</w:t>
      </w:r>
    </w:p>
    <w:p>
      <w:pPr>
        <w:spacing w:before="139"/>
        <w:ind w:left="1151" w:right="0" w:firstLine="0"/>
        <w:jc w:val="left"/>
        <w:rPr>
          <w:rFonts w:hint="eastAsia" w:ascii="仿宋" w:hAnsi="仿宋" w:eastAsia="仿宋"/>
          <w:sz w:val="21"/>
        </w:rPr>
      </w:pPr>
      <w:r>
        <w:rPr>
          <w:rFonts w:hint="eastAsia" w:ascii="仿宋" w:hAnsi="仿宋" w:eastAsia="仿宋"/>
          <w:sz w:val="21"/>
        </w:rPr>
        <w:t>③施工机具使用费：工程施工作业所发生的施工机械、仪器仪表使用费或其租赁费。</w:t>
      </w:r>
    </w:p>
    <w:p>
      <w:pPr>
        <w:spacing w:before="141"/>
        <w:ind w:left="1151" w:right="0" w:firstLine="0"/>
        <w:jc w:val="left"/>
        <w:rPr>
          <w:rFonts w:hint="eastAsia" w:ascii="仿宋" w:hAnsi="仿宋" w:eastAsia="仿宋"/>
          <w:sz w:val="21"/>
        </w:rPr>
      </w:pPr>
      <w:r>
        <w:rPr>
          <w:rFonts w:hint="eastAsia" w:ascii="仿宋" w:hAnsi="仿宋" w:eastAsia="仿宋"/>
          <w:sz w:val="21"/>
        </w:rPr>
        <w:t>④水、电费用；</w:t>
      </w:r>
    </w:p>
    <w:p>
      <w:pPr>
        <w:spacing w:before="139"/>
        <w:ind w:left="1151" w:right="0" w:firstLine="0"/>
        <w:jc w:val="left"/>
        <w:rPr>
          <w:rFonts w:hint="eastAsia" w:ascii="仿宋" w:hAnsi="仿宋" w:eastAsia="仿宋"/>
          <w:sz w:val="21"/>
        </w:rPr>
      </w:pPr>
      <w:r>
        <w:rPr>
          <w:rFonts w:hint="eastAsia" w:ascii="仿宋" w:hAnsi="仿宋" w:eastAsia="仿宋"/>
          <w:sz w:val="21"/>
        </w:rPr>
        <w:t>⑤企业管理费：管理人员工资、办公费、差旅交通费、固定资产使用费、工具用具使用费、</w:t>
      </w:r>
    </w:p>
    <w:p>
      <w:pPr>
        <w:spacing w:after="0"/>
        <w:jc w:val="left"/>
        <w:rPr>
          <w:rFonts w:hint="eastAsia" w:ascii="仿宋" w:hAnsi="仿宋" w:eastAsia="仿宋"/>
          <w:sz w:val="21"/>
        </w:rPr>
        <w:sectPr>
          <w:footerReference r:id="rId11" w:type="default"/>
          <w:pgSz w:w="11910" w:h="16840"/>
          <w:pgMar w:top="1100" w:right="660" w:bottom="1200" w:left="800" w:header="878" w:footer="1003" w:gutter="0"/>
          <w:pgNumType w:start="40"/>
          <w:cols w:space="720" w:num="1"/>
        </w:sectPr>
      </w:pPr>
    </w:p>
    <w:p>
      <w:pPr>
        <w:pStyle w:val="9"/>
        <w:spacing w:before="12"/>
        <w:rPr>
          <w:rFonts w:ascii="仿宋"/>
          <w:sz w:val="17"/>
        </w:rPr>
      </w:pPr>
    </w:p>
    <w:p>
      <w:pPr>
        <w:spacing w:before="70" w:line="364" w:lineRule="auto"/>
        <w:ind w:left="731" w:right="754" w:firstLine="0"/>
        <w:jc w:val="left"/>
        <w:rPr>
          <w:rFonts w:hint="eastAsia" w:ascii="仿宋" w:eastAsia="仿宋"/>
          <w:sz w:val="21"/>
        </w:rPr>
      </w:pPr>
      <w:r>
        <w:rPr>
          <w:rFonts w:hint="eastAsia" w:ascii="仿宋" w:eastAsia="仿宋"/>
          <w:sz w:val="21"/>
        </w:rPr>
        <w:t>劳动保险和职工福利费、劳动保护费、材料采购和保管费、检验试验费（内容包括《建筑工程检测试验技术管理规范》（</w:t>
      </w:r>
      <w:r>
        <w:rPr>
          <w:rFonts w:ascii="Times New Roman" w:eastAsia="Times New Roman"/>
          <w:sz w:val="21"/>
        </w:rPr>
        <w:t>JGJ 190-2010</w:t>
      </w:r>
      <w:r>
        <w:rPr>
          <w:rFonts w:hint="eastAsia" w:ascii="仿宋" w:eastAsia="仿宋"/>
          <w:sz w:val="21"/>
        </w:rPr>
        <w:t>）所要求的检验、试验、复测、复验等费；不包括新结构、新材料的试验费，以及对构件做破坏性试验及其他特殊要求检验试验的费用和建设单位委托检机构进行检测的费用）、工会经费、职工教育经费、财产保险费、财务费、房产税、车船使用税、土地使用税、印花税、技术转让费、技术开发费、投标费、业务招待费、绿化费、广告费、公证费、法律顾问费、审计费、咨询费、保险费等。</w:t>
      </w:r>
    </w:p>
    <w:p>
      <w:pPr>
        <w:spacing w:before="0" w:line="268" w:lineRule="exact"/>
        <w:ind w:left="1360" w:right="0" w:firstLine="0"/>
        <w:jc w:val="left"/>
        <w:rPr>
          <w:rFonts w:hint="eastAsia" w:ascii="仿宋" w:hAnsi="仿宋" w:eastAsia="仿宋"/>
          <w:sz w:val="21"/>
        </w:rPr>
      </w:pPr>
      <w:r>
        <w:rPr>
          <w:rFonts w:hint="eastAsia" w:ascii="仿宋" w:hAnsi="仿宋" w:eastAsia="仿宋"/>
          <w:sz w:val="21"/>
        </w:rPr>
        <w:t>⑥投标单位的期望利润；</w:t>
      </w:r>
    </w:p>
    <w:p>
      <w:pPr>
        <w:pStyle w:val="9"/>
        <w:spacing w:before="5"/>
        <w:rPr>
          <w:rFonts w:ascii="仿宋"/>
          <w:sz w:val="25"/>
        </w:rPr>
      </w:pPr>
    </w:p>
    <w:p>
      <w:pPr>
        <w:spacing w:before="0"/>
        <w:ind w:left="1360" w:right="0" w:firstLine="0"/>
        <w:jc w:val="left"/>
        <w:rPr>
          <w:rFonts w:hint="eastAsia" w:ascii="仿宋" w:hAnsi="仿宋" w:eastAsia="仿宋"/>
          <w:sz w:val="21"/>
        </w:rPr>
      </w:pPr>
      <w:r>
        <w:rPr>
          <w:rFonts w:hint="eastAsia" w:ascii="仿宋" w:hAnsi="仿宋" w:eastAsia="仿宋"/>
          <w:sz w:val="21"/>
        </w:rPr>
        <w:t>⑦风险因素（招标文件、合同条款约定可作调整的除外）；</w:t>
      </w:r>
    </w:p>
    <w:p>
      <w:pPr>
        <w:spacing w:before="43" w:line="364" w:lineRule="auto"/>
        <w:ind w:left="1151" w:right="789" w:firstLine="105"/>
        <w:jc w:val="left"/>
        <w:rPr>
          <w:rFonts w:hint="eastAsia" w:ascii="仿宋" w:eastAsia="仿宋"/>
          <w:sz w:val="21"/>
        </w:rPr>
      </w:pPr>
      <w:r>
        <w:rPr>
          <w:rFonts w:hint="eastAsia" w:ascii="仿宋" w:eastAsia="仿宋"/>
          <w:w w:val="95"/>
          <w:sz w:val="21"/>
        </w:rPr>
        <w:t>综合单价包含的风险范围：</w:t>
      </w:r>
      <w:r>
        <w:rPr>
          <w:rFonts w:hint="eastAsia" w:ascii="仿宋" w:eastAsia="仿宋"/>
          <w:w w:val="95"/>
          <w:sz w:val="21"/>
          <w:u w:val="single"/>
        </w:rPr>
        <w:t xml:space="preserve">除招标文件、合同条款约定允许调整外，综合单价均不作调整。   </w:t>
      </w:r>
      <w:r>
        <w:rPr>
          <w:rFonts w:hint="eastAsia" w:ascii="仿宋" w:eastAsia="仿宋"/>
          <w:sz w:val="21"/>
        </w:rPr>
        <w:t>风险费用的计算方法：</w:t>
      </w:r>
      <w:r>
        <w:rPr>
          <w:rFonts w:hint="eastAsia" w:ascii="仿宋" w:eastAsia="仿宋"/>
          <w:sz w:val="21"/>
          <w:u w:val="single"/>
        </w:rPr>
        <w:t>/</w:t>
      </w:r>
      <w:r>
        <w:rPr>
          <w:rFonts w:hint="eastAsia" w:ascii="仿宋" w:eastAsia="仿宋"/>
          <w:sz w:val="21"/>
        </w:rPr>
        <w:t>。</w:t>
      </w:r>
    </w:p>
    <w:p>
      <w:pPr>
        <w:spacing w:before="0" w:line="267" w:lineRule="exact"/>
        <w:ind w:left="1151" w:right="0" w:firstLine="0"/>
        <w:jc w:val="left"/>
        <w:rPr>
          <w:rFonts w:hint="eastAsia" w:ascii="仿宋" w:eastAsia="仿宋"/>
          <w:sz w:val="21"/>
        </w:rPr>
      </w:pPr>
      <w:r>
        <w:rPr>
          <w:rFonts w:hint="eastAsia" w:ascii="仿宋" w:eastAsia="仿宋"/>
          <w:sz w:val="21"/>
        </w:rPr>
        <w:t>风险范围以外合同价格的调整方法：</w:t>
      </w:r>
    </w:p>
    <w:p>
      <w:pPr>
        <w:pStyle w:val="13"/>
        <w:numPr>
          <w:ilvl w:val="0"/>
          <w:numId w:val="55"/>
        </w:numPr>
        <w:tabs>
          <w:tab w:val="left" w:pos="1676"/>
        </w:tabs>
        <w:spacing w:before="142" w:after="0" w:line="240" w:lineRule="auto"/>
        <w:ind w:left="1675" w:right="0" w:hanging="525"/>
        <w:jc w:val="left"/>
        <w:rPr>
          <w:rFonts w:hint="eastAsia" w:ascii="仿宋" w:eastAsia="仿宋"/>
          <w:sz w:val="21"/>
        </w:rPr>
      </w:pPr>
      <w:r>
        <w:rPr>
          <w:rFonts w:hint="eastAsia" w:ascii="仿宋" w:eastAsia="仿宋"/>
          <w:sz w:val="21"/>
        </w:rPr>
        <w:t>合同中有适用于变更工程的价格，按合同已有的价格变更合同价款；</w:t>
      </w:r>
    </w:p>
    <w:p>
      <w:pPr>
        <w:pStyle w:val="13"/>
        <w:numPr>
          <w:ilvl w:val="0"/>
          <w:numId w:val="55"/>
        </w:numPr>
        <w:tabs>
          <w:tab w:val="left" w:pos="1676"/>
        </w:tabs>
        <w:spacing w:before="139" w:after="0" w:line="240" w:lineRule="auto"/>
        <w:ind w:left="1675" w:right="0" w:hanging="525"/>
        <w:jc w:val="left"/>
        <w:rPr>
          <w:rFonts w:hint="eastAsia" w:ascii="仿宋" w:eastAsia="仿宋"/>
          <w:sz w:val="21"/>
        </w:rPr>
      </w:pPr>
      <w:r>
        <w:rPr>
          <w:rFonts w:hint="eastAsia" w:ascii="仿宋" w:eastAsia="仿宋"/>
          <w:sz w:val="21"/>
        </w:rPr>
        <w:t>合同中只有类似于变更工程的价格，可以参照类似价格变更合同价款；</w:t>
      </w:r>
    </w:p>
    <w:p>
      <w:pPr>
        <w:pStyle w:val="13"/>
        <w:numPr>
          <w:ilvl w:val="0"/>
          <w:numId w:val="55"/>
        </w:numPr>
        <w:tabs>
          <w:tab w:val="left" w:pos="1676"/>
        </w:tabs>
        <w:spacing w:before="139" w:after="0" w:line="364" w:lineRule="auto"/>
        <w:ind w:left="731" w:right="895" w:firstLine="420"/>
        <w:jc w:val="left"/>
        <w:rPr>
          <w:rFonts w:hint="eastAsia" w:ascii="仿宋" w:eastAsia="仿宋"/>
          <w:sz w:val="21"/>
        </w:rPr>
      </w:pPr>
      <w:r>
        <w:rPr>
          <w:rFonts w:hint="eastAsia" w:ascii="仿宋" w:eastAsia="仿宋"/>
          <w:spacing w:val="-3"/>
          <w:sz w:val="21"/>
        </w:rPr>
        <w:t>合同中没有适用或类似于变更工程的价格，由承包人提出适当的变更价格，经发包人确认后执行。</w:t>
      </w:r>
    </w:p>
    <w:p>
      <w:pPr>
        <w:spacing w:before="0"/>
        <w:ind w:left="1151" w:right="0" w:firstLine="0"/>
        <w:jc w:val="left"/>
        <w:rPr>
          <w:rFonts w:hint="eastAsia" w:ascii="仿宋" w:eastAsia="仿宋"/>
          <w:sz w:val="21"/>
        </w:rPr>
      </w:pPr>
      <w:r>
        <w:rPr>
          <w:rFonts w:hint="eastAsia" w:ascii="仿宋" w:eastAsia="仿宋"/>
          <w:sz w:val="21"/>
        </w:rPr>
        <w:t>变更价格计价原则如下：</w:t>
      </w:r>
    </w:p>
    <w:p>
      <w:pPr>
        <w:spacing w:before="139"/>
        <w:ind w:left="1151" w:right="0" w:firstLine="0"/>
        <w:jc w:val="left"/>
        <w:rPr>
          <w:rFonts w:hint="eastAsia" w:ascii="仿宋" w:hAnsi="仿宋" w:eastAsia="仿宋"/>
          <w:sz w:val="21"/>
        </w:rPr>
      </w:pPr>
      <w:r>
        <w:rPr>
          <w:rFonts w:hint="eastAsia" w:ascii="仿宋" w:hAnsi="仿宋" w:eastAsia="仿宋"/>
          <w:sz w:val="21"/>
        </w:rPr>
        <w:t xml:space="preserve">①工程量计算按 </w:t>
      </w:r>
      <w:r>
        <w:rPr>
          <w:rFonts w:ascii="Times New Roman" w:hAnsi="Times New Roman" w:eastAsia="Times New Roman"/>
          <w:sz w:val="21"/>
        </w:rPr>
        <w:t>GB50500-2013</w:t>
      </w:r>
      <w:r>
        <w:rPr>
          <w:rFonts w:hint="eastAsia" w:ascii="仿宋" w:hAnsi="仿宋" w:eastAsia="仿宋"/>
          <w:sz w:val="21"/>
        </w:rPr>
        <w:t>《建设工程工程量清单计价规范》；</w:t>
      </w:r>
    </w:p>
    <w:p>
      <w:pPr>
        <w:spacing w:before="139" w:line="364" w:lineRule="auto"/>
        <w:ind w:left="731" w:right="895" w:firstLine="420"/>
        <w:jc w:val="left"/>
        <w:rPr>
          <w:rFonts w:hint="eastAsia" w:ascii="仿宋" w:hAnsi="仿宋" w:eastAsia="仿宋"/>
          <w:sz w:val="21"/>
        </w:rPr>
      </w:pPr>
      <w:r>
        <w:rPr>
          <w:rFonts w:hint="eastAsia" w:ascii="仿宋" w:hAnsi="仿宋" w:eastAsia="仿宋"/>
          <w:w w:val="95"/>
          <w:sz w:val="21"/>
        </w:rPr>
        <w:t>②人工、材料、机械台班消耗量参照“山东省建筑工程消耗量预算定额（</w:t>
      </w:r>
      <w:r>
        <w:rPr>
          <w:rFonts w:ascii="Times New Roman" w:hAnsi="Times New Roman" w:eastAsia="Times New Roman"/>
          <w:w w:val="95"/>
          <w:sz w:val="21"/>
        </w:rPr>
        <w:t>2016</w:t>
      </w:r>
      <w:r>
        <w:rPr>
          <w:rFonts w:hint="eastAsia" w:ascii="仿宋" w:hAnsi="仿宋" w:eastAsia="仿宋"/>
          <w:w w:val="95"/>
          <w:sz w:val="21"/>
        </w:rPr>
        <w:t xml:space="preserve">）”及“山东省  </w:t>
      </w:r>
      <w:r>
        <w:rPr>
          <w:rFonts w:hint="eastAsia" w:ascii="仿宋" w:hAnsi="仿宋" w:eastAsia="仿宋"/>
          <w:sz w:val="21"/>
        </w:rPr>
        <w:t>市房屋修缮工程消耗量定额（</w:t>
      </w:r>
      <w:r>
        <w:rPr>
          <w:rFonts w:ascii="Times New Roman" w:hAnsi="Times New Roman" w:eastAsia="Times New Roman"/>
          <w:sz w:val="21"/>
        </w:rPr>
        <w:t>20</w:t>
      </w:r>
      <w:r>
        <w:rPr>
          <w:rFonts w:hint="eastAsia" w:ascii="Times New Roman" w:hAnsi="Times New Roman"/>
          <w:sz w:val="21"/>
          <w:lang w:val="en-US" w:eastAsia="zh-CN"/>
        </w:rPr>
        <w:t>20</w:t>
      </w:r>
      <w:r>
        <w:rPr>
          <w:rFonts w:hint="eastAsia" w:ascii="仿宋" w:hAnsi="仿宋" w:eastAsia="仿宋"/>
          <w:sz w:val="21"/>
        </w:rPr>
        <w:t>）”；</w:t>
      </w:r>
    </w:p>
    <w:p>
      <w:pPr>
        <w:spacing w:before="0" w:line="364" w:lineRule="auto"/>
        <w:ind w:left="731" w:right="892" w:firstLine="420"/>
        <w:jc w:val="both"/>
        <w:rPr>
          <w:rFonts w:hint="eastAsia" w:ascii="仿宋" w:hAnsi="仿宋" w:eastAsia="仿宋"/>
          <w:sz w:val="21"/>
        </w:rPr>
      </w:pPr>
      <w:r>
        <w:rPr>
          <w:rFonts w:hint="eastAsia" w:ascii="仿宋" w:hAnsi="仿宋" w:eastAsia="仿宋"/>
          <w:w w:val="95"/>
          <w:sz w:val="21"/>
        </w:rPr>
        <w:t xml:space="preserve">③人工、材料、机械台班的价格按投标文件中相应的人工、材料和机械台班价格执行；投标   </w:t>
      </w:r>
      <w:r>
        <w:rPr>
          <w:rFonts w:hint="eastAsia" w:ascii="仿宋" w:hAnsi="仿宋" w:eastAsia="仿宋"/>
          <w:spacing w:val="-2"/>
          <w:sz w:val="21"/>
        </w:rPr>
        <w:t>文件中没有价格的参照投标月青岛市建设市场信息服务平台</w:t>
      </w:r>
      <w:r>
        <w:rPr>
          <w:rFonts w:hint="eastAsia" w:ascii="仿宋" w:hAnsi="仿宋" w:eastAsia="仿宋"/>
          <w:sz w:val="21"/>
        </w:rPr>
        <w:t>上发布的</w:t>
      </w:r>
      <w:r>
        <w:rPr>
          <w:rFonts w:hint="eastAsia" w:ascii="仿宋" w:hAnsi="仿宋" w:eastAsia="仿宋"/>
          <w:w w:val="95"/>
          <w:sz w:val="21"/>
        </w:rPr>
        <w:t xml:space="preserve">信息价计取，投标月信息价没有的主要材料设备价格须报送发包人审核，经发包人确认后按确认   </w:t>
      </w:r>
      <w:r>
        <w:rPr>
          <w:rFonts w:hint="eastAsia" w:ascii="仿宋" w:hAnsi="仿宋" w:eastAsia="仿宋"/>
          <w:spacing w:val="-10"/>
          <w:sz w:val="21"/>
        </w:rPr>
        <w:t xml:space="preserve">价格执行；对于暂定材料及变更主材，承包人应在采购前 </w:t>
      </w:r>
      <w:r>
        <w:rPr>
          <w:rFonts w:ascii="Times New Roman" w:hAnsi="Times New Roman" w:eastAsia="Times New Roman"/>
          <w:sz w:val="21"/>
        </w:rPr>
        <w:t>14</w:t>
      </w:r>
      <w:r>
        <w:rPr>
          <w:rFonts w:ascii="Times New Roman" w:hAnsi="Times New Roman" w:eastAsia="Times New Roman"/>
          <w:spacing w:val="-10"/>
          <w:sz w:val="21"/>
        </w:rPr>
        <w:t xml:space="preserve"> </w:t>
      </w:r>
      <w:r>
        <w:rPr>
          <w:rFonts w:hint="eastAsia" w:ascii="仿宋" w:hAnsi="仿宋" w:eastAsia="仿宋"/>
          <w:spacing w:val="-5"/>
          <w:sz w:val="21"/>
        </w:rPr>
        <w:t>天征得发包人在品牌、价格、质量等</w:t>
      </w:r>
      <w:r>
        <w:rPr>
          <w:rFonts w:hint="eastAsia" w:ascii="仿宋" w:hAnsi="仿宋" w:eastAsia="仿宋"/>
          <w:spacing w:val="-5"/>
          <w:w w:val="95"/>
          <w:sz w:val="21"/>
        </w:rPr>
        <w:t xml:space="preserve">方面的书面认可后方可订购，并作为结算依据。如发包人及承包人未能对材料的品牌、价格、质   </w:t>
      </w:r>
      <w:r>
        <w:rPr>
          <w:rFonts w:hint="eastAsia" w:ascii="仿宋" w:hAnsi="仿宋" w:eastAsia="仿宋"/>
          <w:spacing w:val="-5"/>
          <w:sz w:val="21"/>
        </w:rPr>
        <w:t>量等方面达成一致的，发包人保留对上述材料甲供或甲定乙供的权利。</w:t>
      </w:r>
    </w:p>
    <w:p>
      <w:pPr>
        <w:spacing w:before="0" w:line="364" w:lineRule="auto"/>
        <w:ind w:left="731" w:right="895" w:firstLine="420"/>
        <w:jc w:val="left"/>
        <w:rPr>
          <w:rFonts w:hint="eastAsia" w:ascii="仿宋" w:hAnsi="仿宋" w:eastAsia="仿宋"/>
          <w:sz w:val="21"/>
        </w:rPr>
      </w:pPr>
      <w:r>
        <w:rPr>
          <w:rFonts w:hint="eastAsia" w:ascii="仿宋" w:hAnsi="仿宋" w:eastAsia="仿宋"/>
          <w:w w:val="95"/>
          <w:sz w:val="21"/>
        </w:rPr>
        <w:t xml:space="preserve">④“企业管理费和利润”按照投标费率；“社会保险费、住房公积金、增值税”按照国家最   </w:t>
      </w:r>
      <w:r>
        <w:rPr>
          <w:rFonts w:hint="eastAsia" w:ascii="仿宋" w:hAnsi="仿宋" w:eastAsia="仿宋"/>
          <w:sz w:val="21"/>
        </w:rPr>
        <w:t>新政策执行。</w:t>
      </w:r>
    </w:p>
    <w:p>
      <w:pPr>
        <w:spacing w:before="0" w:line="364" w:lineRule="auto"/>
        <w:ind w:left="731" w:right="895" w:firstLine="420"/>
        <w:jc w:val="left"/>
        <w:rPr>
          <w:rFonts w:hint="eastAsia" w:ascii="仿宋" w:hAnsi="仿宋" w:eastAsia="仿宋"/>
          <w:sz w:val="21"/>
        </w:rPr>
      </w:pPr>
      <w:r>
        <w:rPr>
          <w:rFonts w:hint="eastAsia" w:ascii="仿宋" w:hAnsi="仿宋" w:eastAsia="仿宋"/>
          <w:w w:val="95"/>
          <w:sz w:val="21"/>
        </w:rPr>
        <w:t xml:space="preserve">⑤人工、材料、机械的单价和消耗量投标时有下浮的，无论明示或暗示，变更价格时均必须   </w:t>
      </w:r>
      <w:r>
        <w:rPr>
          <w:rFonts w:hint="eastAsia" w:ascii="仿宋" w:hAnsi="仿宋" w:eastAsia="仿宋"/>
          <w:sz w:val="21"/>
        </w:rPr>
        <w:t>按照该下浮率执行；</w:t>
      </w:r>
    </w:p>
    <w:p>
      <w:pPr>
        <w:spacing w:before="0" w:line="364" w:lineRule="auto"/>
        <w:ind w:left="731" w:right="895" w:firstLine="420"/>
        <w:jc w:val="both"/>
        <w:rPr>
          <w:rFonts w:hint="eastAsia" w:ascii="仿宋" w:hAnsi="仿宋" w:eastAsia="仿宋"/>
          <w:sz w:val="21"/>
        </w:rPr>
      </w:pPr>
      <w:r>
        <w:rPr>
          <w:rFonts w:hint="eastAsia" w:ascii="仿宋" w:hAnsi="仿宋" w:eastAsia="仿宋"/>
          <w:w w:val="95"/>
          <w:sz w:val="21"/>
        </w:rPr>
        <w:t xml:space="preserve">⑥暂定价（或指定价）材料、设备以及施工过程中发包人更改的材料及设备，结算时按实际   材料批价或确认价替换原有材料价格，其他工料机价格及费率按投标文件相应价格和费率执行，   </w:t>
      </w:r>
      <w:r>
        <w:rPr>
          <w:rFonts w:hint="eastAsia" w:ascii="仿宋" w:hAnsi="仿宋" w:eastAsia="仿宋"/>
          <w:sz w:val="21"/>
        </w:rPr>
        <w:t>其中费率取费详见上述第④条；</w:t>
      </w:r>
    </w:p>
    <w:p>
      <w:pPr>
        <w:spacing w:before="0" w:line="364" w:lineRule="auto"/>
        <w:ind w:left="731" w:right="895" w:firstLine="420"/>
        <w:jc w:val="left"/>
        <w:rPr>
          <w:rFonts w:hint="eastAsia" w:ascii="仿宋" w:hAnsi="仿宋" w:eastAsia="仿宋"/>
          <w:sz w:val="21"/>
        </w:rPr>
      </w:pPr>
      <w:r>
        <w:rPr>
          <w:rFonts w:hint="eastAsia" w:ascii="仿宋" w:hAnsi="仿宋" w:eastAsia="仿宋"/>
          <w:w w:val="95"/>
          <w:sz w:val="21"/>
        </w:rPr>
        <w:t>⑦新增工程、暂定工程、指定工程若由承包人实施，则所涉及的人工、材料、机械单价及所   有费率均按投标原则计取；若项目经过招投标、内部竞价或重新批价后，相同人工、材料、机械</w:t>
      </w:r>
    </w:p>
    <w:p>
      <w:pPr>
        <w:spacing w:after="0" w:line="364" w:lineRule="auto"/>
        <w:jc w:val="left"/>
        <w:rPr>
          <w:rFonts w:hint="eastAsia" w:ascii="仿宋" w:hAnsi="仿宋" w:eastAsia="仿宋"/>
          <w:sz w:val="21"/>
        </w:rPr>
        <w:sectPr>
          <w:pgSz w:w="11910" w:h="16840"/>
          <w:pgMar w:top="1100" w:right="660" w:bottom="1200" w:left="800" w:header="878" w:footer="1003" w:gutter="0"/>
          <w:cols w:space="720" w:num="1"/>
        </w:sectPr>
      </w:pPr>
    </w:p>
    <w:p>
      <w:pPr>
        <w:pStyle w:val="9"/>
        <w:spacing w:before="12"/>
        <w:rPr>
          <w:rFonts w:ascii="仿宋"/>
          <w:sz w:val="17"/>
        </w:rPr>
      </w:pPr>
    </w:p>
    <w:p>
      <w:pPr>
        <w:spacing w:before="70" w:line="364" w:lineRule="auto"/>
        <w:ind w:left="731" w:right="895" w:firstLine="0"/>
        <w:jc w:val="left"/>
        <w:rPr>
          <w:rFonts w:hint="eastAsia" w:ascii="仿宋" w:eastAsia="仿宋"/>
          <w:sz w:val="21"/>
        </w:rPr>
      </w:pPr>
      <w:r>
        <w:rPr>
          <w:rFonts w:hint="eastAsia" w:ascii="仿宋" w:eastAsia="仿宋"/>
          <w:w w:val="95"/>
          <w:sz w:val="21"/>
        </w:rPr>
        <w:t xml:space="preserve">单价及费率低于原投标价，则按低报价进行结算。暂定工程、指定工程投标报价及内部竞价后的   </w:t>
      </w:r>
      <w:r>
        <w:rPr>
          <w:rFonts w:hint="eastAsia" w:ascii="仿宋" w:eastAsia="仿宋"/>
          <w:sz w:val="21"/>
        </w:rPr>
        <w:t>工料机单价及所有费率报价均不得高于原投标报价。</w:t>
      </w:r>
    </w:p>
    <w:p>
      <w:pPr>
        <w:pStyle w:val="13"/>
        <w:numPr>
          <w:ilvl w:val="0"/>
          <w:numId w:val="55"/>
        </w:numPr>
        <w:tabs>
          <w:tab w:val="left" w:pos="1654"/>
        </w:tabs>
        <w:spacing w:before="0" w:after="0" w:line="364" w:lineRule="auto"/>
        <w:ind w:left="731" w:right="788" w:firstLine="396"/>
        <w:jc w:val="left"/>
        <w:rPr>
          <w:rFonts w:hint="eastAsia" w:ascii="仿宋" w:eastAsia="仿宋"/>
          <w:sz w:val="21"/>
        </w:rPr>
      </w:pPr>
      <w:r>
        <w:rPr>
          <w:rFonts w:hint="eastAsia" w:ascii="仿宋" w:eastAsia="仿宋"/>
          <w:spacing w:val="-2"/>
          <w:sz w:val="21"/>
        </w:rPr>
        <w:t>分部分项工程量清单综合单价应根据清单所描述的项目特征及工作内容进行组价，综合单价应包括综合单价组价分析（即包括详细的工、料、机消耗量及工、料、机单价），否则在实际施工中因发包人、设计单位要求对项目特征中的某些内容进行变更或者实际施工图纸中所描述</w:t>
      </w:r>
      <w:r>
        <w:rPr>
          <w:rFonts w:hint="eastAsia" w:ascii="仿宋" w:eastAsia="仿宋"/>
          <w:spacing w:val="-7"/>
          <w:w w:val="95"/>
          <w:sz w:val="21"/>
        </w:rPr>
        <w:t>的项目特征与清单描述的特征不符时，按最不利原则处理</w:t>
      </w:r>
      <w:r>
        <w:rPr>
          <w:rFonts w:hint="eastAsia" w:ascii="仿宋" w:eastAsia="仿宋"/>
          <w:w w:val="95"/>
          <w:sz w:val="21"/>
        </w:rPr>
        <w:t xml:space="preserve">（即项目特征变更涉及单价费用增加的，   </w:t>
      </w:r>
      <w:r>
        <w:rPr>
          <w:rFonts w:hint="eastAsia" w:ascii="仿宋" w:eastAsia="仿宋"/>
          <w:sz w:val="21"/>
        </w:rPr>
        <w:t>综合单价不予调整，且应在施工时执行发包人、设计单位项目特征变更的要求；项目特征变更涉及单价费用减少的，综合单价相应降低，降低的费用由投资监理单位确定，且应在施工时执行发包人、设计单位项目特征变更的要求）。</w:t>
      </w:r>
    </w:p>
    <w:p>
      <w:pPr>
        <w:pStyle w:val="13"/>
        <w:numPr>
          <w:ilvl w:val="0"/>
          <w:numId w:val="55"/>
        </w:numPr>
        <w:tabs>
          <w:tab w:val="left" w:pos="1676"/>
        </w:tabs>
        <w:spacing w:before="0" w:after="0" w:line="364" w:lineRule="auto"/>
        <w:ind w:left="731" w:right="895" w:firstLine="420"/>
        <w:jc w:val="both"/>
        <w:rPr>
          <w:rFonts w:hint="eastAsia" w:ascii="仿宋" w:eastAsia="仿宋"/>
          <w:sz w:val="21"/>
        </w:rPr>
      </w:pPr>
      <w:r>
        <w:rPr>
          <w:rFonts w:hint="eastAsia" w:ascii="仿宋" w:eastAsia="仿宋"/>
          <w:sz w:val="21"/>
        </w:rPr>
        <w:t>对于材料</w:t>
      </w:r>
      <w:r>
        <w:rPr>
          <w:rFonts w:ascii="Times New Roman" w:eastAsia="Times New Roman"/>
          <w:sz w:val="21"/>
        </w:rPr>
        <w:t>(</w:t>
      </w:r>
      <w:r>
        <w:rPr>
          <w:rFonts w:hint="eastAsia" w:ascii="仿宋" w:eastAsia="仿宋"/>
          <w:sz w:val="21"/>
        </w:rPr>
        <w:t>设备</w:t>
      </w:r>
      <w:r>
        <w:rPr>
          <w:rFonts w:ascii="Times New Roman" w:eastAsia="Times New Roman"/>
          <w:sz w:val="21"/>
        </w:rPr>
        <w:t>)(</w:t>
      </w:r>
      <w:r>
        <w:rPr>
          <w:rFonts w:hint="eastAsia" w:ascii="仿宋" w:eastAsia="仿宋"/>
          <w:sz w:val="21"/>
        </w:rPr>
        <w:t>暂定</w:t>
      </w:r>
      <w:r>
        <w:rPr>
          <w:rFonts w:ascii="Times New Roman" w:eastAsia="Times New Roman"/>
          <w:sz w:val="21"/>
        </w:rPr>
        <w:t>)</w:t>
      </w:r>
      <w:r>
        <w:rPr>
          <w:rFonts w:hint="eastAsia" w:ascii="仿宋" w:eastAsia="仿宋"/>
          <w:spacing w:val="-6"/>
          <w:sz w:val="21"/>
        </w:rPr>
        <w:t>单价的项目，主要材料在投标报价时按</w:t>
      </w:r>
      <w:r>
        <w:rPr>
          <w:rFonts w:ascii="Times New Roman" w:eastAsia="Times New Roman"/>
          <w:sz w:val="21"/>
        </w:rPr>
        <w:t>(</w:t>
      </w:r>
      <w:r>
        <w:rPr>
          <w:rFonts w:hint="eastAsia" w:ascii="仿宋" w:eastAsia="仿宋"/>
          <w:sz w:val="21"/>
        </w:rPr>
        <w:t>暂定</w:t>
      </w:r>
      <w:r>
        <w:rPr>
          <w:rFonts w:ascii="Times New Roman" w:eastAsia="Times New Roman"/>
          <w:sz w:val="21"/>
        </w:rPr>
        <w:t>)</w:t>
      </w:r>
      <w:r>
        <w:rPr>
          <w:rFonts w:hint="eastAsia" w:ascii="仿宋" w:eastAsia="仿宋"/>
          <w:spacing w:val="-6"/>
          <w:sz w:val="21"/>
        </w:rPr>
        <w:t>单价报价，但中标</w:t>
      </w:r>
      <w:r>
        <w:rPr>
          <w:rFonts w:hint="eastAsia" w:ascii="仿宋" w:eastAsia="仿宋"/>
          <w:spacing w:val="-6"/>
          <w:w w:val="95"/>
          <w:sz w:val="21"/>
        </w:rPr>
        <w:t xml:space="preserve">人应在采购前征得招标单位在品牌、价格、质量等方面的书面认可后方可订购，并作为结算依据   。对未变更部分的工、料、机单价及消耗量、综合费用（包括管理费及利润）费率等按计价文件   不再调整。投标时暂定单价的材料（设备）及其他原因需招标人（投资监理）重新核定的材料（   设备）单价的材料，如招标人及中标人未能对材料的品牌、价格、质量等方面达成一致的，招标   </w:t>
      </w:r>
      <w:r>
        <w:rPr>
          <w:rFonts w:hint="eastAsia" w:ascii="仿宋" w:eastAsia="仿宋"/>
          <w:spacing w:val="-6"/>
          <w:sz w:val="21"/>
        </w:rPr>
        <w:t>人保留对上述材料甲供或甲定乙供的权利。</w:t>
      </w:r>
    </w:p>
    <w:p>
      <w:pPr>
        <w:pStyle w:val="13"/>
        <w:numPr>
          <w:ilvl w:val="0"/>
          <w:numId w:val="55"/>
        </w:numPr>
        <w:tabs>
          <w:tab w:val="left" w:pos="1676"/>
        </w:tabs>
        <w:spacing w:before="0" w:after="0" w:line="364" w:lineRule="auto"/>
        <w:ind w:left="731" w:right="788" w:firstLine="420"/>
        <w:jc w:val="left"/>
        <w:rPr>
          <w:rFonts w:hint="eastAsia" w:ascii="仿宋" w:eastAsia="仿宋"/>
          <w:sz w:val="21"/>
        </w:rPr>
      </w:pPr>
      <w:r>
        <w:rPr>
          <w:rFonts w:hint="eastAsia" w:ascii="仿宋" w:eastAsia="仿宋"/>
          <w:spacing w:val="-3"/>
          <w:sz w:val="21"/>
        </w:rPr>
        <w:t>投标单位在商务标投标文件中所报的相同要素单价</w:t>
      </w:r>
      <w:r>
        <w:rPr>
          <w:rFonts w:hint="eastAsia" w:ascii="仿宋" w:eastAsia="仿宋"/>
          <w:sz w:val="21"/>
        </w:rPr>
        <w:t>（</w:t>
      </w:r>
      <w:r>
        <w:rPr>
          <w:rFonts w:hint="eastAsia" w:ascii="仿宋" w:eastAsia="仿宋"/>
          <w:spacing w:val="-19"/>
          <w:sz w:val="21"/>
        </w:rPr>
        <w:t>工、料机、机</w:t>
      </w:r>
      <w:r>
        <w:rPr>
          <w:rFonts w:hint="eastAsia" w:ascii="仿宋" w:eastAsia="仿宋"/>
          <w:spacing w:val="-53"/>
          <w:sz w:val="21"/>
        </w:rPr>
        <w:t>）</w:t>
      </w:r>
      <w:r>
        <w:rPr>
          <w:rFonts w:hint="eastAsia" w:ascii="仿宋" w:eastAsia="仿宋"/>
          <w:spacing w:val="-6"/>
          <w:sz w:val="21"/>
        </w:rPr>
        <w:t>及同一工程类别</w:t>
      </w:r>
      <w:r>
        <w:rPr>
          <w:rFonts w:hint="eastAsia" w:ascii="仿宋" w:eastAsia="仿宋"/>
          <w:sz w:val="21"/>
        </w:rPr>
        <w:t>（例</w:t>
      </w:r>
      <w:r>
        <w:rPr>
          <w:rFonts w:hint="eastAsia" w:ascii="仿宋" w:eastAsia="仿宋"/>
          <w:spacing w:val="-13"/>
          <w:w w:val="95"/>
          <w:sz w:val="21"/>
        </w:rPr>
        <w:t>如：建筑、安装</w:t>
      </w:r>
      <w:r>
        <w:rPr>
          <w:rFonts w:hint="eastAsia" w:ascii="仿宋" w:eastAsia="仿宋"/>
          <w:spacing w:val="-37"/>
          <w:w w:val="95"/>
          <w:sz w:val="21"/>
        </w:rPr>
        <w:t>）</w:t>
      </w:r>
      <w:r>
        <w:rPr>
          <w:rFonts w:hint="eastAsia" w:ascii="仿宋" w:eastAsia="仿宋"/>
          <w:spacing w:val="-20"/>
          <w:w w:val="95"/>
          <w:sz w:val="21"/>
        </w:rPr>
        <w:t>费率</w:t>
      </w:r>
      <w:r>
        <w:rPr>
          <w:rFonts w:hint="eastAsia" w:ascii="仿宋" w:eastAsia="仿宋"/>
          <w:w w:val="95"/>
          <w:sz w:val="21"/>
        </w:rPr>
        <w:t>（</w:t>
      </w:r>
      <w:r>
        <w:rPr>
          <w:rFonts w:hint="eastAsia" w:ascii="仿宋" w:eastAsia="仿宋"/>
          <w:spacing w:val="-6"/>
          <w:w w:val="95"/>
          <w:sz w:val="21"/>
        </w:rPr>
        <w:t>企业管理费、利润</w:t>
      </w:r>
      <w:r>
        <w:rPr>
          <w:rFonts w:hint="eastAsia" w:ascii="仿宋" w:eastAsia="仿宋"/>
          <w:spacing w:val="-37"/>
          <w:w w:val="95"/>
          <w:sz w:val="21"/>
        </w:rPr>
        <w:t>）</w:t>
      </w:r>
      <w:r>
        <w:rPr>
          <w:rFonts w:hint="eastAsia" w:ascii="仿宋" w:eastAsia="仿宋"/>
          <w:spacing w:val="-8"/>
          <w:w w:val="95"/>
          <w:sz w:val="21"/>
        </w:rPr>
        <w:t>应该是唯一的，如在投标文件出现相同要素单价</w:t>
      </w:r>
      <w:r>
        <w:rPr>
          <w:rFonts w:hint="eastAsia" w:ascii="仿宋" w:eastAsia="仿宋"/>
          <w:w w:val="95"/>
          <w:sz w:val="21"/>
        </w:rPr>
        <w:t xml:space="preserve">（工、   </w:t>
      </w:r>
      <w:r>
        <w:rPr>
          <w:rFonts w:hint="eastAsia" w:ascii="仿宋" w:eastAsia="仿宋"/>
          <w:spacing w:val="-4"/>
          <w:w w:val="95"/>
          <w:sz w:val="21"/>
        </w:rPr>
        <w:t>料机、机</w:t>
      </w:r>
      <w:r>
        <w:rPr>
          <w:rFonts w:hint="eastAsia" w:ascii="仿宋" w:eastAsia="仿宋"/>
          <w:spacing w:val="-13"/>
          <w:w w:val="95"/>
          <w:sz w:val="21"/>
        </w:rPr>
        <w:t>）</w:t>
      </w:r>
      <w:r>
        <w:rPr>
          <w:rFonts w:hint="eastAsia" w:ascii="仿宋" w:eastAsia="仿宋"/>
          <w:spacing w:val="-4"/>
          <w:w w:val="95"/>
          <w:sz w:val="21"/>
        </w:rPr>
        <w:t>及费率</w:t>
      </w:r>
      <w:r>
        <w:rPr>
          <w:rFonts w:hint="eastAsia" w:ascii="仿宋" w:eastAsia="仿宋"/>
          <w:w w:val="95"/>
          <w:sz w:val="21"/>
        </w:rPr>
        <w:t>（</w:t>
      </w:r>
      <w:r>
        <w:rPr>
          <w:rFonts w:hint="eastAsia" w:ascii="仿宋" w:eastAsia="仿宋"/>
          <w:spacing w:val="-2"/>
          <w:w w:val="95"/>
          <w:sz w:val="21"/>
        </w:rPr>
        <w:t>企业管理费、利润</w:t>
      </w:r>
      <w:r>
        <w:rPr>
          <w:rFonts w:hint="eastAsia" w:ascii="仿宋" w:eastAsia="仿宋"/>
          <w:spacing w:val="-10"/>
          <w:w w:val="95"/>
          <w:sz w:val="21"/>
        </w:rPr>
        <w:t>）</w:t>
      </w:r>
      <w:r>
        <w:rPr>
          <w:rFonts w:hint="eastAsia" w:ascii="仿宋" w:eastAsia="仿宋"/>
          <w:spacing w:val="-3"/>
          <w:w w:val="95"/>
          <w:sz w:val="21"/>
        </w:rPr>
        <w:t>不是唯一的，则结算时按所有要素单价</w:t>
      </w:r>
      <w:r>
        <w:rPr>
          <w:rFonts w:hint="eastAsia" w:ascii="仿宋" w:eastAsia="仿宋"/>
          <w:w w:val="95"/>
          <w:sz w:val="21"/>
        </w:rPr>
        <w:t>（</w:t>
      </w:r>
      <w:r>
        <w:rPr>
          <w:rFonts w:hint="eastAsia" w:ascii="仿宋" w:eastAsia="仿宋"/>
          <w:spacing w:val="-5"/>
          <w:w w:val="95"/>
          <w:sz w:val="21"/>
        </w:rPr>
        <w:t>工、料机、机</w:t>
      </w:r>
      <w:r>
        <w:rPr>
          <w:rFonts w:hint="eastAsia" w:ascii="仿宋" w:eastAsia="仿宋"/>
          <w:w w:val="95"/>
          <w:sz w:val="21"/>
        </w:rPr>
        <w:t xml:space="preserve">）   </w:t>
      </w:r>
      <w:r>
        <w:rPr>
          <w:rFonts w:hint="eastAsia" w:ascii="仿宋" w:eastAsia="仿宋"/>
          <w:sz w:val="21"/>
        </w:rPr>
        <w:t>及费率（企业管理费、利润）的最低值计取。</w:t>
      </w:r>
    </w:p>
    <w:p>
      <w:pPr>
        <w:pStyle w:val="13"/>
        <w:numPr>
          <w:ilvl w:val="0"/>
          <w:numId w:val="55"/>
        </w:numPr>
        <w:tabs>
          <w:tab w:val="left" w:pos="1676"/>
        </w:tabs>
        <w:spacing w:before="0" w:after="0" w:line="364" w:lineRule="auto"/>
        <w:ind w:left="731" w:right="895" w:firstLine="420"/>
        <w:jc w:val="left"/>
        <w:rPr>
          <w:rFonts w:hint="eastAsia" w:ascii="仿宋" w:eastAsia="仿宋"/>
          <w:sz w:val="21"/>
        </w:rPr>
      </w:pPr>
      <w:r>
        <w:rPr>
          <w:rFonts w:hint="eastAsia" w:ascii="仿宋" w:eastAsia="仿宋"/>
          <w:spacing w:val="-5"/>
          <w:w w:val="95"/>
          <w:sz w:val="21"/>
        </w:rPr>
        <w:t>总价措施项目</w:t>
      </w:r>
      <w:r>
        <w:rPr>
          <w:rFonts w:hint="eastAsia" w:ascii="仿宋" w:eastAsia="仿宋"/>
          <w:w w:val="95"/>
          <w:sz w:val="21"/>
        </w:rPr>
        <w:t>（包括安全文明施工和其他措施项目</w:t>
      </w:r>
      <w:r>
        <w:rPr>
          <w:rFonts w:hint="eastAsia" w:ascii="仿宋" w:eastAsia="仿宋"/>
          <w:spacing w:val="-25"/>
          <w:w w:val="95"/>
          <w:sz w:val="21"/>
        </w:rPr>
        <w:t>）</w:t>
      </w:r>
      <w:r>
        <w:rPr>
          <w:rFonts w:hint="eastAsia" w:ascii="仿宋" w:eastAsia="仿宋"/>
          <w:spacing w:val="-5"/>
          <w:w w:val="95"/>
          <w:sz w:val="21"/>
        </w:rPr>
        <w:t xml:space="preserve">包干使用，无论本项目发生任何变  </w:t>
      </w:r>
      <w:r>
        <w:rPr>
          <w:rFonts w:hint="eastAsia" w:ascii="仿宋" w:eastAsia="仿宋"/>
          <w:spacing w:val="-5"/>
          <w:sz w:val="21"/>
        </w:rPr>
        <w:t>化，包括但不限于工程量增加，新增、暂定或指定工程由承包人实施等情况，费用包干使用。</w:t>
      </w:r>
    </w:p>
    <w:p>
      <w:pPr>
        <w:pStyle w:val="13"/>
        <w:numPr>
          <w:ilvl w:val="0"/>
          <w:numId w:val="55"/>
        </w:numPr>
        <w:tabs>
          <w:tab w:val="left" w:pos="1676"/>
        </w:tabs>
        <w:spacing w:before="0" w:after="0" w:line="367" w:lineRule="auto"/>
        <w:ind w:left="940" w:right="789" w:firstLine="211"/>
        <w:jc w:val="left"/>
        <w:rPr>
          <w:rFonts w:hint="eastAsia" w:ascii="仿宋" w:eastAsia="仿宋"/>
          <w:sz w:val="21"/>
        </w:rPr>
      </w:pPr>
      <w:r>
        <w:rPr>
          <w:rFonts w:hint="eastAsia" w:ascii="仿宋" w:eastAsia="仿宋"/>
          <w:spacing w:val="-4"/>
          <w:sz w:val="21"/>
        </w:rPr>
        <w:t xml:space="preserve">其他合同条款、合同组成文件条款、附件若与 </w:t>
      </w:r>
      <w:r>
        <w:rPr>
          <w:rFonts w:ascii="Times New Roman" w:eastAsia="Times New Roman"/>
          <w:sz w:val="21"/>
        </w:rPr>
        <w:t>12.1</w:t>
      </w:r>
      <w:r>
        <w:rPr>
          <w:rFonts w:hint="eastAsia" w:ascii="仿宋" w:eastAsia="仿宋"/>
          <w:sz w:val="21"/>
        </w:rPr>
        <w:t xml:space="preserve">〔合同价格形成〕相违背或矛盾的， </w:t>
      </w:r>
      <w:r>
        <w:rPr>
          <w:rFonts w:hint="eastAsia" w:ascii="仿宋" w:eastAsia="仿宋"/>
          <w:spacing w:val="-17"/>
          <w:sz w:val="21"/>
        </w:rPr>
        <w:t xml:space="preserve">均按 </w:t>
      </w:r>
      <w:r>
        <w:rPr>
          <w:rFonts w:ascii="Times New Roman" w:eastAsia="Times New Roman"/>
          <w:sz w:val="21"/>
        </w:rPr>
        <w:t>12.1</w:t>
      </w:r>
      <w:r>
        <w:rPr>
          <w:rFonts w:hint="eastAsia" w:ascii="仿宋" w:eastAsia="仿宋"/>
          <w:sz w:val="21"/>
        </w:rPr>
        <w:t>〔合同价格形成〕执行。</w:t>
      </w:r>
    </w:p>
    <w:p>
      <w:pPr>
        <w:spacing w:before="0" w:line="264" w:lineRule="exact"/>
        <w:ind w:left="1151" w:right="0" w:firstLine="0"/>
        <w:jc w:val="left"/>
        <w:rPr>
          <w:rFonts w:hint="eastAsia" w:ascii="仿宋" w:eastAsia="仿宋"/>
          <w:sz w:val="21"/>
        </w:rPr>
      </w:pPr>
      <w:r>
        <w:rPr>
          <w:rFonts w:ascii="Times New Roman" w:eastAsia="Times New Roman"/>
          <w:sz w:val="21"/>
        </w:rPr>
        <w:t>2</w:t>
      </w:r>
      <w:r>
        <w:rPr>
          <w:rFonts w:hint="eastAsia" w:ascii="仿宋" w:eastAsia="仿宋"/>
          <w:sz w:val="21"/>
        </w:rPr>
        <w:t>、总价合同。</w:t>
      </w:r>
    </w:p>
    <w:p>
      <w:pPr>
        <w:spacing w:before="128" w:line="364" w:lineRule="auto"/>
        <w:ind w:left="1151" w:right="6878" w:firstLine="0"/>
        <w:jc w:val="left"/>
        <w:rPr>
          <w:rFonts w:hint="eastAsia" w:ascii="仿宋" w:eastAsia="仿宋"/>
          <w:sz w:val="21"/>
        </w:rPr>
      </w:pPr>
      <w:r>
        <w:rPr>
          <w:rFonts w:hint="eastAsia" w:ascii="仿宋" w:eastAsia="仿宋"/>
          <w:sz w:val="21"/>
        </w:rPr>
        <w:t>总价包含的风险范围：</w:t>
      </w:r>
      <w:r>
        <w:rPr>
          <w:rFonts w:hint="eastAsia" w:ascii="仿宋" w:eastAsia="仿宋"/>
          <w:sz w:val="21"/>
          <w:u w:val="single"/>
        </w:rPr>
        <w:t>/</w:t>
      </w:r>
      <w:r>
        <w:rPr>
          <w:rFonts w:hint="eastAsia" w:ascii="仿宋" w:eastAsia="仿宋"/>
          <w:sz w:val="21"/>
        </w:rPr>
        <w:t>。风险费用的计算方法：</w:t>
      </w:r>
      <w:r>
        <w:rPr>
          <w:rFonts w:hint="eastAsia" w:ascii="仿宋" w:eastAsia="仿宋"/>
          <w:sz w:val="21"/>
          <w:u w:val="single"/>
        </w:rPr>
        <w:t>/</w:t>
      </w:r>
      <w:r>
        <w:rPr>
          <w:rFonts w:hint="eastAsia" w:ascii="仿宋" w:eastAsia="仿宋"/>
          <w:sz w:val="21"/>
        </w:rPr>
        <w:t>。</w:t>
      </w:r>
    </w:p>
    <w:p>
      <w:pPr>
        <w:spacing w:before="0"/>
        <w:ind w:left="1151" w:right="0" w:firstLine="0"/>
        <w:jc w:val="left"/>
        <w:rPr>
          <w:rFonts w:hint="eastAsia" w:ascii="仿宋" w:eastAsia="仿宋"/>
          <w:sz w:val="21"/>
        </w:rPr>
      </w:pPr>
      <w:r>
        <w:rPr>
          <w:rFonts w:hint="eastAsia" w:ascii="仿宋" w:eastAsia="仿宋"/>
          <w:sz w:val="21"/>
        </w:rPr>
        <w:t>风险范围以外合同价格的调整方法：</w:t>
      </w:r>
      <w:r>
        <w:rPr>
          <w:rFonts w:hint="eastAsia" w:ascii="仿宋" w:eastAsia="仿宋"/>
          <w:sz w:val="21"/>
          <w:u w:val="single"/>
        </w:rPr>
        <w:t>/</w:t>
      </w:r>
      <w:r>
        <w:rPr>
          <w:rFonts w:hint="eastAsia" w:ascii="仿宋" w:eastAsia="仿宋"/>
          <w:sz w:val="21"/>
        </w:rPr>
        <w:t>。</w:t>
      </w:r>
    </w:p>
    <w:p>
      <w:pPr>
        <w:spacing w:before="139"/>
        <w:ind w:left="1151" w:right="0" w:firstLine="0"/>
        <w:jc w:val="left"/>
        <w:rPr>
          <w:rFonts w:hint="eastAsia" w:ascii="仿宋" w:eastAsia="仿宋"/>
          <w:sz w:val="21"/>
        </w:rPr>
      </w:pPr>
      <w:r>
        <w:rPr>
          <w:rFonts w:ascii="Times New Roman" w:eastAsia="Times New Roman"/>
          <w:sz w:val="21"/>
        </w:rPr>
        <w:t>3</w:t>
      </w:r>
      <w:r>
        <w:rPr>
          <w:rFonts w:hint="eastAsia" w:ascii="仿宋" w:eastAsia="仿宋"/>
          <w:sz w:val="21"/>
        </w:rPr>
        <w:t>、其他价格方式：</w:t>
      </w:r>
      <w:r>
        <w:rPr>
          <w:rFonts w:hint="eastAsia" w:ascii="仿宋" w:eastAsia="仿宋"/>
          <w:sz w:val="21"/>
          <w:u w:val="single"/>
        </w:rPr>
        <w:t>/</w:t>
      </w:r>
      <w:r>
        <w:rPr>
          <w:rFonts w:hint="eastAsia" w:ascii="仿宋" w:eastAsia="仿宋"/>
          <w:sz w:val="21"/>
        </w:rPr>
        <w:t>。</w:t>
      </w:r>
    </w:p>
    <w:p>
      <w:pPr>
        <w:pStyle w:val="13"/>
        <w:numPr>
          <w:ilvl w:val="1"/>
          <w:numId w:val="34"/>
        </w:numPr>
        <w:tabs>
          <w:tab w:val="left" w:pos="1624"/>
        </w:tabs>
        <w:spacing w:before="139" w:after="0" w:line="240" w:lineRule="auto"/>
        <w:ind w:left="1624" w:right="0" w:hanging="473"/>
        <w:jc w:val="left"/>
        <w:rPr>
          <w:rFonts w:hint="eastAsia" w:ascii="黑体" w:eastAsia="黑体"/>
          <w:sz w:val="21"/>
        </w:rPr>
      </w:pPr>
      <w:r>
        <w:rPr>
          <w:rFonts w:hint="eastAsia" w:ascii="黑体" w:eastAsia="黑体"/>
          <w:sz w:val="21"/>
        </w:rPr>
        <w:t>预付款</w:t>
      </w:r>
    </w:p>
    <w:p>
      <w:pPr>
        <w:pStyle w:val="9"/>
        <w:spacing w:before="3"/>
        <w:rPr>
          <w:rFonts w:ascii="黑体"/>
          <w:sz w:val="20"/>
        </w:rPr>
      </w:pPr>
    </w:p>
    <w:p>
      <w:pPr>
        <w:pStyle w:val="13"/>
        <w:numPr>
          <w:ilvl w:val="2"/>
          <w:numId w:val="34"/>
        </w:numPr>
        <w:tabs>
          <w:tab w:val="left" w:pos="1780"/>
        </w:tabs>
        <w:spacing w:before="0" w:after="0" w:line="240" w:lineRule="auto"/>
        <w:ind w:left="1780" w:right="0" w:hanging="629"/>
        <w:jc w:val="left"/>
        <w:rPr>
          <w:rFonts w:ascii="Times New Roman" w:eastAsia="Times New Roman"/>
          <w:sz w:val="21"/>
        </w:rPr>
      </w:pPr>
      <w:r>
        <w:rPr>
          <w:rFonts w:hint="eastAsia" w:ascii="仿宋" w:eastAsia="仿宋"/>
          <w:sz w:val="21"/>
        </w:rPr>
        <w:t>预付款的支付</w:t>
      </w:r>
    </w:p>
    <w:p>
      <w:pPr>
        <w:spacing w:before="141" w:line="364" w:lineRule="auto"/>
        <w:ind w:left="1151" w:right="788" w:firstLine="0"/>
        <w:jc w:val="left"/>
        <w:rPr>
          <w:rFonts w:hint="eastAsia" w:ascii="仿宋" w:eastAsia="仿宋"/>
          <w:sz w:val="21"/>
        </w:rPr>
      </w:pPr>
      <w:r>
        <w:rPr>
          <w:rFonts w:hint="eastAsia" w:ascii="仿宋" w:eastAsia="仿宋"/>
          <w:spacing w:val="-5"/>
          <w:sz w:val="21"/>
        </w:rPr>
        <w:t>预付款支付比例或金额：</w:t>
      </w:r>
      <w:r>
        <w:rPr>
          <w:rFonts w:hint="eastAsia" w:ascii="仿宋" w:eastAsia="仿宋"/>
          <w:spacing w:val="-16"/>
          <w:sz w:val="21"/>
          <w:u w:val="single"/>
        </w:rPr>
        <w:t xml:space="preserve">中标价 </w:t>
      </w:r>
      <w:r>
        <w:rPr>
          <w:rFonts w:ascii="Times New Roman" w:eastAsia="Times New Roman"/>
          <w:spacing w:val="-11"/>
          <w:sz w:val="21"/>
          <w:u w:val="single"/>
        </w:rPr>
        <w:t>30%</w:t>
      </w:r>
      <w:r>
        <w:rPr>
          <w:rFonts w:hint="eastAsia" w:ascii="仿宋" w:eastAsia="仿宋"/>
          <w:spacing w:val="-11"/>
          <w:sz w:val="21"/>
          <w:u w:val="single"/>
        </w:rPr>
        <w:t>（</w:t>
      </w:r>
      <w:r>
        <w:rPr>
          <w:rFonts w:hint="eastAsia" w:ascii="仿宋" w:eastAsia="仿宋"/>
          <w:spacing w:val="-16"/>
          <w:sz w:val="21"/>
          <w:u w:val="single"/>
        </w:rPr>
        <w:t xml:space="preserve">已包含 </w:t>
      </w:r>
      <w:r>
        <w:rPr>
          <w:rFonts w:ascii="Times New Roman" w:eastAsia="Times New Roman"/>
          <w:sz w:val="21"/>
          <w:u w:val="single"/>
        </w:rPr>
        <w:t>100%</w:t>
      </w:r>
      <w:r>
        <w:rPr>
          <w:rFonts w:hint="eastAsia" w:ascii="仿宋" w:eastAsia="仿宋"/>
          <w:spacing w:val="-5"/>
          <w:sz w:val="21"/>
          <w:u w:val="single"/>
        </w:rPr>
        <w:t>安全防护文明施工费，应扣除暂列金额</w:t>
      </w:r>
      <w:r>
        <w:rPr>
          <w:rFonts w:hint="eastAsia" w:ascii="仿宋" w:eastAsia="仿宋"/>
          <w:spacing w:val="-104"/>
          <w:sz w:val="21"/>
          <w:u w:val="single"/>
        </w:rPr>
        <w:t>）</w:t>
      </w:r>
      <w:r>
        <w:rPr>
          <w:rFonts w:hint="eastAsia" w:ascii="仿宋" w:eastAsia="仿宋"/>
          <w:sz w:val="21"/>
        </w:rPr>
        <w:t>。预付款支付期限：</w:t>
      </w:r>
      <w:r>
        <w:rPr>
          <w:rFonts w:hint="eastAsia" w:ascii="仿宋" w:eastAsia="仿宋"/>
          <w:spacing w:val="-1"/>
          <w:sz w:val="21"/>
          <w:u w:val="single"/>
        </w:rPr>
        <w:t xml:space="preserve">施工单位进场后 </w:t>
      </w:r>
      <w:r>
        <w:rPr>
          <w:rFonts w:ascii="Times New Roman" w:eastAsia="Times New Roman"/>
          <w:sz w:val="21"/>
          <w:u w:val="single"/>
        </w:rPr>
        <w:t>14</w:t>
      </w:r>
      <w:r>
        <w:rPr>
          <w:rFonts w:ascii="Times New Roman" w:eastAsia="Times New Roman"/>
          <w:spacing w:val="51"/>
          <w:sz w:val="21"/>
          <w:u w:val="single"/>
        </w:rPr>
        <w:t xml:space="preserve"> </w:t>
      </w:r>
      <w:r>
        <w:rPr>
          <w:rFonts w:hint="eastAsia" w:ascii="仿宋" w:eastAsia="仿宋"/>
          <w:sz w:val="21"/>
          <w:u w:val="single"/>
        </w:rPr>
        <w:t>天内向承包人支付</w:t>
      </w:r>
      <w:r>
        <w:rPr>
          <w:rFonts w:hint="eastAsia" w:ascii="仿宋" w:eastAsia="仿宋"/>
          <w:sz w:val="21"/>
        </w:rPr>
        <w:t>。</w:t>
      </w:r>
    </w:p>
    <w:p>
      <w:pPr>
        <w:tabs>
          <w:tab w:val="left" w:pos="8711"/>
        </w:tabs>
        <w:spacing w:before="0" w:line="267" w:lineRule="exact"/>
        <w:ind w:left="1151" w:right="0" w:firstLine="0"/>
        <w:jc w:val="left"/>
        <w:rPr>
          <w:rFonts w:hint="eastAsia" w:ascii="仿宋" w:eastAsia="仿宋"/>
          <w:sz w:val="21"/>
        </w:rPr>
      </w:pPr>
      <w:r>
        <w:rPr>
          <w:rFonts w:hint="eastAsia" w:ascii="仿宋" w:eastAsia="仿宋"/>
          <w:sz w:val="21"/>
        </w:rPr>
        <w:t>预付款扣回的方式：</w:t>
      </w:r>
      <w:r>
        <w:rPr>
          <w:rFonts w:hint="eastAsia" w:ascii="仿宋" w:eastAsia="仿宋"/>
          <w:sz w:val="21"/>
          <w:u w:val="single"/>
        </w:rPr>
        <w:t>不扣回，预付款在工程施工中，作为进度款支付至工程竣工</w:t>
      </w:r>
      <w:r>
        <w:rPr>
          <w:rFonts w:hint="eastAsia" w:ascii="仿宋" w:eastAsia="仿宋"/>
          <w:sz w:val="21"/>
          <w:u w:val="single"/>
        </w:rPr>
        <w:tab/>
      </w:r>
      <w:r>
        <w:rPr>
          <w:rFonts w:hint="eastAsia" w:ascii="仿宋" w:eastAsia="仿宋"/>
          <w:sz w:val="21"/>
          <w:u w:val="single"/>
        </w:rPr>
        <w:t>。</w:t>
      </w:r>
    </w:p>
    <w:p>
      <w:pPr>
        <w:pStyle w:val="13"/>
        <w:numPr>
          <w:ilvl w:val="2"/>
          <w:numId w:val="34"/>
        </w:numPr>
        <w:tabs>
          <w:tab w:val="left" w:pos="1780"/>
        </w:tabs>
        <w:spacing w:before="139" w:after="0" w:line="240" w:lineRule="auto"/>
        <w:ind w:left="1780" w:right="0" w:hanging="629"/>
        <w:jc w:val="left"/>
        <w:rPr>
          <w:rFonts w:ascii="Times New Roman" w:eastAsia="Times New Roman"/>
          <w:sz w:val="21"/>
        </w:rPr>
      </w:pPr>
      <w:r>
        <w:rPr>
          <w:rFonts w:hint="eastAsia" w:ascii="仿宋" w:eastAsia="仿宋"/>
          <w:sz w:val="21"/>
        </w:rPr>
        <w:t>预付款担保</w:t>
      </w:r>
    </w:p>
    <w:p>
      <w:pPr>
        <w:spacing w:after="0" w:line="240" w:lineRule="auto"/>
        <w:jc w:val="left"/>
        <w:rPr>
          <w:rFonts w:ascii="Times New Roman" w:eastAsia="Times New Roman"/>
          <w:sz w:val="21"/>
        </w:rPr>
        <w:sectPr>
          <w:pgSz w:w="11910" w:h="16840"/>
          <w:pgMar w:top="1100" w:right="660" w:bottom="1200" w:left="800" w:header="878" w:footer="1003" w:gutter="0"/>
          <w:cols w:space="720" w:num="1"/>
        </w:sectPr>
      </w:pPr>
    </w:p>
    <w:p>
      <w:pPr>
        <w:pStyle w:val="9"/>
        <w:spacing w:before="5"/>
        <w:rPr>
          <w:rFonts w:ascii="仿宋"/>
          <w:sz w:val="17"/>
        </w:rPr>
      </w:pPr>
    </w:p>
    <w:p>
      <w:pPr>
        <w:spacing w:before="77" w:line="364" w:lineRule="auto"/>
        <w:ind w:left="1151" w:right="6086" w:firstLine="0"/>
        <w:jc w:val="left"/>
        <w:rPr>
          <w:rFonts w:hint="eastAsia" w:ascii="仿宋" w:eastAsia="仿宋"/>
          <w:sz w:val="21"/>
        </w:rPr>
      </w:pPr>
      <w:r>
        <w:rPr>
          <w:rFonts w:ascii="宋体" w:hAnsi="宋体" w:eastAsia="宋体" w:cs="宋体"/>
          <w:sz w:val="22"/>
          <w:szCs w:val="22"/>
          <w:lang w:val="zh-CN" w:eastAsia="zh-CN" w:bidi="zh-CN"/>
        </w:rPr>
        <w:pict>
          <v:line id="直线 14" o:spid="_x0000_s1065" style="position:absolute;left:0;margin-left:244.55pt;margin-top:15.7pt;height:0.05pt;width:2.85pt;mso-position-horizontal-relative:page;rotation:0f;z-index:-251646976;" o:ole="f" fillcolor="#FFFFFF" filled="f" o:preferrelative="t" stroked="t" coordsize="21600,21600">
            <v:fill on="f" color2="#FFFFFF" focus="0%"/>
            <v:stroke weight="0.48pt" color="#000000" color2="#FFFFFF" miterlimit="2"/>
            <v:imagedata gain="65536f" blacklevel="0f" gamma="0"/>
            <o:lock v:ext="edit" position="f" selection="f" grouping="f" rotation="f" cropping="f" text="f" aspectratio="f"/>
          </v:line>
        </w:pict>
      </w:r>
      <w:r>
        <w:rPr>
          <w:rFonts w:ascii="宋体" w:hAnsi="宋体" w:eastAsia="宋体" w:cs="宋体"/>
          <w:sz w:val="22"/>
          <w:szCs w:val="22"/>
          <w:lang w:val="zh-CN" w:eastAsia="zh-CN" w:bidi="zh-CN"/>
        </w:rPr>
        <w:pict>
          <v:line id="直线 15" o:spid="_x0000_s1066" style="position:absolute;left:0;margin-left:202.55pt;margin-top:36.1pt;height:0.05pt;width:2.85pt;mso-position-horizontal-relative:page;rotation:0f;z-index:-251645952;" o:ole="f" fillcolor="#FFFFFF" filled="f" o:preferrelative="t" stroked="t" coordsize="21600,21600">
            <v:fill on="f" color2="#FFFFFF" focus="0%"/>
            <v:stroke weight="0.48pt" color="#000000" color2="#FFFFFF" miterlimit="2"/>
            <v:imagedata gain="65536f" blacklevel="0f" gamma="0"/>
            <o:lock v:ext="edit" position="f" selection="f" grouping="f" rotation="f" cropping="f" text="f" aspectratio="f"/>
          </v:line>
        </w:pict>
      </w:r>
      <w:r>
        <w:rPr>
          <w:rFonts w:hint="eastAsia" w:ascii="仿宋" w:eastAsia="仿宋"/>
          <w:sz w:val="21"/>
        </w:rPr>
        <w:t>承包人提交预付款担保的期限：</w:t>
      </w:r>
      <w:r>
        <w:rPr>
          <w:rFonts w:ascii="Times New Roman" w:eastAsia="Times New Roman"/>
          <w:sz w:val="21"/>
        </w:rPr>
        <w:t>/</w:t>
      </w:r>
      <w:r>
        <w:rPr>
          <w:rFonts w:hint="eastAsia" w:ascii="仿宋" w:eastAsia="仿宋"/>
          <w:sz w:val="21"/>
        </w:rPr>
        <w:t>。预付款担保的形式为：</w:t>
      </w:r>
      <w:r>
        <w:rPr>
          <w:rFonts w:ascii="Times New Roman" w:eastAsia="Times New Roman"/>
          <w:sz w:val="21"/>
        </w:rPr>
        <w:t>/</w:t>
      </w:r>
      <w:r>
        <w:rPr>
          <w:rFonts w:hint="eastAsia" w:ascii="仿宋" w:eastAsia="仿宋"/>
          <w:sz w:val="21"/>
        </w:rPr>
        <w:t>。</w:t>
      </w:r>
    </w:p>
    <w:p>
      <w:pPr>
        <w:pStyle w:val="13"/>
        <w:numPr>
          <w:ilvl w:val="1"/>
          <w:numId w:val="34"/>
        </w:numPr>
        <w:tabs>
          <w:tab w:val="left" w:pos="1624"/>
        </w:tabs>
        <w:spacing w:before="0" w:after="0" w:line="240" w:lineRule="auto"/>
        <w:ind w:left="1624" w:right="0" w:hanging="473"/>
        <w:jc w:val="left"/>
        <w:rPr>
          <w:rFonts w:hint="eastAsia" w:ascii="黑体" w:eastAsia="黑体"/>
          <w:sz w:val="21"/>
        </w:rPr>
      </w:pPr>
      <w:r>
        <w:rPr>
          <w:rFonts w:hint="eastAsia" w:ascii="黑体" w:eastAsia="黑体"/>
          <w:sz w:val="21"/>
        </w:rPr>
        <w:t>计量</w:t>
      </w:r>
    </w:p>
    <w:p>
      <w:pPr>
        <w:pStyle w:val="9"/>
        <w:spacing w:before="3"/>
        <w:rPr>
          <w:rFonts w:ascii="黑体"/>
          <w:sz w:val="20"/>
        </w:rPr>
      </w:pPr>
    </w:p>
    <w:p>
      <w:pPr>
        <w:pStyle w:val="13"/>
        <w:numPr>
          <w:ilvl w:val="2"/>
          <w:numId w:val="34"/>
        </w:numPr>
        <w:tabs>
          <w:tab w:val="left" w:pos="1780"/>
        </w:tabs>
        <w:spacing w:before="0" w:after="0" w:line="240" w:lineRule="auto"/>
        <w:ind w:left="1780" w:right="0" w:hanging="629"/>
        <w:jc w:val="left"/>
        <w:rPr>
          <w:rFonts w:ascii="Times New Roman" w:eastAsia="Times New Roman"/>
          <w:sz w:val="21"/>
        </w:rPr>
      </w:pPr>
      <w:r>
        <w:rPr>
          <w:rFonts w:hint="eastAsia" w:ascii="仿宋" w:eastAsia="仿宋"/>
          <w:sz w:val="21"/>
        </w:rPr>
        <w:t>计量原则</w:t>
      </w:r>
    </w:p>
    <w:p>
      <w:pPr>
        <w:spacing w:before="139" w:line="364" w:lineRule="auto"/>
        <w:ind w:left="731" w:right="919" w:firstLine="420"/>
        <w:jc w:val="left"/>
        <w:rPr>
          <w:rFonts w:hint="eastAsia" w:ascii="仿宋" w:hAnsi="仿宋" w:eastAsia="仿宋"/>
          <w:sz w:val="21"/>
        </w:rPr>
      </w:pPr>
      <w:r>
        <w:rPr>
          <w:rFonts w:hint="eastAsia" w:ascii="仿宋" w:hAnsi="仿宋" w:eastAsia="仿宋"/>
          <w:w w:val="95"/>
          <w:sz w:val="21"/>
        </w:rPr>
        <w:t>工程量计算规则：</w:t>
      </w:r>
      <w:r>
        <w:rPr>
          <w:rFonts w:hint="eastAsia" w:ascii="仿宋" w:hAnsi="仿宋" w:eastAsia="仿宋"/>
          <w:w w:val="95"/>
          <w:sz w:val="21"/>
          <w:u w:val="single"/>
        </w:rPr>
        <w:t>《山东省建设工程工程量清单计价应用规则》、</w:t>
      </w:r>
      <w:r>
        <w:rPr>
          <w:rFonts w:ascii="Times New Roman" w:hAnsi="Times New Roman" w:eastAsia="Times New Roman"/>
          <w:w w:val="95"/>
          <w:sz w:val="21"/>
          <w:u w:val="single"/>
        </w:rPr>
        <w:t>GB50500—2013</w:t>
      </w:r>
      <w:r>
        <w:rPr>
          <w:rFonts w:hint="eastAsia" w:ascii="仿宋" w:hAnsi="仿宋" w:eastAsia="仿宋"/>
          <w:w w:val="95"/>
          <w:sz w:val="21"/>
          <w:u w:val="single"/>
        </w:rPr>
        <w:t>《建设工</w:t>
      </w:r>
      <w:r>
        <w:rPr>
          <w:rFonts w:hint="eastAsia" w:ascii="仿宋" w:hAnsi="仿宋" w:eastAsia="仿宋"/>
          <w:spacing w:val="-198"/>
          <w:w w:val="95"/>
          <w:sz w:val="21"/>
          <w:u w:val="single"/>
        </w:rPr>
        <w:t>程工</w:t>
      </w:r>
      <w:r>
        <w:rPr>
          <w:rFonts w:hint="eastAsia" w:ascii="仿宋" w:hAnsi="仿宋" w:eastAsia="仿宋"/>
          <w:spacing w:val="110"/>
          <w:w w:val="95"/>
          <w:sz w:val="21"/>
          <w:u w:val="single"/>
        </w:rPr>
        <w:t xml:space="preserve"> </w:t>
      </w:r>
      <w:r>
        <w:rPr>
          <w:rFonts w:hint="eastAsia" w:ascii="仿宋" w:hAnsi="仿宋" w:eastAsia="仿宋"/>
          <w:sz w:val="21"/>
          <w:u w:val="single"/>
        </w:rPr>
        <w:t>程量清单计价规范》</w:t>
      </w:r>
      <w:r>
        <w:rPr>
          <w:rFonts w:hint="eastAsia" w:ascii="仿宋" w:hAnsi="仿宋" w:eastAsia="仿宋"/>
          <w:sz w:val="21"/>
        </w:rPr>
        <w:t>。</w:t>
      </w:r>
    </w:p>
    <w:p>
      <w:pPr>
        <w:pStyle w:val="13"/>
        <w:numPr>
          <w:ilvl w:val="2"/>
          <w:numId w:val="34"/>
        </w:numPr>
        <w:tabs>
          <w:tab w:val="left" w:pos="1780"/>
        </w:tabs>
        <w:spacing w:before="0" w:after="0" w:line="240" w:lineRule="auto"/>
        <w:ind w:left="1780" w:right="0" w:hanging="629"/>
        <w:jc w:val="left"/>
        <w:rPr>
          <w:rFonts w:ascii="Times New Roman" w:eastAsia="Times New Roman"/>
          <w:sz w:val="21"/>
        </w:rPr>
      </w:pPr>
      <w:r>
        <w:rPr>
          <w:rFonts w:hint="eastAsia" w:ascii="仿宋" w:eastAsia="仿宋"/>
          <w:sz w:val="21"/>
        </w:rPr>
        <w:t>计量周期</w:t>
      </w:r>
    </w:p>
    <w:p>
      <w:pPr>
        <w:spacing w:before="139"/>
        <w:ind w:left="1151" w:right="0" w:firstLine="0"/>
        <w:jc w:val="left"/>
        <w:rPr>
          <w:rFonts w:hint="eastAsia" w:ascii="仿宋" w:eastAsia="仿宋"/>
          <w:sz w:val="21"/>
        </w:rPr>
      </w:pPr>
      <w:r>
        <w:rPr>
          <w:rFonts w:hint="eastAsia" w:ascii="仿宋" w:eastAsia="仿宋"/>
          <w:sz w:val="21"/>
        </w:rPr>
        <w:t>关于计量周期的约定：</w:t>
      </w:r>
      <w:r>
        <w:rPr>
          <w:rFonts w:hint="eastAsia" w:ascii="仿宋" w:eastAsia="仿宋"/>
          <w:sz w:val="21"/>
          <w:u w:val="single"/>
        </w:rPr>
        <w:t>执行通用条款</w:t>
      </w:r>
      <w:r>
        <w:rPr>
          <w:rFonts w:hint="eastAsia" w:ascii="仿宋" w:eastAsia="仿宋"/>
          <w:sz w:val="21"/>
        </w:rPr>
        <w:t>。</w:t>
      </w:r>
    </w:p>
    <w:p>
      <w:pPr>
        <w:pStyle w:val="13"/>
        <w:numPr>
          <w:ilvl w:val="2"/>
          <w:numId w:val="34"/>
        </w:numPr>
        <w:tabs>
          <w:tab w:val="left" w:pos="1780"/>
        </w:tabs>
        <w:spacing w:before="139" w:after="0" w:line="240" w:lineRule="auto"/>
        <w:ind w:left="1780" w:right="0" w:hanging="629"/>
        <w:jc w:val="left"/>
        <w:rPr>
          <w:rFonts w:ascii="Times New Roman" w:eastAsia="Times New Roman"/>
          <w:sz w:val="21"/>
        </w:rPr>
      </w:pPr>
      <w:r>
        <w:rPr>
          <w:rFonts w:hint="eastAsia" w:ascii="仿宋" w:eastAsia="仿宋"/>
          <w:sz w:val="21"/>
        </w:rPr>
        <w:t>单价合同的计量</w:t>
      </w:r>
    </w:p>
    <w:p>
      <w:pPr>
        <w:spacing w:before="139"/>
        <w:ind w:left="1151" w:right="0" w:firstLine="0"/>
        <w:jc w:val="left"/>
        <w:rPr>
          <w:rFonts w:hint="eastAsia" w:ascii="仿宋" w:eastAsia="仿宋"/>
          <w:sz w:val="21"/>
        </w:rPr>
      </w:pPr>
      <w:r>
        <w:rPr>
          <w:rFonts w:hint="eastAsia" w:ascii="仿宋" w:eastAsia="仿宋"/>
          <w:sz w:val="21"/>
        </w:rPr>
        <w:t>关于单价合同计量的约定：</w:t>
      </w:r>
      <w:r>
        <w:rPr>
          <w:rFonts w:hint="eastAsia" w:ascii="仿宋" w:eastAsia="仿宋"/>
          <w:sz w:val="21"/>
          <w:u w:val="single"/>
        </w:rPr>
        <w:t>执行通用条款</w:t>
      </w:r>
      <w:r>
        <w:rPr>
          <w:rFonts w:hint="eastAsia" w:ascii="仿宋" w:eastAsia="仿宋"/>
          <w:sz w:val="21"/>
        </w:rPr>
        <w:t>。</w:t>
      </w:r>
    </w:p>
    <w:p>
      <w:pPr>
        <w:pStyle w:val="13"/>
        <w:numPr>
          <w:ilvl w:val="2"/>
          <w:numId w:val="34"/>
        </w:numPr>
        <w:tabs>
          <w:tab w:val="left" w:pos="1780"/>
        </w:tabs>
        <w:spacing w:before="139" w:after="0" w:line="240" w:lineRule="auto"/>
        <w:ind w:left="1780" w:right="0" w:hanging="629"/>
        <w:jc w:val="left"/>
        <w:rPr>
          <w:rFonts w:ascii="Times New Roman" w:eastAsia="Times New Roman"/>
          <w:sz w:val="21"/>
        </w:rPr>
      </w:pPr>
      <w:r>
        <w:rPr>
          <w:rFonts w:hint="eastAsia" w:ascii="仿宋" w:eastAsia="仿宋"/>
          <w:sz w:val="21"/>
        </w:rPr>
        <w:t>总价合同的计量</w:t>
      </w:r>
    </w:p>
    <w:p>
      <w:pPr>
        <w:spacing w:before="139"/>
        <w:ind w:left="1151" w:right="0" w:firstLine="0"/>
        <w:jc w:val="left"/>
        <w:rPr>
          <w:rFonts w:hint="eastAsia" w:ascii="仿宋" w:eastAsia="仿宋"/>
          <w:sz w:val="21"/>
        </w:rPr>
      </w:pPr>
      <w:r>
        <w:rPr>
          <w:rFonts w:hint="eastAsia" w:ascii="仿宋" w:eastAsia="仿宋"/>
          <w:sz w:val="21"/>
        </w:rPr>
        <w:t>关于总价合同计量的约定：</w:t>
      </w:r>
      <w:r>
        <w:rPr>
          <w:rFonts w:hint="eastAsia" w:ascii="仿宋" w:eastAsia="仿宋"/>
          <w:sz w:val="21"/>
          <w:u w:val="single"/>
        </w:rPr>
        <w:t>/</w:t>
      </w:r>
      <w:r>
        <w:rPr>
          <w:rFonts w:hint="eastAsia" w:ascii="仿宋" w:eastAsia="仿宋"/>
          <w:sz w:val="21"/>
        </w:rPr>
        <w:t>。</w:t>
      </w:r>
    </w:p>
    <w:p>
      <w:pPr>
        <w:pStyle w:val="13"/>
        <w:numPr>
          <w:ilvl w:val="2"/>
          <w:numId w:val="34"/>
        </w:numPr>
        <w:tabs>
          <w:tab w:val="left" w:pos="1728"/>
        </w:tabs>
        <w:spacing w:before="141" w:after="0" w:line="364" w:lineRule="auto"/>
        <w:ind w:left="731" w:right="895" w:firstLine="420"/>
        <w:jc w:val="left"/>
        <w:rPr>
          <w:rFonts w:ascii="Times New Roman" w:eastAsia="Times New Roman"/>
          <w:sz w:val="21"/>
        </w:rPr>
      </w:pPr>
      <w:r>
        <w:rPr>
          <w:rFonts w:hint="eastAsia" w:ascii="仿宋" w:eastAsia="仿宋"/>
          <w:spacing w:val="-3"/>
          <w:sz w:val="21"/>
        </w:rPr>
        <w:t xml:space="preserve">总价合同采用支付分解表计量支付的，是否适用第 </w:t>
      </w:r>
      <w:r>
        <w:rPr>
          <w:rFonts w:ascii="Times New Roman" w:eastAsia="Times New Roman"/>
          <w:sz w:val="21"/>
        </w:rPr>
        <w:t>12.3.4</w:t>
      </w:r>
      <w:r>
        <w:rPr>
          <w:rFonts w:ascii="Times New Roman" w:eastAsia="Times New Roman"/>
          <w:spacing w:val="40"/>
          <w:sz w:val="21"/>
        </w:rPr>
        <w:t xml:space="preserve"> </w:t>
      </w:r>
      <w:r>
        <w:rPr>
          <w:rFonts w:hint="eastAsia" w:ascii="仿宋" w:eastAsia="仿宋"/>
          <w:sz w:val="21"/>
        </w:rPr>
        <w:t>项〔总价合同的计量〕约定进行计量：</w:t>
      </w:r>
      <w:r>
        <w:rPr>
          <w:rFonts w:hint="eastAsia" w:ascii="仿宋" w:eastAsia="仿宋"/>
          <w:sz w:val="21"/>
          <w:u w:val="single"/>
        </w:rPr>
        <w:t>/</w:t>
      </w:r>
      <w:r>
        <w:rPr>
          <w:rFonts w:hint="eastAsia" w:ascii="仿宋" w:eastAsia="仿宋"/>
          <w:sz w:val="21"/>
        </w:rPr>
        <w:t>。</w:t>
      </w:r>
    </w:p>
    <w:p>
      <w:pPr>
        <w:pStyle w:val="13"/>
        <w:numPr>
          <w:ilvl w:val="2"/>
          <w:numId w:val="34"/>
        </w:numPr>
        <w:tabs>
          <w:tab w:val="left" w:pos="1780"/>
        </w:tabs>
        <w:spacing w:before="0" w:after="0" w:line="267" w:lineRule="exact"/>
        <w:ind w:left="1780" w:right="0" w:hanging="629"/>
        <w:jc w:val="left"/>
        <w:rPr>
          <w:rFonts w:ascii="Times New Roman" w:eastAsia="Times New Roman"/>
          <w:sz w:val="21"/>
        </w:rPr>
      </w:pPr>
      <w:r>
        <w:rPr>
          <w:rFonts w:hint="eastAsia" w:ascii="仿宋" w:eastAsia="仿宋"/>
          <w:sz w:val="21"/>
        </w:rPr>
        <w:t>其他价格形式合同的计量</w:t>
      </w:r>
    </w:p>
    <w:p>
      <w:pPr>
        <w:spacing w:before="139"/>
        <w:ind w:left="1151" w:right="0" w:firstLine="0"/>
        <w:jc w:val="left"/>
        <w:rPr>
          <w:rFonts w:hint="eastAsia" w:ascii="仿宋" w:eastAsia="仿宋"/>
          <w:sz w:val="21"/>
        </w:rPr>
      </w:pPr>
      <w:r>
        <w:rPr>
          <w:rFonts w:hint="eastAsia" w:ascii="仿宋" w:eastAsia="仿宋"/>
          <w:sz w:val="21"/>
        </w:rPr>
        <w:t>其他价格形式的计量方式和程序：</w:t>
      </w:r>
      <w:r>
        <w:rPr>
          <w:rFonts w:hint="eastAsia" w:ascii="仿宋" w:eastAsia="仿宋"/>
          <w:sz w:val="21"/>
          <w:u w:val="single"/>
        </w:rPr>
        <w:t>/</w:t>
      </w:r>
      <w:r>
        <w:rPr>
          <w:rFonts w:hint="eastAsia" w:ascii="仿宋" w:eastAsia="仿宋"/>
          <w:sz w:val="21"/>
        </w:rPr>
        <w:t>。</w:t>
      </w:r>
    </w:p>
    <w:p>
      <w:pPr>
        <w:pStyle w:val="13"/>
        <w:numPr>
          <w:ilvl w:val="1"/>
          <w:numId w:val="34"/>
        </w:numPr>
        <w:tabs>
          <w:tab w:val="left" w:pos="1624"/>
        </w:tabs>
        <w:spacing w:before="141" w:after="0" w:line="240" w:lineRule="auto"/>
        <w:ind w:left="1624" w:right="0" w:hanging="473"/>
        <w:jc w:val="left"/>
        <w:rPr>
          <w:rFonts w:hint="eastAsia" w:ascii="黑体" w:eastAsia="黑体"/>
          <w:sz w:val="21"/>
        </w:rPr>
      </w:pPr>
      <w:r>
        <w:rPr>
          <w:rFonts w:hint="eastAsia" w:ascii="黑体" w:eastAsia="黑体"/>
          <w:sz w:val="21"/>
        </w:rPr>
        <w:t>工程进度款支付</w:t>
      </w:r>
    </w:p>
    <w:p>
      <w:pPr>
        <w:pStyle w:val="9"/>
        <w:spacing w:before="3"/>
        <w:rPr>
          <w:rFonts w:ascii="黑体"/>
          <w:sz w:val="20"/>
        </w:rPr>
      </w:pPr>
    </w:p>
    <w:p>
      <w:pPr>
        <w:pStyle w:val="13"/>
        <w:numPr>
          <w:ilvl w:val="2"/>
          <w:numId w:val="34"/>
        </w:numPr>
        <w:tabs>
          <w:tab w:val="left" w:pos="1780"/>
        </w:tabs>
        <w:spacing w:before="0" w:after="0" w:line="240" w:lineRule="auto"/>
        <w:ind w:left="1780" w:right="0" w:hanging="629"/>
        <w:jc w:val="left"/>
        <w:rPr>
          <w:rFonts w:ascii="Times New Roman" w:eastAsia="Times New Roman"/>
          <w:sz w:val="21"/>
        </w:rPr>
      </w:pPr>
      <w:r>
        <w:rPr>
          <w:rFonts w:hint="eastAsia" w:ascii="仿宋" w:eastAsia="仿宋"/>
          <w:sz w:val="21"/>
        </w:rPr>
        <w:t>付款周期</w:t>
      </w:r>
    </w:p>
    <w:p>
      <w:pPr>
        <w:spacing w:before="139" w:line="364" w:lineRule="auto"/>
        <w:ind w:left="731" w:right="788" w:firstLine="420"/>
        <w:jc w:val="left"/>
        <w:rPr>
          <w:rFonts w:hint="eastAsia" w:ascii="仿宋" w:eastAsia="仿宋"/>
          <w:sz w:val="21"/>
        </w:rPr>
      </w:pPr>
      <w:r>
        <w:rPr>
          <w:rFonts w:hint="eastAsia" w:ascii="仿宋" w:eastAsia="仿宋"/>
          <w:sz w:val="21"/>
        </w:rPr>
        <w:t>关于付款周期的约定</w:t>
      </w:r>
      <w:r>
        <w:rPr>
          <w:rFonts w:hint="eastAsia" w:ascii="仿宋" w:eastAsia="仿宋"/>
          <w:spacing w:val="-11"/>
          <w:sz w:val="21"/>
          <w:u w:val="single"/>
        </w:rPr>
        <w:t xml:space="preserve">：施工单位进场后 </w:t>
      </w:r>
      <w:r>
        <w:rPr>
          <w:rFonts w:ascii="Times New Roman" w:eastAsia="Times New Roman"/>
          <w:sz w:val="21"/>
          <w:u w:val="single"/>
        </w:rPr>
        <w:t xml:space="preserve">14 </w:t>
      </w:r>
      <w:r>
        <w:rPr>
          <w:rFonts w:hint="eastAsia" w:ascii="仿宋" w:eastAsia="仿宋"/>
          <w:spacing w:val="-8"/>
          <w:sz w:val="21"/>
          <w:u w:val="single"/>
        </w:rPr>
        <w:t xml:space="preserve">天内支付中标价 </w:t>
      </w:r>
      <w:r>
        <w:rPr>
          <w:rFonts w:ascii="Times New Roman" w:eastAsia="Times New Roman"/>
          <w:sz w:val="21"/>
          <w:u w:val="single"/>
        </w:rPr>
        <w:t>30%</w:t>
      </w:r>
      <w:r>
        <w:rPr>
          <w:rFonts w:hint="eastAsia" w:ascii="仿宋" w:eastAsia="仿宋"/>
          <w:spacing w:val="-4"/>
          <w:sz w:val="21"/>
          <w:u w:val="single"/>
        </w:rPr>
        <w:t>的预付款</w:t>
      </w:r>
      <w:r>
        <w:rPr>
          <w:rFonts w:hint="eastAsia" w:ascii="仿宋" w:eastAsia="仿宋"/>
          <w:sz w:val="21"/>
          <w:u w:val="single"/>
        </w:rPr>
        <w:t>（</w:t>
      </w:r>
      <w:r>
        <w:rPr>
          <w:rFonts w:hint="eastAsia" w:ascii="仿宋" w:eastAsia="仿宋"/>
          <w:spacing w:val="-15"/>
          <w:sz w:val="21"/>
          <w:u w:val="single"/>
        </w:rPr>
        <w:t xml:space="preserve">已包含 </w:t>
      </w:r>
      <w:r>
        <w:rPr>
          <w:rFonts w:ascii="Times New Roman" w:eastAsia="Times New Roman"/>
          <w:sz w:val="21"/>
          <w:u w:val="single"/>
        </w:rPr>
        <w:t>100%</w:t>
      </w:r>
      <w:r>
        <w:rPr>
          <w:rFonts w:hint="eastAsia" w:ascii="仿宋" w:eastAsia="仿宋"/>
          <w:spacing w:val="-34"/>
          <w:sz w:val="21"/>
          <w:u w:val="single"/>
        </w:rPr>
        <w:t>安全防</w:t>
      </w:r>
      <w:r>
        <w:rPr>
          <w:rFonts w:hint="eastAsia" w:ascii="仿宋" w:eastAsia="仿宋"/>
          <w:spacing w:val="-189"/>
          <w:sz w:val="21"/>
          <w:u w:val="single"/>
        </w:rPr>
        <w:t>护</w:t>
      </w:r>
      <w:r>
        <w:rPr>
          <w:rFonts w:hint="eastAsia" w:ascii="仿宋" w:eastAsia="仿宋"/>
          <w:spacing w:val="-5"/>
          <w:sz w:val="21"/>
          <w:u w:val="single"/>
        </w:rPr>
        <w:t>文明施工费，应扣除暂列金额</w:t>
      </w:r>
      <w:r>
        <w:rPr>
          <w:rFonts w:hint="eastAsia" w:ascii="仿宋" w:eastAsia="仿宋"/>
          <w:spacing w:val="-31"/>
          <w:sz w:val="21"/>
          <w:u w:val="single"/>
        </w:rPr>
        <w:t>）</w:t>
      </w:r>
      <w:r>
        <w:rPr>
          <w:rFonts w:hint="eastAsia" w:ascii="仿宋" w:eastAsia="仿宋"/>
          <w:spacing w:val="-19"/>
          <w:sz w:val="21"/>
          <w:u w:val="single"/>
        </w:rPr>
        <w:t xml:space="preserve">；工程完成 </w:t>
      </w:r>
      <w:r>
        <w:rPr>
          <w:rFonts w:ascii="Times New Roman" w:eastAsia="Times New Roman"/>
          <w:sz w:val="21"/>
          <w:u w:val="single"/>
        </w:rPr>
        <w:t>50</w:t>
      </w:r>
      <w:r>
        <w:rPr>
          <w:rFonts w:hint="eastAsia" w:ascii="仿宋" w:eastAsia="仿宋"/>
          <w:spacing w:val="-7"/>
          <w:sz w:val="21"/>
          <w:u w:val="single"/>
        </w:rPr>
        <w:t>％工作量，经乙方提出书面申请，甲方确认后，支付</w:t>
      </w:r>
      <w:r>
        <w:rPr>
          <w:rFonts w:hint="eastAsia" w:ascii="仿宋" w:eastAsia="仿宋"/>
          <w:spacing w:val="-19"/>
          <w:sz w:val="21"/>
          <w:u w:val="single"/>
        </w:rPr>
        <w:t xml:space="preserve">到中标价 </w:t>
      </w:r>
      <w:r>
        <w:rPr>
          <w:rFonts w:ascii="Times New Roman" w:eastAsia="Times New Roman"/>
          <w:sz w:val="21"/>
          <w:u w:val="single"/>
        </w:rPr>
        <w:t>50%</w:t>
      </w:r>
      <w:r>
        <w:rPr>
          <w:rFonts w:hint="eastAsia" w:ascii="仿宋" w:eastAsia="仿宋"/>
          <w:spacing w:val="-1"/>
          <w:sz w:val="21"/>
          <w:u w:val="single"/>
        </w:rPr>
        <w:t>的进度款</w:t>
      </w:r>
      <w:r>
        <w:rPr>
          <w:rFonts w:hint="eastAsia" w:ascii="仿宋" w:eastAsia="仿宋"/>
          <w:sz w:val="21"/>
          <w:u w:val="single"/>
        </w:rPr>
        <w:t>（应扣除暂列金额</w:t>
      </w:r>
      <w:r>
        <w:rPr>
          <w:rFonts w:hint="eastAsia" w:ascii="仿宋" w:eastAsia="仿宋"/>
          <w:spacing w:val="-3"/>
          <w:sz w:val="21"/>
          <w:u w:val="single"/>
        </w:rPr>
        <w:t>）；</w:t>
      </w:r>
      <w:r>
        <w:rPr>
          <w:rFonts w:hint="eastAsia" w:ascii="仿宋" w:eastAsia="仿宋"/>
          <w:spacing w:val="-4"/>
          <w:sz w:val="21"/>
          <w:u w:val="single"/>
        </w:rPr>
        <w:t xml:space="preserve">竣工验收合格并经审计后，承包人支付审定价的 </w:t>
      </w:r>
      <w:r>
        <w:rPr>
          <w:rFonts w:ascii="Times New Roman" w:eastAsia="Times New Roman"/>
          <w:sz w:val="21"/>
          <w:u w:val="single"/>
        </w:rPr>
        <w:t xml:space="preserve">3% </w:t>
      </w:r>
      <w:r>
        <w:rPr>
          <w:rFonts w:hint="eastAsia" w:ascii="仿宋" w:eastAsia="仿宋"/>
          <w:spacing w:val="-4"/>
          <w:sz w:val="21"/>
          <w:u w:val="single"/>
        </w:rPr>
        <w:t xml:space="preserve">至发包人指定账户作为质保金，发包人收到质保金后，支付至审定价的 </w:t>
      </w:r>
      <w:r>
        <w:rPr>
          <w:rFonts w:ascii="Times New Roman" w:eastAsia="Times New Roman"/>
          <w:sz w:val="21"/>
          <w:u w:val="single"/>
        </w:rPr>
        <w:t>100%</w:t>
      </w:r>
      <w:r>
        <w:rPr>
          <w:rFonts w:hint="eastAsia" w:ascii="仿宋" w:eastAsia="仿宋"/>
          <w:spacing w:val="-2"/>
          <w:sz w:val="21"/>
          <w:u w:val="single"/>
        </w:rPr>
        <w:t>的竣工款，质保金在</w:t>
      </w:r>
      <w:r>
        <w:rPr>
          <w:rFonts w:hint="eastAsia" w:ascii="仿宋" w:eastAsia="仿宋"/>
          <w:spacing w:val="-5"/>
          <w:sz w:val="21"/>
          <w:u w:val="single"/>
        </w:rPr>
        <w:t>质保期满后按相关规定支付</w:t>
      </w:r>
      <w:r>
        <w:rPr>
          <w:rFonts w:hint="eastAsia" w:ascii="仿宋" w:eastAsia="仿宋"/>
          <w:sz w:val="21"/>
          <w:u w:val="single"/>
        </w:rPr>
        <w:t>（</w:t>
      </w:r>
      <w:r>
        <w:rPr>
          <w:rFonts w:hint="eastAsia" w:ascii="仿宋" w:eastAsia="仿宋"/>
          <w:spacing w:val="-5"/>
          <w:sz w:val="21"/>
          <w:u w:val="single"/>
        </w:rPr>
        <w:t>质保金无息退还，质保金支付不影响承包人承担保修义务</w:t>
      </w:r>
      <w:r>
        <w:rPr>
          <w:rFonts w:hint="eastAsia" w:ascii="仿宋" w:eastAsia="仿宋"/>
          <w:spacing w:val="-32"/>
          <w:sz w:val="21"/>
          <w:u w:val="single"/>
        </w:rPr>
        <w:t>）</w:t>
      </w:r>
      <w:r>
        <w:rPr>
          <w:rFonts w:hint="eastAsia" w:ascii="仿宋" w:eastAsia="仿宋"/>
          <w:sz w:val="21"/>
          <w:u w:val="single"/>
        </w:rPr>
        <w:t>。</w:t>
      </w:r>
    </w:p>
    <w:p>
      <w:pPr>
        <w:pStyle w:val="13"/>
        <w:numPr>
          <w:ilvl w:val="2"/>
          <w:numId w:val="34"/>
        </w:numPr>
        <w:tabs>
          <w:tab w:val="left" w:pos="1780"/>
        </w:tabs>
        <w:spacing w:before="0" w:after="0" w:line="267" w:lineRule="exact"/>
        <w:ind w:left="1780" w:right="0" w:hanging="629"/>
        <w:jc w:val="left"/>
        <w:rPr>
          <w:rFonts w:ascii="Times New Roman" w:eastAsia="Times New Roman"/>
          <w:sz w:val="21"/>
        </w:rPr>
      </w:pPr>
      <w:r>
        <w:rPr>
          <w:rFonts w:hint="eastAsia" w:ascii="仿宋" w:eastAsia="仿宋"/>
          <w:sz w:val="21"/>
        </w:rPr>
        <w:t>进度付款申请单的编制</w:t>
      </w:r>
    </w:p>
    <w:p>
      <w:pPr>
        <w:spacing w:before="139"/>
        <w:ind w:left="1151" w:right="0" w:firstLine="0"/>
        <w:jc w:val="left"/>
        <w:rPr>
          <w:rFonts w:hint="eastAsia" w:ascii="仿宋" w:eastAsia="仿宋"/>
          <w:sz w:val="21"/>
        </w:rPr>
      </w:pPr>
      <w:r>
        <w:rPr>
          <w:rFonts w:hint="eastAsia" w:ascii="仿宋" w:eastAsia="仿宋"/>
          <w:sz w:val="21"/>
        </w:rPr>
        <w:t>关于进度付款申请单编制的约定：</w:t>
      </w:r>
      <w:r>
        <w:rPr>
          <w:rFonts w:hint="eastAsia" w:ascii="仿宋" w:eastAsia="仿宋"/>
          <w:sz w:val="21"/>
          <w:u w:val="single"/>
        </w:rPr>
        <w:t>执行通用条款</w:t>
      </w:r>
      <w:r>
        <w:rPr>
          <w:rFonts w:hint="eastAsia" w:ascii="仿宋" w:eastAsia="仿宋"/>
          <w:sz w:val="21"/>
        </w:rPr>
        <w:t>。</w:t>
      </w:r>
    </w:p>
    <w:p>
      <w:pPr>
        <w:pStyle w:val="13"/>
        <w:numPr>
          <w:ilvl w:val="2"/>
          <w:numId w:val="34"/>
        </w:numPr>
        <w:tabs>
          <w:tab w:val="left" w:pos="1780"/>
        </w:tabs>
        <w:spacing w:before="139" w:after="0" w:line="240" w:lineRule="auto"/>
        <w:ind w:left="1780" w:right="0" w:hanging="629"/>
        <w:jc w:val="left"/>
        <w:rPr>
          <w:rFonts w:ascii="Times New Roman" w:eastAsia="Times New Roman"/>
          <w:sz w:val="21"/>
        </w:rPr>
      </w:pPr>
      <w:r>
        <w:rPr>
          <w:rFonts w:hint="eastAsia" w:ascii="仿宋" w:eastAsia="仿宋"/>
          <w:sz w:val="21"/>
        </w:rPr>
        <w:t>进度付款申请单的提交</w:t>
      </w:r>
    </w:p>
    <w:p>
      <w:pPr>
        <w:pStyle w:val="13"/>
        <w:numPr>
          <w:ilvl w:val="0"/>
          <w:numId w:val="56"/>
        </w:numPr>
        <w:tabs>
          <w:tab w:val="left" w:pos="1676"/>
        </w:tabs>
        <w:spacing w:before="141" w:after="0" w:line="240" w:lineRule="auto"/>
        <w:ind w:left="1675" w:right="0" w:hanging="525"/>
        <w:jc w:val="left"/>
        <w:rPr>
          <w:rFonts w:hint="eastAsia" w:ascii="仿宋" w:eastAsia="仿宋"/>
          <w:sz w:val="21"/>
        </w:rPr>
      </w:pPr>
      <w:r>
        <w:rPr>
          <w:rFonts w:hint="eastAsia" w:ascii="仿宋" w:eastAsia="仿宋"/>
          <w:sz w:val="21"/>
        </w:rPr>
        <w:t>单价合同进度付款申请单提交的约定：</w:t>
      </w:r>
      <w:r>
        <w:rPr>
          <w:rFonts w:hint="eastAsia" w:ascii="仿宋" w:eastAsia="仿宋"/>
          <w:sz w:val="21"/>
          <w:u w:val="single"/>
        </w:rPr>
        <w:t>执行通用条款</w:t>
      </w:r>
      <w:r>
        <w:rPr>
          <w:rFonts w:hint="eastAsia" w:ascii="仿宋" w:eastAsia="仿宋"/>
          <w:sz w:val="21"/>
        </w:rPr>
        <w:t>。</w:t>
      </w:r>
    </w:p>
    <w:p>
      <w:pPr>
        <w:pStyle w:val="13"/>
        <w:numPr>
          <w:ilvl w:val="0"/>
          <w:numId w:val="56"/>
        </w:numPr>
        <w:tabs>
          <w:tab w:val="left" w:pos="1676"/>
        </w:tabs>
        <w:spacing w:before="139" w:after="0" w:line="240" w:lineRule="auto"/>
        <w:ind w:left="1675" w:right="0" w:hanging="525"/>
        <w:jc w:val="left"/>
        <w:rPr>
          <w:rFonts w:hint="eastAsia" w:ascii="仿宋" w:eastAsia="仿宋"/>
          <w:sz w:val="21"/>
        </w:rPr>
      </w:pPr>
      <w:r>
        <w:rPr>
          <w:rFonts w:hint="eastAsia" w:ascii="仿宋" w:eastAsia="仿宋"/>
          <w:sz w:val="21"/>
        </w:rPr>
        <w:t>总价合同进度付款申请单提交的约定：</w:t>
      </w:r>
      <w:r>
        <w:rPr>
          <w:rFonts w:hint="eastAsia" w:ascii="仿宋" w:eastAsia="仿宋"/>
          <w:sz w:val="21"/>
          <w:u w:val="single"/>
        </w:rPr>
        <w:t xml:space="preserve"> </w:t>
      </w:r>
      <w:r>
        <w:rPr>
          <w:rFonts w:ascii="Times New Roman" w:eastAsia="Times New Roman"/>
          <w:sz w:val="21"/>
          <w:u w:val="single"/>
        </w:rPr>
        <w:t>/</w:t>
      </w:r>
      <w:r>
        <w:rPr>
          <w:rFonts w:ascii="Times New Roman" w:eastAsia="Times New Roman"/>
          <w:sz w:val="21"/>
        </w:rPr>
        <w:t xml:space="preserve">  </w:t>
      </w:r>
      <w:r>
        <w:rPr>
          <w:rFonts w:hint="eastAsia" w:ascii="仿宋" w:eastAsia="仿宋"/>
          <w:sz w:val="21"/>
        </w:rPr>
        <w:t>。</w:t>
      </w:r>
    </w:p>
    <w:p>
      <w:pPr>
        <w:pStyle w:val="13"/>
        <w:numPr>
          <w:ilvl w:val="0"/>
          <w:numId w:val="56"/>
        </w:numPr>
        <w:tabs>
          <w:tab w:val="left" w:pos="1676"/>
        </w:tabs>
        <w:spacing w:before="139" w:after="0" w:line="240" w:lineRule="auto"/>
        <w:ind w:left="1675" w:right="0" w:hanging="525"/>
        <w:jc w:val="left"/>
        <w:rPr>
          <w:rFonts w:hint="eastAsia" w:ascii="仿宋" w:eastAsia="仿宋"/>
          <w:sz w:val="21"/>
        </w:rPr>
      </w:pPr>
      <w:r>
        <w:rPr>
          <w:rFonts w:hint="eastAsia" w:ascii="仿宋" w:eastAsia="仿宋"/>
          <w:sz w:val="21"/>
        </w:rPr>
        <w:t>其他价格形式合同进度付款申请单提交的约定：</w:t>
      </w:r>
      <w:r>
        <w:rPr>
          <w:rFonts w:hint="eastAsia" w:ascii="仿宋" w:eastAsia="仿宋"/>
          <w:sz w:val="21"/>
          <w:u w:val="single"/>
        </w:rPr>
        <w:t xml:space="preserve"> </w:t>
      </w:r>
      <w:r>
        <w:rPr>
          <w:rFonts w:ascii="Times New Roman" w:eastAsia="Times New Roman"/>
          <w:sz w:val="21"/>
          <w:u w:val="single"/>
        </w:rPr>
        <w:t>/</w:t>
      </w:r>
      <w:r>
        <w:rPr>
          <w:rFonts w:ascii="Times New Roman" w:eastAsia="Times New Roman"/>
          <w:sz w:val="21"/>
        </w:rPr>
        <w:t xml:space="preserve">  </w:t>
      </w:r>
      <w:r>
        <w:rPr>
          <w:rFonts w:hint="eastAsia" w:ascii="仿宋" w:eastAsia="仿宋"/>
          <w:sz w:val="21"/>
        </w:rPr>
        <w:t>。</w:t>
      </w:r>
    </w:p>
    <w:p>
      <w:pPr>
        <w:pStyle w:val="13"/>
        <w:numPr>
          <w:ilvl w:val="2"/>
          <w:numId w:val="34"/>
        </w:numPr>
        <w:tabs>
          <w:tab w:val="left" w:pos="1780"/>
        </w:tabs>
        <w:spacing w:before="139" w:after="0" w:line="240" w:lineRule="auto"/>
        <w:ind w:left="1780" w:right="0" w:hanging="629"/>
        <w:jc w:val="left"/>
        <w:rPr>
          <w:rFonts w:ascii="Times New Roman" w:eastAsia="Times New Roman"/>
          <w:sz w:val="21"/>
        </w:rPr>
      </w:pPr>
      <w:r>
        <w:rPr>
          <w:rFonts w:hint="eastAsia" w:ascii="仿宋" w:eastAsia="仿宋"/>
          <w:sz w:val="21"/>
        </w:rPr>
        <w:t>进度款审核和支付</w:t>
      </w:r>
    </w:p>
    <w:p>
      <w:pPr>
        <w:pStyle w:val="13"/>
        <w:numPr>
          <w:ilvl w:val="0"/>
          <w:numId w:val="57"/>
        </w:numPr>
        <w:tabs>
          <w:tab w:val="left" w:pos="1676"/>
        </w:tabs>
        <w:spacing w:before="142" w:after="0" w:line="240" w:lineRule="auto"/>
        <w:ind w:left="1675" w:right="0" w:hanging="525"/>
        <w:jc w:val="left"/>
        <w:rPr>
          <w:rFonts w:hint="eastAsia" w:ascii="仿宋" w:eastAsia="仿宋"/>
          <w:sz w:val="21"/>
        </w:rPr>
      </w:pPr>
      <w:r>
        <w:rPr>
          <w:rFonts w:hint="eastAsia" w:ascii="仿宋" w:eastAsia="仿宋"/>
          <w:sz w:val="21"/>
        </w:rPr>
        <w:t>监理人审查并报送发包人的期限：</w:t>
      </w:r>
      <w:r>
        <w:rPr>
          <w:rFonts w:hint="eastAsia" w:ascii="仿宋" w:eastAsia="仿宋"/>
          <w:sz w:val="21"/>
          <w:u w:val="single"/>
        </w:rPr>
        <w:t>执行通用条款</w:t>
      </w:r>
      <w:r>
        <w:rPr>
          <w:rFonts w:hint="eastAsia" w:ascii="仿宋" w:eastAsia="仿宋"/>
          <w:sz w:val="21"/>
        </w:rPr>
        <w:t>。</w:t>
      </w:r>
    </w:p>
    <w:p>
      <w:pPr>
        <w:spacing w:before="138"/>
        <w:ind w:left="1151" w:right="0" w:firstLine="0"/>
        <w:jc w:val="left"/>
        <w:rPr>
          <w:rFonts w:hint="eastAsia" w:ascii="仿宋" w:eastAsia="仿宋"/>
          <w:sz w:val="21"/>
        </w:rPr>
      </w:pPr>
      <w:r>
        <w:rPr>
          <w:rFonts w:hint="eastAsia" w:ascii="仿宋" w:eastAsia="仿宋"/>
          <w:sz w:val="21"/>
        </w:rPr>
        <w:t>发包人完成审批并签发进度款支付证书的期限：</w:t>
      </w:r>
      <w:r>
        <w:rPr>
          <w:rFonts w:hint="eastAsia" w:ascii="仿宋" w:eastAsia="仿宋"/>
          <w:sz w:val="21"/>
          <w:u w:val="single"/>
        </w:rPr>
        <w:t>执行通用条款</w:t>
      </w:r>
      <w:r>
        <w:rPr>
          <w:rFonts w:hint="eastAsia" w:ascii="仿宋" w:eastAsia="仿宋"/>
          <w:sz w:val="21"/>
        </w:rPr>
        <w:t>。</w:t>
      </w:r>
    </w:p>
    <w:p>
      <w:pPr>
        <w:pStyle w:val="13"/>
        <w:numPr>
          <w:ilvl w:val="0"/>
          <w:numId w:val="57"/>
        </w:numPr>
        <w:tabs>
          <w:tab w:val="left" w:pos="1676"/>
        </w:tabs>
        <w:spacing w:before="139" w:after="0" w:line="240" w:lineRule="auto"/>
        <w:ind w:left="1675" w:right="0" w:hanging="525"/>
        <w:jc w:val="left"/>
        <w:rPr>
          <w:rFonts w:hint="eastAsia" w:ascii="仿宋" w:eastAsia="仿宋"/>
          <w:sz w:val="21"/>
        </w:rPr>
      </w:pPr>
      <w:r>
        <w:rPr>
          <w:rFonts w:ascii="宋体" w:hAnsi="宋体" w:eastAsia="宋体" w:cs="宋体"/>
          <w:sz w:val="22"/>
          <w:szCs w:val="22"/>
          <w:lang w:val="zh-CN" w:eastAsia="zh-CN" w:bidi="zh-CN"/>
        </w:rPr>
        <w:pict>
          <v:line id="直线 16" o:spid="_x0000_s1067" style="position:absolute;left:0;margin-left:249.8pt;margin-top:18.55pt;height:0.05pt;width:63pt;mso-position-horizontal-relative:page;rotation:0f;z-index:251677696;" o:ole="f" fillcolor="#FFFFFF" filled="f" o:preferrelative="t" stroked="t" coordsize="21600,21600">
            <v:fill on="f" color2="#FFFFFF" focus="0%"/>
            <v:stroke weight="0.48pt" color="#000000" color2="#FFFFFF" miterlimit="2"/>
            <v:imagedata gain="65536f" blacklevel="0f" gamma="0"/>
            <o:lock v:ext="edit" position="f" selection="f" grouping="f" rotation="f" cropping="f" text="f" aspectratio="f"/>
          </v:line>
        </w:pict>
      </w:r>
      <w:r>
        <w:rPr>
          <w:rFonts w:hint="eastAsia" w:ascii="仿宋" w:eastAsia="仿宋"/>
          <w:sz w:val="21"/>
        </w:rPr>
        <w:t>发包人支付进度款的期限：执行通用条款。</w:t>
      </w:r>
    </w:p>
    <w:p>
      <w:pPr>
        <w:spacing w:before="139"/>
        <w:ind w:left="1256" w:right="0" w:firstLine="0"/>
        <w:jc w:val="left"/>
        <w:rPr>
          <w:rFonts w:hint="eastAsia" w:ascii="仿宋" w:eastAsia="仿宋"/>
          <w:sz w:val="21"/>
        </w:rPr>
      </w:pPr>
      <w:r>
        <w:rPr>
          <w:rFonts w:ascii="宋体" w:hAnsi="宋体" w:eastAsia="宋体" w:cs="宋体"/>
          <w:sz w:val="22"/>
          <w:szCs w:val="22"/>
          <w:lang w:val="zh-CN" w:eastAsia="zh-CN" w:bidi="zh-CN"/>
        </w:rPr>
        <w:pict>
          <v:line id="直线 17" o:spid="_x0000_s1068" style="position:absolute;left:0;margin-left:312.75pt;margin-top:18.65pt;height:0.05pt;width:63pt;mso-position-horizontal-relative:page;rotation:0f;z-index:251678720;" o:ole="f" fillcolor="#FFFFFF" filled="f" o:preferrelative="t" stroked="t" coordsize="21600,21600">
            <v:fill on="f" color2="#FFFFFF" focus="0%"/>
            <v:stroke weight="0.48pt" color="#000000" color2="#FFFFFF" miterlimit="2"/>
            <v:imagedata gain="65536f" blacklevel="0f" gamma="0"/>
            <o:lock v:ext="edit" position="f" selection="f" grouping="f" rotation="f" cropping="f" text="f" aspectratio="f"/>
          </v:line>
        </w:pict>
      </w:r>
      <w:r>
        <w:rPr>
          <w:rFonts w:hint="eastAsia" w:ascii="仿宋" w:eastAsia="仿宋"/>
          <w:sz w:val="21"/>
        </w:rPr>
        <w:t>发包人逾期支付进度款的违约金的计算方式：执行通用条款。</w:t>
      </w:r>
    </w:p>
    <w:p>
      <w:pPr>
        <w:spacing w:after="0"/>
        <w:jc w:val="left"/>
        <w:rPr>
          <w:rFonts w:hint="eastAsia" w:ascii="仿宋" w:eastAsia="仿宋"/>
          <w:sz w:val="21"/>
        </w:rPr>
        <w:sectPr>
          <w:pgSz w:w="11910" w:h="16840"/>
          <w:pgMar w:top="1100" w:right="660" w:bottom="1200" w:left="800" w:header="878" w:footer="1003" w:gutter="0"/>
          <w:cols w:space="720" w:num="1"/>
        </w:sectPr>
      </w:pPr>
    </w:p>
    <w:p>
      <w:pPr>
        <w:pStyle w:val="9"/>
        <w:spacing w:before="5"/>
        <w:rPr>
          <w:rFonts w:ascii="仿宋"/>
          <w:sz w:val="17"/>
        </w:rPr>
      </w:pPr>
    </w:p>
    <w:p>
      <w:pPr>
        <w:spacing w:before="77"/>
        <w:ind w:left="1256" w:right="0" w:firstLine="0"/>
        <w:jc w:val="left"/>
        <w:rPr>
          <w:rFonts w:hint="eastAsia" w:ascii="仿宋" w:eastAsia="仿宋"/>
          <w:sz w:val="21"/>
        </w:rPr>
      </w:pPr>
      <w:r>
        <w:rPr>
          <w:rFonts w:ascii="Times New Roman" w:eastAsia="Times New Roman"/>
          <w:sz w:val="21"/>
        </w:rPr>
        <w:t>12.4.6</w:t>
      </w:r>
      <w:r>
        <w:rPr>
          <w:rFonts w:ascii="Times New Roman" w:eastAsia="Times New Roman"/>
          <w:spacing w:val="51"/>
          <w:sz w:val="21"/>
        </w:rPr>
        <w:t xml:space="preserve"> </w:t>
      </w:r>
      <w:r>
        <w:rPr>
          <w:rFonts w:hint="eastAsia" w:ascii="仿宋" w:eastAsia="仿宋"/>
          <w:sz w:val="21"/>
        </w:rPr>
        <w:t>支付分解表的编制</w:t>
      </w:r>
    </w:p>
    <w:p>
      <w:pPr>
        <w:spacing w:before="139"/>
        <w:ind w:left="1151" w:right="0" w:firstLine="0"/>
        <w:jc w:val="left"/>
        <w:rPr>
          <w:rFonts w:hint="eastAsia" w:ascii="仿宋" w:eastAsia="仿宋"/>
          <w:sz w:val="21"/>
        </w:rPr>
      </w:pPr>
      <w:r>
        <w:rPr>
          <w:rFonts w:ascii="Times New Roman" w:eastAsia="Times New Roman"/>
          <w:sz w:val="21"/>
        </w:rPr>
        <w:t>2</w:t>
      </w:r>
      <w:r>
        <w:rPr>
          <w:rFonts w:hint="eastAsia" w:ascii="仿宋" w:eastAsia="仿宋"/>
          <w:sz w:val="21"/>
        </w:rPr>
        <w:t>、总价合同支付分解表的编制与审批：</w:t>
      </w:r>
      <w:r>
        <w:rPr>
          <w:rFonts w:hint="eastAsia" w:ascii="仿宋" w:eastAsia="仿宋"/>
          <w:sz w:val="21"/>
          <w:u w:val="single"/>
        </w:rPr>
        <w:t>/</w:t>
      </w:r>
      <w:r>
        <w:rPr>
          <w:rFonts w:hint="eastAsia" w:ascii="仿宋" w:eastAsia="仿宋"/>
          <w:sz w:val="21"/>
        </w:rPr>
        <w:t>。</w:t>
      </w:r>
    </w:p>
    <w:p>
      <w:pPr>
        <w:spacing w:before="141"/>
        <w:ind w:left="1151" w:right="0" w:firstLine="0"/>
        <w:jc w:val="left"/>
        <w:rPr>
          <w:rFonts w:hint="eastAsia" w:ascii="仿宋" w:eastAsia="仿宋"/>
          <w:sz w:val="21"/>
        </w:rPr>
      </w:pPr>
      <w:r>
        <w:rPr>
          <w:rFonts w:ascii="Times New Roman" w:eastAsia="Times New Roman"/>
          <w:sz w:val="21"/>
        </w:rPr>
        <w:t>3</w:t>
      </w:r>
      <w:r>
        <w:rPr>
          <w:rFonts w:hint="eastAsia" w:ascii="仿宋" w:eastAsia="仿宋"/>
          <w:sz w:val="21"/>
        </w:rPr>
        <w:t>、单价合同的总价项目支付分解表的编制与审批：</w:t>
      </w:r>
      <w:r>
        <w:rPr>
          <w:rFonts w:hint="eastAsia" w:ascii="仿宋" w:eastAsia="仿宋"/>
          <w:sz w:val="21"/>
          <w:u w:val="single"/>
        </w:rPr>
        <w:t>执行通用条款</w:t>
      </w:r>
      <w:r>
        <w:rPr>
          <w:rFonts w:hint="eastAsia" w:ascii="仿宋" w:eastAsia="仿宋"/>
          <w:sz w:val="21"/>
        </w:rPr>
        <w:t>。</w:t>
      </w:r>
    </w:p>
    <w:p>
      <w:pPr>
        <w:pStyle w:val="9"/>
        <w:spacing w:before="2"/>
        <w:rPr>
          <w:rFonts w:ascii="仿宋"/>
          <w:sz w:val="20"/>
        </w:rPr>
      </w:pPr>
    </w:p>
    <w:p>
      <w:pPr>
        <w:pStyle w:val="13"/>
        <w:numPr>
          <w:ilvl w:val="0"/>
          <w:numId w:val="34"/>
        </w:numPr>
        <w:tabs>
          <w:tab w:val="left" w:pos="996"/>
        </w:tabs>
        <w:spacing w:before="1" w:after="0" w:line="240" w:lineRule="auto"/>
        <w:ind w:left="995" w:right="0" w:hanging="265"/>
        <w:jc w:val="left"/>
        <w:rPr>
          <w:rFonts w:hint="eastAsia" w:ascii="黑体" w:eastAsia="黑体"/>
          <w:sz w:val="21"/>
        </w:rPr>
      </w:pPr>
      <w:bookmarkStart w:id="69" w:name="13.验收和工程试车"/>
      <w:bookmarkEnd w:id="69"/>
      <w:r>
        <w:rPr>
          <w:rFonts w:hint="eastAsia" w:ascii="黑体" w:eastAsia="黑体"/>
          <w:sz w:val="21"/>
        </w:rPr>
        <w:t>验收和工程试车</w:t>
      </w:r>
    </w:p>
    <w:p>
      <w:pPr>
        <w:pStyle w:val="9"/>
        <w:spacing w:before="2"/>
        <w:rPr>
          <w:rFonts w:ascii="黑体"/>
          <w:sz w:val="20"/>
        </w:rPr>
      </w:pPr>
    </w:p>
    <w:p>
      <w:pPr>
        <w:pStyle w:val="13"/>
        <w:numPr>
          <w:ilvl w:val="1"/>
          <w:numId w:val="34"/>
        </w:numPr>
        <w:tabs>
          <w:tab w:val="left" w:pos="1624"/>
        </w:tabs>
        <w:spacing w:before="0" w:after="0" w:line="240" w:lineRule="auto"/>
        <w:ind w:left="1624" w:right="0" w:hanging="473"/>
        <w:jc w:val="left"/>
        <w:rPr>
          <w:rFonts w:hint="eastAsia" w:ascii="黑体" w:eastAsia="黑体"/>
          <w:sz w:val="21"/>
        </w:rPr>
      </w:pPr>
      <w:r>
        <w:rPr>
          <w:rFonts w:hint="eastAsia" w:ascii="黑体" w:eastAsia="黑体"/>
          <w:sz w:val="21"/>
        </w:rPr>
        <w:t>分部分项工程验收</w:t>
      </w:r>
    </w:p>
    <w:p>
      <w:pPr>
        <w:pStyle w:val="9"/>
        <w:spacing w:before="3"/>
        <w:rPr>
          <w:rFonts w:ascii="黑体"/>
          <w:sz w:val="20"/>
        </w:rPr>
      </w:pPr>
    </w:p>
    <w:p>
      <w:pPr>
        <w:spacing w:before="0" w:line="367" w:lineRule="auto"/>
        <w:ind w:left="1151" w:right="2667" w:firstLine="0"/>
        <w:jc w:val="left"/>
        <w:rPr>
          <w:rFonts w:hint="eastAsia" w:ascii="仿宋" w:eastAsia="仿宋"/>
          <w:sz w:val="21"/>
        </w:rPr>
      </w:pPr>
      <w:r>
        <w:rPr>
          <w:rFonts w:ascii="Times New Roman" w:eastAsia="Times New Roman"/>
          <w:sz w:val="21"/>
        </w:rPr>
        <w:t xml:space="preserve">13.1.2 </w:t>
      </w:r>
      <w:r>
        <w:rPr>
          <w:rFonts w:hint="eastAsia" w:ascii="仿宋" w:eastAsia="仿宋"/>
          <w:sz w:val="21"/>
        </w:rPr>
        <w:t xml:space="preserve">监理人不能按时进行验收时，应提前 </w:t>
      </w:r>
      <w:r>
        <w:rPr>
          <w:rFonts w:ascii="Times New Roman" w:eastAsia="Times New Roman"/>
          <w:sz w:val="21"/>
          <w:u w:val="single"/>
        </w:rPr>
        <w:t>24</w:t>
      </w:r>
      <w:r>
        <w:rPr>
          <w:rFonts w:ascii="Times New Roman" w:eastAsia="Times New Roman"/>
          <w:sz w:val="21"/>
        </w:rPr>
        <w:t xml:space="preserve"> </w:t>
      </w:r>
      <w:r>
        <w:rPr>
          <w:rFonts w:hint="eastAsia" w:ascii="仿宋" w:eastAsia="仿宋"/>
          <w:sz w:val="21"/>
        </w:rPr>
        <w:t>小时提交书面延期要求。关于延期最长不得超过：</w:t>
      </w:r>
      <w:r>
        <w:rPr>
          <w:rFonts w:ascii="Times New Roman" w:eastAsia="Times New Roman"/>
          <w:sz w:val="21"/>
          <w:u w:val="single"/>
        </w:rPr>
        <w:t>48</w:t>
      </w:r>
      <w:r>
        <w:rPr>
          <w:rFonts w:ascii="Times New Roman" w:eastAsia="Times New Roman"/>
          <w:sz w:val="21"/>
        </w:rPr>
        <w:t xml:space="preserve"> </w:t>
      </w:r>
      <w:r>
        <w:rPr>
          <w:rFonts w:hint="eastAsia" w:ascii="仿宋" w:eastAsia="仿宋"/>
          <w:sz w:val="21"/>
        </w:rPr>
        <w:t>小时。</w:t>
      </w:r>
    </w:p>
    <w:p>
      <w:pPr>
        <w:pStyle w:val="13"/>
        <w:numPr>
          <w:ilvl w:val="1"/>
          <w:numId w:val="34"/>
        </w:numPr>
        <w:tabs>
          <w:tab w:val="left" w:pos="1624"/>
        </w:tabs>
        <w:spacing w:before="0" w:after="0" w:line="264" w:lineRule="exact"/>
        <w:ind w:left="1624" w:right="0" w:hanging="473"/>
        <w:jc w:val="left"/>
        <w:rPr>
          <w:rFonts w:hint="eastAsia" w:ascii="黑体" w:eastAsia="黑体"/>
          <w:sz w:val="21"/>
        </w:rPr>
      </w:pPr>
      <w:r>
        <w:rPr>
          <w:rFonts w:hint="eastAsia" w:ascii="黑体" w:eastAsia="黑体"/>
          <w:sz w:val="21"/>
        </w:rPr>
        <w:t>竣工验收</w:t>
      </w:r>
    </w:p>
    <w:p>
      <w:pPr>
        <w:pStyle w:val="9"/>
        <w:spacing w:before="3"/>
        <w:rPr>
          <w:rFonts w:ascii="黑体"/>
          <w:sz w:val="20"/>
        </w:rPr>
      </w:pPr>
    </w:p>
    <w:p>
      <w:pPr>
        <w:pStyle w:val="13"/>
        <w:numPr>
          <w:ilvl w:val="2"/>
          <w:numId w:val="58"/>
        </w:numPr>
        <w:tabs>
          <w:tab w:val="left" w:pos="1728"/>
        </w:tabs>
        <w:spacing w:before="0" w:after="0" w:line="240" w:lineRule="auto"/>
        <w:ind w:left="1727" w:right="0" w:hanging="577"/>
        <w:jc w:val="left"/>
        <w:rPr>
          <w:rFonts w:hint="eastAsia" w:ascii="仿宋" w:eastAsia="仿宋"/>
          <w:sz w:val="21"/>
        </w:rPr>
      </w:pPr>
      <w:r>
        <w:rPr>
          <w:rFonts w:hint="eastAsia" w:ascii="仿宋" w:eastAsia="仿宋"/>
          <w:sz w:val="21"/>
        </w:rPr>
        <w:t>竣工验收程序</w:t>
      </w:r>
    </w:p>
    <w:p>
      <w:pPr>
        <w:spacing w:before="139"/>
        <w:ind w:left="1151" w:right="0" w:firstLine="0"/>
        <w:jc w:val="left"/>
        <w:rPr>
          <w:rFonts w:hint="eastAsia" w:ascii="仿宋" w:eastAsia="仿宋"/>
          <w:sz w:val="21"/>
        </w:rPr>
      </w:pPr>
      <w:r>
        <w:rPr>
          <w:rFonts w:hint="eastAsia" w:ascii="仿宋" w:eastAsia="仿宋"/>
          <w:sz w:val="21"/>
        </w:rPr>
        <w:t>关于竣工验收程序的约定：</w:t>
      </w:r>
      <w:r>
        <w:rPr>
          <w:rFonts w:hint="eastAsia" w:ascii="仿宋" w:eastAsia="仿宋"/>
          <w:sz w:val="21"/>
          <w:u w:val="single"/>
        </w:rPr>
        <w:t>执行通用条款</w:t>
      </w:r>
      <w:r>
        <w:rPr>
          <w:rFonts w:hint="eastAsia" w:ascii="仿宋" w:eastAsia="仿宋"/>
          <w:sz w:val="21"/>
        </w:rPr>
        <w:t>。</w:t>
      </w:r>
    </w:p>
    <w:p>
      <w:pPr>
        <w:spacing w:before="139"/>
        <w:ind w:left="1151" w:right="0" w:firstLine="0"/>
        <w:jc w:val="left"/>
        <w:rPr>
          <w:rFonts w:hint="eastAsia" w:ascii="仿宋" w:eastAsia="仿宋"/>
          <w:sz w:val="21"/>
        </w:rPr>
      </w:pPr>
      <w:r>
        <w:rPr>
          <w:rFonts w:hint="eastAsia" w:ascii="仿宋" w:eastAsia="仿宋"/>
          <w:sz w:val="21"/>
        </w:rPr>
        <w:t>发包人不按照本项约定组织竣工验收、颁发工程接收证书的违约金的计算方法：</w:t>
      </w:r>
      <w:r>
        <w:rPr>
          <w:rFonts w:hint="eastAsia" w:ascii="仿宋" w:eastAsia="仿宋"/>
          <w:sz w:val="21"/>
          <w:u w:val="single"/>
        </w:rPr>
        <w:t>/</w:t>
      </w:r>
      <w:r>
        <w:rPr>
          <w:rFonts w:hint="eastAsia" w:ascii="仿宋" w:eastAsia="仿宋"/>
          <w:sz w:val="21"/>
        </w:rPr>
        <w:t>。</w:t>
      </w:r>
    </w:p>
    <w:p>
      <w:pPr>
        <w:pStyle w:val="13"/>
        <w:numPr>
          <w:ilvl w:val="2"/>
          <w:numId w:val="58"/>
        </w:numPr>
        <w:tabs>
          <w:tab w:val="left" w:pos="1728"/>
        </w:tabs>
        <w:spacing w:before="139" w:after="0" w:line="240" w:lineRule="auto"/>
        <w:ind w:left="1727" w:right="0" w:hanging="577"/>
        <w:jc w:val="left"/>
        <w:rPr>
          <w:rFonts w:hint="eastAsia" w:ascii="仿宋" w:eastAsia="仿宋"/>
          <w:sz w:val="21"/>
        </w:rPr>
      </w:pPr>
      <w:r>
        <w:rPr>
          <w:rFonts w:hint="eastAsia" w:ascii="仿宋" w:eastAsia="仿宋"/>
          <w:sz w:val="21"/>
        </w:rPr>
        <w:t>竣工验收不合格的处理方式：</w:t>
      </w:r>
    </w:p>
    <w:p>
      <w:pPr>
        <w:spacing w:before="141" w:line="364" w:lineRule="auto"/>
        <w:ind w:left="731" w:right="895" w:firstLine="420"/>
        <w:jc w:val="left"/>
        <w:rPr>
          <w:rFonts w:hint="eastAsia" w:ascii="仿宋" w:eastAsia="仿宋"/>
          <w:sz w:val="21"/>
        </w:rPr>
      </w:pPr>
      <w:r>
        <w:rPr>
          <w:rFonts w:ascii="Times New Roman" w:eastAsia="Times New Roman"/>
          <w:w w:val="95"/>
          <w:sz w:val="21"/>
        </w:rPr>
        <w:t>1</w:t>
      </w:r>
      <w:r>
        <w:rPr>
          <w:rFonts w:hint="eastAsia" w:ascii="仿宋" w:eastAsia="仿宋"/>
          <w:spacing w:val="-12"/>
          <w:w w:val="95"/>
          <w:sz w:val="21"/>
        </w:rPr>
        <w:t xml:space="preserve">、无论合同有效、无效、被解除的，工程竣工验收不合格且无法修复或修复后经再次验收仍   </w:t>
      </w:r>
      <w:r>
        <w:rPr>
          <w:rFonts w:hint="eastAsia" w:ascii="仿宋" w:eastAsia="仿宋"/>
          <w:spacing w:val="-12"/>
          <w:sz w:val="21"/>
        </w:rPr>
        <w:t>不合格的，承包人不得要求支付工程价款，建设工程不得交付使用。</w:t>
      </w:r>
    </w:p>
    <w:p>
      <w:pPr>
        <w:spacing w:before="0" w:line="364" w:lineRule="auto"/>
        <w:ind w:left="731" w:right="892" w:firstLine="420"/>
        <w:jc w:val="both"/>
        <w:rPr>
          <w:rFonts w:hint="eastAsia" w:ascii="仿宋" w:eastAsia="仿宋"/>
          <w:sz w:val="21"/>
        </w:rPr>
      </w:pPr>
      <w:r>
        <w:rPr>
          <w:rFonts w:ascii="Times New Roman" w:eastAsia="Times New Roman"/>
          <w:sz w:val="21"/>
        </w:rPr>
        <w:t>2</w:t>
      </w:r>
      <w:r>
        <w:rPr>
          <w:rFonts w:hint="eastAsia" w:ascii="仿宋" w:eastAsia="仿宋"/>
          <w:sz w:val="21"/>
        </w:rPr>
        <w:t>、工程经验收不合格的，应当进行修复，修复前承包人不得要求支付工程价款</w:t>
      </w:r>
      <w:r>
        <w:rPr>
          <w:rFonts w:ascii="Times New Roman" w:eastAsia="Times New Roman"/>
          <w:spacing w:val="-3"/>
          <w:sz w:val="21"/>
        </w:rPr>
        <w:t>(</w:t>
      </w:r>
      <w:r>
        <w:rPr>
          <w:rFonts w:hint="eastAsia" w:ascii="仿宋" w:eastAsia="仿宋"/>
          <w:sz w:val="21"/>
        </w:rPr>
        <w:t>不包括发包</w:t>
      </w:r>
      <w:r>
        <w:rPr>
          <w:rFonts w:hint="eastAsia" w:ascii="仿宋" w:eastAsia="仿宋"/>
          <w:w w:val="95"/>
          <w:sz w:val="21"/>
        </w:rPr>
        <w:t>人擅自使用工程情形</w:t>
      </w:r>
      <w:r>
        <w:rPr>
          <w:rFonts w:ascii="Times New Roman" w:eastAsia="Times New Roman"/>
          <w:w w:val="95"/>
          <w:sz w:val="21"/>
        </w:rPr>
        <w:t>)</w:t>
      </w:r>
      <w:r>
        <w:rPr>
          <w:rFonts w:hint="eastAsia" w:ascii="仿宋" w:eastAsia="仿宋"/>
          <w:spacing w:val="-34"/>
          <w:w w:val="95"/>
          <w:sz w:val="21"/>
        </w:rPr>
        <w:t>。</w:t>
      </w:r>
      <w:r>
        <w:rPr>
          <w:rFonts w:ascii="Times New Roman" w:eastAsia="Times New Roman"/>
          <w:w w:val="95"/>
          <w:sz w:val="21"/>
        </w:rPr>
        <w:t>(1)</w:t>
      </w:r>
      <w:r>
        <w:rPr>
          <w:rFonts w:hint="eastAsia" w:ascii="仿宋" w:eastAsia="仿宋"/>
          <w:spacing w:val="-5"/>
          <w:w w:val="95"/>
          <w:sz w:val="21"/>
        </w:rPr>
        <w:t xml:space="preserve">修复义务应当由承包人履行，工期不得顺延，发包人因此产生的损失可   </w:t>
      </w:r>
      <w:r>
        <w:rPr>
          <w:rFonts w:hint="eastAsia" w:ascii="仿宋" w:eastAsia="仿宋"/>
          <w:spacing w:val="-7"/>
          <w:w w:val="95"/>
          <w:sz w:val="21"/>
        </w:rPr>
        <w:t>要求承包人赔偿。</w:t>
      </w:r>
      <w:r>
        <w:rPr>
          <w:rFonts w:ascii="Times New Roman" w:eastAsia="Times New Roman"/>
          <w:w w:val="95"/>
          <w:sz w:val="21"/>
        </w:rPr>
        <w:t>(2)</w:t>
      </w:r>
      <w:r>
        <w:rPr>
          <w:rFonts w:hint="eastAsia" w:ascii="仿宋" w:eastAsia="仿宋"/>
          <w:spacing w:val="-1"/>
          <w:w w:val="95"/>
          <w:sz w:val="21"/>
        </w:rPr>
        <w:t xml:space="preserve">承包人拒绝修复或双方基于丧失合作基础的，发包人与承包人均同意由第三   </w:t>
      </w:r>
      <w:r>
        <w:rPr>
          <w:rFonts w:hint="eastAsia" w:ascii="仿宋" w:eastAsia="仿宋"/>
          <w:spacing w:val="-3"/>
          <w:w w:val="95"/>
          <w:sz w:val="21"/>
        </w:rPr>
        <w:t>人能进行修复工作时，修复费用由承包人承担。</w:t>
      </w:r>
      <w:r>
        <w:rPr>
          <w:rFonts w:ascii="Times New Roman" w:eastAsia="Times New Roman"/>
          <w:w w:val="95"/>
          <w:sz w:val="21"/>
        </w:rPr>
        <w:t>(3)</w:t>
      </w:r>
      <w:r>
        <w:rPr>
          <w:rFonts w:hint="eastAsia" w:ascii="仿宋" w:eastAsia="仿宋"/>
          <w:spacing w:val="-1"/>
          <w:w w:val="95"/>
          <w:sz w:val="21"/>
        </w:rPr>
        <w:t xml:space="preserve">发包人对工程验收不合格有过错的，也应承担   相应的民事责任。如提交的勘察报告、设计图纸、工程变更、甲供材、指定分包等方面有过错或   </w:t>
      </w:r>
      <w:r>
        <w:rPr>
          <w:rFonts w:hint="eastAsia" w:ascii="仿宋" w:eastAsia="仿宋"/>
          <w:spacing w:val="-5"/>
          <w:w w:val="95"/>
          <w:sz w:val="21"/>
        </w:rPr>
        <w:t>误差。</w:t>
      </w:r>
      <w:r>
        <w:rPr>
          <w:rFonts w:ascii="Times New Roman" w:eastAsia="Times New Roman"/>
          <w:w w:val="95"/>
          <w:sz w:val="21"/>
        </w:rPr>
        <w:t>(4)</w:t>
      </w:r>
      <w:r>
        <w:rPr>
          <w:rFonts w:hint="eastAsia" w:ascii="仿宋" w:eastAsia="仿宋"/>
          <w:spacing w:val="-2"/>
          <w:w w:val="95"/>
          <w:sz w:val="21"/>
        </w:rPr>
        <w:t xml:space="preserve">工程经验收不合格且承包人未进行修复，但发包人自行使用工程的，承包人应当可以要   </w:t>
      </w:r>
      <w:r>
        <w:rPr>
          <w:rFonts w:hint="eastAsia" w:ascii="仿宋" w:eastAsia="仿宋"/>
          <w:spacing w:val="-5"/>
          <w:w w:val="95"/>
          <w:sz w:val="21"/>
        </w:rPr>
        <w:t>求支付工程价款，但应扣减相应价款。</w:t>
      </w:r>
      <w:r>
        <w:rPr>
          <w:rFonts w:ascii="Times New Roman" w:eastAsia="Times New Roman"/>
          <w:w w:val="95"/>
          <w:sz w:val="21"/>
        </w:rPr>
        <w:t>(5)</w:t>
      </w:r>
      <w:r>
        <w:rPr>
          <w:rFonts w:hint="eastAsia" w:ascii="仿宋" w:eastAsia="仿宋"/>
          <w:spacing w:val="-1"/>
          <w:w w:val="95"/>
          <w:sz w:val="21"/>
        </w:rPr>
        <w:t xml:space="preserve">工程质量及修复费用、工期延误可以成为对承包人支付   </w:t>
      </w:r>
      <w:r>
        <w:rPr>
          <w:rFonts w:hint="eastAsia" w:ascii="仿宋" w:eastAsia="仿宋"/>
          <w:spacing w:val="-1"/>
          <w:sz w:val="21"/>
        </w:rPr>
        <w:t>工程价款要求的抗辩事由，但损失需依法另行主张。</w:t>
      </w:r>
    </w:p>
    <w:p>
      <w:pPr>
        <w:spacing w:before="0" w:line="266" w:lineRule="exact"/>
        <w:ind w:left="1151" w:right="0" w:firstLine="0"/>
        <w:jc w:val="both"/>
        <w:rPr>
          <w:rFonts w:hint="eastAsia" w:ascii="仿宋" w:eastAsia="仿宋"/>
          <w:sz w:val="21"/>
        </w:rPr>
      </w:pPr>
      <w:r>
        <w:rPr>
          <w:rFonts w:ascii="Times New Roman" w:eastAsia="Times New Roman"/>
          <w:sz w:val="21"/>
        </w:rPr>
        <w:t xml:space="preserve">13.2.5 </w:t>
      </w:r>
      <w:r>
        <w:rPr>
          <w:rFonts w:hint="eastAsia" w:ascii="仿宋" w:eastAsia="仿宋"/>
          <w:sz w:val="21"/>
        </w:rPr>
        <w:t>移交、接收全部与部分工程</w:t>
      </w:r>
    </w:p>
    <w:p>
      <w:pPr>
        <w:spacing w:before="137"/>
        <w:ind w:left="1151" w:right="0" w:firstLine="0"/>
        <w:jc w:val="left"/>
        <w:rPr>
          <w:rFonts w:hint="eastAsia" w:ascii="仿宋" w:eastAsia="仿宋"/>
          <w:sz w:val="21"/>
        </w:rPr>
      </w:pPr>
      <w:r>
        <w:rPr>
          <w:rFonts w:hint="eastAsia" w:ascii="仿宋" w:eastAsia="仿宋"/>
          <w:sz w:val="21"/>
        </w:rPr>
        <w:t>承包人向发包人移交工程的期限：</w:t>
      </w:r>
      <w:r>
        <w:rPr>
          <w:rFonts w:hint="eastAsia" w:ascii="仿宋" w:eastAsia="仿宋"/>
          <w:sz w:val="21"/>
          <w:u w:val="single"/>
        </w:rPr>
        <w:t>执行通用条款</w:t>
      </w:r>
      <w:r>
        <w:rPr>
          <w:rFonts w:hint="eastAsia" w:ascii="仿宋" w:eastAsia="仿宋"/>
          <w:sz w:val="21"/>
        </w:rPr>
        <w:t>。</w:t>
      </w:r>
    </w:p>
    <w:p>
      <w:pPr>
        <w:spacing w:before="139"/>
        <w:ind w:left="1151" w:right="0" w:firstLine="0"/>
        <w:jc w:val="left"/>
        <w:rPr>
          <w:rFonts w:hint="eastAsia" w:ascii="仿宋" w:eastAsia="仿宋"/>
          <w:sz w:val="21"/>
        </w:rPr>
      </w:pPr>
      <w:r>
        <w:rPr>
          <w:rFonts w:hint="eastAsia" w:ascii="仿宋" w:eastAsia="仿宋"/>
          <w:sz w:val="21"/>
        </w:rPr>
        <w:t>发包人未按本合同约定接收全部或部分工程的，违约金的计算方法为：</w:t>
      </w:r>
      <w:r>
        <w:rPr>
          <w:rFonts w:hint="eastAsia" w:ascii="仿宋" w:eastAsia="仿宋"/>
          <w:sz w:val="21"/>
          <w:u w:val="single"/>
        </w:rPr>
        <w:t>每逾期一天需支付</w:t>
      </w:r>
    </w:p>
    <w:p>
      <w:pPr>
        <w:spacing w:before="139"/>
        <w:ind w:left="731" w:right="0" w:firstLine="0"/>
        <w:jc w:val="left"/>
        <w:rPr>
          <w:rFonts w:hint="eastAsia" w:ascii="仿宋" w:eastAsia="仿宋"/>
          <w:sz w:val="21"/>
        </w:rPr>
      </w:pPr>
      <w:r>
        <w:rPr>
          <w:rFonts w:ascii="Times New Roman" w:eastAsia="Times New Roman"/>
          <w:sz w:val="21"/>
          <w:u w:val="single"/>
        </w:rPr>
        <w:t xml:space="preserve">3,000 </w:t>
      </w:r>
      <w:r>
        <w:rPr>
          <w:rFonts w:hint="eastAsia" w:ascii="仿宋" w:eastAsia="仿宋"/>
          <w:sz w:val="21"/>
          <w:u w:val="single"/>
        </w:rPr>
        <w:t>元违约金</w:t>
      </w:r>
      <w:r>
        <w:rPr>
          <w:rFonts w:hint="eastAsia" w:ascii="仿宋" w:eastAsia="仿宋"/>
          <w:sz w:val="21"/>
        </w:rPr>
        <w:t>。</w:t>
      </w:r>
    </w:p>
    <w:p>
      <w:pPr>
        <w:spacing w:before="141"/>
        <w:ind w:left="1151" w:right="0" w:firstLine="0"/>
        <w:jc w:val="left"/>
        <w:rPr>
          <w:rFonts w:hint="eastAsia" w:ascii="仿宋" w:eastAsia="仿宋"/>
          <w:sz w:val="21"/>
        </w:rPr>
      </w:pPr>
      <w:r>
        <w:rPr>
          <w:rFonts w:hint="eastAsia" w:ascii="仿宋" w:eastAsia="仿宋"/>
          <w:sz w:val="21"/>
        </w:rPr>
        <w:t>承包人未按时移交工程的，违约金的计算方法为：</w:t>
      </w:r>
      <w:r>
        <w:rPr>
          <w:rFonts w:hint="eastAsia" w:ascii="仿宋" w:eastAsia="仿宋"/>
          <w:sz w:val="21"/>
          <w:u w:val="single"/>
        </w:rPr>
        <w:t xml:space="preserve">每逾期一天需支付 </w:t>
      </w:r>
      <w:r>
        <w:rPr>
          <w:rFonts w:ascii="Times New Roman" w:eastAsia="Times New Roman"/>
          <w:sz w:val="21"/>
          <w:u w:val="single"/>
        </w:rPr>
        <w:t xml:space="preserve">3,000 </w:t>
      </w:r>
      <w:r>
        <w:rPr>
          <w:rFonts w:hint="eastAsia" w:ascii="仿宋" w:eastAsia="仿宋"/>
          <w:sz w:val="21"/>
          <w:u w:val="single"/>
        </w:rPr>
        <w:t>元违约金</w:t>
      </w:r>
      <w:r>
        <w:rPr>
          <w:rFonts w:hint="eastAsia" w:ascii="仿宋" w:eastAsia="仿宋"/>
          <w:sz w:val="21"/>
        </w:rPr>
        <w:t>。</w:t>
      </w:r>
    </w:p>
    <w:p>
      <w:pPr>
        <w:pStyle w:val="13"/>
        <w:numPr>
          <w:ilvl w:val="1"/>
          <w:numId w:val="34"/>
        </w:numPr>
        <w:tabs>
          <w:tab w:val="left" w:pos="1624"/>
        </w:tabs>
        <w:spacing w:before="139" w:after="0" w:line="240" w:lineRule="auto"/>
        <w:ind w:left="1624" w:right="0" w:hanging="473"/>
        <w:jc w:val="left"/>
        <w:rPr>
          <w:rFonts w:hint="eastAsia" w:ascii="黑体" w:eastAsia="黑体"/>
          <w:sz w:val="21"/>
        </w:rPr>
      </w:pPr>
      <w:r>
        <w:rPr>
          <w:rFonts w:hint="eastAsia" w:ascii="黑体" w:eastAsia="黑体"/>
          <w:sz w:val="21"/>
        </w:rPr>
        <w:t>工程试车</w:t>
      </w:r>
    </w:p>
    <w:p>
      <w:pPr>
        <w:pStyle w:val="9"/>
        <w:spacing w:before="3"/>
        <w:rPr>
          <w:rFonts w:ascii="黑体"/>
          <w:sz w:val="20"/>
        </w:rPr>
      </w:pPr>
    </w:p>
    <w:p>
      <w:pPr>
        <w:pStyle w:val="13"/>
        <w:numPr>
          <w:ilvl w:val="2"/>
          <w:numId w:val="34"/>
        </w:numPr>
        <w:tabs>
          <w:tab w:val="left" w:pos="1780"/>
        </w:tabs>
        <w:spacing w:before="0" w:after="0" w:line="240" w:lineRule="auto"/>
        <w:ind w:left="1780" w:right="0" w:hanging="629"/>
        <w:jc w:val="left"/>
        <w:rPr>
          <w:rFonts w:ascii="Times New Roman" w:eastAsia="Times New Roman"/>
          <w:sz w:val="21"/>
        </w:rPr>
      </w:pPr>
      <w:r>
        <w:rPr>
          <w:rFonts w:hint="eastAsia" w:ascii="仿宋" w:eastAsia="仿宋"/>
          <w:sz w:val="21"/>
        </w:rPr>
        <w:t>试车程序</w:t>
      </w:r>
    </w:p>
    <w:p>
      <w:pPr>
        <w:spacing w:before="139"/>
        <w:ind w:left="1151" w:right="0" w:firstLine="0"/>
        <w:jc w:val="left"/>
        <w:rPr>
          <w:rFonts w:hint="eastAsia" w:ascii="仿宋" w:eastAsia="仿宋"/>
          <w:sz w:val="21"/>
        </w:rPr>
      </w:pPr>
      <w:r>
        <w:rPr>
          <w:rFonts w:hint="eastAsia" w:ascii="仿宋" w:eastAsia="仿宋"/>
          <w:sz w:val="21"/>
        </w:rPr>
        <w:t>工程试车内容：</w:t>
      </w:r>
      <w:r>
        <w:rPr>
          <w:rFonts w:hint="eastAsia" w:ascii="仿宋" w:eastAsia="仿宋"/>
          <w:sz w:val="21"/>
          <w:u w:val="single"/>
        </w:rPr>
        <w:t>/</w:t>
      </w:r>
      <w:r>
        <w:rPr>
          <w:rFonts w:hint="eastAsia" w:ascii="仿宋" w:eastAsia="仿宋"/>
          <w:sz w:val="21"/>
        </w:rPr>
        <w:t>。</w:t>
      </w:r>
    </w:p>
    <w:p>
      <w:pPr>
        <w:pStyle w:val="13"/>
        <w:numPr>
          <w:ilvl w:val="0"/>
          <w:numId w:val="59"/>
        </w:numPr>
        <w:tabs>
          <w:tab w:val="left" w:pos="1676"/>
        </w:tabs>
        <w:spacing w:before="141" w:after="0" w:line="240" w:lineRule="auto"/>
        <w:ind w:left="1675" w:right="0" w:hanging="525"/>
        <w:jc w:val="left"/>
        <w:rPr>
          <w:rFonts w:hint="eastAsia" w:ascii="仿宋" w:eastAsia="仿宋"/>
          <w:sz w:val="21"/>
        </w:rPr>
      </w:pPr>
      <w:r>
        <w:rPr>
          <w:rFonts w:hint="eastAsia" w:ascii="仿宋" w:eastAsia="仿宋"/>
          <w:sz w:val="21"/>
        </w:rPr>
        <w:t>单机无负荷试车费用由</w:t>
      </w:r>
      <w:r>
        <w:rPr>
          <w:rFonts w:hint="eastAsia" w:ascii="仿宋" w:eastAsia="仿宋"/>
          <w:sz w:val="21"/>
          <w:u w:val="single"/>
        </w:rPr>
        <w:t>/</w:t>
      </w:r>
      <w:r>
        <w:rPr>
          <w:rFonts w:hint="eastAsia" w:ascii="仿宋" w:eastAsia="仿宋"/>
          <w:sz w:val="21"/>
        </w:rPr>
        <w:t>承担；</w:t>
      </w:r>
    </w:p>
    <w:p>
      <w:pPr>
        <w:pStyle w:val="13"/>
        <w:numPr>
          <w:ilvl w:val="0"/>
          <w:numId w:val="59"/>
        </w:numPr>
        <w:tabs>
          <w:tab w:val="left" w:pos="1676"/>
        </w:tabs>
        <w:spacing w:before="139" w:after="0" w:line="240" w:lineRule="auto"/>
        <w:ind w:left="1675" w:right="0" w:hanging="525"/>
        <w:jc w:val="left"/>
        <w:rPr>
          <w:rFonts w:hint="eastAsia" w:ascii="仿宋" w:eastAsia="仿宋"/>
          <w:sz w:val="21"/>
        </w:rPr>
      </w:pPr>
      <w:r>
        <w:rPr>
          <w:rFonts w:hint="eastAsia" w:ascii="仿宋" w:eastAsia="仿宋"/>
          <w:sz w:val="21"/>
        </w:rPr>
        <w:t>无负荷联动试车费用由</w:t>
      </w:r>
      <w:r>
        <w:rPr>
          <w:rFonts w:hint="eastAsia" w:ascii="仿宋" w:eastAsia="仿宋"/>
          <w:sz w:val="21"/>
          <w:u w:val="single"/>
        </w:rPr>
        <w:t>/</w:t>
      </w:r>
      <w:r>
        <w:rPr>
          <w:rFonts w:hint="eastAsia" w:ascii="仿宋" w:eastAsia="仿宋"/>
          <w:spacing w:val="-2"/>
          <w:sz w:val="21"/>
        </w:rPr>
        <w:t xml:space="preserve"> 承担。</w:t>
      </w:r>
    </w:p>
    <w:p>
      <w:pPr>
        <w:spacing w:before="139"/>
        <w:ind w:left="1151" w:right="0" w:firstLine="0"/>
        <w:jc w:val="left"/>
        <w:rPr>
          <w:rFonts w:hint="eastAsia" w:ascii="仿宋" w:eastAsia="仿宋"/>
          <w:sz w:val="21"/>
        </w:rPr>
      </w:pPr>
      <w:r>
        <w:rPr>
          <w:rFonts w:ascii="Times New Roman" w:eastAsia="Times New Roman"/>
          <w:sz w:val="21"/>
        </w:rPr>
        <w:t>13.3.3</w:t>
      </w:r>
      <w:r>
        <w:rPr>
          <w:rFonts w:ascii="Times New Roman" w:eastAsia="Times New Roman"/>
          <w:spacing w:val="51"/>
          <w:sz w:val="21"/>
        </w:rPr>
        <w:t xml:space="preserve"> </w:t>
      </w:r>
      <w:r>
        <w:rPr>
          <w:rFonts w:hint="eastAsia" w:ascii="仿宋" w:eastAsia="仿宋"/>
          <w:sz w:val="21"/>
        </w:rPr>
        <w:t>投料试车</w:t>
      </w:r>
    </w:p>
    <w:p>
      <w:pPr>
        <w:spacing w:after="0"/>
        <w:jc w:val="left"/>
        <w:rPr>
          <w:rFonts w:hint="eastAsia" w:ascii="仿宋" w:eastAsia="仿宋"/>
          <w:sz w:val="21"/>
        </w:rPr>
        <w:sectPr>
          <w:pgSz w:w="11910" w:h="16840"/>
          <w:pgMar w:top="1100" w:right="660" w:bottom="1200" w:left="800" w:header="878" w:footer="1003" w:gutter="0"/>
          <w:cols w:space="720" w:num="1"/>
        </w:sectPr>
      </w:pPr>
    </w:p>
    <w:p>
      <w:pPr>
        <w:pStyle w:val="9"/>
        <w:spacing w:before="12"/>
        <w:rPr>
          <w:rFonts w:ascii="仿宋"/>
          <w:sz w:val="17"/>
        </w:rPr>
      </w:pPr>
    </w:p>
    <w:p>
      <w:pPr>
        <w:spacing w:before="70"/>
        <w:ind w:left="1151" w:right="0" w:firstLine="0"/>
        <w:jc w:val="left"/>
        <w:rPr>
          <w:rFonts w:hint="eastAsia" w:ascii="仿宋" w:eastAsia="仿宋"/>
          <w:sz w:val="21"/>
        </w:rPr>
      </w:pPr>
      <w:r>
        <w:rPr>
          <w:rFonts w:hint="eastAsia" w:ascii="仿宋" w:eastAsia="仿宋"/>
          <w:sz w:val="21"/>
        </w:rPr>
        <w:t>关于投料试车相关事项的约定：</w:t>
      </w:r>
      <w:r>
        <w:rPr>
          <w:rFonts w:hint="eastAsia" w:ascii="仿宋" w:eastAsia="仿宋"/>
          <w:sz w:val="21"/>
          <w:u w:val="single"/>
        </w:rPr>
        <w:t xml:space="preserve">/ </w:t>
      </w:r>
      <w:r>
        <w:rPr>
          <w:rFonts w:hint="eastAsia" w:ascii="仿宋" w:eastAsia="仿宋"/>
          <w:sz w:val="21"/>
        </w:rPr>
        <w:t>。</w:t>
      </w:r>
    </w:p>
    <w:p>
      <w:pPr>
        <w:pStyle w:val="13"/>
        <w:numPr>
          <w:ilvl w:val="1"/>
          <w:numId w:val="60"/>
        </w:numPr>
        <w:tabs>
          <w:tab w:val="left" w:pos="1624"/>
        </w:tabs>
        <w:spacing w:before="139" w:after="0" w:line="240" w:lineRule="auto"/>
        <w:ind w:left="1624" w:right="0" w:hanging="473"/>
        <w:jc w:val="left"/>
        <w:rPr>
          <w:rFonts w:hint="eastAsia" w:ascii="黑体" w:eastAsia="黑体"/>
          <w:sz w:val="21"/>
        </w:rPr>
      </w:pPr>
      <w:r>
        <w:rPr>
          <w:rFonts w:hint="eastAsia" w:ascii="黑体" w:eastAsia="黑体"/>
          <w:sz w:val="21"/>
        </w:rPr>
        <w:t>竣工退场</w:t>
      </w:r>
    </w:p>
    <w:p>
      <w:pPr>
        <w:pStyle w:val="9"/>
        <w:spacing w:before="5"/>
        <w:rPr>
          <w:rFonts w:ascii="黑体"/>
          <w:sz w:val="20"/>
        </w:rPr>
      </w:pPr>
    </w:p>
    <w:p>
      <w:pPr>
        <w:pStyle w:val="13"/>
        <w:numPr>
          <w:ilvl w:val="2"/>
          <w:numId w:val="60"/>
        </w:numPr>
        <w:tabs>
          <w:tab w:val="left" w:pos="1780"/>
        </w:tabs>
        <w:spacing w:before="0" w:after="0" w:line="240" w:lineRule="auto"/>
        <w:ind w:left="1780" w:right="0" w:hanging="629"/>
        <w:jc w:val="left"/>
        <w:rPr>
          <w:rFonts w:hint="eastAsia" w:ascii="仿宋" w:eastAsia="仿宋"/>
          <w:sz w:val="21"/>
        </w:rPr>
      </w:pPr>
      <w:r>
        <w:rPr>
          <w:rFonts w:hint="eastAsia" w:ascii="仿宋" w:eastAsia="仿宋"/>
          <w:sz w:val="21"/>
        </w:rPr>
        <w:t>竣工退场</w:t>
      </w:r>
    </w:p>
    <w:p>
      <w:pPr>
        <w:spacing w:before="139"/>
        <w:ind w:left="1151" w:right="0" w:firstLine="0"/>
        <w:jc w:val="left"/>
        <w:rPr>
          <w:rFonts w:hint="eastAsia" w:ascii="仿宋" w:eastAsia="仿宋"/>
          <w:sz w:val="21"/>
        </w:rPr>
      </w:pPr>
      <w:r>
        <w:rPr>
          <w:rFonts w:hint="eastAsia" w:ascii="仿宋" w:eastAsia="仿宋"/>
          <w:sz w:val="21"/>
        </w:rPr>
        <w:t>承包人完成竣工退场的期限：</w:t>
      </w:r>
      <w:r>
        <w:rPr>
          <w:rFonts w:hint="eastAsia" w:ascii="仿宋" w:eastAsia="仿宋"/>
          <w:sz w:val="21"/>
          <w:u w:val="single"/>
        </w:rPr>
        <w:t xml:space="preserve">竣工验收结束 </w:t>
      </w:r>
      <w:r>
        <w:rPr>
          <w:rFonts w:ascii="Times New Roman" w:eastAsia="Times New Roman"/>
          <w:sz w:val="21"/>
          <w:u w:val="single"/>
        </w:rPr>
        <w:t xml:space="preserve">5 </w:t>
      </w:r>
      <w:r>
        <w:rPr>
          <w:rFonts w:hint="eastAsia" w:ascii="仿宋" w:eastAsia="仿宋"/>
          <w:sz w:val="21"/>
          <w:u w:val="single"/>
        </w:rPr>
        <w:t>天内完成现场移交及退场工作</w:t>
      </w:r>
      <w:r>
        <w:rPr>
          <w:rFonts w:hint="eastAsia" w:ascii="仿宋" w:eastAsia="仿宋"/>
          <w:sz w:val="21"/>
        </w:rPr>
        <w:t>。</w:t>
      </w:r>
    </w:p>
    <w:p>
      <w:pPr>
        <w:pStyle w:val="9"/>
        <w:spacing w:before="2"/>
        <w:rPr>
          <w:rFonts w:ascii="仿宋"/>
          <w:sz w:val="20"/>
        </w:rPr>
      </w:pPr>
    </w:p>
    <w:p>
      <w:pPr>
        <w:pStyle w:val="13"/>
        <w:numPr>
          <w:ilvl w:val="0"/>
          <w:numId w:val="34"/>
        </w:numPr>
        <w:tabs>
          <w:tab w:val="left" w:pos="1099"/>
        </w:tabs>
        <w:spacing w:before="0" w:after="0" w:line="240" w:lineRule="auto"/>
        <w:ind w:left="1098" w:right="0" w:hanging="368"/>
        <w:jc w:val="left"/>
        <w:rPr>
          <w:rFonts w:hint="eastAsia" w:ascii="黑体" w:eastAsia="黑体"/>
          <w:sz w:val="21"/>
        </w:rPr>
      </w:pPr>
      <w:bookmarkStart w:id="70" w:name="14. 竣工结算"/>
      <w:bookmarkEnd w:id="70"/>
      <w:r>
        <w:rPr>
          <w:rFonts w:hint="eastAsia" w:ascii="黑体" w:eastAsia="黑体"/>
          <w:sz w:val="21"/>
        </w:rPr>
        <w:t>竣工结算</w:t>
      </w:r>
    </w:p>
    <w:p>
      <w:pPr>
        <w:pStyle w:val="9"/>
        <w:spacing w:before="3"/>
        <w:rPr>
          <w:rFonts w:ascii="黑体"/>
          <w:sz w:val="20"/>
        </w:rPr>
      </w:pPr>
    </w:p>
    <w:p>
      <w:pPr>
        <w:pStyle w:val="13"/>
        <w:numPr>
          <w:ilvl w:val="1"/>
          <w:numId w:val="34"/>
        </w:numPr>
        <w:tabs>
          <w:tab w:val="left" w:pos="1624"/>
        </w:tabs>
        <w:spacing w:before="0" w:after="0" w:line="240" w:lineRule="auto"/>
        <w:ind w:left="1624" w:right="0" w:hanging="473"/>
        <w:jc w:val="left"/>
        <w:rPr>
          <w:rFonts w:hint="eastAsia" w:ascii="黑体" w:eastAsia="黑体"/>
          <w:sz w:val="21"/>
        </w:rPr>
      </w:pPr>
      <w:r>
        <w:rPr>
          <w:rFonts w:hint="eastAsia" w:ascii="黑体" w:eastAsia="黑体"/>
          <w:sz w:val="21"/>
        </w:rPr>
        <w:t>竣工结算申请</w:t>
      </w:r>
    </w:p>
    <w:p>
      <w:pPr>
        <w:pStyle w:val="9"/>
        <w:spacing w:before="5"/>
        <w:rPr>
          <w:rFonts w:ascii="黑体"/>
          <w:sz w:val="20"/>
        </w:rPr>
      </w:pPr>
    </w:p>
    <w:p>
      <w:pPr>
        <w:spacing w:before="0"/>
        <w:ind w:left="1151" w:right="0" w:firstLine="0"/>
        <w:jc w:val="left"/>
        <w:rPr>
          <w:rFonts w:hint="eastAsia" w:ascii="仿宋" w:eastAsia="仿宋"/>
          <w:sz w:val="21"/>
        </w:rPr>
      </w:pPr>
      <w:r>
        <w:rPr>
          <w:rFonts w:hint="eastAsia" w:ascii="仿宋" w:eastAsia="仿宋"/>
          <w:sz w:val="21"/>
        </w:rPr>
        <w:t>承包人提交竣工结算申请单的期限：</w:t>
      </w:r>
      <w:r>
        <w:rPr>
          <w:rFonts w:hint="eastAsia" w:ascii="仿宋" w:eastAsia="仿宋"/>
          <w:sz w:val="21"/>
          <w:u w:val="single"/>
        </w:rPr>
        <w:t>执行通用条款</w:t>
      </w:r>
      <w:r>
        <w:rPr>
          <w:rFonts w:hint="eastAsia" w:ascii="仿宋" w:eastAsia="仿宋"/>
          <w:sz w:val="21"/>
        </w:rPr>
        <w:t>。</w:t>
      </w:r>
    </w:p>
    <w:p>
      <w:pPr>
        <w:spacing w:before="139" w:line="364" w:lineRule="auto"/>
        <w:ind w:left="731" w:right="788" w:firstLine="420"/>
        <w:jc w:val="left"/>
        <w:rPr>
          <w:rFonts w:hint="eastAsia" w:ascii="仿宋" w:eastAsia="仿宋"/>
          <w:sz w:val="21"/>
        </w:rPr>
      </w:pPr>
      <w:r>
        <w:rPr>
          <w:rFonts w:hint="eastAsia" w:ascii="仿宋" w:eastAsia="仿宋"/>
          <w:spacing w:val="-2"/>
          <w:w w:val="95"/>
          <w:sz w:val="21"/>
        </w:rPr>
        <w:t>竣工结算申请单应包括的内容：</w:t>
      </w:r>
      <w:r>
        <w:rPr>
          <w:rFonts w:hint="eastAsia" w:ascii="仿宋" w:eastAsia="仿宋"/>
          <w:spacing w:val="-10"/>
          <w:w w:val="95"/>
          <w:sz w:val="21"/>
          <w:u w:val="single"/>
        </w:rPr>
        <w:t>开竣工报告、竣工图、竣工结算书、竣工结算书预算电子版、</w:t>
      </w:r>
      <w:r>
        <w:rPr>
          <w:rFonts w:hint="eastAsia" w:ascii="仿宋" w:eastAsia="仿宋"/>
          <w:spacing w:val="-199"/>
          <w:w w:val="95"/>
          <w:sz w:val="21"/>
          <w:u w:val="single"/>
        </w:rPr>
        <w:t>招标</w:t>
      </w:r>
      <w:r>
        <w:rPr>
          <w:rFonts w:hint="eastAsia" w:ascii="仿宋" w:eastAsia="仿宋"/>
          <w:spacing w:val="125"/>
          <w:w w:val="95"/>
          <w:sz w:val="21"/>
          <w:u w:val="single"/>
        </w:rPr>
        <w:t xml:space="preserve"> </w:t>
      </w:r>
      <w:r>
        <w:rPr>
          <w:rFonts w:hint="eastAsia" w:ascii="仿宋" w:eastAsia="仿宋"/>
          <w:sz w:val="21"/>
          <w:u w:val="single"/>
        </w:rPr>
        <w:t>文件、招标答疑文件、商务标、商务标预算电子版、技术标、施工合同（包括补充协议）、工程签证单、工程联系单、设计变更单、材料批价单及发包人要求的其他资料。</w:t>
      </w:r>
    </w:p>
    <w:p>
      <w:pPr>
        <w:pStyle w:val="13"/>
        <w:numPr>
          <w:ilvl w:val="1"/>
          <w:numId w:val="34"/>
        </w:numPr>
        <w:tabs>
          <w:tab w:val="left" w:pos="1624"/>
        </w:tabs>
        <w:spacing w:before="0" w:after="0" w:line="266" w:lineRule="exact"/>
        <w:ind w:left="1624" w:right="0" w:hanging="473"/>
        <w:jc w:val="left"/>
        <w:rPr>
          <w:rFonts w:hint="eastAsia" w:ascii="黑体" w:eastAsia="黑体"/>
          <w:sz w:val="21"/>
        </w:rPr>
      </w:pPr>
      <w:r>
        <w:rPr>
          <w:rFonts w:hint="eastAsia" w:ascii="黑体" w:eastAsia="黑体"/>
          <w:sz w:val="21"/>
        </w:rPr>
        <w:t>竣工结算审核</w:t>
      </w:r>
    </w:p>
    <w:p>
      <w:pPr>
        <w:pStyle w:val="9"/>
        <w:spacing w:before="3"/>
        <w:rPr>
          <w:rFonts w:ascii="黑体"/>
          <w:sz w:val="20"/>
        </w:rPr>
      </w:pPr>
    </w:p>
    <w:p>
      <w:pPr>
        <w:spacing w:before="0" w:line="367" w:lineRule="auto"/>
        <w:ind w:left="1151" w:right="4463" w:firstLine="0"/>
        <w:jc w:val="left"/>
        <w:rPr>
          <w:rFonts w:hint="eastAsia" w:ascii="仿宋" w:eastAsia="仿宋"/>
          <w:sz w:val="21"/>
        </w:rPr>
      </w:pPr>
      <w:r>
        <w:rPr>
          <w:rFonts w:hint="eastAsia" w:ascii="仿宋" w:eastAsia="仿宋"/>
          <w:sz w:val="21"/>
        </w:rPr>
        <w:t>发包人审批竣工付款申请单的期限：</w:t>
      </w:r>
      <w:r>
        <w:rPr>
          <w:rFonts w:hint="eastAsia" w:ascii="仿宋" w:eastAsia="仿宋"/>
          <w:sz w:val="21"/>
          <w:u w:val="single"/>
        </w:rPr>
        <w:t>执行通用条款</w:t>
      </w:r>
      <w:r>
        <w:rPr>
          <w:rFonts w:hint="eastAsia" w:ascii="仿宋" w:eastAsia="仿宋"/>
          <w:sz w:val="21"/>
        </w:rPr>
        <w:t>。发包人完成竣工付款的期限：</w:t>
      </w:r>
      <w:r>
        <w:rPr>
          <w:rFonts w:hint="eastAsia" w:ascii="仿宋" w:eastAsia="仿宋"/>
          <w:sz w:val="21"/>
          <w:u w:val="single"/>
        </w:rPr>
        <w:t>执行通用条款</w:t>
      </w:r>
      <w:r>
        <w:rPr>
          <w:rFonts w:hint="eastAsia" w:ascii="仿宋" w:eastAsia="仿宋"/>
          <w:sz w:val="21"/>
        </w:rPr>
        <w:t>。</w:t>
      </w:r>
    </w:p>
    <w:p>
      <w:pPr>
        <w:spacing w:before="0" w:line="264" w:lineRule="exact"/>
        <w:ind w:left="1151" w:right="0" w:firstLine="0"/>
        <w:jc w:val="left"/>
        <w:rPr>
          <w:rFonts w:hint="eastAsia" w:ascii="仿宋" w:eastAsia="仿宋"/>
          <w:sz w:val="21"/>
        </w:rPr>
      </w:pPr>
      <w:r>
        <w:rPr>
          <w:rFonts w:hint="eastAsia" w:ascii="仿宋" w:eastAsia="仿宋"/>
          <w:sz w:val="21"/>
        </w:rPr>
        <w:t>关于竣工付款证书异议部分复核的方式和程序：</w:t>
      </w:r>
      <w:r>
        <w:rPr>
          <w:rFonts w:hint="eastAsia" w:ascii="仿宋" w:eastAsia="仿宋"/>
          <w:sz w:val="21"/>
          <w:u w:val="single"/>
        </w:rPr>
        <w:t>根据合同约定、招投标原则执行</w:t>
      </w:r>
      <w:r>
        <w:rPr>
          <w:rFonts w:hint="eastAsia" w:ascii="仿宋" w:eastAsia="仿宋"/>
          <w:sz w:val="21"/>
        </w:rPr>
        <w:t>。</w:t>
      </w:r>
    </w:p>
    <w:p>
      <w:pPr>
        <w:pStyle w:val="13"/>
        <w:numPr>
          <w:ilvl w:val="1"/>
          <w:numId w:val="61"/>
        </w:numPr>
        <w:tabs>
          <w:tab w:val="left" w:pos="1624"/>
        </w:tabs>
        <w:spacing w:before="139" w:after="0" w:line="240" w:lineRule="auto"/>
        <w:ind w:left="1624" w:right="0" w:hanging="473"/>
        <w:jc w:val="left"/>
        <w:rPr>
          <w:rFonts w:hint="eastAsia" w:ascii="黑体" w:eastAsia="黑体"/>
          <w:sz w:val="21"/>
        </w:rPr>
      </w:pPr>
      <w:r>
        <w:rPr>
          <w:rFonts w:hint="eastAsia" w:ascii="黑体" w:eastAsia="黑体"/>
          <w:sz w:val="21"/>
        </w:rPr>
        <w:t>最终结清</w:t>
      </w:r>
    </w:p>
    <w:p>
      <w:pPr>
        <w:pStyle w:val="9"/>
        <w:spacing w:before="2"/>
        <w:rPr>
          <w:rFonts w:ascii="黑体"/>
          <w:sz w:val="20"/>
        </w:rPr>
      </w:pPr>
    </w:p>
    <w:p>
      <w:pPr>
        <w:pStyle w:val="13"/>
        <w:numPr>
          <w:ilvl w:val="2"/>
          <w:numId w:val="61"/>
        </w:numPr>
        <w:tabs>
          <w:tab w:val="left" w:pos="1780"/>
        </w:tabs>
        <w:spacing w:before="0" w:after="0" w:line="240" w:lineRule="auto"/>
        <w:ind w:left="1780" w:right="0" w:hanging="629"/>
        <w:jc w:val="left"/>
        <w:rPr>
          <w:rFonts w:hint="eastAsia" w:ascii="仿宋" w:eastAsia="仿宋"/>
          <w:sz w:val="21"/>
        </w:rPr>
      </w:pPr>
      <w:r>
        <w:rPr>
          <w:rFonts w:hint="eastAsia" w:ascii="仿宋" w:eastAsia="仿宋"/>
          <w:sz w:val="21"/>
        </w:rPr>
        <w:t>最终结清申请单</w:t>
      </w:r>
    </w:p>
    <w:p>
      <w:pPr>
        <w:tabs>
          <w:tab w:val="left" w:pos="5191"/>
        </w:tabs>
        <w:spacing w:before="142"/>
        <w:ind w:left="1151" w:right="0" w:firstLine="0"/>
        <w:jc w:val="left"/>
        <w:rPr>
          <w:rFonts w:hint="eastAsia" w:ascii="仿宋" w:eastAsia="仿宋"/>
          <w:sz w:val="21"/>
        </w:rPr>
      </w:pPr>
      <w:r>
        <w:rPr>
          <w:rFonts w:hint="eastAsia" w:ascii="仿宋" w:eastAsia="仿宋"/>
          <w:sz w:val="21"/>
        </w:rPr>
        <w:t>承包人提交最终结清申请单的份数：</w:t>
      </w:r>
      <w:r>
        <w:rPr>
          <w:rFonts w:hint="eastAsia" w:ascii="仿宋" w:eastAsia="仿宋"/>
          <w:spacing w:val="-3"/>
          <w:sz w:val="21"/>
        </w:rPr>
        <w:t xml:space="preserve"> </w:t>
      </w:r>
      <w:r>
        <w:rPr>
          <w:rFonts w:ascii="Times New Roman" w:eastAsia="Times New Roman"/>
          <w:sz w:val="21"/>
          <w:u w:val="single"/>
        </w:rPr>
        <w:t>5</w:t>
      </w:r>
      <w:r>
        <w:rPr>
          <w:rFonts w:ascii="Times New Roman" w:eastAsia="Times New Roman"/>
          <w:spacing w:val="-3"/>
          <w:sz w:val="21"/>
          <w:u w:val="single"/>
        </w:rPr>
        <w:t xml:space="preserve"> </w:t>
      </w:r>
      <w:r>
        <w:rPr>
          <w:rFonts w:hint="eastAsia" w:ascii="仿宋" w:eastAsia="仿宋"/>
          <w:sz w:val="21"/>
          <w:u w:val="single"/>
        </w:rPr>
        <w:t>份</w:t>
      </w:r>
      <w:r>
        <w:rPr>
          <w:rFonts w:hint="eastAsia" w:ascii="仿宋" w:eastAsia="仿宋"/>
          <w:sz w:val="21"/>
          <w:u w:val="single"/>
        </w:rPr>
        <w:tab/>
      </w:r>
      <w:r>
        <w:rPr>
          <w:rFonts w:hint="eastAsia" w:ascii="仿宋" w:eastAsia="仿宋"/>
          <w:sz w:val="21"/>
        </w:rPr>
        <w:t>。</w:t>
      </w:r>
    </w:p>
    <w:p>
      <w:pPr>
        <w:spacing w:before="139"/>
        <w:ind w:left="1151" w:right="0" w:firstLine="0"/>
        <w:jc w:val="left"/>
        <w:rPr>
          <w:rFonts w:hint="eastAsia" w:ascii="仿宋" w:eastAsia="仿宋"/>
          <w:sz w:val="21"/>
        </w:rPr>
      </w:pPr>
      <w:r>
        <w:rPr>
          <w:rFonts w:hint="eastAsia" w:ascii="仿宋" w:eastAsia="仿宋"/>
          <w:sz w:val="21"/>
        </w:rPr>
        <w:t>承包人提交最终结算申请单的期限：</w:t>
      </w:r>
      <w:r>
        <w:rPr>
          <w:rFonts w:hint="eastAsia" w:ascii="仿宋" w:eastAsia="仿宋"/>
          <w:sz w:val="21"/>
          <w:u w:val="single"/>
        </w:rPr>
        <w:t>执行通用条款</w:t>
      </w:r>
      <w:r>
        <w:rPr>
          <w:rFonts w:hint="eastAsia" w:ascii="仿宋" w:eastAsia="仿宋"/>
          <w:sz w:val="21"/>
        </w:rPr>
        <w:t>。</w:t>
      </w:r>
    </w:p>
    <w:p>
      <w:pPr>
        <w:pStyle w:val="13"/>
        <w:numPr>
          <w:ilvl w:val="2"/>
          <w:numId w:val="61"/>
        </w:numPr>
        <w:tabs>
          <w:tab w:val="left" w:pos="1780"/>
        </w:tabs>
        <w:spacing w:before="139" w:after="0" w:line="240" w:lineRule="auto"/>
        <w:ind w:left="1780" w:right="0" w:hanging="629"/>
        <w:jc w:val="left"/>
        <w:rPr>
          <w:rFonts w:hint="eastAsia" w:ascii="仿宋" w:eastAsia="仿宋"/>
          <w:sz w:val="21"/>
        </w:rPr>
      </w:pPr>
      <w:r>
        <w:rPr>
          <w:rFonts w:hint="eastAsia" w:ascii="仿宋" w:eastAsia="仿宋"/>
          <w:sz w:val="21"/>
        </w:rPr>
        <w:t>最终结清证书和支付</w:t>
      </w:r>
    </w:p>
    <w:p>
      <w:pPr>
        <w:pStyle w:val="13"/>
        <w:numPr>
          <w:ilvl w:val="0"/>
          <w:numId w:val="62"/>
        </w:numPr>
        <w:tabs>
          <w:tab w:val="left" w:pos="1676"/>
        </w:tabs>
        <w:spacing w:before="139" w:after="0" w:line="240" w:lineRule="auto"/>
        <w:ind w:left="1675" w:right="0" w:hanging="525"/>
        <w:jc w:val="left"/>
        <w:rPr>
          <w:rFonts w:hint="eastAsia" w:ascii="仿宋" w:eastAsia="仿宋"/>
          <w:sz w:val="21"/>
        </w:rPr>
      </w:pPr>
      <w:r>
        <w:rPr>
          <w:rFonts w:hint="eastAsia" w:ascii="仿宋" w:eastAsia="仿宋"/>
          <w:sz w:val="21"/>
        </w:rPr>
        <w:t>发包人完成最终结清申请单的审批并颁发最终结清证书的期限：</w:t>
      </w:r>
      <w:r>
        <w:rPr>
          <w:rFonts w:hint="eastAsia" w:ascii="仿宋" w:eastAsia="仿宋"/>
          <w:sz w:val="21"/>
          <w:u w:val="single"/>
        </w:rPr>
        <w:t>执行通用条款</w:t>
      </w:r>
      <w:r>
        <w:rPr>
          <w:rFonts w:hint="eastAsia" w:ascii="仿宋" w:eastAsia="仿宋"/>
          <w:sz w:val="21"/>
        </w:rPr>
        <w:t>。</w:t>
      </w:r>
    </w:p>
    <w:p>
      <w:pPr>
        <w:pStyle w:val="13"/>
        <w:numPr>
          <w:ilvl w:val="0"/>
          <w:numId w:val="62"/>
        </w:numPr>
        <w:tabs>
          <w:tab w:val="left" w:pos="1676"/>
        </w:tabs>
        <w:spacing w:before="138" w:after="0" w:line="240" w:lineRule="auto"/>
        <w:ind w:left="1675" w:right="0" w:hanging="525"/>
        <w:jc w:val="left"/>
        <w:rPr>
          <w:rFonts w:hint="eastAsia" w:ascii="仿宋" w:eastAsia="仿宋"/>
          <w:sz w:val="21"/>
        </w:rPr>
      </w:pPr>
      <w:r>
        <w:rPr>
          <w:rFonts w:hint="eastAsia" w:ascii="仿宋" w:eastAsia="仿宋"/>
          <w:sz w:val="21"/>
        </w:rPr>
        <w:t>发包人完成支付的期限：</w:t>
      </w:r>
      <w:r>
        <w:rPr>
          <w:rFonts w:hint="eastAsia" w:ascii="仿宋" w:eastAsia="仿宋"/>
          <w:sz w:val="21"/>
          <w:u w:val="single"/>
        </w:rPr>
        <w:t>执行通用条款</w:t>
      </w:r>
      <w:r>
        <w:rPr>
          <w:rFonts w:hint="eastAsia" w:ascii="仿宋" w:eastAsia="仿宋"/>
          <w:sz w:val="21"/>
        </w:rPr>
        <w:t>。</w:t>
      </w:r>
    </w:p>
    <w:p>
      <w:pPr>
        <w:pStyle w:val="9"/>
        <w:spacing w:before="3"/>
        <w:rPr>
          <w:rFonts w:ascii="仿宋"/>
          <w:sz w:val="20"/>
        </w:rPr>
      </w:pPr>
    </w:p>
    <w:p>
      <w:pPr>
        <w:pStyle w:val="13"/>
        <w:numPr>
          <w:ilvl w:val="0"/>
          <w:numId w:val="34"/>
        </w:numPr>
        <w:tabs>
          <w:tab w:val="left" w:pos="1099"/>
        </w:tabs>
        <w:spacing w:before="0" w:after="0" w:line="240" w:lineRule="auto"/>
        <w:ind w:left="1098" w:right="0" w:hanging="368"/>
        <w:jc w:val="left"/>
        <w:rPr>
          <w:rFonts w:hint="eastAsia" w:ascii="黑体" w:eastAsia="黑体"/>
          <w:sz w:val="21"/>
        </w:rPr>
      </w:pPr>
      <w:bookmarkStart w:id="71" w:name="15. 缺陷责任期与保修"/>
      <w:bookmarkEnd w:id="71"/>
      <w:r>
        <w:rPr>
          <w:rFonts w:hint="eastAsia" w:ascii="黑体" w:eastAsia="黑体"/>
          <w:sz w:val="21"/>
        </w:rPr>
        <w:t>缺陷责任期与保修</w:t>
      </w:r>
    </w:p>
    <w:p>
      <w:pPr>
        <w:pStyle w:val="9"/>
        <w:spacing w:before="5"/>
        <w:rPr>
          <w:rFonts w:ascii="黑体"/>
          <w:sz w:val="20"/>
        </w:rPr>
      </w:pPr>
    </w:p>
    <w:p>
      <w:pPr>
        <w:pStyle w:val="13"/>
        <w:numPr>
          <w:ilvl w:val="1"/>
          <w:numId w:val="63"/>
        </w:numPr>
        <w:tabs>
          <w:tab w:val="left" w:pos="1572"/>
        </w:tabs>
        <w:spacing w:before="0" w:after="0" w:line="240" w:lineRule="auto"/>
        <w:ind w:left="1571" w:right="0" w:hanging="421"/>
        <w:jc w:val="left"/>
        <w:rPr>
          <w:rFonts w:hint="eastAsia" w:ascii="黑体" w:eastAsia="黑体"/>
          <w:sz w:val="21"/>
        </w:rPr>
      </w:pPr>
      <w:r>
        <w:rPr>
          <w:rFonts w:hint="eastAsia" w:ascii="黑体" w:eastAsia="黑体"/>
          <w:sz w:val="21"/>
        </w:rPr>
        <w:t>缺陷责任期</w:t>
      </w:r>
    </w:p>
    <w:p>
      <w:pPr>
        <w:pStyle w:val="9"/>
        <w:spacing w:before="3"/>
        <w:rPr>
          <w:rFonts w:ascii="黑体"/>
          <w:sz w:val="20"/>
        </w:rPr>
      </w:pPr>
    </w:p>
    <w:p>
      <w:pPr>
        <w:spacing w:before="0" w:line="364" w:lineRule="auto"/>
        <w:ind w:left="731" w:right="895" w:firstLine="420"/>
        <w:jc w:val="left"/>
        <w:rPr>
          <w:rFonts w:hint="eastAsia" w:ascii="仿宋" w:eastAsia="仿宋"/>
          <w:sz w:val="21"/>
        </w:rPr>
      </w:pPr>
      <w:r>
        <w:rPr>
          <w:rFonts w:hint="eastAsia" w:ascii="仿宋" w:eastAsia="仿宋"/>
          <w:w w:val="95"/>
          <w:sz w:val="21"/>
        </w:rPr>
        <w:t>缺陷责任期的具体期限：</w:t>
      </w:r>
      <w:r>
        <w:rPr>
          <w:rFonts w:hint="eastAsia" w:ascii="仿宋" w:eastAsia="仿宋"/>
          <w:w w:val="95"/>
          <w:sz w:val="21"/>
          <w:u w:val="single"/>
        </w:rPr>
        <w:t>自工程实际竣工之日起计算。单位工程先于全部工程进行验收，单</w:t>
      </w:r>
      <w:r>
        <w:rPr>
          <w:rFonts w:hint="eastAsia" w:ascii="仿宋" w:eastAsia="仿宋"/>
          <w:spacing w:val="-199"/>
          <w:w w:val="95"/>
          <w:sz w:val="21"/>
          <w:u w:val="single"/>
        </w:rPr>
        <w:t>位工</w:t>
      </w:r>
      <w:r>
        <w:rPr>
          <w:rFonts w:hint="eastAsia" w:ascii="仿宋" w:eastAsia="仿宋"/>
          <w:spacing w:val="113"/>
          <w:w w:val="95"/>
          <w:sz w:val="21"/>
          <w:u w:val="single"/>
        </w:rPr>
        <w:t xml:space="preserve"> </w:t>
      </w:r>
      <w:r>
        <w:rPr>
          <w:rFonts w:hint="eastAsia" w:ascii="仿宋" w:eastAsia="仿宋"/>
          <w:spacing w:val="-3"/>
          <w:sz w:val="21"/>
          <w:u w:val="single"/>
        </w:rPr>
        <w:t xml:space="preserve">程缺陷责任期自单位工程验收合格之日起算。期限 </w:t>
      </w:r>
      <w:r>
        <w:rPr>
          <w:rFonts w:ascii="Times New Roman" w:eastAsia="Times New Roman"/>
          <w:sz w:val="21"/>
          <w:u w:val="single"/>
        </w:rPr>
        <w:t xml:space="preserve">24 </w:t>
      </w:r>
      <w:r>
        <w:rPr>
          <w:rFonts w:hint="eastAsia" w:ascii="仿宋" w:eastAsia="仿宋"/>
          <w:sz w:val="21"/>
          <w:u w:val="single"/>
        </w:rPr>
        <w:t>个月</w:t>
      </w:r>
      <w:r>
        <w:rPr>
          <w:rFonts w:hint="eastAsia" w:ascii="仿宋" w:eastAsia="仿宋"/>
          <w:sz w:val="21"/>
        </w:rPr>
        <w:t>。</w:t>
      </w:r>
    </w:p>
    <w:p>
      <w:pPr>
        <w:pStyle w:val="13"/>
        <w:numPr>
          <w:ilvl w:val="1"/>
          <w:numId w:val="63"/>
        </w:numPr>
        <w:tabs>
          <w:tab w:val="left" w:pos="1624"/>
        </w:tabs>
        <w:spacing w:before="0" w:after="0" w:line="267" w:lineRule="exact"/>
        <w:ind w:left="1624" w:right="0" w:hanging="473"/>
        <w:jc w:val="left"/>
        <w:rPr>
          <w:rFonts w:hint="eastAsia" w:ascii="黑体" w:eastAsia="黑体"/>
          <w:sz w:val="21"/>
        </w:rPr>
      </w:pPr>
      <w:r>
        <w:rPr>
          <w:rFonts w:hint="eastAsia" w:ascii="黑体" w:eastAsia="黑体"/>
          <w:sz w:val="21"/>
        </w:rPr>
        <w:t>质量保证金</w:t>
      </w:r>
    </w:p>
    <w:p>
      <w:pPr>
        <w:pStyle w:val="9"/>
        <w:spacing w:before="5"/>
        <w:rPr>
          <w:rFonts w:ascii="黑体"/>
          <w:sz w:val="20"/>
        </w:rPr>
      </w:pPr>
    </w:p>
    <w:p>
      <w:pPr>
        <w:spacing w:before="0"/>
        <w:ind w:left="1151" w:right="0" w:firstLine="0"/>
        <w:jc w:val="left"/>
        <w:rPr>
          <w:rFonts w:hint="eastAsia" w:ascii="仿宋" w:eastAsia="仿宋"/>
          <w:sz w:val="21"/>
        </w:rPr>
      </w:pPr>
      <w:r>
        <w:rPr>
          <w:rFonts w:hint="eastAsia" w:ascii="仿宋" w:eastAsia="仿宋"/>
          <w:sz w:val="21"/>
        </w:rPr>
        <w:t>关于是否扣留质量保证金的约定：</w:t>
      </w:r>
      <w:r>
        <w:rPr>
          <w:rFonts w:hint="eastAsia" w:ascii="仿宋" w:eastAsia="仿宋"/>
          <w:sz w:val="21"/>
          <w:u w:val="single"/>
        </w:rPr>
        <w:t>是</w:t>
      </w:r>
      <w:r>
        <w:rPr>
          <w:rFonts w:hint="eastAsia" w:ascii="仿宋" w:eastAsia="仿宋"/>
          <w:sz w:val="21"/>
        </w:rPr>
        <w:t>。</w:t>
      </w:r>
    </w:p>
    <w:p>
      <w:pPr>
        <w:pStyle w:val="13"/>
        <w:numPr>
          <w:ilvl w:val="2"/>
          <w:numId w:val="63"/>
        </w:numPr>
        <w:tabs>
          <w:tab w:val="left" w:pos="1780"/>
        </w:tabs>
        <w:spacing w:before="139" w:after="0" w:line="364" w:lineRule="auto"/>
        <w:ind w:left="1151" w:right="5829" w:firstLine="0"/>
        <w:jc w:val="left"/>
        <w:rPr>
          <w:rFonts w:hint="eastAsia" w:ascii="仿宋" w:eastAsia="仿宋"/>
          <w:sz w:val="21"/>
        </w:rPr>
      </w:pPr>
      <w:r>
        <w:rPr>
          <w:rFonts w:hint="eastAsia" w:ascii="仿宋" w:eastAsia="仿宋"/>
          <w:sz w:val="21"/>
        </w:rPr>
        <w:t>承包人提供质量保证金的方式质量保证金采用以下第</w:t>
      </w:r>
      <w:r>
        <w:rPr>
          <w:rFonts w:hint="eastAsia" w:ascii="仿宋" w:eastAsia="仿宋"/>
          <w:sz w:val="21"/>
          <w:u w:val="single"/>
        </w:rPr>
        <w:t>（</w:t>
      </w:r>
      <w:r>
        <w:rPr>
          <w:rFonts w:ascii="Times New Roman" w:eastAsia="Times New Roman"/>
          <w:sz w:val="21"/>
          <w:u w:val="single"/>
        </w:rPr>
        <w:t>2</w:t>
      </w:r>
      <w:r>
        <w:rPr>
          <w:rFonts w:hint="eastAsia" w:ascii="仿宋" w:eastAsia="仿宋"/>
          <w:sz w:val="21"/>
          <w:u w:val="single"/>
        </w:rPr>
        <w:t>）</w:t>
      </w:r>
      <w:r>
        <w:rPr>
          <w:rFonts w:hint="eastAsia" w:ascii="仿宋" w:eastAsia="仿宋"/>
          <w:sz w:val="21"/>
        </w:rPr>
        <w:t>种方式：</w:t>
      </w:r>
    </w:p>
    <w:p>
      <w:pPr>
        <w:spacing w:before="0" w:line="267" w:lineRule="exact"/>
        <w:ind w:left="1151" w:right="0" w:firstLine="0"/>
        <w:jc w:val="left"/>
        <w:rPr>
          <w:rFonts w:hint="eastAsia" w:ascii="仿宋" w:eastAsia="仿宋"/>
          <w:sz w:val="21"/>
        </w:rPr>
      </w:pPr>
      <w:r>
        <w:rPr>
          <w:rFonts w:hint="eastAsia" w:ascii="仿宋" w:eastAsia="仿宋"/>
          <w:sz w:val="21"/>
        </w:rPr>
        <w:t>（</w:t>
      </w:r>
      <w:r>
        <w:rPr>
          <w:rFonts w:ascii="Times New Roman" w:eastAsia="Times New Roman"/>
          <w:sz w:val="21"/>
        </w:rPr>
        <w:t>1</w:t>
      </w:r>
      <w:r>
        <w:rPr>
          <w:rFonts w:hint="eastAsia" w:ascii="仿宋" w:eastAsia="仿宋"/>
          <w:sz w:val="21"/>
        </w:rPr>
        <w:t>）质量保证金保函，保证金额为：</w:t>
      </w:r>
      <w:r>
        <w:rPr>
          <w:rFonts w:hint="eastAsia" w:ascii="仿宋" w:eastAsia="仿宋"/>
          <w:sz w:val="21"/>
          <w:u w:val="single"/>
        </w:rPr>
        <w:t>/</w:t>
      </w:r>
      <w:r>
        <w:rPr>
          <w:rFonts w:hint="eastAsia" w:ascii="仿宋" w:eastAsia="仿宋"/>
          <w:sz w:val="21"/>
        </w:rPr>
        <w:t>；</w:t>
      </w:r>
    </w:p>
    <w:p>
      <w:pPr>
        <w:spacing w:before="141"/>
        <w:ind w:left="1151" w:right="0" w:firstLine="0"/>
        <w:jc w:val="left"/>
        <w:rPr>
          <w:rFonts w:hint="eastAsia" w:ascii="仿宋" w:eastAsia="仿宋"/>
          <w:sz w:val="21"/>
        </w:rPr>
      </w:pPr>
      <w:r>
        <w:rPr>
          <w:rFonts w:hint="eastAsia" w:ascii="仿宋" w:eastAsia="仿宋"/>
          <w:sz w:val="21"/>
        </w:rPr>
        <w:t>（</w:t>
      </w:r>
      <w:r>
        <w:rPr>
          <w:rFonts w:ascii="Times New Roman" w:eastAsia="Times New Roman"/>
          <w:sz w:val="21"/>
        </w:rPr>
        <w:t>2</w:t>
      </w:r>
      <w:r>
        <w:rPr>
          <w:rFonts w:hint="eastAsia" w:ascii="仿宋" w:eastAsia="仿宋"/>
          <w:sz w:val="21"/>
        </w:rPr>
        <w:t>）</w:t>
      </w:r>
      <w:r>
        <w:rPr>
          <w:rFonts w:ascii="Times New Roman" w:eastAsia="Times New Roman"/>
          <w:sz w:val="21"/>
          <w:u w:val="single"/>
        </w:rPr>
        <w:t>3</w:t>
      </w:r>
      <w:r>
        <w:rPr>
          <w:rFonts w:ascii="Times New Roman" w:eastAsia="Times New Roman"/>
          <w:sz w:val="21"/>
        </w:rPr>
        <w:t>%</w:t>
      </w:r>
      <w:r>
        <w:rPr>
          <w:rFonts w:hint="eastAsia" w:ascii="仿宋" w:eastAsia="仿宋"/>
          <w:sz w:val="21"/>
        </w:rPr>
        <w:t>的审定后工程款；</w:t>
      </w:r>
    </w:p>
    <w:p>
      <w:pPr>
        <w:spacing w:after="0"/>
        <w:jc w:val="left"/>
        <w:rPr>
          <w:rFonts w:hint="eastAsia" w:ascii="仿宋" w:eastAsia="仿宋"/>
          <w:sz w:val="21"/>
        </w:rPr>
        <w:sectPr>
          <w:pgSz w:w="11910" w:h="16840"/>
          <w:pgMar w:top="1100" w:right="660" w:bottom="1200" w:left="800" w:header="878" w:footer="1003" w:gutter="0"/>
          <w:cols w:space="720" w:num="1"/>
        </w:sectPr>
      </w:pPr>
    </w:p>
    <w:p>
      <w:pPr>
        <w:pStyle w:val="9"/>
        <w:spacing w:before="5"/>
        <w:rPr>
          <w:rFonts w:ascii="仿宋"/>
          <w:sz w:val="17"/>
        </w:rPr>
      </w:pPr>
    </w:p>
    <w:p>
      <w:pPr>
        <w:spacing w:before="77"/>
        <w:ind w:left="1151" w:right="0" w:firstLine="0"/>
        <w:jc w:val="left"/>
        <w:rPr>
          <w:rFonts w:hint="eastAsia" w:ascii="仿宋" w:eastAsia="仿宋"/>
          <w:sz w:val="21"/>
        </w:rPr>
      </w:pPr>
      <w:r>
        <w:rPr>
          <w:rFonts w:hint="eastAsia" w:ascii="仿宋" w:eastAsia="仿宋"/>
          <w:sz w:val="21"/>
        </w:rPr>
        <w:t>（</w:t>
      </w:r>
      <w:r>
        <w:rPr>
          <w:rFonts w:ascii="Times New Roman" w:eastAsia="Times New Roman"/>
          <w:sz w:val="21"/>
        </w:rPr>
        <w:t>3</w:t>
      </w:r>
      <w:r>
        <w:rPr>
          <w:rFonts w:hint="eastAsia" w:ascii="仿宋" w:eastAsia="仿宋"/>
          <w:sz w:val="21"/>
        </w:rPr>
        <w:t>）其他方式</w:t>
      </w:r>
      <w:r>
        <w:rPr>
          <w:rFonts w:ascii="Times New Roman" w:eastAsia="Times New Roman"/>
          <w:sz w:val="21"/>
        </w:rPr>
        <w:t>:</w:t>
      </w:r>
      <w:r>
        <w:rPr>
          <w:rFonts w:hint="eastAsia" w:ascii="仿宋" w:eastAsia="仿宋"/>
          <w:sz w:val="21"/>
          <w:u w:val="single"/>
        </w:rPr>
        <w:t>/</w:t>
      </w:r>
      <w:r>
        <w:rPr>
          <w:rFonts w:hint="eastAsia" w:ascii="仿宋" w:eastAsia="仿宋"/>
          <w:sz w:val="21"/>
        </w:rPr>
        <w:t>。</w:t>
      </w:r>
    </w:p>
    <w:p>
      <w:pPr>
        <w:pStyle w:val="13"/>
        <w:numPr>
          <w:ilvl w:val="2"/>
          <w:numId w:val="63"/>
        </w:numPr>
        <w:tabs>
          <w:tab w:val="left" w:pos="1780"/>
        </w:tabs>
        <w:spacing w:before="139" w:after="0" w:line="240" w:lineRule="auto"/>
        <w:ind w:left="1780" w:right="0" w:hanging="629"/>
        <w:jc w:val="left"/>
        <w:rPr>
          <w:rFonts w:hint="eastAsia" w:ascii="仿宋" w:eastAsia="仿宋"/>
          <w:sz w:val="21"/>
        </w:rPr>
      </w:pPr>
      <w:r>
        <w:rPr>
          <w:rFonts w:hint="eastAsia" w:ascii="仿宋" w:eastAsia="仿宋"/>
          <w:sz w:val="21"/>
        </w:rPr>
        <w:t>质量保证金的扣留</w:t>
      </w:r>
    </w:p>
    <w:p>
      <w:pPr>
        <w:spacing w:before="141"/>
        <w:ind w:left="1151" w:right="0" w:firstLine="0"/>
        <w:jc w:val="left"/>
        <w:rPr>
          <w:rFonts w:hint="eastAsia" w:ascii="仿宋" w:eastAsia="仿宋"/>
          <w:sz w:val="21"/>
        </w:rPr>
      </w:pPr>
      <w:r>
        <w:rPr>
          <w:rFonts w:hint="eastAsia" w:ascii="仿宋" w:eastAsia="仿宋"/>
          <w:sz w:val="21"/>
        </w:rPr>
        <w:t>质量保证金的扣留采取以下第</w:t>
      </w:r>
      <w:r>
        <w:rPr>
          <w:rFonts w:hint="eastAsia" w:ascii="仿宋" w:eastAsia="仿宋"/>
          <w:sz w:val="21"/>
          <w:u w:val="single"/>
        </w:rPr>
        <w:t>（</w:t>
      </w:r>
      <w:r>
        <w:rPr>
          <w:rFonts w:ascii="Times New Roman" w:eastAsia="Times New Roman"/>
          <w:sz w:val="21"/>
          <w:u w:val="single"/>
        </w:rPr>
        <w:t>3</w:t>
      </w:r>
      <w:r>
        <w:rPr>
          <w:rFonts w:hint="eastAsia" w:ascii="仿宋" w:eastAsia="仿宋"/>
          <w:sz w:val="21"/>
          <w:u w:val="single"/>
        </w:rPr>
        <w:t>）</w:t>
      </w:r>
      <w:r>
        <w:rPr>
          <w:rFonts w:hint="eastAsia" w:ascii="仿宋" w:eastAsia="仿宋"/>
          <w:sz w:val="21"/>
        </w:rPr>
        <w:t>种方式：</w:t>
      </w:r>
    </w:p>
    <w:p>
      <w:pPr>
        <w:pStyle w:val="13"/>
        <w:numPr>
          <w:ilvl w:val="0"/>
          <w:numId w:val="64"/>
        </w:numPr>
        <w:tabs>
          <w:tab w:val="left" w:pos="1676"/>
        </w:tabs>
        <w:spacing w:before="139" w:after="0" w:line="364" w:lineRule="auto"/>
        <w:ind w:left="731" w:right="895" w:firstLine="420"/>
        <w:jc w:val="left"/>
        <w:rPr>
          <w:rFonts w:hint="eastAsia" w:ascii="仿宋" w:eastAsia="仿宋"/>
          <w:sz w:val="21"/>
        </w:rPr>
      </w:pPr>
      <w:r>
        <w:rPr>
          <w:rFonts w:hint="eastAsia" w:ascii="仿宋" w:eastAsia="仿宋"/>
          <w:spacing w:val="-5"/>
          <w:sz w:val="21"/>
        </w:rPr>
        <w:t>在支付工程进度款时逐次扣留，在此情形下，质量保证金的计算基数不包括预付款的支付、扣回以及价格调整的金额；</w:t>
      </w:r>
    </w:p>
    <w:p>
      <w:pPr>
        <w:pStyle w:val="13"/>
        <w:numPr>
          <w:ilvl w:val="0"/>
          <w:numId w:val="64"/>
        </w:numPr>
        <w:tabs>
          <w:tab w:val="left" w:pos="1676"/>
        </w:tabs>
        <w:spacing w:before="0" w:after="0" w:line="267" w:lineRule="exact"/>
        <w:ind w:left="1675" w:right="0" w:hanging="525"/>
        <w:jc w:val="left"/>
        <w:rPr>
          <w:rFonts w:hint="eastAsia" w:ascii="仿宋" w:eastAsia="仿宋"/>
          <w:sz w:val="21"/>
        </w:rPr>
      </w:pPr>
      <w:r>
        <w:rPr>
          <w:rFonts w:hint="eastAsia" w:ascii="仿宋" w:eastAsia="仿宋"/>
          <w:spacing w:val="-3"/>
          <w:sz w:val="21"/>
        </w:rPr>
        <w:t>工程结算审价完成后，发包人扣除审定价的</w:t>
      </w:r>
      <w:r>
        <w:rPr>
          <w:rFonts w:ascii="Times New Roman" w:eastAsia="Times New Roman"/>
          <w:sz w:val="21"/>
        </w:rPr>
        <w:t>3%</w:t>
      </w:r>
      <w:r>
        <w:rPr>
          <w:rFonts w:hint="eastAsia" w:ascii="仿宋" w:eastAsia="仿宋"/>
          <w:spacing w:val="-4"/>
          <w:sz w:val="21"/>
        </w:rPr>
        <w:t>质保金后，按照审定价全额支付工程款；</w:t>
      </w:r>
    </w:p>
    <w:p>
      <w:pPr>
        <w:pStyle w:val="13"/>
        <w:numPr>
          <w:ilvl w:val="0"/>
          <w:numId w:val="64"/>
        </w:numPr>
        <w:tabs>
          <w:tab w:val="left" w:pos="1677"/>
        </w:tabs>
        <w:spacing w:before="141" w:after="0" w:line="240" w:lineRule="auto"/>
        <w:ind w:left="1676" w:right="0" w:hanging="526"/>
        <w:jc w:val="left"/>
        <w:rPr>
          <w:rFonts w:hint="eastAsia" w:ascii="仿宋" w:eastAsia="仿宋"/>
          <w:sz w:val="21"/>
        </w:rPr>
      </w:pPr>
      <w:r>
        <w:rPr>
          <w:rFonts w:hint="eastAsia" w:ascii="仿宋" w:eastAsia="仿宋"/>
          <w:sz w:val="21"/>
        </w:rPr>
        <w:t>承包人先行支付工程审定价总金额的</w:t>
      </w:r>
      <w:r>
        <w:rPr>
          <w:rFonts w:ascii="Times New Roman" w:eastAsia="Times New Roman"/>
          <w:sz w:val="21"/>
        </w:rPr>
        <w:t>3%</w:t>
      </w:r>
      <w:r>
        <w:rPr>
          <w:rFonts w:hint="eastAsia" w:ascii="仿宋" w:eastAsia="仿宋"/>
          <w:sz w:val="21"/>
        </w:rPr>
        <w:t>至发包人指定账户作为质保金。</w:t>
      </w:r>
    </w:p>
    <w:p>
      <w:pPr>
        <w:spacing w:before="139"/>
        <w:ind w:left="1151" w:right="0" w:firstLine="0"/>
        <w:jc w:val="left"/>
        <w:rPr>
          <w:rFonts w:hint="eastAsia" w:ascii="仿宋" w:eastAsia="仿宋"/>
          <w:sz w:val="21"/>
        </w:rPr>
      </w:pPr>
      <w:r>
        <w:rPr>
          <w:rFonts w:hint="eastAsia" w:ascii="仿宋" w:eastAsia="仿宋"/>
          <w:sz w:val="21"/>
        </w:rPr>
        <w:t>关于质量保证金的补充约定：</w:t>
      </w:r>
      <w:r>
        <w:rPr>
          <w:rFonts w:hint="eastAsia" w:ascii="仿宋" w:eastAsia="仿宋"/>
          <w:sz w:val="21"/>
          <w:u w:val="single"/>
        </w:rPr>
        <w:t>质保金无息退还</w:t>
      </w:r>
      <w:r>
        <w:rPr>
          <w:rFonts w:ascii="Times New Roman" w:eastAsia="Times New Roman"/>
          <w:sz w:val="21"/>
          <w:u w:val="single"/>
        </w:rPr>
        <w:t>,</w:t>
      </w:r>
      <w:r>
        <w:rPr>
          <w:rFonts w:hint="eastAsia" w:ascii="仿宋" w:eastAsia="仿宋"/>
          <w:sz w:val="21"/>
          <w:u w:val="single"/>
        </w:rPr>
        <w:t>质保金支付不影响承包人承担保修义务</w:t>
      </w:r>
      <w:r>
        <w:rPr>
          <w:rFonts w:hint="eastAsia" w:ascii="仿宋" w:eastAsia="仿宋"/>
          <w:sz w:val="21"/>
        </w:rPr>
        <w:t>。</w:t>
      </w:r>
    </w:p>
    <w:p>
      <w:pPr>
        <w:pStyle w:val="13"/>
        <w:numPr>
          <w:ilvl w:val="1"/>
          <w:numId w:val="63"/>
        </w:numPr>
        <w:tabs>
          <w:tab w:val="left" w:pos="1572"/>
        </w:tabs>
        <w:spacing w:before="139" w:after="0" w:line="240" w:lineRule="auto"/>
        <w:ind w:left="1571" w:right="0" w:hanging="421"/>
        <w:jc w:val="left"/>
        <w:rPr>
          <w:rFonts w:hint="eastAsia" w:ascii="黑体" w:eastAsia="黑体"/>
          <w:sz w:val="21"/>
        </w:rPr>
      </w:pPr>
      <w:r>
        <w:rPr>
          <w:rFonts w:hint="eastAsia" w:ascii="黑体" w:eastAsia="黑体"/>
          <w:sz w:val="21"/>
        </w:rPr>
        <w:t>保修</w:t>
      </w:r>
    </w:p>
    <w:p>
      <w:pPr>
        <w:pStyle w:val="9"/>
        <w:spacing w:before="3"/>
        <w:rPr>
          <w:rFonts w:ascii="黑体"/>
          <w:sz w:val="20"/>
        </w:rPr>
      </w:pPr>
    </w:p>
    <w:p>
      <w:pPr>
        <w:pStyle w:val="13"/>
        <w:numPr>
          <w:ilvl w:val="2"/>
          <w:numId w:val="63"/>
        </w:numPr>
        <w:tabs>
          <w:tab w:val="left" w:pos="1771"/>
        </w:tabs>
        <w:spacing w:before="0" w:after="0" w:line="240" w:lineRule="auto"/>
        <w:ind w:left="1770" w:right="0" w:hanging="630"/>
        <w:jc w:val="left"/>
        <w:rPr>
          <w:rFonts w:hint="eastAsia" w:ascii="仿宋" w:eastAsia="仿宋"/>
          <w:sz w:val="21"/>
        </w:rPr>
      </w:pPr>
      <w:r>
        <w:rPr>
          <w:rFonts w:hint="eastAsia" w:ascii="仿宋" w:eastAsia="仿宋"/>
          <w:sz w:val="21"/>
        </w:rPr>
        <w:t>保修责任</w:t>
      </w:r>
    </w:p>
    <w:p>
      <w:pPr>
        <w:spacing w:before="139"/>
        <w:ind w:left="1141" w:right="0" w:firstLine="0"/>
        <w:jc w:val="left"/>
        <w:rPr>
          <w:rFonts w:hint="eastAsia" w:ascii="仿宋" w:eastAsia="仿宋"/>
          <w:sz w:val="21"/>
        </w:rPr>
      </w:pPr>
      <w:r>
        <w:rPr>
          <w:rFonts w:hint="eastAsia" w:ascii="仿宋" w:eastAsia="仿宋"/>
          <w:sz w:val="21"/>
        </w:rPr>
        <w:t>工程保修期为：</w:t>
      </w:r>
      <w:r>
        <w:rPr>
          <w:rFonts w:hint="eastAsia" w:ascii="仿宋" w:eastAsia="仿宋"/>
          <w:sz w:val="21"/>
          <w:u w:val="single"/>
        </w:rPr>
        <w:t>见工程质量保修书</w:t>
      </w:r>
      <w:r>
        <w:rPr>
          <w:rFonts w:hint="eastAsia" w:ascii="仿宋" w:eastAsia="仿宋"/>
          <w:sz w:val="21"/>
        </w:rPr>
        <w:t>。</w:t>
      </w:r>
    </w:p>
    <w:p>
      <w:pPr>
        <w:pStyle w:val="13"/>
        <w:numPr>
          <w:ilvl w:val="2"/>
          <w:numId w:val="65"/>
        </w:numPr>
        <w:tabs>
          <w:tab w:val="left" w:pos="1771"/>
        </w:tabs>
        <w:spacing w:before="139" w:after="0" w:line="240" w:lineRule="auto"/>
        <w:ind w:left="1770" w:right="0" w:hanging="630"/>
        <w:jc w:val="left"/>
        <w:rPr>
          <w:rFonts w:hint="eastAsia" w:ascii="仿宋" w:eastAsia="仿宋"/>
          <w:sz w:val="21"/>
        </w:rPr>
      </w:pPr>
      <w:r>
        <w:rPr>
          <w:rFonts w:hint="eastAsia" w:ascii="仿宋" w:eastAsia="仿宋"/>
          <w:sz w:val="21"/>
        </w:rPr>
        <w:t>修复通知</w:t>
      </w:r>
    </w:p>
    <w:p>
      <w:pPr>
        <w:spacing w:before="141"/>
        <w:ind w:left="1141" w:right="0" w:firstLine="0"/>
        <w:jc w:val="left"/>
        <w:rPr>
          <w:rFonts w:hint="eastAsia" w:ascii="仿宋" w:eastAsia="仿宋"/>
          <w:sz w:val="21"/>
        </w:rPr>
      </w:pPr>
      <w:r>
        <w:rPr>
          <w:rFonts w:hint="eastAsia" w:ascii="仿宋" w:eastAsia="仿宋"/>
          <w:sz w:val="21"/>
        </w:rPr>
        <w:t>承包人收到保修通知并到达工程现场的合理时间：</w:t>
      </w:r>
      <w:r>
        <w:rPr>
          <w:rFonts w:hint="eastAsia" w:ascii="仿宋" w:eastAsia="仿宋"/>
          <w:sz w:val="21"/>
          <w:u w:val="single"/>
        </w:rPr>
        <w:t xml:space="preserve">接到书面或口头通知后 </w:t>
      </w:r>
      <w:r>
        <w:rPr>
          <w:rFonts w:ascii="Times New Roman" w:eastAsia="Times New Roman"/>
          <w:sz w:val="21"/>
          <w:u w:val="single"/>
        </w:rPr>
        <w:t xml:space="preserve">48 </w:t>
      </w:r>
      <w:r>
        <w:rPr>
          <w:rFonts w:hint="eastAsia" w:ascii="仿宋" w:eastAsia="仿宋"/>
          <w:sz w:val="21"/>
          <w:u w:val="single"/>
        </w:rPr>
        <w:t>小时内</w:t>
      </w:r>
      <w:r>
        <w:rPr>
          <w:rFonts w:hint="eastAsia" w:ascii="仿宋" w:eastAsia="仿宋"/>
          <w:sz w:val="21"/>
        </w:rPr>
        <w:t>。</w:t>
      </w:r>
    </w:p>
    <w:p>
      <w:pPr>
        <w:pStyle w:val="13"/>
        <w:numPr>
          <w:ilvl w:val="2"/>
          <w:numId w:val="65"/>
        </w:numPr>
        <w:tabs>
          <w:tab w:val="left" w:pos="1728"/>
        </w:tabs>
        <w:spacing w:before="139" w:after="0" w:line="240" w:lineRule="auto"/>
        <w:ind w:left="1727" w:right="0" w:hanging="577"/>
        <w:jc w:val="left"/>
        <w:rPr>
          <w:rFonts w:hint="eastAsia" w:ascii="仿宋" w:eastAsia="仿宋"/>
          <w:sz w:val="21"/>
        </w:rPr>
      </w:pPr>
      <w:r>
        <w:rPr>
          <w:rFonts w:hint="eastAsia" w:ascii="仿宋" w:eastAsia="仿宋"/>
          <w:sz w:val="21"/>
        </w:rPr>
        <w:t>未能修复</w:t>
      </w:r>
    </w:p>
    <w:p>
      <w:pPr>
        <w:spacing w:before="139" w:line="364" w:lineRule="auto"/>
        <w:ind w:left="731" w:right="788" w:firstLine="420"/>
        <w:jc w:val="left"/>
        <w:rPr>
          <w:rFonts w:hint="eastAsia" w:ascii="仿宋" w:eastAsia="仿宋"/>
          <w:sz w:val="21"/>
        </w:rPr>
      </w:pPr>
      <w:r>
        <w:rPr>
          <w:rFonts w:hint="eastAsia" w:ascii="仿宋" w:eastAsia="仿宋"/>
          <w:spacing w:val="-7"/>
          <w:w w:val="95"/>
          <w:sz w:val="21"/>
        </w:rPr>
        <w:t xml:space="preserve">因承包人原因造成工程的缺陷或损坏，承包人拒绝维修或未能在合理期限内修复缺陷或损坏，   </w:t>
      </w:r>
      <w:r>
        <w:rPr>
          <w:rFonts w:hint="eastAsia" w:ascii="仿宋" w:eastAsia="仿宋"/>
          <w:spacing w:val="-13"/>
          <w:sz w:val="21"/>
        </w:rPr>
        <w:t xml:space="preserve">且经发包人书面催告 </w:t>
      </w:r>
      <w:r>
        <w:rPr>
          <w:rFonts w:ascii="Times New Roman" w:eastAsia="Times New Roman"/>
          <w:sz w:val="21"/>
        </w:rPr>
        <w:t xml:space="preserve">48 </w:t>
      </w:r>
      <w:r>
        <w:rPr>
          <w:rFonts w:hint="eastAsia" w:ascii="仿宋" w:eastAsia="仿宋"/>
          <w:spacing w:val="-8"/>
          <w:sz w:val="21"/>
        </w:rPr>
        <w:t>小时后仍未修复的，发包人有权自行修复或委托第三方修复，所需费用由承包人承担。同时，承包人应承担包括由于承包人未及时修复所造成的一切后果及影响，并赔偿发包人相应损失。</w:t>
      </w:r>
    </w:p>
    <w:p>
      <w:pPr>
        <w:pStyle w:val="13"/>
        <w:numPr>
          <w:ilvl w:val="0"/>
          <w:numId w:val="34"/>
        </w:numPr>
        <w:tabs>
          <w:tab w:val="left" w:pos="1099"/>
        </w:tabs>
        <w:spacing w:before="118" w:after="0" w:line="240" w:lineRule="auto"/>
        <w:ind w:left="1098" w:right="0" w:hanging="368"/>
        <w:jc w:val="left"/>
        <w:rPr>
          <w:rFonts w:hint="eastAsia" w:ascii="黑体" w:eastAsia="黑体"/>
          <w:sz w:val="21"/>
        </w:rPr>
      </w:pPr>
      <w:bookmarkStart w:id="72" w:name="16. 违约"/>
      <w:bookmarkEnd w:id="72"/>
      <w:r>
        <w:rPr>
          <w:rFonts w:hint="eastAsia" w:ascii="黑体" w:eastAsia="黑体"/>
          <w:sz w:val="21"/>
        </w:rPr>
        <w:t>违约</w:t>
      </w:r>
    </w:p>
    <w:p>
      <w:pPr>
        <w:pStyle w:val="9"/>
        <w:spacing w:before="3"/>
        <w:rPr>
          <w:rFonts w:ascii="黑体"/>
          <w:sz w:val="20"/>
        </w:rPr>
      </w:pPr>
    </w:p>
    <w:p>
      <w:pPr>
        <w:pStyle w:val="13"/>
        <w:numPr>
          <w:ilvl w:val="1"/>
          <w:numId w:val="34"/>
        </w:numPr>
        <w:tabs>
          <w:tab w:val="left" w:pos="1624"/>
        </w:tabs>
        <w:spacing w:before="0" w:after="0" w:line="240" w:lineRule="auto"/>
        <w:ind w:left="1624" w:right="0" w:hanging="473"/>
        <w:jc w:val="left"/>
        <w:rPr>
          <w:rFonts w:hint="eastAsia" w:ascii="黑体" w:eastAsia="黑体"/>
          <w:sz w:val="21"/>
        </w:rPr>
      </w:pPr>
      <w:r>
        <w:rPr>
          <w:rFonts w:hint="eastAsia" w:ascii="黑体" w:eastAsia="黑体"/>
          <w:sz w:val="21"/>
        </w:rPr>
        <w:t>发包人违约</w:t>
      </w:r>
    </w:p>
    <w:p>
      <w:pPr>
        <w:pStyle w:val="9"/>
        <w:spacing w:before="3"/>
        <w:rPr>
          <w:rFonts w:ascii="黑体"/>
          <w:sz w:val="20"/>
        </w:rPr>
      </w:pPr>
    </w:p>
    <w:p>
      <w:pPr>
        <w:pStyle w:val="13"/>
        <w:numPr>
          <w:ilvl w:val="2"/>
          <w:numId w:val="34"/>
        </w:numPr>
        <w:tabs>
          <w:tab w:val="left" w:pos="1728"/>
        </w:tabs>
        <w:spacing w:before="0" w:after="0" w:line="240" w:lineRule="auto"/>
        <w:ind w:left="1727" w:right="0" w:hanging="577"/>
        <w:jc w:val="left"/>
        <w:rPr>
          <w:rFonts w:ascii="Times New Roman" w:eastAsia="Times New Roman"/>
          <w:sz w:val="21"/>
        </w:rPr>
      </w:pPr>
      <w:r>
        <w:rPr>
          <w:rFonts w:hint="eastAsia" w:ascii="仿宋" w:eastAsia="仿宋"/>
          <w:sz w:val="21"/>
        </w:rPr>
        <w:t>发包人违约的情形</w:t>
      </w:r>
    </w:p>
    <w:p>
      <w:pPr>
        <w:spacing w:before="139"/>
        <w:ind w:left="1151" w:right="0" w:firstLine="0"/>
        <w:jc w:val="left"/>
        <w:rPr>
          <w:rFonts w:hint="eastAsia" w:ascii="仿宋" w:eastAsia="仿宋"/>
          <w:sz w:val="21"/>
        </w:rPr>
      </w:pPr>
      <w:r>
        <w:rPr>
          <w:rFonts w:ascii="宋体" w:hAnsi="宋体" w:eastAsia="宋体" w:cs="宋体"/>
          <w:sz w:val="22"/>
          <w:szCs w:val="22"/>
          <w:lang w:val="zh-CN" w:eastAsia="zh-CN" w:bidi="zh-CN"/>
        </w:rPr>
        <w:pict>
          <v:line id="直线 18" o:spid="_x0000_s1069" style="position:absolute;left:0;margin-left:213pt;margin-top:18.8pt;height:0.05pt;width:3pt;mso-position-horizontal-relative:page;rotation:0f;z-index:251679744;" o:ole="f" fillcolor="#FFFFFF" filled="f" o:preferrelative="t" stroked="t" coordsize="21600,21600">
            <v:fill on="f" color2="#FFFFFF" focus="0%"/>
            <v:stroke weight="0.48pt" color="#000000" color2="#FFFFFF" miterlimit="2"/>
            <v:imagedata gain="65536f" blacklevel="0f" gamma="0"/>
            <o:lock v:ext="edit" position="f" selection="f" grouping="f" rotation="f" cropping="f" text="f" aspectratio="f"/>
          </v:line>
        </w:pict>
      </w:r>
      <w:r>
        <w:rPr>
          <w:rFonts w:hint="eastAsia" w:ascii="仿宋" w:eastAsia="仿宋"/>
          <w:sz w:val="21"/>
        </w:rPr>
        <w:t>发包人违约的其他情形：</w:t>
      </w:r>
      <w:r>
        <w:rPr>
          <w:rFonts w:ascii="Times New Roman" w:eastAsia="Times New Roman"/>
          <w:sz w:val="21"/>
        </w:rPr>
        <w:t>/</w:t>
      </w:r>
      <w:r>
        <w:rPr>
          <w:rFonts w:hint="eastAsia" w:ascii="仿宋" w:eastAsia="仿宋"/>
          <w:sz w:val="21"/>
        </w:rPr>
        <w:t>。</w:t>
      </w:r>
    </w:p>
    <w:p>
      <w:pPr>
        <w:pStyle w:val="13"/>
        <w:numPr>
          <w:ilvl w:val="2"/>
          <w:numId w:val="34"/>
        </w:numPr>
        <w:tabs>
          <w:tab w:val="left" w:pos="1780"/>
        </w:tabs>
        <w:spacing w:before="141" w:after="0" w:line="240" w:lineRule="auto"/>
        <w:ind w:left="1780" w:right="0" w:hanging="629"/>
        <w:jc w:val="left"/>
        <w:rPr>
          <w:rFonts w:ascii="Times New Roman" w:eastAsia="Times New Roman"/>
          <w:sz w:val="21"/>
        </w:rPr>
      </w:pPr>
      <w:r>
        <w:rPr>
          <w:rFonts w:hint="eastAsia" w:ascii="仿宋" w:eastAsia="仿宋"/>
          <w:sz w:val="21"/>
        </w:rPr>
        <w:t>发包人违约的责任</w:t>
      </w:r>
    </w:p>
    <w:p>
      <w:pPr>
        <w:spacing w:before="139"/>
        <w:ind w:left="1151" w:right="0" w:firstLine="0"/>
        <w:jc w:val="left"/>
        <w:rPr>
          <w:rFonts w:hint="eastAsia" w:ascii="仿宋" w:eastAsia="仿宋"/>
          <w:sz w:val="21"/>
        </w:rPr>
      </w:pPr>
      <w:r>
        <w:rPr>
          <w:rFonts w:hint="eastAsia" w:ascii="仿宋" w:eastAsia="仿宋"/>
          <w:sz w:val="21"/>
        </w:rPr>
        <w:t>发包人违约责任的承担方式和计算方法：</w:t>
      </w:r>
    </w:p>
    <w:p>
      <w:pPr>
        <w:pStyle w:val="13"/>
        <w:numPr>
          <w:ilvl w:val="0"/>
          <w:numId w:val="66"/>
        </w:numPr>
        <w:tabs>
          <w:tab w:val="left" w:pos="1676"/>
        </w:tabs>
        <w:spacing w:before="139" w:after="0" w:line="364" w:lineRule="auto"/>
        <w:ind w:left="731" w:right="892" w:firstLine="420"/>
        <w:jc w:val="left"/>
        <w:rPr>
          <w:rFonts w:hint="eastAsia" w:ascii="仿宋" w:eastAsia="仿宋"/>
          <w:sz w:val="21"/>
        </w:rPr>
      </w:pPr>
      <w:r>
        <w:rPr>
          <w:rFonts w:hint="eastAsia" w:ascii="仿宋" w:eastAsia="仿宋"/>
          <w:spacing w:val="-2"/>
          <w:sz w:val="21"/>
        </w:rPr>
        <w:t>因发包人违反合同约定造成暂停施工的违约责任：</w:t>
      </w:r>
      <w:r>
        <w:rPr>
          <w:rFonts w:hint="eastAsia" w:ascii="仿宋" w:eastAsia="仿宋"/>
          <w:spacing w:val="-6"/>
          <w:sz w:val="21"/>
          <w:u w:val="single"/>
        </w:rPr>
        <w:t>顺延工期，赔偿所造成的承包人实</w:t>
      </w:r>
      <w:r>
        <w:rPr>
          <w:rFonts w:hint="eastAsia" w:ascii="仿宋" w:eastAsia="仿宋"/>
          <w:spacing w:val="-35"/>
          <w:sz w:val="21"/>
          <w:u w:val="single"/>
        </w:rPr>
        <w:t xml:space="preserve">际损失，但不超过合同总价款的 </w:t>
      </w:r>
      <w:r>
        <w:rPr>
          <w:rFonts w:ascii="Times New Roman" w:eastAsia="Times New Roman"/>
          <w:sz w:val="21"/>
          <w:u w:val="single"/>
        </w:rPr>
        <w:t>3%</w:t>
      </w:r>
      <w:r>
        <w:rPr>
          <w:rFonts w:hint="eastAsia" w:ascii="仿宋" w:eastAsia="仿宋"/>
          <w:sz w:val="21"/>
          <w:u w:val="single"/>
        </w:rPr>
        <w:t>违约金</w:t>
      </w:r>
      <w:r>
        <w:rPr>
          <w:rFonts w:hint="eastAsia" w:ascii="仿宋" w:eastAsia="仿宋"/>
          <w:sz w:val="21"/>
        </w:rPr>
        <w:t>。</w:t>
      </w:r>
    </w:p>
    <w:p>
      <w:pPr>
        <w:pStyle w:val="13"/>
        <w:numPr>
          <w:ilvl w:val="0"/>
          <w:numId w:val="66"/>
        </w:numPr>
        <w:tabs>
          <w:tab w:val="left" w:pos="1676"/>
        </w:tabs>
        <w:spacing w:before="0" w:after="0" w:line="364" w:lineRule="auto"/>
        <w:ind w:left="731" w:right="789" w:firstLine="420"/>
        <w:jc w:val="left"/>
        <w:rPr>
          <w:rFonts w:hint="eastAsia" w:ascii="仿宋" w:eastAsia="仿宋"/>
          <w:sz w:val="21"/>
        </w:rPr>
      </w:pPr>
      <w:r>
        <w:rPr>
          <w:rFonts w:hint="eastAsia" w:ascii="仿宋" w:eastAsia="仿宋"/>
          <w:w w:val="95"/>
          <w:sz w:val="21"/>
        </w:rPr>
        <w:t xml:space="preserve">发包人无正当理由没有在约定期限内发出复工指示，导致承包人无法复工的违约责任：  </w:t>
      </w:r>
      <w:r>
        <w:rPr>
          <w:rFonts w:hint="eastAsia" w:ascii="仿宋" w:eastAsia="仿宋"/>
          <w:spacing w:val="-2"/>
          <w:sz w:val="21"/>
          <w:u w:val="single"/>
        </w:rPr>
        <w:t xml:space="preserve">顺延工期，赔偿所造成的承包人实际损失，但不超过合同总价款的 </w:t>
      </w:r>
      <w:r>
        <w:rPr>
          <w:rFonts w:ascii="Times New Roman" w:eastAsia="Times New Roman"/>
          <w:sz w:val="21"/>
          <w:u w:val="single"/>
        </w:rPr>
        <w:t>3%</w:t>
      </w:r>
      <w:r>
        <w:rPr>
          <w:rFonts w:hint="eastAsia" w:ascii="仿宋" w:eastAsia="仿宋"/>
          <w:sz w:val="21"/>
          <w:u w:val="single"/>
        </w:rPr>
        <w:t>违约金</w:t>
      </w:r>
      <w:r>
        <w:rPr>
          <w:rFonts w:hint="eastAsia" w:ascii="仿宋" w:eastAsia="仿宋"/>
          <w:sz w:val="21"/>
        </w:rPr>
        <w:t>。</w:t>
      </w:r>
    </w:p>
    <w:p>
      <w:pPr>
        <w:pStyle w:val="13"/>
        <w:numPr>
          <w:ilvl w:val="2"/>
          <w:numId w:val="34"/>
        </w:numPr>
        <w:tabs>
          <w:tab w:val="left" w:pos="1780"/>
        </w:tabs>
        <w:spacing w:before="0" w:after="0" w:line="267" w:lineRule="exact"/>
        <w:ind w:left="1780" w:right="0" w:hanging="629"/>
        <w:jc w:val="left"/>
        <w:rPr>
          <w:rFonts w:ascii="Times New Roman" w:eastAsia="Times New Roman"/>
          <w:sz w:val="21"/>
        </w:rPr>
      </w:pPr>
      <w:r>
        <w:rPr>
          <w:rFonts w:hint="eastAsia" w:ascii="仿宋" w:eastAsia="仿宋"/>
          <w:sz w:val="21"/>
        </w:rPr>
        <w:t>因发包人违约解除合同</w:t>
      </w:r>
    </w:p>
    <w:p>
      <w:pPr>
        <w:spacing w:before="139" w:line="367" w:lineRule="auto"/>
        <w:ind w:left="731" w:right="895" w:firstLine="420"/>
        <w:jc w:val="left"/>
        <w:rPr>
          <w:rFonts w:hint="eastAsia" w:ascii="仿宋" w:eastAsia="仿宋"/>
          <w:sz w:val="21"/>
        </w:rPr>
      </w:pPr>
      <w:r>
        <w:rPr>
          <w:rFonts w:hint="eastAsia" w:ascii="仿宋" w:eastAsia="仿宋"/>
          <w:w w:val="95"/>
          <w:sz w:val="21"/>
        </w:rPr>
        <w:t>因发包人违约，在约定暂停施工满</w:t>
      </w:r>
      <w:r>
        <w:rPr>
          <w:rFonts w:ascii="Times New Roman" w:eastAsia="Times New Roman"/>
          <w:w w:val="95"/>
          <w:sz w:val="21"/>
          <w:u w:val="single"/>
        </w:rPr>
        <w:t>60</w:t>
      </w:r>
      <w:r>
        <w:rPr>
          <w:rFonts w:hint="eastAsia" w:ascii="仿宋" w:eastAsia="仿宋"/>
          <w:w w:val="95"/>
          <w:sz w:val="21"/>
        </w:rPr>
        <w:t xml:space="preserve">天后发包人仍不纠正其违约行为并致使合同目的不能实   </w:t>
      </w:r>
      <w:r>
        <w:rPr>
          <w:rFonts w:hint="eastAsia" w:ascii="仿宋" w:eastAsia="仿宋"/>
          <w:sz w:val="21"/>
        </w:rPr>
        <w:t>现的，承包人有权解除合同。</w:t>
      </w:r>
    </w:p>
    <w:p>
      <w:pPr>
        <w:pStyle w:val="13"/>
        <w:numPr>
          <w:ilvl w:val="1"/>
          <w:numId w:val="34"/>
        </w:numPr>
        <w:tabs>
          <w:tab w:val="left" w:pos="1624"/>
        </w:tabs>
        <w:spacing w:before="0" w:after="0" w:line="264" w:lineRule="exact"/>
        <w:ind w:left="1624" w:right="0" w:hanging="473"/>
        <w:jc w:val="left"/>
        <w:rPr>
          <w:rFonts w:hint="eastAsia" w:ascii="黑体" w:eastAsia="黑体"/>
          <w:sz w:val="21"/>
        </w:rPr>
      </w:pPr>
      <w:r>
        <w:rPr>
          <w:rFonts w:hint="eastAsia" w:ascii="黑体" w:eastAsia="黑体"/>
          <w:sz w:val="21"/>
        </w:rPr>
        <w:t>承包人违约</w:t>
      </w:r>
    </w:p>
    <w:p>
      <w:pPr>
        <w:pStyle w:val="9"/>
        <w:spacing w:before="3"/>
        <w:rPr>
          <w:rFonts w:ascii="黑体"/>
          <w:sz w:val="20"/>
        </w:rPr>
      </w:pPr>
    </w:p>
    <w:p>
      <w:pPr>
        <w:pStyle w:val="13"/>
        <w:numPr>
          <w:ilvl w:val="2"/>
          <w:numId w:val="34"/>
        </w:numPr>
        <w:tabs>
          <w:tab w:val="left" w:pos="1780"/>
        </w:tabs>
        <w:spacing w:before="0" w:after="0" w:line="240" w:lineRule="auto"/>
        <w:ind w:left="1780" w:right="0" w:hanging="629"/>
        <w:jc w:val="left"/>
        <w:rPr>
          <w:rFonts w:ascii="Times New Roman" w:eastAsia="Times New Roman"/>
          <w:sz w:val="21"/>
        </w:rPr>
      </w:pPr>
      <w:r>
        <w:rPr>
          <w:rFonts w:hint="eastAsia" w:ascii="仿宋" w:eastAsia="仿宋"/>
          <w:sz w:val="21"/>
        </w:rPr>
        <w:t>承包人违约的情形</w:t>
      </w:r>
    </w:p>
    <w:p>
      <w:pPr>
        <w:spacing w:after="0" w:line="240" w:lineRule="auto"/>
        <w:jc w:val="left"/>
        <w:rPr>
          <w:rFonts w:ascii="Times New Roman" w:eastAsia="Times New Roman"/>
          <w:sz w:val="21"/>
        </w:rPr>
        <w:sectPr>
          <w:pgSz w:w="11910" w:h="16840"/>
          <w:pgMar w:top="1100" w:right="660" w:bottom="1200" w:left="800" w:header="878" w:footer="1003" w:gutter="0"/>
          <w:cols w:space="720" w:num="1"/>
        </w:sectPr>
      </w:pPr>
    </w:p>
    <w:p>
      <w:pPr>
        <w:pStyle w:val="9"/>
        <w:spacing w:before="12"/>
        <w:rPr>
          <w:rFonts w:ascii="仿宋"/>
          <w:sz w:val="17"/>
        </w:rPr>
      </w:pPr>
    </w:p>
    <w:p>
      <w:pPr>
        <w:spacing w:before="70" w:line="364" w:lineRule="auto"/>
        <w:ind w:left="731" w:right="895" w:firstLine="420"/>
        <w:jc w:val="both"/>
        <w:rPr>
          <w:rFonts w:hint="eastAsia" w:ascii="仿宋" w:eastAsia="仿宋"/>
          <w:sz w:val="21"/>
        </w:rPr>
      </w:pPr>
      <w:r>
        <w:rPr>
          <w:rFonts w:hint="eastAsia" w:ascii="仿宋" w:eastAsia="仿宋"/>
          <w:w w:val="95"/>
          <w:sz w:val="21"/>
        </w:rPr>
        <w:t>承包人违约的其他情形：</w:t>
      </w:r>
      <w:r>
        <w:rPr>
          <w:rFonts w:hint="eastAsia" w:ascii="仿宋" w:eastAsia="仿宋"/>
          <w:w w:val="95"/>
          <w:sz w:val="21"/>
          <w:u w:val="single"/>
        </w:rPr>
        <w:t>未按补充招标文件要求的品牌、规格、型号进行采购，发包人有权   要求承包人无理由退货及重新根据合同约定购买，同时承包人承担包括延误的工期等一切直接损</w:t>
      </w:r>
      <w:r>
        <w:rPr>
          <w:rFonts w:hint="eastAsia" w:ascii="仿宋" w:eastAsia="仿宋"/>
          <w:spacing w:val="-198"/>
          <w:w w:val="95"/>
          <w:sz w:val="21"/>
          <w:u w:val="single"/>
        </w:rPr>
        <w:t>失与</w:t>
      </w:r>
      <w:r>
        <w:rPr>
          <w:rFonts w:hint="eastAsia" w:ascii="仿宋" w:eastAsia="仿宋"/>
          <w:spacing w:val="142"/>
          <w:w w:val="95"/>
          <w:sz w:val="21"/>
          <w:u w:val="single"/>
        </w:rPr>
        <w:t xml:space="preserve"> </w:t>
      </w:r>
      <w:r>
        <w:rPr>
          <w:rFonts w:hint="eastAsia" w:ascii="仿宋" w:eastAsia="仿宋"/>
          <w:w w:val="95"/>
          <w:sz w:val="21"/>
          <w:u w:val="single"/>
        </w:rPr>
        <w:t xml:space="preserve">间接损失；本工程具体完成时间应严格按照承包人投标书要求，如果因承包人原因导致实际进度   与提交的施工计划进度严重不符，承包人无措施且无法按工期完工或质量无法达到合同要求的；   </w:t>
      </w:r>
      <w:r>
        <w:rPr>
          <w:rFonts w:hint="eastAsia" w:ascii="仿宋" w:eastAsia="仿宋"/>
          <w:spacing w:val="-2"/>
          <w:sz w:val="21"/>
          <w:u w:val="single"/>
        </w:rPr>
        <w:t xml:space="preserve">承包人所提交签证，发包人不予认可，由此承包人停工的；承包人无正当理由停工 </w:t>
      </w:r>
      <w:r>
        <w:rPr>
          <w:rFonts w:ascii="Times New Roman" w:eastAsia="Times New Roman"/>
          <w:sz w:val="21"/>
          <w:u w:val="single"/>
        </w:rPr>
        <w:t>3</w:t>
      </w:r>
      <w:r>
        <w:rPr>
          <w:rFonts w:ascii="Times New Roman" w:eastAsia="Times New Roman"/>
          <w:spacing w:val="-10"/>
          <w:sz w:val="21"/>
          <w:u w:val="single"/>
        </w:rPr>
        <w:t xml:space="preserve"> </w:t>
      </w:r>
      <w:r>
        <w:rPr>
          <w:rFonts w:hint="eastAsia" w:ascii="仿宋" w:eastAsia="仿宋"/>
          <w:sz w:val="21"/>
          <w:u w:val="single"/>
        </w:rPr>
        <w:t>天及以上的</w:t>
      </w:r>
      <w:r>
        <w:rPr>
          <w:rFonts w:hint="eastAsia" w:ascii="仿宋" w:eastAsia="仿宋"/>
          <w:w w:val="95"/>
          <w:sz w:val="21"/>
          <w:u w:val="single"/>
        </w:rPr>
        <w:t xml:space="preserve">；承包人未按程序报验，工序验收不合格仍继续施工的；不服从发包人及监理工程师的管理的；   </w:t>
      </w:r>
      <w:r>
        <w:rPr>
          <w:rFonts w:hint="eastAsia" w:ascii="仿宋" w:eastAsia="仿宋"/>
          <w:sz w:val="21"/>
          <w:u w:val="single"/>
        </w:rPr>
        <w:t>现场管理人员与投标书完全不符的；项目经理到场时间与投标书所承诺的严重不符的。</w:t>
      </w:r>
    </w:p>
    <w:p>
      <w:pPr>
        <w:pStyle w:val="13"/>
        <w:numPr>
          <w:ilvl w:val="2"/>
          <w:numId w:val="34"/>
        </w:numPr>
        <w:tabs>
          <w:tab w:val="left" w:pos="1728"/>
        </w:tabs>
        <w:spacing w:before="0" w:after="0" w:line="267" w:lineRule="exact"/>
        <w:ind w:left="1727" w:right="0" w:hanging="577"/>
        <w:jc w:val="both"/>
        <w:rPr>
          <w:rFonts w:ascii="Times New Roman" w:eastAsia="Times New Roman"/>
          <w:sz w:val="21"/>
        </w:rPr>
      </w:pPr>
      <w:r>
        <w:rPr>
          <w:rFonts w:hint="eastAsia" w:ascii="仿宋" w:eastAsia="仿宋"/>
          <w:sz w:val="21"/>
        </w:rPr>
        <w:t>承包人违约的责任</w:t>
      </w:r>
    </w:p>
    <w:p>
      <w:pPr>
        <w:spacing w:before="139" w:line="364" w:lineRule="auto"/>
        <w:ind w:left="731" w:right="895" w:firstLine="420"/>
        <w:jc w:val="both"/>
        <w:rPr>
          <w:rFonts w:hint="eastAsia" w:ascii="仿宋" w:eastAsia="仿宋"/>
          <w:sz w:val="21"/>
        </w:rPr>
      </w:pPr>
      <w:r>
        <w:rPr>
          <w:rFonts w:hint="eastAsia" w:ascii="仿宋" w:eastAsia="仿宋"/>
          <w:w w:val="95"/>
          <w:sz w:val="21"/>
        </w:rPr>
        <w:t xml:space="preserve">承包人违约责任的承担方式和计算方法：按照合同约定支付违约金，支付的违约金不足以覆   盖给发包人造成的直接损失与间接损失的或未约定违约金支付方式的，应按照实际的直接损失与   </w:t>
      </w:r>
      <w:r>
        <w:rPr>
          <w:rFonts w:hint="eastAsia" w:ascii="仿宋" w:eastAsia="仿宋"/>
          <w:sz w:val="21"/>
        </w:rPr>
        <w:t>间接损失进行赔偿。</w:t>
      </w:r>
    </w:p>
    <w:p>
      <w:pPr>
        <w:pStyle w:val="13"/>
        <w:numPr>
          <w:ilvl w:val="2"/>
          <w:numId w:val="34"/>
        </w:numPr>
        <w:tabs>
          <w:tab w:val="left" w:pos="1780"/>
        </w:tabs>
        <w:spacing w:before="0" w:after="0" w:line="266" w:lineRule="exact"/>
        <w:ind w:left="1780" w:right="0" w:hanging="629"/>
        <w:jc w:val="both"/>
        <w:rPr>
          <w:rFonts w:ascii="Times New Roman" w:eastAsia="Times New Roman"/>
          <w:sz w:val="21"/>
        </w:rPr>
      </w:pPr>
      <w:r>
        <w:rPr>
          <w:rFonts w:hint="eastAsia" w:ascii="仿宋" w:eastAsia="仿宋"/>
          <w:sz w:val="21"/>
        </w:rPr>
        <w:t>因承包人违约解除合同</w:t>
      </w:r>
    </w:p>
    <w:p>
      <w:pPr>
        <w:pStyle w:val="9"/>
        <w:spacing w:before="4"/>
        <w:rPr>
          <w:rFonts w:ascii="仿宋"/>
          <w:sz w:val="20"/>
        </w:rPr>
      </w:pPr>
    </w:p>
    <w:p>
      <w:pPr>
        <w:spacing w:before="1" w:line="364" w:lineRule="auto"/>
        <w:ind w:left="731" w:right="788" w:firstLine="420"/>
        <w:jc w:val="left"/>
        <w:rPr>
          <w:rFonts w:hint="eastAsia" w:ascii="仿宋" w:eastAsia="仿宋"/>
          <w:sz w:val="21"/>
        </w:rPr>
      </w:pPr>
      <w:r>
        <w:rPr>
          <w:rFonts w:hint="eastAsia" w:ascii="仿宋" w:eastAsia="仿宋"/>
          <w:spacing w:val="-1"/>
          <w:w w:val="95"/>
          <w:sz w:val="21"/>
        </w:rPr>
        <w:t>关于承包人违约解除合同的特别约定：</w:t>
      </w:r>
      <w:r>
        <w:rPr>
          <w:rFonts w:ascii="Times New Roman" w:eastAsia="Times New Roman"/>
          <w:spacing w:val="-14"/>
          <w:w w:val="95"/>
          <w:sz w:val="21"/>
        </w:rPr>
        <w:t>1</w:t>
      </w:r>
      <w:r>
        <w:rPr>
          <w:rFonts w:hint="eastAsia" w:ascii="仿宋" w:eastAsia="仿宋"/>
          <w:spacing w:val="-25"/>
          <w:w w:val="95"/>
          <w:sz w:val="21"/>
        </w:rPr>
        <w:t>、</w:t>
      </w:r>
      <w:r>
        <w:rPr>
          <w:rFonts w:hint="eastAsia" w:ascii="仿宋" w:eastAsia="仿宋"/>
          <w:spacing w:val="-9"/>
          <w:w w:val="95"/>
          <w:sz w:val="21"/>
          <w:u w:val="single"/>
        </w:rPr>
        <w:t>未按补充招标文件要求的品牌、规格、型号进行采购</w:t>
      </w:r>
      <w:r>
        <w:rPr>
          <w:rFonts w:hint="eastAsia" w:ascii="仿宋" w:eastAsia="仿宋"/>
          <w:spacing w:val="152"/>
          <w:w w:val="95"/>
          <w:sz w:val="21"/>
          <w:u w:val="single"/>
        </w:rPr>
        <w:t xml:space="preserve"> </w:t>
      </w:r>
      <w:r>
        <w:rPr>
          <w:rFonts w:hint="eastAsia" w:ascii="仿宋" w:eastAsia="仿宋"/>
          <w:spacing w:val="-7"/>
          <w:sz w:val="21"/>
          <w:u w:val="single"/>
        </w:rPr>
        <w:t>，发包人有权要求承包人无理由退货及重新根据合同约定购买时，承包人拒绝的；</w:t>
      </w:r>
      <w:r>
        <w:rPr>
          <w:rFonts w:ascii="Times New Roman" w:eastAsia="Times New Roman"/>
          <w:spacing w:val="-12"/>
          <w:sz w:val="21"/>
          <w:u w:val="single"/>
        </w:rPr>
        <w:t>2</w:t>
      </w:r>
      <w:r>
        <w:rPr>
          <w:rFonts w:hint="eastAsia" w:ascii="仿宋" w:eastAsia="仿宋"/>
          <w:spacing w:val="-7"/>
          <w:sz w:val="21"/>
          <w:u w:val="single"/>
        </w:rPr>
        <w:t>、本工程具</w:t>
      </w:r>
      <w:r>
        <w:rPr>
          <w:rFonts w:hint="eastAsia" w:ascii="仿宋" w:eastAsia="仿宋"/>
          <w:spacing w:val="-95"/>
          <w:sz w:val="21"/>
          <w:u w:val="single"/>
        </w:rPr>
        <w:t>体完成时间应严格按照承包人投标书要求，如果因承包人原因导致实际进度与提交的施工计划进度严</w:t>
      </w:r>
      <w:r>
        <w:rPr>
          <w:rFonts w:hint="eastAsia" w:ascii="仿宋" w:eastAsia="仿宋"/>
          <w:spacing w:val="-22"/>
          <w:w w:val="95"/>
          <w:sz w:val="21"/>
          <w:u w:val="single"/>
        </w:rPr>
        <w:t>重不符，承包人无措施且无法按工期完工或质量无法达到合同要求的；</w:t>
      </w:r>
      <w:r>
        <w:rPr>
          <w:rFonts w:ascii="Times New Roman" w:eastAsia="Times New Roman"/>
          <w:spacing w:val="-35"/>
          <w:w w:val="95"/>
          <w:sz w:val="21"/>
          <w:u w:val="single"/>
        </w:rPr>
        <w:t>3</w:t>
      </w:r>
      <w:r>
        <w:rPr>
          <w:rFonts w:hint="eastAsia" w:ascii="仿宋" w:eastAsia="仿宋"/>
          <w:spacing w:val="-9"/>
          <w:w w:val="95"/>
          <w:sz w:val="21"/>
          <w:u w:val="single"/>
        </w:rPr>
        <w:t xml:space="preserve">、承包人所提交签证，发包   </w:t>
      </w:r>
      <w:r>
        <w:rPr>
          <w:rFonts w:hint="eastAsia" w:ascii="仿宋" w:eastAsia="仿宋"/>
          <w:spacing w:val="-9"/>
          <w:sz w:val="21"/>
          <w:u w:val="single"/>
        </w:rPr>
        <w:t>人不予认可，由此承包人停工的；</w:t>
      </w:r>
      <w:r>
        <w:rPr>
          <w:rFonts w:ascii="Times New Roman" w:eastAsia="Times New Roman"/>
          <w:spacing w:val="-9"/>
          <w:sz w:val="21"/>
          <w:u w:val="single"/>
        </w:rPr>
        <w:t>4</w:t>
      </w:r>
      <w:r>
        <w:rPr>
          <w:rFonts w:hint="eastAsia" w:ascii="仿宋" w:eastAsia="仿宋"/>
          <w:spacing w:val="-13"/>
          <w:sz w:val="21"/>
          <w:u w:val="single"/>
        </w:rPr>
        <w:t xml:space="preserve">、承包人无正当理由停工 </w:t>
      </w:r>
      <w:r>
        <w:rPr>
          <w:rFonts w:ascii="Times New Roman" w:eastAsia="Times New Roman"/>
          <w:sz w:val="21"/>
          <w:u w:val="single"/>
        </w:rPr>
        <w:t xml:space="preserve">3 </w:t>
      </w:r>
      <w:r>
        <w:rPr>
          <w:rFonts w:hint="eastAsia" w:ascii="仿宋" w:eastAsia="仿宋"/>
          <w:sz w:val="21"/>
          <w:u w:val="single"/>
        </w:rPr>
        <w:t>天及以上的；</w:t>
      </w:r>
      <w:r>
        <w:rPr>
          <w:rFonts w:ascii="Times New Roman" w:eastAsia="Times New Roman"/>
          <w:sz w:val="21"/>
          <w:u w:val="single"/>
        </w:rPr>
        <w:t>5</w:t>
      </w:r>
      <w:r>
        <w:rPr>
          <w:rFonts w:hint="eastAsia" w:ascii="仿宋" w:eastAsia="仿宋"/>
          <w:sz w:val="21"/>
          <w:u w:val="single"/>
        </w:rPr>
        <w:t>、承包人未按程序报验，工序验收不合格仍继续施工的；</w:t>
      </w:r>
      <w:r>
        <w:rPr>
          <w:rFonts w:ascii="Times New Roman" w:eastAsia="Times New Roman"/>
          <w:sz w:val="21"/>
          <w:u w:val="single"/>
        </w:rPr>
        <w:t>6</w:t>
      </w:r>
      <w:r>
        <w:rPr>
          <w:rFonts w:hint="eastAsia" w:ascii="仿宋" w:eastAsia="仿宋"/>
          <w:sz w:val="21"/>
          <w:u w:val="single"/>
        </w:rPr>
        <w:t>、不服从发包人及监理工程师的管理的；</w:t>
      </w:r>
      <w:r>
        <w:rPr>
          <w:rFonts w:ascii="Times New Roman" w:eastAsia="Times New Roman"/>
          <w:sz w:val="21"/>
          <w:u w:val="single"/>
        </w:rPr>
        <w:t>7</w:t>
      </w:r>
      <w:r>
        <w:rPr>
          <w:rFonts w:hint="eastAsia" w:ascii="仿宋" w:eastAsia="仿宋"/>
          <w:sz w:val="21"/>
          <w:u w:val="single"/>
        </w:rPr>
        <w:t>、现场管理人员与投标书完全不符的；</w:t>
      </w:r>
      <w:r>
        <w:rPr>
          <w:rFonts w:ascii="Times New Roman" w:eastAsia="Times New Roman"/>
          <w:sz w:val="21"/>
          <w:u w:val="single"/>
        </w:rPr>
        <w:t>8</w:t>
      </w:r>
      <w:r>
        <w:rPr>
          <w:rFonts w:hint="eastAsia" w:ascii="仿宋" w:eastAsia="仿宋"/>
          <w:sz w:val="21"/>
          <w:u w:val="single"/>
        </w:rPr>
        <w:t>、项目经理到场时间与投标书所承诺的严重不符的</w:t>
      </w:r>
      <w:r>
        <w:rPr>
          <w:rFonts w:hint="eastAsia" w:ascii="仿宋" w:eastAsia="仿宋"/>
          <w:sz w:val="21"/>
        </w:rPr>
        <w:t>。</w:t>
      </w:r>
    </w:p>
    <w:p>
      <w:pPr>
        <w:spacing w:before="115" w:line="364" w:lineRule="auto"/>
        <w:ind w:left="731" w:right="892" w:firstLine="420"/>
        <w:jc w:val="both"/>
        <w:rPr>
          <w:rFonts w:hint="eastAsia" w:ascii="仿宋" w:eastAsia="仿宋"/>
          <w:sz w:val="21"/>
        </w:rPr>
      </w:pPr>
      <w:r>
        <w:rPr>
          <w:rFonts w:hint="eastAsia" w:ascii="仿宋" w:eastAsia="仿宋"/>
          <w:w w:val="95"/>
          <w:sz w:val="21"/>
        </w:rPr>
        <w:t xml:space="preserve">出现上述情形，发包人有权单方面以书面通知方式通知承包人解除合同。因承包人上述原因   </w:t>
      </w:r>
      <w:r>
        <w:rPr>
          <w:rFonts w:hint="eastAsia" w:ascii="仿宋" w:eastAsia="仿宋"/>
          <w:spacing w:val="-2"/>
          <w:sz w:val="21"/>
        </w:rPr>
        <w:t xml:space="preserve">导致合同解除的，承包人应当按照合同总价款的 </w:t>
      </w:r>
      <w:r>
        <w:rPr>
          <w:rFonts w:ascii="Times New Roman" w:eastAsia="Times New Roman"/>
          <w:sz w:val="21"/>
        </w:rPr>
        <w:t>5</w:t>
      </w:r>
      <w:r>
        <w:rPr>
          <w:rFonts w:hint="eastAsia" w:ascii="仿宋" w:eastAsia="仿宋"/>
          <w:sz w:val="21"/>
        </w:rPr>
        <w:t>％承担违约金，支付的违约金不足以覆盖给发包人造成的直接损失与间接损失的，应按照实际的直接损失与间接损失进行赔偿。</w:t>
      </w:r>
    </w:p>
    <w:p>
      <w:pPr>
        <w:spacing w:before="120" w:line="364" w:lineRule="auto"/>
        <w:ind w:left="731" w:right="892" w:firstLine="420"/>
        <w:jc w:val="left"/>
        <w:rPr>
          <w:rFonts w:hint="eastAsia" w:ascii="仿宋" w:eastAsia="仿宋"/>
          <w:sz w:val="21"/>
        </w:rPr>
      </w:pPr>
      <w:r>
        <w:rPr>
          <w:rFonts w:hint="eastAsia" w:ascii="仿宋" w:eastAsia="仿宋"/>
          <w:w w:val="95"/>
          <w:sz w:val="21"/>
        </w:rPr>
        <w:t xml:space="preserve">如发包人继续使用承包人在施工现场的材料、设备、临时工程、承包人文件和由承包人或以   </w:t>
      </w:r>
      <w:r>
        <w:rPr>
          <w:rFonts w:hint="eastAsia" w:ascii="仿宋" w:eastAsia="仿宋"/>
          <w:sz w:val="21"/>
        </w:rPr>
        <w:t>其名义编制的其他文件的费用承担方式：</w:t>
      </w:r>
      <w:r>
        <w:rPr>
          <w:rFonts w:hint="eastAsia" w:ascii="仿宋" w:eastAsia="仿宋"/>
          <w:sz w:val="21"/>
          <w:u w:val="single"/>
        </w:rPr>
        <w:t>该费用由承包人承担，从合同价款中扣除</w:t>
      </w:r>
      <w:r>
        <w:rPr>
          <w:rFonts w:hint="eastAsia" w:ascii="仿宋" w:eastAsia="仿宋"/>
          <w:sz w:val="21"/>
        </w:rPr>
        <w:t>。</w:t>
      </w:r>
    </w:p>
    <w:p>
      <w:pPr>
        <w:pStyle w:val="13"/>
        <w:numPr>
          <w:ilvl w:val="0"/>
          <w:numId w:val="34"/>
        </w:numPr>
        <w:tabs>
          <w:tab w:val="left" w:pos="1099"/>
        </w:tabs>
        <w:spacing w:before="118" w:after="0" w:line="240" w:lineRule="auto"/>
        <w:ind w:left="1098" w:right="0" w:hanging="368"/>
        <w:jc w:val="left"/>
        <w:rPr>
          <w:rFonts w:hint="eastAsia" w:ascii="黑体" w:eastAsia="黑体"/>
          <w:sz w:val="21"/>
        </w:rPr>
      </w:pPr>
      <w:bookmarkStart w:id="73" w:name="17. 不可抗力"/>
      <w:bookmarkEnd w:id="73"/>
      <w:r>
        <w:rPr>
          <w:rFonts w:hint="eastAsia" w:ascii="黑体" w:eastAsia="黑体"/>
          <w:sz w:val="21"/>
        </w:rPr>
        <w:t>不可抗力</w:t>
      </w:r>
    </w:p>
    <w:p>
      <w:pPr>
        <w:pStyle w:val="9"/>
        <w:spacing w:before="2"/>
        <w:rPr>
          <w:rFonts w:ascii="黑体"/>
          <w:sz w:val="20"/>
        </w:rPr>
      </w:pPr>
    </w:p>
    <w:p>
      <w:pPr>
        <w:pStyle w:val="13"/>
        <w:numPr>
          <w:ilvl w:val="1"/>
          <w:numId w:val="34"/>
        </w:numPr>
        <w:tabs>
          <w:tab w:val="left" w:pos="1624"/>
        </w:tabs>
        <w:spacing w:before="0" w:after="0" w:line="240" w:lineRule="auto"/>
        <w:ind w:left="1624" w:right="0" w:hanging="473"/>
        <w:jc w:val="both"/>
        <w:rPr>
          <w:rFonts w:hint="eastAsia" w:ascii="黑体" w:eastAsia="黑体"/>
          <w:sz w:val="21"/>
        </w:rPr>
      </w:pPr>
      <w:r>
        <w:rPr>
          <w:rFonts w:hint="eastAsia" w:ascii="黑体" w:eastAsia="黑体"/>
          <w:sz w:val="21"/>
        </w:rPr>
        <w:t>不可抗力的确认</w:t>
      </w:r>
    </w:p>
    <w:p>
      <w:pPr>
        <w:pStyle w:val="9"/>
        <w:spacing w:before="5"/>
        <w:rPr>
          <w:rFonts w:ascii="黑体"/>
          <w:sz w:val="20"/>
        </w:rPr>
      </w:pPr>
    </w:p>
    <w:p>
      <w:pPr>
        <w:spacing w:before="1"/>
        <w:ind w:left="1151" w:right="0" w:firstLine="0"/>
        <w:jc w:val="left"/>
        <w:rPr>
          <w:rFonts w:hint="eastAsia" w:ascii="仿宋" w:eastAsia="仿宋"/>
          <w:sz w:val="21"/>
        </w:rPr>
      </w:pPr>
      <w:r>
        <w:rPr>
          <w:rFonts w:hint="eastAsia" w:ascii="仿宋" w:eastAsia="仿宋"/>
          <w:sz w:val="21"/>
        </w:rPr>
        <w:t>除通用合同条款约定的不可抗力事件之外，视为不可抗力的其他情形：</w:t>
      </w:r>
      <w:r>
        <w:rPr>
          <w:rFonts w:hint="eastAsia" w:ascii="仿宋" w:eastAsia="仿宋"/>
          <w:sz w:val="21"/>
          <w:u w:val="single"/>
        </w:rPr>
        <w:t>/</w:t>
      </w:r>
      <w:r>
        <w:rPr>
          <w:rFonts w:hint="eastAsia" w:ascii="仿宋" w:eastAsia="仿宋"/>
          <w:sz w:val="21"/>
        </w:rPr>
        <w:t>。</w:t>
      </w:r>
    </w:p>
    <w:p>
      <w:pPr>
        <w:spacing w:before="139"/>
        <w:ind w:left="1151" w:right="0" w:firstLine="0"/>
        <w:jc w:val="both"/>
        <w:rPr>
          <w:rFonts w:hint="eastAsia" w:ascii="黑体" w:eastAsia="黑体"/>
          <w:sz w:val="21"/>
        </w:rPr>
      </w:pPr>
      <w:r>
        <w:rPr>
          <w:rFonts w:ascii="Times New Roman" w:eastAsia="Times New Roman"/>
          <w:sz w:val="21"/>
        </w:rPr>
        <w:t>17.4</w:t>
      </w:r>
      <w:r>
        <w:rPr>
          <w:rFonts w:ascii="Times New Roman" w:eastAsia="Times New Roman"/>
          <w:spacing w:val="51"/>
          <w:sz w:val="21"/>
        </w:rPr>
        <w:t xml:space="preserve"> </w:t>
      </w:r>
      <w:r>
        <w:rPr>
          <w:rFonts w:hint="eastAsia" w:ascii="黑体" w:eastAsia="黑体"/>
          <w:sz w:val="21"/>
        </w:rPr>
        <w:t>因不可抗力解除合同</w:t>
      </w:r>
    </w:p>
    <w:p>
      <w:pPr>
        <w:pStyle w:val="9"/>
        <w:spacing w:before="2"/>
        <w:rPr>
          <w:rFonts w:ascii="黑体"/>
          <w:sz w:val="20"/>
        </w:rPr>
      </w:pPr>
    </w:p>
    <w:p>
      <w:pPr>
        <w:spacing w:before="0"/>
        <w:ind w:left="1151" w:right="0" w:firstLine="0"/>
        <w:jc w:val="left"/>
        <w:rPr>
          <w:rFonts w:hint="eastAsia" w:ascii="仿宋" w:eastAsia="仿宋"/>
          <w:sz w:val="21"/>
        </w:rPr>
      </w:pPr>
      <w:r>
        <w:rPr>
          <w:rFonts w:hint="eastAsia" w:ascii="仿宋" w:eastAsia="仿宋"/>
          <w:sz w:val="21"/>
        </w:rPr>
        <w:t xml:space="preserve">合同解除后，发包人应在双方协商一致确定发包人应支付款项后 </w:t>
      </w:r>
      <w:r>
        <w:rPr>
          <w:rFonts w:ascii="Times New Roman" w:eastAsia="Times New Roman"/>
          <w:sz w:val="21"/>
          <w:u w:val="single"/>
        </w:rPr>
        <w:t>28</w:t>
      </w:r>
      <w:r>
        <w:rPr>
          <w:rFonts w:ascii="Times New Roman" w:eastAsia="Times New Roman"/>
          <w:sz w:val="21"/>
        </w:rPr>
        <w:t xml:space="preserve"> </w:t>
      </w:r>
      <w:r>
        <w:rPr>
          <w:rFonts w:hint="eastAsia" w:ascii="仿宋" w:eastAsia="仿宋"/>
          <w:sz w:val="21"/>
        </w:rPr>
        <w:t>天内完成款项的支付。</w:t>
      </w:r>
    </w:p>
    <w:p>
      <w:pPr>
        <w:pStyle w:val="9"/>
        <w:spacing w:before="3"/>
        <w:rPr>
          <w:rFonts w:ascii="仿宋"/>
          <w:sz w:val="20"/>
        </w:rPr>
      </w:pPr>
    </w:p>
    <w:p>
      <w:pPr>
        <w:pStyle w:val="13"/>
        <w:numPr>
          <w:ilvl w:val="0"/>
          <w:numId w:val="34"/>
        </w:numPr>
        <w:tabs>
          <w:tab w:val="left" w:pos="1099"/>
        </w:tabs>
        <w:spacing w:before="0" w:after="0" w:line="240" w:lineRule="auto"/>
        <w:ind w:left="1098" w:right="0" w:hanging="368"/>
        <w:jc w:val="left"/>
        <w:rPr>
          <w:rFonts w:hint="eastAsia" w:ascii="黑体" w:eastAsia="黑体"/>
          <w:sz w:val="21"/>
        </w:rPr>
      </w:pPr>
      <w:bookmarkStart w:id="74" w:name="18. 保险"/>
      <w:bookmarkEnd w:id="74"/>
      <w:r>
        <w:rPr>
          <w:rFonts w:hint="eastAsia" w:ascii="黑体" w:eastAsia="黑体"/>
          <w:sz w:val="21"/>
        </w:rPr>
        <w:t>保险</w:t>
      </w:r>
    </w:p>
    <w:p>
      <w:pPr>
        <w:pStyle w:val="9"/>
        <w:spacing w:before="5"/>
        <w:rPr>
          <w:rFonts w:ascii="黑体"/>
          <w:sz w:val="20"/>
        </w:rPr>
      </w:pPr>
    </w:p>
    <w:p>
      <w:pPr>
        <w:pStyle w:val="13"/>
        <w:numPr>
          <w:ilvl w:val="1"/>
          <w:numId w:val="34"/>
        </w:numPr>
        <w:tabs>
          <w:tab w:val="left" w:pos="1624"/>
        </w:tabs>
        <w:spacing w:before="0" w:after="0" w:line="240" w:lineRule="auto"/>
        <w:ind w:left="1624" w:right="0" w:hanging="473"/>
        <w:jc w:val="both"/>
        <w:rPr>
          <w:rFonts w:hint="eastAsia" w:ascii="黑体" w:eastAsia="黑体"/>
          <w:sz w:val="21"/>
        </w:rPr>
      </w:pPr>
      <w:r>
        <w:rPr>
          <w:rFonts w:hint="eastAsia" w:ascii="黑体" w:eastAsia="黑体"/>
          <w:sz w:val="21"/>
        </w:rPr>
        <w:t>工程保险</w:t>
      </w:r>
    </w:p>
    <w:p>
      <w:pPr>
        <w:spacing w:after="0" w:line="240" w:lineRule="auto"/>
        <w:jc w:val="both"/>
        <w:rPr>
          <w:rFonts w:hint="eastAsia" w:ascii="黑体" w:eastAsia="黑体"/>
          <w:sz w:val="21"/>
        </w:rPr>
        <w:sectPr>
          <w:pgSz w:w="11910" w:h="16840"/>
          <w:pgMar w:top="1100" w:right="660" w:bottom="1200" w:left="800" w:header="878" w:footer="1003" w:gutter="0"/>
          <w:cols w:space="720" w:num="1"/>
        </w:sectPr>
      </w:pPr>
    </w:p>
    <w:p>
      <w:pPr>
        <w:pStyle w:val="9"/>
        <w:spacing w:before="12"/>
        <w:rPr>
          <w:rFonts w:ascii="黑体"/>
          <w:sz w:val="17"/>
        </w:rPr>
      </w:pPr>
    </w:p>
    <w:p>
      <w:pPr>
        <w:spacing w:before="70" w:line="364" w:lineRule="auto"/>
        <w:ind w:left="731" w:right="895" w:firstLine="420"/>
        <w:jc w:val="both"/>
        <w:rPr>
          <w:rFonts w:hint="eastAsia" w:ascii="仿宋" w:eastAsia="仿宋"/>
          <w:sz w:val="21"/>
        </w:rPr>
      </w:pPr>
      <w:r>
        <w:rPr>
          <w:rFonts w:hint="eastAsia" w:ascii="仿宋" w:eastAsia="仿宋"/>
          <w:w w:val="95"/>
          <w:sz w:val="21"/>
        </w:rPr>
        <w:t>关于工程保险的特别约定：</w:t>
      </w:r>
      <w:r>
        <w:rPr>
          <w:rFonts w:hint="eastAsia" w:ascii="仿宋" w:eastAsia="仿宋"/>
          <w:w w:val="95"/>
          <w:sz w:val="21"/>
          <w:u w:val="single"/>
        </w:rPr>
        <w:t>该专用条款中约定投保的所有保险内容，有关费用已包含在合同</w:t>
      </w:r>
      <w:r>
        <w:rPr>
          <w:rFonts w:hint="eastAsia" w:ascii="仿宋" w:eastAsia="仿宋"/>
          <w:spacing w:val="-199"/>
          <w:w w:val="95"/>
          <w:sz w:val="21"/>
          <w:u w:val="single"/>
        </w:rPr>
        <w:t>价款</w:t>
      </w:r>
      <w:r>
        <w:rPr>
          <w:rFonts w:hint="eastAsia" w:ascii="仿宋" w:eastAsia="仿宋"/>
          <w:spacing w:val="122"/>
          <w:w w:val="95"/>
          <w:sz w:val="21"/>
          <w:u w:val="single"/>
        </w:rPr>
        <w:t xml:space="preserve"> </w:t>
      </w:r>
      <w:r>
        <w:rPr>
          <w:rFonts w:hint="eastAsia" w:ascii="仿宋" w:eastAsia="仿宋"/>
          <w:w w:val="95"/>
          <w:sz w:val="21"/>
          <w:u w:val="single"/>
        </w:rPr>
        <w:t xml:space="preserve">中，均由承包人购买，发包人不再额外支付，保险有效期至工程竣工验收合格交付发包人使用为   </w:t>
      </w:r>
      <w:r>
        <w:rPr>
          <w:rFonts w:hint="eastAsia" w:ascii="仿宋" w:eastAsia="仿宋"/>
          <w:sz w:val="21"/>
          <w:u w:val="single"/>
        </w:rPr>
        <w:t>止</w:t>
      </w:r>
      <w:r>
        <w:rPr>
          <w:rFonts w:hint="eastAsia" w:ascii="仿宋" w:eastAsia="仿宋"/>
          <w:sz w:val="21"/>
        </w:rPr>
        <w:t>。</w:t>
      </w:r>
    </w:p>
    <w:p>
      <w:pPr>
        <w:spacing w:before="0" w:line="364" w:lineRule="auto"/>
        <w:ind w:left="731" w:right="895" w:firstLine="420"/>
        <w:jc w:val="both"/>
        <w:rPr>
          <w:rFonts w:hint="eastAsia" w:ascii="仿宋" w:eastAsia="仿宋"/>
          <w:w w:val="95"/>
          <w:sz w:val="21"/>
          <w:u w:val="single"/>
        </w:rPr>
      </w:pPr>
      <w:r>
        <w:rPr>
          <w:rFonts w:hint="eastAsia" w:ascii="仿宋" w:eastAsia="仿宋"/>
          <w:w w:val="95"/>
          <w:sz w:val="21"/>
          <w:u w:val="single"/>
        </w:rPr>
        <w:t>承包人应以发包人和承包人双方的名义为本合同工程投保工程一切险和第三者责任险。保险</w:t>
      </w:r>
      <w:r>
        <w:rPr>
          <w:rFonts w:hint="eastAsia" w:ascii="仿宋" w:eastAsia="仿宋"/>
          <w:spacing w:val="-208"/>
          <w:w w:val="95"/>
          <w:sz w:val="21"/>
          <w:u w:val="single"/>
        </w:rPr>
        <w:t>单</w:t>
      </w:r>
      <w:r>
        <w:rPr>
          <w:rFonts w:hint="eastAsia" w:ascii="仿宋" w:eastAsia="仿宋"/>
          <w:spacing w:val="133"/>
          <w:w w:val="95"/>
          <w:sz w:val="21"/>
          <w:u w:val="single"/>
        </w:rPr>
        <w:t xml:space="preserve"> </w:t>
      </w:r>
      <w:r>
        <w:rPr>
          <w:rFonts w:hint="eastAsia" w:ascii="仿宋" w:eastAsia="仿宋"/>
          <w:w w:val="95"/>
          <w:sz w:val="21"/>
          <w:u w:val="single"/>
        </w:rPr>
        <w:t>必须与招标文件中规定的保险范围保持一致。工程一切险是为永久工程。</w:t>
      </w:r>
    </w:p>
    <w:p>
      <w:pPr>
        <w:spacing w:before="0" w:line="364" w:lineRule="auto"/>
        <w:ind w:left="731" w:right="895" w:firstLine="420"/>
        <w:jc w:val="both"/>
        <w:rPr>
          <w:rFonts w:hint="eastAsia" w:ascii="仿宋" w:eastAsia="仿宋"/>
          <w:sz w:val="21"/>
        </w:rPr>
      </w:pPr>
      <w:r>
        <w:rPr>
          <w:rFonts w:hint="eastAsia" w:ascii="仿宋" w:eastAsia="仿宋"/>
          <w:w w:val="95"/>
          <w:sz w:val="21"/>
          <w:u w:val="single"/>
        </w:rPr>
        <w:t xml:space="preserve">当本合同工程发生所述的损失或损害时，承包人应按保险单规定的条件和期限及时向发包人   </w:t>
      </w:r>
      <w:r>
        <w:rPr>
          <w:rFonts w:hint="eastAsia" w:ascii="仿宋" w:eastAsia="仿宋"/>
          <w:spacing w:val="-2"/>
          <w:sz w:val="21"/>
          <w:u w:val="single"/>
        </w:rPr>
        <w:t xml:space="preserve">报告，并抄送监理工程师。如损害继续发生，承包人在递交第一次报告后，每 </w:t>
      </w:r>
      <w:r>
        <w:rPr>
          <w:rFonts w:ascii="Times New Roman" w:eastAsia="Times New Roman"/>
          <w:sz w:val="21"/>
          <w:u w:val="single"/>
        </w:rPr>
        <w:t>7</w:t>
      </w:r>
      <w:r>
        <w:rPr>
          <w:rFonts w:ascii="Times New Roman" w:eastAsia="Times New Roman"/>
          <w:spacing w:val="-10"/>
          <w:sz w:val="21"/>
          <w:u w:val="single"/>
        </w:rPr>
        <w:t xml:space="preserve"> </w:t>
      </w:r>
      <w:r>
        <w:rPr>
          <w:rFonts w:hint="eastAsia" w:ascii="仿宋" w:eastAsia="仿宋"/>
          <w:sz w:val="21"/>
          <w:u w:val="single"/>
        </w:rPr>
        <w:t>天报告一次，直到损害结束。</w:t>
      </w:r>
    </w:p>
    <w:p>
      <w:pPr>
        <w:spacing w:before="0" w:line="364" w:lineRule="auto"/>
        <w:ind w:left="731" w:right="860" w:firstLine="420"/>
        <w:jc w:val="both"/>
        <w:rPr>
          <w:rFonts w:hint="eastAsia" w:ascii="仿宋" w:eastAsia="仿宋"/>
          <w:sz w:val="21"/>
        </w:rPr>
      </w:pPr>
      <w:r>
        <w:rPr>
          <w:rFonts w:hint="eastAsia" w:ascii="仿宋" w:eastAsia="仿宋"/>
          <w:w w:val="95"/>
          <w:sz w:val="21"/>
          <w:u w:val="single"/>
        </w:rPr>
        <w:t>工程一切险和第三者责任险的保险范围应包括开工日直至本合同工程（或其单项工程）竣工</w:t>
      </w:r>
      <w:r>
        <w:rPr>
          <w:rFonts w:hint="eastAsia" w:ascii="仿宋" w:eastAsia="仿宋"/>
          <w:spacing w:val="-173"/>
          <w:w w:val="95"/>
          <w:sz w:val="21"/>
          <w:u w:val="single"/>
        </w:rPr>
        <w:t>颁</w:t>
      </w:r>
      <w:r>
        <w:rPr>
          <w:rFonts w:hint="eastAsia" w:ascii="仿宋" w:eastAsia="仿宋"/>
          <w:spacing w:val="123"/>
          <w:w w:val="95"/>
          <w:sz w:val="21"/>
          <w:u w:val="single"/>
        </w:rPr>
        <w:t xml:space="preserve"> </w:t>
      </w:r>
      <w:r>
        <w:rPr>
          <w:rFonts w:hint="eastAsia" w:ascii="仿宋" w:eastAsia="仿宋"/>
          <w:sz w:val="21"/>
          <w:u w:val="single"/>
        </w:rPr>
        <w:t>发竣工证书为止，发包人和承包人遭受的并由投保协议所规定的损失或损害。但是，以下</w:t>
      </w:r>
      <w:r>
        <w:rPr>
          <w:rFonts w:ascii="Times New Roman" w:eastAsia="Times New Roman"/>
          <w:sz w:val="21"/>
          <w:u w:val="single"/>
        </w:rPr>
        <w:t>(1)</w:t>
      </w:r>
      <w:r>
        <w:rPr>
          <w:rFonts w:hint="eastAsia" w:ascii="仿宋" w:eastAsia="仿宋"/>
          <w:sz w:val="21"/>
          <w:u w:val="single"/>
        </w:rPr>
        <w:t>、</w:t>
      </w:r>
      <w:r>
        <w:rPr>
          <w:rFonts w:ascii="Times New Roman" w:eastAsia="Times New Roman"/>
          <w:sz w:val="21"/>
          <w:u w:val="single"/>
        </w:rPr>
        <w:t>(2)</w:t>
      </w:r>
      <w:r>
        <w:rPr>
          <w:rFonts w:hint="eastAsia" w:ascii="仿宋" w:eastAsia="仿宋"/>
          <w:sz w:val="21"/>
          <w:u w:val="single"/>
        </w:rPr>
        <w:t>两项由承包人负责投保：</w:t>
      </w:r>
    </w:p>
    <w:p>
      <w:pPr>
        <w:pStyle w:val="13"/>
        <w:numPr>
          <w:ilvl w:val="0"/>
          <w:numId w:val="67"/>
        </w:numPr>
        <w:tabs>
          <w:tab w:val="left" w:pos="1676"/>
        </w:tabs>
        <w:spacing w:before="0" w:after="0" w:line="269" w:lineRule="exact"/>
        <w:ind w:left="1675" w:right="0" w:hanging="525"/>
        <w:jc w:val="left"/>
        <w:rPr>
          <w:rFonts w:hint="eastAsia" w:ascii="仿宋" w:eastAsia="仿宋"/>
          <w:sz w:val="21"/>
        </w:rPr>
      </w:pPr>
      <w:r>
        <w:rPr>
          <w:rFonts w:hint="eastAsia" w:ascii="仿宋" w:eastAsia="仿宋"/>
          <w:sz w:val="21"/>
          <w:u w:val="single"/>
        </w:rPr>
        <w:t>在缺陷责任期内发生的损失和损害，但起因是在缺陷责任期开始之前；</w:t>
      </w:r>
    </w:p>
    <w:p>
      <w:pPr>
        <w:pStyle w:val="13"/>
        <w:numPr>
          <w:ilvl w:val="0"/>
          <w:numId w:val="67"/>
        </w:numPr>
        <w:tabs>
          <w:tab w:val="left" w:pos="1676"/>
        </w:tabs>
        <w:spacing w:before="134" w:after="0" w:line="240" w:lineRule="auto"/>
        <w:ind w:left="1675" w:right="0" w:hanging="525"/>
        <w:jc w:val="left"/>
        <w:rPr>
          <w:rFonts w:hint="eastAsia" w:ascii="仿宋" w:eastAsia="仿宋"/>
          <w:sz w:val="21"/>
        </w:rPr>
      </w:pPr>
      <w:r>
        <w:rPr>
          <w:rFonts w:hint="eastAsia" w:ascii="仿宋" w:eastAsia="仿宋"/>
          <w:sz w:val="21"/>
          <w:u w:val="single"/>
        </w:rPr>
        <w:t>承包人在施工的作业中引起的损失或损害。</w:t>
      </w:r>
    </w:p>
    <w:p>
      <w:pPr>
        <w:spacing w:before="139" w:line="364" w:lineRule="auto"/>
        <w:ind w:left="731" w:right="895" w:firstLine="420"/>
        <w:jc w:val="both"/>
        <w:rPr>
          <w:rFonts w:hint="eastAsia" w:ascii="仿宋" w:eastAsia="仿宋"/>
          <w:sz w:val="21"/>
        </w:rPr>
      </w:pPr>
      <w:r>
        <w:rPr>
          <w:rFonts w:hint="eastAsia" w:ascii="仿宋" w:eastAsia="仿宋"/>
          <w:w w:val="95"/>
          <w:sz w:val="21"/>
          <w:u w:val="single"/>
        </w:rPr>
        <w:t>本合同工程的施工和缺陷修复过程中，发包人对承包人雇员的人身死亡或伤残，或财产（</w:t>
      </w:r>
      <w:r>
        <w:rPr>
          <w:rFonts w:hint="eastAsia" w:ascii="仿宋" w:eastAsia="仿宋"/>
          <w:spacing w:val="-104"/>
          <w:w w:val="95"/>
          <w:sz w:val="21"/>
          <w:u w:val="single"/>
        </w:rPr>
        <w:t>设备</w:t>
      </w:r>
      <w:r>
        <w:rPr>
          <w:rFonts w:hint="eastAsia" w:ascii="仿宋" w:eastAsia="仿宋"/>
          <w:spacing w:val="123"/>
          <w:w w:val="95"/>
          <w:sz w:val="21"/>
          <w:u w:val="single"/>
        </w:rPr>
        <w:t xml:space="preserve"> </w:t>
      </w:r>
      <w:r>
        <w:rPr>
          <w:rFonts w:hint="eastAsia" w:ascii="仿宋" w:eastAsia="仿宋"/>
          <w:sz w:val="21"/>
          <w:u w:val="single"/>
        </w:rPr>
        <w:t>）的损失或损害不予赔偿；发包人不对承包人与此有关的索赔、损害、赔偿及诉讼等费用和其 他开支承担任何责任。</w:t>
      </w:r>
    </w:p>
    <w:p>
      <w:pPr>
        <w:spacing w:before="0" w:line="364" w:lineRule="auto"/>
        <w:ind w:left="1151" w:right="895" w:firstLine="0"/>
        <w:jc w:val="left"/>
        <w:rPr>
          <w:rFonts w:hint="eastAsia" w:ascii="仿宋" w:eastAsia="仿宋"/>
          <w:sz w:val="21"/>
        </w:rPr>
      </w:pPr>
      <w:r>
        <w:rPr>
          <w:rFonts w:hint="eastAsia" w:ascii="仿宋" w:eastAsia="仿宋"/>
          <w:sz w:val="21"/>
          <w:u w:val="single"/>
        </w:rPr>
        <w:t xml:space="preserve">办理本款保险的一切费用均由承包人承担，并已包括在合同价款中，发包人不单独支付。 </w:t>
      </w:r>
      <w:r>
        <w:rPr>
          <w:rFonts w:hint="eastAsia" w:ascii="仿宋" w:eastAsia="仿宋"/>
          <w:w w:val="95"/>
          <w:sz w:val="21"/>
          <w:u w:val="single"/>
        </w:rPr>
        <w:t>承包人若不投保，施工期间所发生的一切与本工程有关的人员、工程、财产等意外伤害、损</w:t>
      </w:r>
    </w:p>
    <w:p>
      <w:pPr>
        <w:spacing w:before="0" w:line="267" w:lineRule="exact"/>
        <w:ind w:left="731" w:right="0" w:firstLine="0"/>
        <w:jc w:val="left"/>
        <w:rPr>
          <w:rFonts w:hint="eastAsia" w:ascii="仿宋" w:eastAsia="仿宋"/>
          <w:sz w:val="21"/>
        </w:rPr>
      </w:pPr>
      <w:r>
        <w:rPr>
          <w:rFonts w:hint="eastAsia" w:ascii="仿宋" w:eastAsia="仿宋"/>
          <w:sz w:val="21"/>
          <w:u w:val="single"/>
        </w:rPr>
        <w:t>失，由承包人承担全部责任和费用</w:t>
      </w:r>
      <w:r>
        <w:rPr>
          <w:rFonts w:hint="eastAsia" w:ascii="仿宋" w:eastAsia="仿宋"/>
          <w:sz w:val="21"/>
        </w:rPr>
        <w:t>。</w:t>
      </w:r>
    </w:p>
    <w:p>
      <w:pPr>
        <w:spacing w:before="138"/>
        <w:ind w:left="1151" w:right="0" w:firstLine="0"/>
        <w:jc w:val="left"/>
        <w:rPr>
          <w:rFonts w:hint="eastAsia" w:ascii="黑体" w:eastAsia="黑体"/>
          <w:sz w:val="21"/>
        </w:rPr>
      </w:pPr>
      <w:r>
        <w:rPr>
          <w:rFonts w:ascii="Times New Roman" w:eastAsia="Times New Roman"/>
          <w:sz w:val="21"/>
        </w:rPr>
        <w:t>18.3</w:t>
      </w:r>
      <w:r>
        <w:rPr>
          <w:rFonts w:ascii="Times New Roman" w:eastAsia="Times New Roman"/>
          <w:spacing w:val="51"/>
          <w:sz w:val="21"/>
        </w:rPr>
        <w:t xml:space="preserve"> </w:t>
      </w:r>
      <w:r>
        <w:rPr>
          <w:rFonts w:hint="eastAsia" w:ascii="黑体" w:eastAsia="黑体"/>
          <w:sz w:val="21"/>
        </w:rPr>
        <w:t>其他保险</w:t>
      </w:r>
    </w:p>
    <w:p>
      <w:pPr>
        <w:pStyle w:val="9"/>
        <w:spacing w:before="5"/>
        <w:rPr>
          <w:rFonts w:ascii="黑体"/>
          <w:sz w:val="20"/>
        </w:rPr>
      </w:pPr>
    </w:p>
    <w:p>
      <w:pPr>
        <w:spacing w:before="0"/>
        <w:ind w:left="1151" w:right="0" w:firstLine="0"/>
        <w:jc w:val="left"/>
        <w:rPr>
          <w:rFonts w:hint="eastAsia" w:ascii="仿宋" w:eastAsia="仿宋"/>
          <w:sz w:val="21"/>
        </w:rPr>
      </w:pPr>
      <w:r>
        <w:rPr>
          <w:rFonts w:hint="eastAsia" w:ascii="仿宋" w:eastAsia="仿宋"/>
          <w:sz w:val="21"/>
        </w:rPr>
        <w:t>关于其他保险的约定：</w:t>
      </w:r>
      <w:r>
        <w:rPr>
          <w:rFonts w:hint="eastAsia" w:ascii="仿宋" w:eastAsia="仿宋"/>
          <w:sz w:val="21"/>
          <w:u w:val="single"/>
        </w:rPr>
        <w:t xml:space="preserve">/ </w:t>
      </w:r>
      <w:r>
        <w:rPr>
          <w:rFonts w:hint="eastAsia" w:ascii="仿宋" w:eastAsia="仿宋"/>
          <w:sz w:val="21"/>
        </w:rPr>
        <w:t>。</w:t>
      </w:r>
    </w:p>
    <w:p>
      <w:pPr>
        <w:spacing w:before="139"/>
        <w:ind w:left="1151" w:right="0" w:firstLine="0"/>
        <w:jc w:val="left"/>
        <w:rPr>
          <w:rFonts w:hint="eastAsia" w:ascii="仿宋" w:eastAsia="仿宋"/>
          <w:sz w:val="21"/>
        </w:rPr>
      </w:pPr>
      <w:r>
        <w:rPr>
          <w:rFonts w:hint="eastAsia" w:ascii="仿宋" w:eastAsia="仿宋"/>
          <w:sz w:val="21"/>
        </w:rPr>
        <w:t>承包人是否应为其施工设备等办理财产保险：</w:t>
      </w:r>
      <w:r>
        <w:rPr>
          <w:rFonts w:hint="eastAsia" w:ascii="仿宋" w:eastAsia="仿宋"/>
          <w:sz w:val="21"/>
          <w:u w:val="single"/>
        </w:rPr>
        <w:t>/</w:t>
      </w:r>
      <w:r>
        <w:rPr>
          <w:rFonts w:hint="eastAsia" w:ascii="仿宋" w:eastAsia="仿宋"/>
          <w:sz w:val="21"/>
        </w:rPr>
        <w:t>。</w:t>
      </w:r>
    </w:p>
    <w:p>
      <w:pPr>
        <w:spacing w:before="139"/>
        <w:ind w:left="1151" w:right="0" w:firstLine="0"/>
        <w:jc w:val="left"/>
        <w:rPr>
          <w:rFonts w:hint="eastAsia" w:ascii="黑体" w:eastAsia="黑体"/>
          <w:sz w:val="21"/>
        </w:rPr>
      </w:pPr>
      <w:r>
        <w:rPr>
          <w:rFonts w:ascii="Times New Roman" w:eastAsia="Times New Roman"/>
          <w:sz w:val="21"/>
        </w:rPr>
        <w:t>18.7</w:t>
      </w:r>
      <w:r>
        <w:rPr>
          <w:rFonts w:ascii="Times New Roman" w:eastAsia="Times New Roman"/>
          <w:spacing w:val="51"/>
          <w:sz w:val="21"/>
        </w:rPr>
        <w:t xml:space="preserve"> </w:t>
      </w:r>
      <w:r>
        <w:rPr>
          <w:rFonts w:hint="eastAsia" w:ascii="黑体" w:eastAsia="黑体"/>
          <w:sz w:val="21"/>
        </w:rPr>
        <w:t>通知义务</w:t>
      </w:r>
    </w:p>
    <w:p>
      <w:pPr>
        <w:pStyle w:val="9"/>
        <w:spacing w:before="2"/>
        <w:rPr>
          <w:rFonts w:ascii="黑体"/>
          <w:sz w:val="20"/>
        </w:rPr>
      </w:pPr>
    </w:p>
    <w:p>
      <w:pPr>
        <w:spacing w:before="1"/>
        <w:ind w:left="1151" w:right="0" w:firstLine="0"/>
        <w:jc w:val="left"/>
        <w:rPr>
          <w:rFonts w:hint="eastAsia" w:ascii="仿宋" w:eastAsia="仿宋"/>
          <w:sz w:val="21"/>
        </w:rPr>
      </w:pPr>
      <w:r>
        <w:rPr>
          <w:rFonts w:hint="eastAsia" w:ascii="仿宋" w:eastAsia="仿宋"/>
          <w:sz w:val="21"/>
        </w:rPr>
        <w:t>关于变更保险合同时的通知义务的约定：</w:t>
      </w:r>
      <w:r>
        <w:rPr>
          <w:rFonts w:hint="eastAsia" w:ascii="仿宋" w:eastAsia="仿宋"/>
          <w:sz w:val="21"/>
          <w:u w:val="single"/>
        </w:rPr>
        <w:t>/</w:t>
      </w:r>
      <w:r>
        <w:rPr>
          <w:rFonts w:hint="eastAsia" w:ascii="仿宋" w:eastAsia="仿宋"/>
          <w:sz w:val="21"/>
        </w:rPr>
        <w:t>。</w:t>
      </w:r>
    </w:p>
    <w:p>
      <w:pPr>
        <w:pStyle w:val="13"/>
        <w:numPr>
          <w:ilvl w:val="1"/>
          <w:numId w:val="68"/>
        </w:numPr>
        <w:tabs>
          <w:tab w:val="left" w:pos="1572"/>
        </w:tabs>
        <w:spacing w:before="141" w:after="0" w:line="364" w:lineRule="auto"/>
        <w:ind w:left="1151" w:right="6775" w:firstLine="0"/>
        <w:jc w:val="left"/>
        <w:rPr>
          <w:rFonts w:hint="eastAsia" w:ascii="仿宋" w:eastAsia="仿宋"/>
          <w:sz w:val="21"/>
        </w:rPr>
      </w:pPr>
      <w:r>
        <w:rPr>
          <w:rFonts w:hint="eastAsia" w:ascii="仿宋" w:eastAsia="仿宋"/>
          <w:b/>
          <w:sz w:val="21"/>
        </w:rPr>
        <w:t xml:space="preserve">对承包人索赔的处理 </w:t>
      </w:r>
      <w:r>
        <w:rPr>
          <w:rFonts w:hint="eastAsia" w:ascii="仿宋" w:eastAsia="仿宋"/>
          <w:spacing w:val="-1"/>
          <w:w w:val="95"/>
          <w:sz w:val="21"/>
        </w:rPr>
        <w:t>对承包人索赔的处理如下：</w:t>
      </w:r>
    </w:p>
    <w:p>
      <w:pPr>
        <w:pStyle w:val="13"/>
        <w:numPr>
          <w:ilvl w:val="0"/>
          <w:numId w:val="69"/>
        </w:numPr>
        <w:tabs>
          <w:tab w:val="left" w:pos="1676"/>
        </w:tabs>
        <w:spacing w:before="0" w:after="0" w:line="364" w:lineRule="auto"/>
        <w:ind w:left="731" w:right="892" w:firstLine="420"/>
        <w:jc w:val="both"/>
        <w:rPr>
          <w:rFonts w:hint="eastAsia" w:ascii="仿宋" w:eastAsia="仿宋"/>
          <w:sz w:val="21"/>
        </w:rPr>
      </w:pPr>
      <w:r>
        <w:rPr>
          <w:rFonts w:hint="eastAsia" w:ascii="仿宋" w:eastAsia="仿宋"/>
          <w:sz w:val="21"/>
        </w:rPr>
        <w:t>承包人在发生索赔后</w:t>
      </w:r>
      <w:r>
        <w:rPr>
          <w:rFonts w:ascii="Times New Roman" w:eastAsia="Times New Roman"/>
          <w:sz w:val="21"/>
        </w:rPr>
        <w:t>24</w:t>
      </w:r>
      <w:r>
        <w:rPr>
          <w:rFonts w:hint="eastAsia" w:ascii="仿宋" w:eastAsia="仿宋"/>
          <w:spacing w:val="-4"/>
          <w:sz w:val="21"/>
        </w:rPr>
        <w:t>小时内必须书面通知发包人、发包人委托的第三方监理人进行</w:t>
      </w:r>
      <w:r>
        <w:rPr>
          <w:rFonts w:hint="eastAsia" w:ascii="仿宋" w:eastAsia="仿宋"/>
          <w:spacing w:val="-4"/>
          <w:w w:val="95"/>
          <w:sz w:val="21"/>
        </w:rPr>
        <w:t>现场复核，并出具符合发包人要求的索赔报告提交给监理人，承包人在发生索赔后</w:t>
      </w:r>
      <w:r>
        <w:rPr>
          <w:rFonts w:ascii="Times New Roman" w:eastAsia="Times New Roman"/>
          <w:spacing w:val="-4"/>
          <w:w w:val="95"/>
          <w:sz w:val="21"/>
        </w:rPr>
        <w:t>24</w:t>
      </w:r>
      <w:r>
        <w:rPr>
          <w:rFonts w:hint="eastAsia" w:ascii="仿宋" w:eastAsia="仿宋"/>
          <w:spacing w:val="-4"/>
          <w:w w:val="95"/>
          <w:sz w:val="21"/>
        </w:rPr>
        <w:t xml:space="preserve">小时内未通   知发包人、发包人委托的第三方监理人，则视为自动放弃索赔的权利以及索赔产生的一切费用和   </w:t>
      </w:r>
      <w:r>
        <w:rPr>
          <w:rFonts w:hint="eastAsia" w:ascii="仿宋" w:eastAsia="仿宋"/>
          <w:spacing w:val="-4"/>
          <w:sz w:val="21"/>
        </w:rPr>
        <w:t>利润，工期不予顺延。</w:t>
      </w:r>
    </w:p>
    <w:p>
      <w:pPr>
        <w:pStyle w:val="13"/>
        <w:numPr>
          <w:ilvl w:val="0"/>
          <w:numId w:val="69"/>
        </w:numPr>
        <w:tabs>
          <w:tab w:val="left" w:pos="1676"/>
        </w:tabs>
        <w:spacing w:before="0" w:after="0" w:line="364" w:lineRule="auto"/>
        <w:ind w:left="731" w:right="895" w:firstLine="420"/>
        <w:jc w:val="left"/>
        <w:rPr>
          <w:rFonts w:hint="eastAsia" w:ascii="仿宋" w:eastAsia="仿宋"/>
          <w:sz w:val="21"/>
        </w:rPr>
      </w:pPr>
      <w:r>
        <w:rPr>
          <w:rFonts w:hint="eastAsia" w:ascii="仿宋" w:eastAsia="仿宋"/>
          <w:w w:val="95"/>
          <w:sz w:val="21"/>
        </w:rPr>
        <w:t>监理人应在收到索赔报告后</w:t>
      </w:r>
      <w:r>
        <w:rPr>
          <w:rFonts w:ascii="Times New Roman" w:eastAsia="Times New Roman"/>
          <w:w w:val="95"/>
          <w:sz w:val="21"/>
        </w:rPr>
        <w:t>7</w:t>
      </w:r>
      <w:r>
        <w:rPr>
          <w:rFonts w:hint="eastAsia" w:ascii="仿宋" w:eastAsia="仿宋"/>
          <w:w w:val="95"/>
          <w:sz w:val="21"/>
        </w:rPr>
        <w:t xml:space="preserve">天内完成审查并报送发包人。监理人对索赔报告存在异议  </w:t>
      </w:r>
      <w:r>
        <w:rPr>
          <w:rFonts w:hint="eastAsia" w:ascii="仿宋" w:eastAsia="仿宋"/>
          <w:sz w:val="21"/>
        </w:rPr>
        <w:t>的，有权要求承包人提交全部原始记录副本；</w:t>
      </w:r>
    </w:p>
    <w:p>
      <w:pPr>
        <w:spacing w:after="0" w:line="364" w:lineRule="auto"/>
        <w:jc w:val="left"/>
        <w:rPr>
          <w:rFonts w:hint="eastAsia" w:ascii="仿宋" w:eastAsia="仿宋"/>
          <w:sz w:val="21"/>
        </w:rPr>
        <w:sectPr>
          <w:pgSz w:w="11910" w:h="16840"/>
          <w:pgMar w:top="1100" w:right="660" w:bottom="1200" w:left="800" w:header="878" w:footer="1003" w:gutter="0"/>
          <w:cols w:space="720" w:num="1"/>
        </w:sectPr>
      </w:pPr>
    </w:p>
    <w:p>
      <w:pPr>
        <w:pStyle w:val="9"/>
        <w:spacing w:before="5"/>
        <w:rPr>
          <w:rFonts w:ascii="仿宋"/>
          <w:sz w:val="17"/>
        </w:rPr>
      </w:pPr>
    </w:p>
    <w:p>
      <w:pPr>
        <w:pStyle w:val="13"/>
        <w:numPr>
          <w:ilvl w:val="0"/>
          <w:numId w:val="69"/>
        </w:numPr>
        <w:tabs>
          <w:tab w:val="left" w:pos="1676"/>
        </w:tabs>
        <w:spacing w:before="77" w:after="0" w:line="364" w:lineRule="auto"/>
        <w:ind w:left="731" w:right="892" w:firstLine="420"/>
        <w:jc w:val="both"/>
        <w:rPr>
          <w:rFonts w:hint="eastAsia" w:ascii="仿宋" w:eastAsia="仿宋"/>
          <w:sz w:val="21"/>
        </w:rPr>
      </w:pPr>
      <w:r>
        <w:rPr>
          <w:rFonts w:hint="eastAsia" w:ascii="仿宋" w:eastAsia="仿宋"/>
          <w:sz w:val="21"/>
        </w:rPr>
        <w:t>发包人应在监理人收到索赔报告或有关索赔的进一步证明材料后的</w:t>
      </w:r>
      <w:r>
        <w:rPr>
          <w:rFonts w:ascii="Times New Roman" w:eastAsia="Times New Roman"/>
          <w:sz w:val="21"/>
        </w:rPr>
        <w:t>14</w:t>
      </w:r>
      <w:r>
        <w:rPr>
          <w:rFonts w:hint="eastAsia" w:ascii="仿宋" w:eastAsia="仿宋"/>
          <w:spacing w:val="-9"/>
          <w:sz w:val="21"/>
        </w:rPr>
        <w:t>天内，对索赔报</w:t>
      </w:r>
      <w:r>
        <w:rPr>
          <w:rFonts w:hint="eastAsia" w:ascii="仿宋" w:eastAsia="仿宋"/>
          <w:spacing w:val="-9"/>
          <w:w w:val="95"/>
          <w:sz w:val="21"/>
        </w:rPr>
        <w:t xml:space="preserve">告或有关索赔的进一步证明材料进行审核，并有权对资料的真实性、准确性进行复核，审核完毕   </w:t>
      </w:r>
      <w:r>
        <w:rPr>
          <w:rFonts w:hint="eastAsia" w:ascii="仿宋" w:eastAsia="仿宋"/>
          <w:spacing w:val="-9"/>
          <w:sz w:val="21"/>
        </w:rPr>
        <w:t>后由监理人向承包人出具经发包人签认的索赔处理结果，未经发包人签认的索赔均不予索赔。</w:t>
      </w:r>
    </w:p>
    <w:p>
      <w:pPr>
        <w:pStyle w:val="13"/>
        <w:numPr>
          <w:ilvl w:val="0"/>
          <w:numId w:val="69"/>
        </w:numPr>
        <w:tabs>
          <w:tab w:val="left" w:pos="1676"/>
        </w:tabs>
        <w:spacing w:before="0" w:after="0" w:line="364" w:lineRule="auto"/>
        <w:ind w:left="731" w:right="895" w:firstLine="420"/>
        <w:jc w:val="both"/>
        <w:rPr>
          <w:rFonts w:hint="eastAsia" w:ascii="仿宋" w:eastAsia="仿宋"/>
          <w:sz w:val="21"/>
        </w:rPr>
      </w:pPr>
      <w:r>
        <w:rPr>
          <w:rFonts w:hint="eastAsia" w:ascii="仿宋" w:eastAsia="仿宋"/>
          <w:spacing w:val="-4"/>
          <w:sz w:val="21"/>
        </w:rPr>
        <w:t>承包人接受索赔处理结果的，索赔款项在竣工结算审价后确认无误的予以支付；承包</w:t>
      </w:r>
      <w:r>
        <w:rPr>
          <w:rFonts w:hint="eastAsia" w:ascii="仿宋" w:eastAsia="仿宋"/>
          <w:spacing w:val="-7"/>
          <w:sz w:val="21"/>
        </w:rPr>
        <w:t xml:space="preserve">人不接受索赔处理结果的，按照第 </w:t>
      </w:r>
      <w:r>
        <w:rPr>
          <w:rFonts w:ascii="Times New Roman" w:eastAsia="Times New Roman"/>
          <w:sz w:val="21"/>
        </w:rPr>
        <w:t>20</w:t>
      </w:r>
      <w:r>
        <w:rPr>
          <w:rFonts w:ascii="Times New Roman" w:eastAsia="Times New Roman"/>
          <w:spacing w:val="-1"/>
          <w:sz w:val="21"/>
        </w:rPr>
        <w:t xml:space="preserve"> </w:t>
      </w:r>
      <w:r>
        <w:rPr>
          <w:rFonts w:hint="eastAsia" w:ascii="仿宋" w:eastAsia="仿宋"/>
          <w:sz w:val="21"/>
        </w:rPr>
        <w:t>条〔争议解决〕约定处理。</w:t>
      </w:r>
    </w:p>
    <w:p>
      <w:pPr>
        <w:pStyle w:val="13"/>
        <w:numPr>
          <w:ilvl w:val="1"/>
          <w:numId w:val="68"/>
        </w:numPr>
        <w:tabs>
          <w:tab w:val="left" w:pos="1572"/>
        </w:tabs>
        <w:spacing w:before="0" w:after="0" w:line="267" w:lineRule="exact"/>
        <w:ind w:left="1571" w:right="0" w:hanging="421"/>
        <w:jc w:val="left"/>
        <w:rPr>
          <w:rFonts w:hint="eastAsia" w:ascii="黑体" w:eastAsia="黑体"/>
          <w:sz w:val="21"/>
        </w:rPr>
      </w:pPr>
      <w:r>
        <w:rPr>
          <w:rFonts w:hint="eastAsia" w:ascii="黑体" w:eastAsia="黑体"/>
          <w:sz w:val="21"/>
        </w:rPr>
        <w:t>发包人的索赔</w:t>
      </w:r>
    </w:p>
    <w:p>
      <w:pPr>
        <w:spacing w:before="141" w:line="364" w:lineRule="auto"/>
        <w:ind w:left="731" w:right="788" w:firstLine="420"/>
        <w:jc w:val="left"/>
        <w:rPr>
          <w:rFonts w:hint="eastAsia" w:ascii="仿宋" w:eastAsia="仿宋"/>
          <w:sz w:val="21"/>
        </w:rPr>
      </w:pPr>
      <w:r>
        <w:rPr>
          <w:rFonts w:hint="eastAsia" w:ascii="仿宋" w:eastAsia="仿宋"/>
          <w:sz w:val="21"/>
        </w:rPr>
        <w:t>根据合同约定，发包人认为有权得到赔付金额和延长缺陷责任期的，监理人应向承包人发出</w:t>
      </w:r>
      <w:r>
        <w:rPr>
          <w:rFonts w:hint="eastAsia" w:ascii="仿宋" w:eastAsia="仿宋"/>
          <w:spacing w:val="-10"/>
          <w:w w:val="95"/>
          <w:sz w:val="21"/>
        </w:rPr>
        <w:t>通知并附有详细的证明，承包人应在收到通知后</w:t>
      </w:r>
      <w:r>
        <w:rPr>
          <w:rFonts w:ascii="Times New Roman" w:eastAsia="Times New Roman"/>
          <w:w w:val="95"/>
          <w:sz w:val="21"/>
        </w:rPr>
        <w:t>7</w:t>
      </w:r>
      <w:r>
        <w:rPr>
          <w:rFonts w:hint="eastAsia" w:ascii="仿宋" w:eastAsia="仿宋"/>
          <w:spacing w:val="-9"/>
          <w:w w:val="95"/>
          <w:sz w:val="21"/>
        </w:rPr>
        <w:t xml:space="preserve">天内予以回复并说明理由，未做回复的视为确认，   </w:t>
      </w:r>
      <w:r>
        <w:rPr>
          <w:rFonts w:hint="eastAsia" w:ascii="仿宋" w:eastAsia="仿宋"/>
          <w:spacing w:val="-9"/>
          <w:sz w:val="21"/>
        </w:rPr>
        <w:t>并无条件执行。</w:t>
      </w:r>
    </w:p>
    <w:p>
      <w:pPr>
        <w:spacing w:before="0" w:line="266" w:lineRule="exact"/>
        <w:ind w:left="1151" w:right="0" w:firstLine="0"/>
        <w:jc w:val="left"/>
        <w:rPr>
          <w:rFonts w:hint="eastAsia" w:ascii="仿宋" w:eastAsia="仿宋"/>
          <w:sz w:val="21"/>
        </w:rPr>
      </w:pPr>
      <w:r>
        <w:rPr>
          <w:rFonts w:hint="eastAsia" w:ascii="仿宋" w:eastAsia="仿宋"/>
          <w:sz w:val="21"/>
        </w:rPr>
        <w:t xml:space="preserve">发包人应在知道或应当知道索赔事件发生后 </w:t>
      </w:r>
      <w:r>
        <w:rPr>
          <w:rFonts w:ascii="Times New Roman" w:eastAsia="Times New Roman"/>
          <w:sz w:val="21"/>
        </w:rPr>
        <w:t xml:space="preserve">28 </w:t>
      </w:r>
      <w:r>
        <w:rPr>
          <w:rFonts w:hint="eastAsia" w:ascii="仿宋" w:eastAsia="仿宋"/>
          <w:sz w:val="21"/>
        </w:rPr>
        <w:t>天内通过监理人向承包人提出索赔意向通知</w:t>
      </w:r>
    </w:p>
    <w:p>
      <w:pPr>
        <w:spacing w:before="138"/>
        <w:ind w:left="731" w:right="0" w:firstLine="0"/>
        <w:jc w:val="left"/>
        <w:rPr>
          <w:rFonts w:hint="eastAsia" w:ascii="仿宋" w:eastAsia="仿宋"/>
          <w:sz w:val="21"/>
        </w:rPr>
      </w:pPr>
      <w:r>
        <w:rPr>
          <w:rFonts w:hint="eastAsia" w:ascii="仿宋" w:eastAsia="仿宋"/>
          <w:sz w:val="21"/>
        </w:rPr>
        <w:t xml:space="preserve">书，发包人未在前述 </w:t>
      </w:r>
      <w:r>
        <w:rPr>
          <w:rFonts w:ascii="Times New Roman" w:eastAsia="Times New Roman"/>
          <w:sz w:val="21"/>
        </w:rPr>
        <w:t xml:space="preserve">28 </w:t>
      </w:r>
      <w:r>
        <w:rPr>
          <w:rFonts w:hint="eastAsia" w:ascii="仿宋" w:eastAsia="仿宋"/>
          <w:sz w:val="21"/>
        </w:rPr>
        <w:t>天内发出索赔意向通知书的，丧失要求赔付金额和延长缺陷责任期的权利。</w:t>
      </w:r>
    </w:p>
    <w:p>
      <w:pPr>
        <w:spacing w:before="139"/>
        <w:ind w:left="731" w:right="0" w:firstLine="0"/>
        <w:jc w:val="left"/>
        <w:rPr>
          <w:rFonts w:hint="eastAsia" w:ascii="仿宋" w:eastAsia="仿宋"/>
          <w:sz w:val="21"/>
        </w:rPr>
      </w:pPr>
      <w:r>
        <w:rPr>
          <w:rFonts w:hint="eastAsia" w:ascii="仿宋" w:eastAsia="仿宋"/>
          <w:sz w:val="21"/>
        </w:rPr>
        <w:t xml:space="preserve">发包人应在发出索赔意向通知书后 </w:t>
      </w:r>
      <w:r>
        <w:rPr>
          <w:rFonts w:ascii="Times New Roman" w:eastAsia="Times New Roman"/>
          <w:sz w:val="21"/>
        </w:rPr>
        <w:t xml:space="preserve">28 </w:t>
      </w:r>
      <w:r>
        <w:rPr>
          <w:rFonts w:hint="eastAsia" w:ascii="仿宋" w:eastAsia="仿宋"/>
          <w:sz w:val="21"/>
        </w:rPr>
        <w:t>天内，通过监理人向承包人正式递交索赔报告。承包人应在</w:t>
      </w:r>
    </w:p>
    <w:p>
      <w:pPr>
        <w:spacing w:before="142"/>
        <w:ind w:left="731" w:right="0" w:firstLine="0"/>
        <w:jc w:val="left"/>
        <w:rPr>
          <w:rFonts w:hint="eastAsia" w:ascii="仿宋" w:eastAsia="仿宋"/>
          <w:sz w:val="21"/>
        </w:rPr>
      </w:pPr>
      <w:r>
        <w:rPr>
          <w:rFonts w:hint="eastAsia" w:ascii="仿宋" w:eastAsia="仿宋"/>
          <w:sz w:val="21"/>
        </w:rPr>
        <w:t xml:space="preserve">收到通知后 </w:t>
      </w:r>
      <w:r>
        <w:rPr>
          <w:rFonts w:ascii="Times New Roman" w:eastAsia="Times New Roman"/>
          <w:sz w:val="21"/>
        </w:rPr>
        <w:t xml:space="preserve">7 </w:t>
      </w:r>
      <w:r>
        <w:rPr>
          <w:rFonts w:hint="eastAsia" w:ascii="仿宋" w:eastAsia="仿宋"/>
          <w:sz w:val="21"/>
        </w:rPr>
        <w:t>天内予以回复并说明理由，未做回复的视为确认，并无条件执行。</w:t>
      </w:r>
    </w:p>
    <w:p>
      <w:pPr>
        <w:pStyle w:val="9"/>
        <w:spacing w:before="2"/>
        <w:rPr>
          <w:rFonts w:ascii="仿宋"/>
          <w:sz w:val="20"/>
        </w:rPr>
      </w:pPr>
    </w:p>
    <w:p>
      <w:pPr>
        <w:pStyle w:val="13"/>
        <w:numPr>
          <w:ilvl w:val="0"/>
          <w:numId w:val="70"/>
        </w:numPr>
        <w:tabs>
          <w:tab w:val="left" w:pos="1099"/>
        </w:tabs>
        <w:spacing w:before="0" w:after="0" w:line="240" w:lineRule="auto"/>
        <w:ind w:left="1098" w:right="0" w:hanging="368"/>
        <w:jc w:val="left"/>
        <w:rPr>
          <w:rFonts w:hint="eastAsia" w:ascii="黑体" w:eastAsia="黑体"/>
          <w:sz w:val="21"/>
        </w:rPr>
      </w:pPr>
      <w:bookmarkStart w:id="75" w:name="20. 争议解决"/>
      <w:bookmarkEnd w:id="75"/>
      <w:r>
        <w:rPr>
          <w:rFonts w:hint="eastAsia" w:ascii="黑体" w:eastAsia="黑体"/>
          <w:sz w:val="21"/>
        </w:rPr>
        <w:t>争议解决</w:t>
      </w:r>
    </w:p>
    <w:p>
      <w:pPr>
        <w:pStyle w:val="9"/>
        <w:spacing w:before="3"/>
        <w:rPr>
          <w:rFonts w:ascii="黑体"/>
          <w:sz w:val="20"/>
        </w:rPr>
      </w:pPr>
    </w:p>
    <w:p>
      <w:pPr>
        <w:pStyle w:val="13"/>
        <w:numPr>
          <w:ilvl w:val="1"/>
          <w:numId w:val="71"/>
        </w:numPr>
        <w:tabs>
          <w:tab w:val="left" w:pos="1624"/>
        </w:tabs>
        <w:spacing w:before="0" w:after="0" w:line="240" w:lineRule="auto"/>
        <w:ind w:left="1624" w:right="0" w:hanging="473"/>
        <w:jc w:val="left"/>
        <w:rPr>
          <w:rFonts w:hint="eastAsia" w:ascii="黑体" w:eastAsia="黑体"/>
          <w:sz w:val="21"/>
        </w:rPr>
      </w:pPr>
      <w:r>
        <w:rPr>
          <w:rFonts w:hint="eastAsia" w:ascii="黑体" w:eastAsia="黑体"/>
          <w:sz w:val="21"/>
        </w:rPr>
        <w:t>争议评审</w:t>
      </w:r>
    </w:p>
    <w:p>
      <w:pPr>
        <w:pStyle w:val="9"/>
        <w:spacing w:before="3"/>
        <w:rPr>
          <w:rFonts w:ascii="黑体"/>
          <w:sz w:val="20"/>
        </w:rPr>
      </w:pPr>
    </w:p>
    <w:p>
      <w:pPr>
        <w:spacing w:before="0"/>
        <w:ind w:left="1194" w:right="0" w:firstLine="0"/>
        <w:jc w:val="left"/>
        <w:rPr>
          <w:rFonts w:hint="eastAsia" w:ascii="仿宋" w:eastAsia="仿宋"/>
          <w:sz w:val="21"/>
        </w:rPr>
      </w:pPr>
      <w:r>
        <w:rPr>
          <w:rFonts w:hint="eastAsia" w:ascii="仿宋" w:eastAsia="仿宋"/>
          <w:sz w:val="21"/>
        </w:rPr>
        <w:t>合同当事人是否同意将工程争议提交争议评审小组决定：否</w:t>
      </w:r>
    </w:p>
    <w:p>
      <w:pPr>
        <w:pStyle w:val="13"/>
        <w:numPr>
          <w:ilvl w:val="2"/>
          <w:numId w:val="71"/>
        </w:numPr>
        <w:tabs>
          <w:tab w:val="left" w:pos="1780"/>
        </w:tabs>
        <w:spacing w:before="141" w:after="0" w:line="240" w:lineRule="auto"/>
        <w:ind w:left="1780" w:right="0" w:hanging="629"/>
        <w:jc w:val="left"/>
        <w:rPr>
          <w:rFonts w:hint="eastAsia" w:ascii="仿宋" w:eastAsia="仿宋"/>
          <w:sz w:val="21"/>
        </w:rPr>
      </w:pPr>
      <w:r>
        <w:rPr>
          <w:rFonts w:hint="eastAsia" w:ascii="仿宋" w:eastAsia="仿宋"/>
          <w:sz w:val="21"/>
        </w:rPr>
        <w:t>争议评审小组的确定</w:t>
      </w:r>
    </w:p>
    <w:p>
      <w:pPr>
        <w:spacing w:before="139" w:line="364" w:lineRule="auto"/>
        <w:ind w:left="1151" w:right="6458" w:firstLine="0"/>
        <w:jc w:val="left"/>
        <w:rPr>
          <w:rFonts w:hint="eastAsia" w:ascii="仿宋" w:eastAsia="仿宋"/>
          <w:sz w:val="21"/>
        </w:rPr>
      </w:pPr>
      <w:r>
        <w:rPr>
          <w:rFonts w:hint="eastAsia" w:ascii="仿宋" w:eastAsia="仿宋"/>
          <w:sz w:val="21"/>
        </w:rPr>
        <w:t>争议评审小组成员的确定：</w:t>
      </w:r>
      <w:r>
        <w:rPr>
          <w:rFonts w:hint="eastAsia" w:ascii="仿宋" w:eastAsia="仿宋"/>
          <w:sz w:val="21"/>
          <w:u w:val="single"/>
        </w:rPr>
        <w:t>/</w:t>
      </w:r>
      <w:r>
        <w:rPr>
          <w:rFonts w:hint="eastAsia" w:ascii="仿宋" w:eastAsia="仿宋"/>
          <w:sz w:val="21"/>
        </w:rPr>
        <w:t>。选定争议评审员的期限：</w:t>
      </w:r>
      <w:r>
        <w:rPr>
          <w:rFonts w:hint="eastAsia" w:ascii="仿宋" w:eastAsia="仿宋"/>
          <w:sz w:val="21"/>
          <w:u w:val="single"/>
        </w:rPr>
        <w:t>/</w:t>
      </w:r>
      <w:r>
        <w:rPr>
          <w:rFonts w:hint="eastAsia" w:ascii="仿宋" w:eastAsia="仿宋"/>
          <w:sz w:val="21"/>
        </w:rPr>
        <w:t>。</w:t>
      </w:r>
    </w:p>
    <w:p>
      <w:pPr>
        <w:spacing w:before="0" w:line="364" w:lineRule="auto"/>
        <w:ind w:left="1151" w:right="5618" w:firstLine="0"/>
        <w:jc w:val="left"/>
        <w:rPr>
          <w:rFonts w:hint="eastAsia" w:ascii="仿宋" w:eastAsia="仿宋"/>
          <w:sz w:val="21"/>
        </w:rPr>
      </w:pPr>
      <w:r>
        <w:rPr>
          <w:rFonts w:hint="eastAsia" w:ascii="仿宋" w:eastAsia="仿宋"/>
          <w:sz w:val="21"/>
        </w:rPr>
        <w:t>争议评审小组成员的报酬承担方式：</w:t>
      </w:r>
      <w:r>
        <w:rPr>
          <w:rFonts w:hint="eastAsia" w:ascii="仿宋" w:eastAsia="仿宋"/>
          <w:sz w:val="21"/>
          <w:u w:val="single"/>
        </w:rPr>
        <w:t>/</w:t>
      </w:r>
      <w:r>
        <w:rPr>
          <w:rFonts w:hint="eastAsia" w:ascii="仿宋" w:eastAsia="仿宋"/>
          <w:sz w:val="21"/>
        </w:rPr>
        <w:t>。其他事项的约定：</w:t>
      </w:r>
      <w:r>
        <w:rPr>
          <w:rFonts w:hint="eastAsia" w:ascii="仿宋" w:eastAsia="仿宋"/>
          <w:sz w:val="21"/>
          <w:u w:val="single"/>
        </w:rPr>
        <w:t>/</w:t>
      </w:r>
      <w:r>
        <w:rPr>
          <w:rFonts w:hint="eastAsia" w:ascii="仿宋" w:eastAsia="仿宋"/>
          <w:sz w:val="21"/>
        </w:rPr>
        <w:t>。</w:t>
      </w:r>
    </w:p>
    <w:p>
      <w:pPr>
        <w:pStyle w:val="13"/>
        <w:numPr>
          <w:ilvl w:val="2"/>
          <w:numId w:val="71"/>
        </w:numPr>
        <w:tabs>
          <w:tab w:val="left" w:pos="1780"/>
        </w:tabs>
        <w:spacing w:before="0" w:after="0" w:line="267" w:lineRule="exact"/>
        <w:ind w:left="1780" w:right="0" w:hanging="629"/>
        <w:jc w:val="left"/>
        <w:rPr>
          <w:rFonts w:hint="eastAsia" w:ascii="仿宋" w:eastAsia="仿宋"/>
          <w:sz w:val="21"/>
        </w:rPr>
      </w:pPr>
      <w:r>
        <w:rPr>
          <w:rFonts w:hint="eastAsia" w:ascii="仿宋" w:eastAsia="仿宋"/>
          <w:sz w:val="21"/>
        </w:rPr>
        <w:t>争议评审小组的决定</w:t>
      </w:r>
    </w:p>
    <w:p>
      <w:pPr>
        <w:spacing w:before="139"/>
        <w:ind w:left="1151" w:right="0" w:firstLine="0"/>
        <w:jc w:val="left"/>
        <w:rPr>
          <w:rFonts w:hint="eastAsia" w:ascii="仿宋" w:eastAsia="仿宋"/>
          <w:sz w:val="21"/>
        </w:rPr>
      </w:pPr>
      <w:r>
        <w:rPr>
          <w:rFonts w:hint="eastAsia" w:ascii="仿宋" w:eastAsia="仿宋"/>
          <w:w w:val="95"/>
          <w:sz w:val="21"/>
        </w:rPr>
        <w:t>合同当事人关于本项的约定：</w:t>
      </w:r>
      <w:r>
        <w:rPr>
          <w:rFonts w:hint="eastAsia" w:ascii="仿宋" w:eastAsia="仿宋"/>
          <w:w w:val="95"/>
          <w:sz w:val="21"/>
          <w:u w:val="single"/>
        </w:rPr>
        <w:t>/</w:t>
      </w:r>
      <w:r>
        <w:rPr>
          <w:rFonts w:hint="eastAsia" w:ascii="仿宋" w:eastAsia="仿宋"/>
          <w:w w:val="95"/>
          <w:sz w:val="21"/>
        </w:rPr>
        <w:t>。</w:t>
      </w:r>
    </w:p>
    <w:p>
      <w:pPr>
        <w:pStyle w:val="13"/>
        <w:numPr>
          <w:ilvl w:val="1"/>
          <w:numId w:val="71"/>
        </w:numPr>
        <w:tabs>
          <w:tab w:val="left" w:pos="1572"/>
        </w:tabs>
        <w:spacing w:before="139" w:after="0" w:line="240" w:lineRule="auto"/>
        <w:ind w:left="1571" w:right="0" w:hanging="421"/>
        <w:jc w:val="left"/>
        <w:rPr>
          <w:rFonts w:hint="eastAsia" w:ascii="黑体" w:eastAsia="黑体"/>
          <w:sz w:val="21"/>
        </w:rPr>
      </w:pPr>
      <w:r>
        <w:rPr>
          <w:rFonts w:hint="eastAsia" w:ascii="黑体" w:eastAsia="黑体"/>
          <w:w w:val="95"/>
          <w:sz w:val="21"/>
        </w:rPr>
        <w:t>仲裁或诉讼</w:t>
      </w:r>
    </w:p>
    <w:p>
      <w:pPr>
        <w:pStyle w:val="9"/>
        <w:spacing w:before="3"/>
        <w:rPr>
          <w:rFonts w:ascii="黑体"/>
          <w:sz w:val="20"/>
        </w:rPr>
      </w:pPr>
    </w:p>
    <w:p>
      <w:pPr>
        <w:spacing w:before="0"/>
        <w:ind w:left="1151" w:right="0" w:firstLine="0"/>
        <w:jc w:val="left"/>
        <w:rPr>
          <w:rFonts w:hint="eastAsia" w:ascii="仿宋" w:eastAsia="仿宋"/>
          <w:sz w:val="21"/>
        </w:rPr>
      </w:pPr>
      <w:r>
        <w:rPr>
          <w:rFonts w:hint="eastAsia" w:ascii="仿宋" w:eastAsia="仿宋"/>
          <w:sz w:val="21"/>
        </w:rPr>
        <w:t>因合同及合同有关事项发生的争议，按下列第（</w:t>
      </w:r>
      <w:r>
        <w:rPr>
          <w:rFonts w:ascii="Times New Roman" w:eastAsia="Times New Roman"/>
          <w:sz w:val="21"/>
          <w:u w:val="single"/>
        </w:rPr>
        <w:t>2</w:t>
      </w:r>
      <w:r>
        <w:rPr>
          <w:rFonts w:hint="eastAsia" w:ascii="仿宋" w:eastAsia="仿宋"/>
          <w:sz w:val="21"/>
          <w:u w:val="single"/>
        </w:rPr>
        <w:t>）</w:t>
      </w:r>
      <w:r>
        <w:rPr>
          <w:rFonts w:hint="eastAsia" w:ascii="仿宋" w:eastAsia="仿宋"/>
          <w:sz w:val="21"/>
        </w:rPr>
        <w:t>种方式解决：</w:t>
      </w:r>
    </w:p>
    <w:p>
      <w:pPr>
        <w:pStyle w:val="9"/>
        <w:spacing w:before="3"/>
        <w:rPr>
          <w:rFonts w:ascii="仿宋"/>
          <w:sz w:val="20"/>
        </w:rPr>
      </w:pPr>
    </w:p>
    <w:p>
      <w:pPr>
        <w:pStyle w:val="13"/>
        <w:numPr>
          <w:ilvl w:val="0"/>
          <w:numId w:val="72"/>
        </w:numPr>
        <w:tabs>
          <w:tab w:val="left" w:pos="1676"/>
        </w:tabs>
        <w:spacing w:before="0" w:after="0" w:line="240" w:lineRule="auto"/>
        <w:ind w:left="1675" w:right="0" w:hanging="525"/>
        <w:jc w:val="left"/>
        <w:rPr>
          <w:rFonts w:hint="eastAsia" w:ascii="仿宋" w:eastAsia="仿宋"/>
          <w:sz w:val="21"/>
        </w:rPr>
      </w:pPr>
      <w:r>
        <w:rPr>
          <w:rFonts w:hint="eastAsia" w:ascii="仿宋" w:eastAsia="仿宋"/>
          <w:sz w:val="21"/>
        </w:rPr>
        <w:t>向</w:t>
      </w:r>
      <w:r>
        <w:rPr>
          <w:rFonts w:hint="eastAsia" w:ascii="仿宋" w:eastAsia="仿宋"/>
          <w:sz w:val="21"/>
          <w:u w:val="single"/>
        </w:rPr>
        <w:t>上海市虹口区</w:t>
      </w:r>
      <w:r>
        <w:rPr>
          <w:rFonts w:hint="eastAsia" w:ascii="仿宋" w:eastAsia="仿宋"/>
          <w:sz w:val="21"/>
        </w:rPr>
        <w:t>仲裁委员会申请仲裁；</w:t>
      </w:r>
    </w:p>
    <w:p>
      <w:pPr>
        <w:pStyle w:val="13"/>
        <w:numPr>
          <w:ilvl w:val="0"/>
          <w:numId w:val="72"/>
        </w:numPr>
        <w:tabs>
          <w:tab w:val="left" w:pos="1676"/>
        </w:tabs>
        <w:spacing w:before="141" w:after="0" w:line="240" w:lineRule="auto"/>
        <w:ind w:left="1675" w:right="0" w:hanging="525"/>
        <w:jc w:val="left"/>
        <w:rPr>
          <w:rFonts w:hint="eastAsia" w:ascii="仿宋" w:eastAsia="仿宋"/>
          <w:sz w:val="21"/>
        </w:rPr>
      </w:pPr>
      <w:r>
        <w:rPr>
          <w:rFonts w:hint="eastAsia" w:ascii="仿宋" w:eastAsia="仿宋"/>
          <w:sz w:val="21"/>
        </w:rPr>
        <w:t>向</w:t>
      </w:r>
      <w:r>
        <w:rPr>
          <w:rFonts w:hint="eastAsia" w:ascii="仿宋" w:eastAsia="仿宋"/>
          <w:sz w:val="21"/>
          <w:u w:val="single"/>
        </w:rPr>
        <w:t>工程所在地</w:t>
      </w:r>
      <w:r>
        <w:rPr>
          <w:rFonts w:hint="eastAsia" w:ascii="仿宋" w:eastAsia="仿宋"/>
          <w:sz w:val="21"/>
        </w:rPr>
        <w:t>人民法院起诉。</w:t>
      </w:r>
    </w:p>
    <w:p>
      <w:pPr>
        <w:pStyle w:val="13"/>
        <w:numPr>
          <w:ilvl w:val="0"/>
          <w:numId w:val="73"/>
        </w:numPr>
        <w:tabs>
          <w:tab w:val="left" w:pos="1466"/>
        </w:tabs>
        <w:spacing w:before="139" w:after="0" w:line="240" w:lineRule="auto"/>
        <w:ind w:left="1465" w:right="0" w:hanging="315"/>
        <w:jc w:val="left"/>
        <w:rPr>
          <w:rFonts w:hint="eastAsia" w:ascii="仿宋" w:eastAsia="仿宋"/>
          <w:sz w:val="21"/>
        </w:rPr>
      </w:pPr>
      <w:r>
        <w:rPr>
          <w:rFonts w:hint="eastAsia" w:ascii="仿宋" w:eastAsia="仿宋"/>
          <w:sz w:val="21"/>
        </w:rPr>
        <w:t>补充条款</w:t>
      </w:r>
    </w:p>
    <w:p>
      <w:pPr>
        <w:pStyle w:val="13"/>
        <w:numPr>
          <w:ilvl w:val="1"/>
          <w:numId w:val="73"/>
        </w:numPr>
        <w:tabs>
          <w:tab w:val="left" w:pos="1572"/>
        </w:tabs>
        <w:spacing w:before="139" w:after="0" w:line="364" w:lineRule="auto"/>
        <w:ind w:left="731" w:right="895" w:firstLine="420"/>
        <w:jc w:val="left"/>
        <w:rPr>
          <w:rFonts w:hint="eastAsia" w:ascii="仿宋" w:eastAsia="仿宋"/>
          <w:sz w:val="21"/>
        </w:rPr>
      </w:pPr>
      <w:r>
        <w:rPr>
          <w:rFonts w:hint="eastAsia" w:ascii="仿宋" w:eastAsia="仿宋"/>
          <w:w w:val="95"/>
          <w:sz w:val="21"/>
        </w:rPr>
        <w:t xml:space="preserve">承包人应确保本工程能通过各级质监、安监等上级部门的检查，若有发生市级媒体通报  </w:t>
      </w:r>
      <w:r>
        <w:rPr>
          <w:rFonts w:hint="eastAsia" w:ascii="仿宋" w:eastAsia="仿宋"/>
          <w:spacing w:val="-4"/>
          <w:sz w:val="21"/>
        </w:rPr>
        <w:t xml:space="preserve">批评的，一次性支付违约金 </w:t>
      </w:r>
      <w:r>
        <w:rPr>
          <w:rFonts w:ascii="Times New Roman" w:eastAsia="Times New Roman"/>
          <w:sz w:val="21"/>
        </w:rPr>
        <w:t>10,000</w:t>
      </w:r>
      <w:r>
        <w:rPr>
          <w:rFonts w:ascii="Times New Roman" w:eastAsia="Times New Roman"/>
          <w:spacing w:val="-1"/>
          <w:sz w:val="21"/>
        </w:rPr>
        <w:t xml:space="preserve"> </w:t>
      </w:r>
      <w:r>
        <w:rPr>
          <w:rFonts w:hint="eastAsia" w:ascii="仿宋" w:eastAsia="仿宋"/>
          <w:sz w:val="21"/>
        </w:rPr>
        <w:t>元。</w:t>
      </w:r>
    </w:p>
    <w:p>
      <w:pPr>
        <w:pStyle w:val="13"/>
        <w:numPr>
          <w:ilvl w:val="1"/>
          <w:numId w:val="73"/>
        </w:numPr>
        <w:tabs>
          <w:tab w:val="left" w:pos="1572"/>
        </w:tabs>
        <w:spacing w:before="0" w:after="0" w:line="240" w:lineRule="auto"/>
        <w:ind w:left="1571" w:right="0" w:hanging="421"/>
        <w:jc w:val="left"/>
        <w:rPr>
          <w:rFonts w:hint="eastAsia" w:ascii="仿宋" w:eastAsia="仿宋"/>
          <w:sz w:val="21"/>
        </w:rPr>
      </w:pPr>
      <w:r>
        <w:rPr>
          <w:rFonts w:hint="eastAsia" w:ascii="仿宋" w:eastAsia="仿宋"/>
          <w:spacing w:val="-3"/>
          <w:sz w:val="21"/>
        </w:rPr>
        <w:t xml:space="preserve">若工地上发生工人打架斗殴事件，承包人按每次 </w:t>
      </w:r>
      <w:r>
        <w:rPr>
          <w:rFonts w:ascii="Times New Roman" w:eastAsia="Times New Roman"/>
          <w:sz w:val="21"/>
        </w:rPr>
        <w:t>3,000</w:t>
      </w:r>
      <w:r>
        <w:rPr>
          <w:rFonts w:ascii="Times New Roman" w:eastAsia="Times New Roman"/>
          <w:spacing w:val="-1"/>
          <w:sz w:val="21"/>
        </w:rPr>
        <w:t xml:space="preserve"> </w:t>
      </w:r>
      <w:r>
        <w:rPr>
          <w:rFonts w:hint="eastAsia" w:ascii="仿宋" w:eastAsia="仿宋"/>
          <w:sz w:val="21"/>
        </w:rPr>
        <w:t>元支付违约金。</w:t>
      </w:r>
    </w:p>
    <w:p>
      <w:pPr>
        <w:pStyle w:val="13"/>
        <w:numPr>
          <w:ilvl w:val="1"/>
          <w:numId w:val="73"/>
        </w:numPr>
        <w:tabs>
          <w:tab w:val="left" w:pos="1572"/>
        </w:tabs>
        <w:spacing w:before="139" w:after="0" w:line="364" w:lineRule="auto"/>
        <w:ind w:left="731" w:right="892" w:firstLine="420"/>
        <w:jc w:val="left"/>
        <w:rPr>
          <w:rFonts w:hint="eastAsia" w:ascii="仿宋" w:eastAsia="仿宋"/>
          <w:sz w:val="21"/>
        </w:rPr>
      </w:pPr>
      <w:r>
        <w:rPr>
          <w:rFonts w:hint="eastAsia" w:ascii="仿宋" w:eastAsia="仿宋"/>
          <w:spacing w:val="-4"/>
          <w:sz w:val="21"/>
        </w:rPr>
        <w:t xml:space="preserve">若承包人的管理人员或工人殴打监理人员或发包人的现场人员，承包人按每次 </w:t>
      </w:r>
      <w:r>
        <w:rPr>
          <w:rFonts w:ascii="Times New Roman" w:eastAsia="Times New Roman"/>
          <w:sz w:val="21"/>
        </w:rPr>
        <w:t>10,000</w:t>
      </w:r>
      <w:r>
        <w:rPr>
          <w:rFonts w:ascii="Times New Roman" w:eastAsia="Times New Roman"/>
          <w:spacing w:val="-8"/>
          <w:sz w:val="21"/>
        </w:rPr>
        <w:t xml:space="preserve"> </w:t>
      </w:r>
      <w:r>
        <w:rPr>
          <w:rFonts w:hint="eastAsia" w:ascii="仿宋" w:eastAsia="仿宋"/>
          <w:sz w:val="21"/>
        </w:rPr>
        <w:t>元支付违约金，并由承包人承担一切后果。</w:t>
      </w:r>
    </w:p>
    <w:p>
      <w:pPr>
        <w:spacing w:after="0" w:line="364" w:lineRule="auto"/>
        <w:jc w:val="left"/>
        <w:rPr>
          <w:rFonts w:hint="eastAsia" w:ascii="仿宋" w:eastAsia="仿宋"/>
          <w:sz w:val="21"/>
        </w:rPr>
        <w:sectPr>
          <w:pgSz w:w="11910" w:h="16840"/>
          <w:pgMar w:top="1100" w:right="660" w:bottom="1200" w:left="800" w:header="878" w:footer="1003" w:gutter="0"/>
          <w:cols w:space="720" w:num="1"/>
        </w:sectPr>
      </w:pPr>
    </w:p>
    <w:p>
      <w:pPr>
        <w:pStyle w:val="9"/>
        <w:spacing w:before="5"/>
        <w:rPr>
          <w:rFonts w:ascii="仿宋"/>
          <w:sz w:val="17"/>
        </w:rPr>
      </w:pPr>
    </w:p>
    <w:p>
      <w:pPr>
        <w:pStyle w:val="13"/>
        <w:numPr>
          <w:ilvl w:val="1"/>
          <w:numId w:val="73"/>
        </w:numPr>
        <w:tabs>
          <w:tab w:val="left" w:pos="1624"/>
        </w:tabs>
        <w:spacing w:before="77" w:after="0" w:line="364" w:lineRule="auto"/>
        <w:ind w:left="731" w:right="983" w:firstLine="420"/>
        <w:jc w:val="both"/>
        <w:rPr>
          <w:rFonts w:hint="eastAsia" w:ascii="仿宋" w:eastAsia="仿宋"/>
          <w:sz w:val="21"/>
        </w:rPr>
      </w:pPr>
      <w:r>
        <w:rPr>
          <w:rFonts w:hint="eastAsia" w:ascii="仿宋" w:eastAsia="仿宋"/>
          <w:spacing w:val="-3"/>
          <w:sz w:val="21"/>
        </w:rPr>
        <w:t xml:space="preserve">承包人上报结算金额与审定金额核减部分超过 </w:t>
      </w:r>
      <w:r>
        <w:rPr>
          <w:rFonts w:ascii="Times New Roman" w:eastAsia="Times New Roman"/>
          <w:sz w:val="21"/>
        </w:rPr>
        <w:t>5%</w:t>
      </w:r>
      <w:r>
        <w:rPr>
          <w:rFonts w:hint="eastAsia" w:ascii="仿宋" w:eastAsia="仿宋"/>
          <w:sz w:val="21"/>
        </w:rPr>
        <w:t>以上，由承包人向发包人委托的审价单位支付审价费。</w:t>
      </w:r>
    </w:p>
    <w:p>
      <w:pPr>
        <w:pStyle w:val="13"/>
        <w:numPr>
          <w:ilvl w:val="1"/>
          <w:numId w:val="73"/>
        </w:numPr>
        <w:tabs>
          <w:tab w:val="left" w:pos="1624"/>
        </w:tabs>
        <w:spacing w:before="0" w:after="0" w:line="364" w:lineRule="auto"/>
        <w:ind w:left="731" w:right="895" w:firstLine="420"/>
        <w:jc w:val="both"/>
        <w:rPr>
          <w:rFonts w:hint="eastAsia" w:ascii="仿宋" w:eastAsia="仿宋"/>
          <w:sz w:val="21"/>
        </w:rPr>
      </w:pPr>
      <w:r>
        <w:rPr>
          <w:rFonts w:hint="eastAsia" w:ascii="仿宋" w:eastAsia="仿宋"/>
          <w:spacing w:val="-6"/>
          <w:w w:val="95"/>
          <w:sz w:val="21"/>
        </w:rPr>
        <w:t xml:space="preserve">本合同签订后，发包人、承包人应另行签订《廉洁协议书》、《建设工程承发包安全管  </w:t>
      </w:r>
      <w:r>
        <w:rPr>
          <w:rFonts w:hint="eastAsia" w:ascii="仿宋" w:eastAsia="仿宋"/>
          <w:spacing w:val="-6"/>
          <w:sz w:val="21"/>
        </w:rPr>
        <w:t>理协议》、《建设工程保密协议》、《建筑安装营业税协议》。</w:t>
      </w:r>
    </w:p>
    <w:p>
      <w:pPr>
        <w:pStyle w:val="13"/>
        <w:numPr>
          <w:ilvl w:val="1"/>
          <w:numId w:val="73"/>
        </w:numPr>
        <w:tabs>
          <w:tab w:val="left" w:pos="1624"/>
        </w:tabs>
        <w:spacing w:before="0" w:after="0" w:line="364" w:lineRule="auto"/>
        <w:ind w:left="731" w:right="892" w:firstLine="420"/>
        <w:jc w:val="both"/>
        <w:rPr>
          <w:rFonts w:hint="eastAsia" w:ascii="仿宋" w:eastAsia="仿宋"/>
          <w:sz w:val="21"/>
        </w:rPr>
      </w:pPr>
      <w:r>
        <w:rPr>
          <w:rFonts w:hint="eastAsia" w:ascii="仿宋" w:eastAsia="仿宋"/>
          <w:spacing w:val="-3"/>
          <w:w w:val="95"/>
          <w:sz w:val="21"/>
        </w:rPr>
        <w:t xml:space="preserve">承包人应遵守发包人关于施工管理的规定，接受发包人考核。考核结果在进度款支付时  </w:t>
      </w:r>
      <w:r>
        <w:rPr>
          <w:rFonts w:hint="eastAsia" w:ascii="仿宋" w:eastAsia="仿宋"/>
          <w:spacing w:val="-3"/>
          <w:sz w:val="21"/>
        </w:rPr>
        <w:t>同期执行。</w:t>
      </w:r>
    </w:p>
    <w:p>
      <w:pPr>
        <w:pStyle w:val="13"/>
        <w:numPr>
          <w:ilvl w:val="1"/>
          <w:numId w:val="73"/>
        </w:numPr>
        <w:tabs>
          <w:tab w:val="left" w:pos="1624"/>
        </w:tabs>
        <w:spacing w:before="0" w:after="0" w:line="364" w:lineRule="auto"/>
        <w:ind w:left="731" w:right="892" w:firstLine="420"/>
        <w:jc w:val="both"/>
        <w:rPr>
          <w:rFonts w:hint="eastAsia" w:ascii="仿宋" w:eastAsia="仿宋"/>
          <w:sz w:val="21"/>
        </w:rPr>
      </w:pPr>
      <w:r>
        <w:rPr>
          <w:rFonts w:hint="eastAsia" w:ascii="仿宋" w:eastAsia="仿宋"/>
          <w:spacing w:val="-4"/>
          <w:w w:val="95"/>
          <w:sz w:val="21"/>
        </w:rPr>
        <w:t xml:space="preserve">对于发包人所提供的资料，作为投标人投标报价的依据之一，承包人应在投标报价中对   资料中所反映的信息做充分考虑，并反映在投标报价中，若未做明确反映，发包人认为投标人已   经考虑在综合单价内或该项目不产生费用，承包人不得以资料不全、不详细等为理由，进行款项   </w:t>
      </w:r>
      <w:r>
        <w:rPr>
          <w:rFonts w:hint="eastAsia" w:ascii="仿宋" w:eastAsia="仿宋"/>
          <w:spacing w:val="-4"/>
          <w:sz w:val="21"/>
        </w:rPr>
        <w:t>增加。</w:t>
      </w:r>
    </w:p>
    <w:p>
      <w:pPr>
        <w:pStyle w:val="13"/>
        <w:numPr>
          <w:ilvl w:val="1"/>
          <w:numId w:val="73"/>
        </w:numPr>
        <w:tabs>
          <w:tab w:val="left" w:pos="1576"/>
        </w:tabs>
        <w:spacing w:before="0" w:after="0" w:line="364" w:lineRule="auto"/>
        <w:ind w:left="731" w:right="892" w:firstLine="424"/>
        <w:jc w:val="both"/>
        <w:rPr>
          <w:rFonts w:hint="eastAsia" w:ascii="仿宋" w:eastAsia="仿宋"/>
          <w:sz w:val="21"/>
        </w:rPr>
      </w:pPr>
      <w:r>
        <w:rPr>
          <w:rFonts w:hint="eastAsia" w:ascii="仿宋" w:eastAsia="仿宋"/>
          <w:spacing w:val="-1"/>
          <w:w w:val="95"/>
          <w:sz w:val="21"/>
        </w:rPr>
        <w:t xml:space="preserve">本工程现场场地狭小，承包人除值班人员外任何人员不可于施工现场住宿，承包人在施  </w:t>
      </w:r>
      <w:r>
        <w:rPr>
          <w:rFonts w:hint="eastAsia" w:ascii="仿宋" w:eastAsia="仿宋"/>
          <w:spacing w:val="-3"/>
          <w:sz w:val="21"/>
        </w:rPr>
        <w:t xml:space="preserve">工期间只可安排固定值班人员于现场过夜，且现场过夜人员数量应小于等于 </w:t>
      </w:r>
      <w:r>
        <w:rPr>
          <w:rFonts w:ascii="Times New Roman" w:eastAsia="Times New Roman"/>
          <w:sz w:val="21"/>
        </w:rPr>
        <w:t>2</w:t>
      </w:r>
      <w:r>
        <w:rPr>
          <w:rFonts w:ascii="Times New Roman" w:eastAsia="Times New Roman"/>
          <w:spacing w:val="-7"/>
          <w:sz w:val="21"/>
        </w:rPr>
        <w:t xml:space="preserve"> </w:t>
      </w:r>
      <w:r>
        <w:rPr>
          <w:rFonts w:hint="eastAsia" w:ascii="仿宋" w:eastAsia="仿宋"/>
          <w:sz w:val="21"/>
        </w:rPr>
        <w:t>人。施工单位应自</w:t>
      </w:r>
      <w:r>
        <w:rPr>
          <w:rFonts w:hint="eastAsia" w:ascii="仿宋" w:eastAsia="仿宋"/>
          <w:w w:val="95"/>
          <w:sz w:val="21"/>
        </w:rPr>
        <w:t xml:space="preserve">行解决临时设施、临时加工场地、临时堆场、人员住宿等问题，并在施工组织方案中予以明确。   招标人将向施工单位提供最多两间现场办公室供办公使用，办公所需家具、电器、文具等办公必   备条件由施工单位自行解决。如投标人考虑会发生费用，在商务报价措施项目清单中明确相关费   </w:t>
      </w:r>
      <w:r>
        <w:rPr>
          <w:rFonts w:hint="eastAsia" w:ascii="仿宋" w:eastAsia="仿宋"/>
          <w:sz w:val="21"/>
        </w:rPr>
        <w:t>用，该费用闭口包干，不再调整。</w:t>
      </w:r>
    </w:p>
    <w:p>
      <w:pPr>
        <w:pStyle w:val="13"/>
        <w:numPr>
          <w:ilvl w:val="1"/>
          <w:numId w:val="73"/>
        </w:numPr>
        <w:tabs>
          <w:tab w:val="left" w:pos="1576"/>
        </w:tabs>
        <w:spacing w:before="0" w:after="0" w:line="364" w:lineRule="auto"/>
        <w:ind w:left="731" w:right="890" w:firstLine="424"/>
        <w:jc w:val="both"/>
        <w:rPr>
          <w:rFonts w:hint="eastAsia" w:ascii="仿宋" w:eastAsia="仿宋"/>
          <w:sz w:val="21"/>
        </w:rPr>
      </w:pPr>
      <w:r>
        <w:rPr>
          <w:rFonts w:hint="eastAsia" w:ascii="仿宋" w:eastAsia="仿宋"/>
          <w:w w:val="95"/>
          <w:sz w:val="21"/>
        </w:rPr>
        <w:t xml:space="preserve">各投标人应认真踏勘施工现场，熟悉施工现场及周围地形、地貌、水文、地质、施工作   业空间、材料加工周转及堆放空间、交通道路等情况，并在投标文件中考虑可能影响投标报价的   一切因素，将需发生的费用列入措施项目费中。无论是否开列此费用，招标人将一律视为一个有   经验的承包商已确认所有的现场条件和预见到了可能发生的异常情况，中标后不得以不完全了解   现场条件和已完工程及周边情况等为理由，提出延长竣工期限或其它经济补偿的要求。对此类要   </w:t>
      </w:r>
      <w:r>
        <w:rPr>
          <w:rFonts w:hint="eastAsia" w:ascii="仿宋" w:eastAsia="仿宋"/>
          <w:sz w:val="21"/>
        </w:rPr>
        <w:t>求，招标人将不作任何答复与考虑。</w:t>
      </w:r>
    </w:p>
    <w:p>
      <w:pPr>
        <w:pStyle w:val="13"/>
        <w:numPr>
          <w:ilvl w:val="1"/>
          <w:numId w:val="73"/>
        </w:numPr>
        <w:tabs>
          <w:tab w:val="left" w:pos="1682"/>
        </w:tabs>
        <w:spacing w:before="0" w:after="0" w:line="364" w:lineRule="auto"/>
        <w:ind w:left="731" w:right="892" w:firstLine="424"/>
        <w:jc w:val="both"/>
        <w:rPr>
          <w:rFonts w:hint="eastAsia" w:ascii="仿宋" w:eastAsia="仿宋"/>
          <w:sz w:val="21"/>
        </w:rPr>
      </w:pPr>
      <w:r>
        <w:rPr>
          <w:rFonts w:hint="eastAsia" w:ascii="仿宋" w:eastAsia="仿宋"/>
          <w:sz w:val="21"/>
        </w:rPr>
        <w:t>投标人进场后，若现场临时用电、用水无法满足其施工需求，则投标人须在满足工期</w:t>
      </w:r>
      <w:r>
        <w:rPr>
          <w:rFonts w:hint="eastAsia" w:ascii="仿宋" w:eastAsia="仿宋"/>
          <w:w w:val="95"/>
          <w:sz w:val="21"/>
        </w:rPr>
        <w:t xml:space="preserve">要求的前提下自行考虑增加，若采用发电机必须选用静音发电机，费用施工单位自行考虑在措施   </w:t>
      </w:r>
      <w:r>
        <w:rPr>
          <w:rFonts w:hint="eastAsia" w:ascii="仿宋" w:eastAsia="仿宋"/>
          <w:sz w:val="21"/>
        </w:rPr>
        <w:t>费内。</w:t>
      </w:r>
    </w:p>
    <w:p>
      <w:pPr>
        <w:pStyle w:val="13"/>
        <w:numPr>
          <w:ilvl w:val="1"/>
          <w:numId w:val="73"/>
        </w:numPr>
        <w:tabs>
          <w:tab w:val="left" w:pos="1672"/>
        </w:tabs>
        <w:spacing w:before="0" w:after="0" w:line="266" w:lineRule="exact"/>
        <w:ind w:left="1672" w:right="0" w:hanging="516"/>
        <w:jc w:val="both"/>
        <w:rPr>
          <w:rFonts w:hint="eastAsia" w:ascii="仿宋" w:eastAsia="仿宋"/>
          <w:sz w:val="21"/>
        </w:rPr>
      </w:pPr>
      <w:r>
        <w:rPr>
          <w:rFonts w:hint="eastAsia" w:ascii="仿宋" w:eastAsia="仿宋"/>
          <w:spacing w:val="-12"/>
          <w:sz w:val="21"/>
        </w:rPr>
        <w:t>投标人若需在外立面进行施工，施工时须使用防尘网，该费用在措施费报价中统一考虑。</w:t>
      </w:r>
    </w:p>
    <w:p>
      <w:pPr>
        <w:spacing w:after="0" w:line="266" w:lineRule="exact"/>
        <w:jc w:val="both"/>
        <w:rPr>
          <w:rFonts w:hint="eastAsia" w:ascii="仿宋" w:eastAsia="仿宋"/>
          <w:sz w:val="21"/>
        </w:rPr>
        <w:sectPr>
          <w:footerReference r:id="rId12" w:type="default"/>
          <w:pgSz w:w="11910" w:h="16840"/>
          <w:pgMar w:top="1100" w:right="660" w:bottom="1200" w:left="800" w:header="878" w:footer="1003" w:gutter="0"/>
          <w:pgNumType w:start="50"/>
          <w:cols w:space="720" w:num="1"/>
        </w:sectPr>
      </w:pPr>
    </w:p>
    <w:p>
      <w:pPr>
        <w:pStyle w:val="9"/>
        <w:spacing w:before="5"/>
        <w:rPr>
          <w:rFonts w:ascii="仿宋"/>
          <w:sz w:val="17"/>
        </w:rPr>
      </w:pPr>
    </w:p>
    <w:p>
      <w:pPr>
        <w:spacing w:before="77"/>
        <w:ind w:left="731" w:right="0" w:firstLine="0"/>
        <w:jc w:val="left"/>
        <w:rPr>
          <w:rFonts w:hint="eastAsia" w:ascii="仿宋" w:eastAsia="仿宋"/>
          <w:sz w:val="21"/>
        </w:rPr>
      </w:pPr>
      <w:r>
        <w:rPr>
          <w:rFonts w:hint="eastAsia" w:ascii="仿宋" w:eastAsia="仿宋"/>
          <w:sz w:val="21"/>
        </w:rPr>
        <w:t xml:space="preserve">附件 </w:t>
      </w:r>
      <w:r>
        <w:rPr>
          <w:rFonts w:ascii="Times New Roman" w:eastAsia="Times New Roman"/>
          <w:sz w:val="21"/>
        </w:rPr>
        <w:t>1</w:t>
      </w:r>
      <w:r>
        <w:rPr>
          <w:rFonts w:hint="eastAsia" w:ascii="仿宋" w:eastAsia="仿宋"/>
          <w:sz w:val="21"/>
        </w:rPr>
        <w:t>：</w:t>
      </w:r>
    </w:p>
    <w:p>
      <w:pPr>
        <w:pStyle w:val="9"/>
        <w:spacing w:before="10"/>
        <w:rPr>
          <w:rFonts w:ascii="仿宋"/>
          <w:sz w:val="25"/>
        </w:rPr>
      </w:pPr>
    </w:p>
    <w:p>
      <w:pPr>
        <w:spacing w:before="70"/>
        <w:ind w:left="564" w:right="727" w:firstLine="0"/>
        <w:jc w:val="center"/>
        <w:rPr>
          <w:rFonts w:hint="eastAsia" w:ascii="黑体" w:eastAsia="黑体"/>
          <w:sz w:val="21"/>
        </w:rPr>
      </w:pPr>
      <w:r>
        <w:rPr>
          <w:rFonts w:hint="eastAsia" w:ascii="黑体" w:eastAsia="黑体"/>
          <w:sz w:val="21"/>
        </w:rPr>
        <w:t>工程质量保修书</w:t>
      </w:r>
    </w:p>
    <w:p>
      <w:pPr>
        <w:pStyle w:val="9"/>
        <w:spacing w:before="8"/>
        <w:rPr>
          <w:rFonts w:ascii="黑体"/>
        </w:rPr>
      </w:pPr>
    </w:p>
    <w:p>
      <w:pPr>
        <w:tabs>
          <w:tab w:val="left" w:pos="5664"/>
        </w:tabs>
        <w:spacing w:before="0"/>
        <w:ind w:left="1151" w:right="0" w:firstLine="0"/>
        <w:jc w:val="left"/>
        <w:rPr>
          <w:rFonts w:hint="eastAsia" w:ascii="仿宋" w:eastAsia="仿宋"/>
          <w:sz w:val="21"/>
        </w:rPr>
      </w:pPr>
      <w:r>
        <w:rPr>
          <w:rFonts w:hint="eastAsia" w:ascii="仿宋" w:eastAsia="仿宋"/>
          <w:w w:val="95"/>
          <w:sz w:val="21"/>
        </w:rPr>
        <w:t>发包人（全称）：</w:t>
      </w:r>
      <w:r>
        <w:rPr>
          <w:rFonts w:hint="eastAsia" w:ascii="仿宋" w:eastAsia="仿宋"/>
          <w:sz w:val="21"/>
          <w:u w:val="single"/>
        </w:rPr>
        <w:tab/>
      </w:r>
    </w:p>
    <w:p>
      <w:pPr>
        <w:tabs>
          <w:tab w:val="left" w:pos="5716"/>
        </w:tabs>
        <w:spacing w:before="173"/>
        <w:ind w:left="1151" w:right="0" w:firstLine="0"/>
        <w:jc w:val="left"/>
        <w:rPr>
          <w:rFonts w:ascii="Times New Roman" w:eastAsia="Times New Roman"/>
          <w:sz w:val="21"/>
        </w:rPr>
      </w:pPr>
      <w:r>
        <w:rPr>
          <w:rFonts w:hint="eastAsia" w:ascii="仿宋" w:eastAsia="仿宋"/>
          <w:w w:val="95"/>
          <w:sz w:val="21"/>
        </w:rPr>
        <w:t>承包人（全称）：</w:t>
      </w:r>
      <w:r>
        <w:rPr>
          <w:rFonts w:ascii="Times New Roman" w:eastAsia="Times New Roman"/>
          <w:w w:val="95"/>
          <w:sz w:val="21"/>
          <w:u w:val="single"/>
        </w:rPr>
        <w:t xml:space="preserve"> </w:t>
      </w:r>
      <w:r>
        <w:rPr>
          <w:rFonts w:ascii="Times New Roman" w:eastAsia="Times New Roman"/>
          <w:sz w:val="21"/>
          <w:u w:val="single"/>
        </w:rPr>
        <w:tab/>
      </w:r>
    </w:p>
    <w:p>
      <w:pPr>
        <w:pStyle w:val="9"/>
        <w:rPr>
          <w:rFonts w:ascii="Times New Roman"/>
          <w:sz w:val="20"/>
        </w:rPr>
      </w:pPr>
    </w:p>
    <w:p>
      <w:pPr>
        <w:pStyle w:val="9"/>
        <w:spacing w:before="10"/>
        <w:rPr>
          <w:rFonts w:ascii="Times New Roman"/>
          <w:sz w:val="20"/>
        </w:rPr>
      </w:pPr>
    </w:p>
    <w:p>
      <w:pPr>
        <w:tabs>
          <w:tab w:val="left" w:pos="2411"/>
          <w:tab w:val="left" w:pos="5350"/>
        </w:tabs>
        <w:spacing w:before="0" w:line="364" w:lineRule="auto"/>
        <w:ind w:left="731" w:right="892" w:firstLine="420"/>
        <w:jc w:val="both"/>
        <w:rPr>
          <w:rFonts w:hint="eastAsia" w:ascii="仿宋" w:eastAsia="仿宋"/>
          <w:sz w:val="21"/>
        </w:rPr>
      </w:pPr>
      <w:r>
        <w:rPr>
          <w:rFonts w:hint="eastAsia" w:ascii="仿宋" w:eastAsia="仿宋"/>
          <w:w w:val="95"/>
          <w:sz w:val="21"/>
        </w:rPr>
        <w:t xml:space="preserve">发包人和承包人根据《中华人民共和国建筑法》和《建设工程质量管理条例》，经协商一致   </w:t>
      </w:r>
      <w:r>
        <w:rPr>
          <w:rFonts w:hint="eastAsia" w:ascii="仿宋" w:eastAsia="仿宋"/>
          <w:sz w:val="21"/>
        </w:rPr>
        <w:t>就</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u w:val="single"/>
        </w:rPr>
        <w:t>（项目名称）</w:t>
      </w:r>
      <w:r>
        <w:rPr>
          <w:rFonts w:hint="eastAsia" w:ascii="仿宋" w:eastAsia="仿宋"/>
          <w:sz w:val="21"/>
          <w:u w:val="single"/>
        </w:rPr>
        <w:tab/>
      </w:r>
      <w:r>
        <w:rPr>
          <w:rFonts w:hint="eastAsia" w:ascii="仿宋" w:eastAsia="仿宋"/>
          <w:sz w:val="21"/>
        </w:rPr>
        <w:t>签订工程质量保修书。</w:t>
      </w:r>
    </w:p>
    <w:p>
      <w:pPr>
        <w:spacing w:before="0" w:line="267" w:lineRule="exact"/>
        <w:ind w:left="1151" w:right="0" w:firstLine="0"/>
        <w:jc w:val="left"/>
        <w:rPr>
          <w:rFonts w:hint="eastAsia" w:ascii="黑体" w:eastAsia="黑体"/>
          <w:sz w:val="21"/>
        </w:rPr>
      </w:pPr>
      <w:r>
        <w:rPr>
          <w:rFonts w:hint="eastAsia" w:ascii="黑体" w:eastAsia="黑体"/>
          <w:sz w:val="21"/>
        </w:rPr>
        <w:t>一、工程质量保修范围和内容</w:t>
      </w:r>
    </w:p>
    <w:p>
      <w:pPr>
        <w:spacing w:before="139"/>
        <w:ind w:left="1151" w:right="0" w:firstLine="0"/>
        <w:jc w:val="left"/>
        <w:rPr>
          <w:rFonts w:hint="eastAsia" w:ascii="仿宋" w:eastAsia="仿宋"/>
          <w:sz w:val="21"/>
        </w:rPr>
      </w:pPr>
      <w:r>
        <w:rPr>
          <w:rFonts w:hint="eastAsia" w:ascii="仿宋" w:eastAsia="仿宋"/>
          <w:sz w:val="21"/>
        </w:rPr>
        <w:t>承包人在质量保修期内，按照有关法律规定和合同约定，承担工程质量保修责任。</w:t>
      </w:r>
    </w:p>
    <w:p>
      <w:pPr>
        <w:spacing w:before="139" w:line="364" w:lineRule="auto"/>
        <w:ind w:left="731" w:right="892" w:firstLine="420"/>
        <w:jc w:val="both"/>
        <w:rPr>
          <w:rFonts w:hint="eastAsia" w:ascii="仿宋" w:eastAsia="仿宋"/>
          <w:sz w:val="21"/>
        </w:rPr>
      </w:pPr>
      <w:r>
        <w:rPr>
          <w:rFonts w:hint="eastAsia" w:ascii="仿宋" w:eastAsia="仿宋"/>
          <w:w w:val="95"/>
          <w:sz w:val="21"/>
        </w:rPr>
        <w:t>质量保修范围包括地基基础工程、主体结构工程，屋面防水工程、有防水要求的卫生间、房   间和外墙面的防渗漏，供热与供冷系统，电气管线、给排水管道、设备安装和装修工程，以及双   方约定的其他项目。具体保修的内容，双方约定如下：</w:t>
      </w:r>
      <w:r>
        <w:rPr>
          <w:rFonts w:hint="eastAsia" w:ascii="仿宋" w:eastAsia="仿宋"/>
          <w:w w:val="95"/>
          <w:sz w:val="21"/>
          <w:u w:val="single"/>
        </w:rPr>
        <w:t xml:space="preserve">经发包人和承包人确认的图纸所示一切工   </w:t>
      </w:r>
      <w:r>
        <w:rPr>
          <w:rFonts w:hint="eastAsia" w:ascii="仿宋" w:eastAsia="仿宋"/>
          <w:sz w:val="21"/>
          <w:u w:val="single"/>
        </w:rPr>
        <w:t>作内容</w:t>
      </w:r>
      <w:r>
        <w:rPr>
          <w:rFonts w:hint="eastAsia" w:ascii="仿宋" w:eastAsia="仿宋"/>
          <w:sz w:val="21"/>
        </w:rPr>
        <w:t>。</w:t>
      </w:r>
    </w:p>
    <w:p>
      <w:pPr>
        <w:spacing w:before="0" w:line="268" w:lineRule="exact"/>
        <w:ind w:left="1151" w:right="0" w:firstLine="0"/>
        <w:jc w:val="left"/>
        <w:rPr>
          <w:rFonts w:hint="eastAsia" w:ascii="黑体" w:eastAsia="黑体"/>
          <w:sz w:val="21"/>
        </w:rPr>
      </w:pPr>
      <w:r>
        <w:rPr>
          <w:rFonts w:hint="eastAsia" w:ascii="黑体" w:eastAsia="黑体"/>
          <w:sz w:val="21"/>
        </w:rPr>
        <w:t>二、质量保修期</w:t>
      </w:r>
    </w:p>
    <w:p>
      <w:pPr>
        <w:spacing w:before="0" w:line="410" w:lineRule="atLeast"/>
        <w:ind w:left="1151" w:right="2726" w:firstLine="0"/>
        <w:jc w:val="left"/>
        <w:rPr>
          <w:rFonts w:hint="eastAsia" w:ascii="仿宋" w:eastAsia="仿宋"/>
          <w:sz w:val="21"/>
        </w:rPr>
      </w:pPr>
      <w:r>
        <w:rPr>
          <w:rFonts w:hint="eastAsia" w:ascii="仿宋" w:eastAsia="仿宋"/>
          <w:sz w:val="21"/>
        </w:rPr>
        <w:t xml:space="preserve">根据《建设工程质量管理条例》及有关规定，工程的质量保修期如下： </w:t>
      </w:r>
      <w:r>
        <w:rPr>
          <w:rFonts w:hint="eastAsia" w:ascii="仿宋" w:eastAsia="仿宋"/>
          <w:w w:val="95"/>
          <w:sz w:val="21"/>
        </w:rPr>
        <w:t>1．地基基础工程和主体结构工程为设计文件规定的工程合理使用年限；</w:t>
      </w:r>
    </w:p>
    <w:p>
      <w:pPr>
        <w:pStyle w:val="13"/>
        <w:numPr>
          <w:ilvl w:val="1"/>
          <w:numId w:val="70"/>
        </w:numPr>
        <w:tabs>
          <w:tab w:val="left" w:pos="1467"/>
        </w:tabs>
        <w:spacing w:before="0" w:after="0" w:line="240" w:lineRule="auto"/>
        <w:ind w:left="1466" w:right="0" w:hanging="316"/>
        <w:jc w:val="left"/>
        <w:rPr>
          <w:rFonts w:hint="eastAsia" w:ascii="仿宋" w:eastAsia="仿宋"/>
          <w:sz w:val="21"/>
        </w:rPr>
      </w:pPr>
      <w:r>
        <w:rPr>
          <w:rFonts w:hint="eastAsia" w:ascii="仿宋" w:eastAsia="仿宋"/>
          <w:sz w:val="21"/>
        </w:rPr>
        <w:t>屋面防水工程、有防水要求的卫生间、房间和外墙面的防渗为</w:t>
      </w:r>
      <w:r>
        <w:rPr>
          <w:rFonts w:hint="eastAsia" w:ascii="仿宋" w:eastAsia="仿宋"/>
          <w:spacing w:val="-2"/>
          <w:sz w:val="21"/>
          <w:u w:val="single"/>
        </w:rPr>
        <w:t xml:space="preserve"> </w:t>
      </w:r>
      <w:r>
        <w:rPr>
          <w:rFonts w:ascii="Times New Roman" w:eastAsia="Times New Roman"/>
          <w:sz w:val="21"/>
          <w:u w:val="single"/>
        </w:rPr>
        <w:t>5</w:t>
      </w:r>
      <w:r>
        <w:rPr>
          <w:rFonts w:ascii="Times New Roman" w:eastAsia="Times New Roman"/>
          <w:sz w:val="21"/>
        </w:rPr>
        <w:t xml:space="preserve"> </w:t>
      </w:r>
      <w:r>
        <w:rPr>
          <w:rFonts w:hint="eastAsia" w:ascii="仿宋" w:eastAsia="仿宋"/>
          <w:sz w:val="21"/>
        </w:rPr>
        <w:t>年；</w:t>
      </w:r>
    </w:p>
    <w:p>
      <w:pPr>
        <w:pStyle w:val="13"/>
        <w:numPr>
          <w:ilvl w:val="1"/>
          <w:numId w:val="70"/>
        </w:numPr>
        <w:tabs>
          <w:tab w:val="left" w:pos="1572"/>
        </w:tabs>
        <w:spacing w:before="139" w:after="0" w:line="240" w:lineRule="auto"/>
        <w:ind w:left="1571" w:right="0" w:hanging="316"/>
        <w:jc w:val="left"/>
        <w:rPr>
          <w:rFonts w:hint="eastAsia" w:ascii="仿宋" w:eastAsia="仿宋"/>
          <w:sz w:val="21"/>
        </w:rPr>
      </w:pPr>
      <w:r>
        <w:rPr>
          <w:rFonts w:hint="eastAsia" w:ascii="仿宋" w:eastAsia="仿宋"/>
          <w:spacing w:val="-9"/>
          <w:sz w:val="21"/>
        </w:rPr>
        <w:t xml:space="preserve">装修工程为 </w:t>
      </w:r>
      <w:r>
        <w:rPr>
          <w:rFonts w:ascii="Times New Roman" w:eastAsia="Times New Roman"/>
          <w:sz w:val="21"/>
          <w:u w:val="single"/>
        </w:rPr>
        <w:t>2</w:t>
      </w:r>
      <w:r>
        <w:rPr>
          <w:rFonts w:ascii="Times New Roman" w:eastAsia="Times New Roman"/>
          <w:spacing w:val="1"/>
          <w:sz w:val="21"/>
        </w:rPr>
        <w:t xml:space="preserve"> </w:t>
      </w:r>
      <w:r>
        <w:rPr>
          <w:rFonts w:hint="eastAsia" w:ascii="仿宋" w:eastAsia="仿宋"/>
          <w:sz w:val="21"/>
        </w:rPr>
        <w:t>年；</w:t>
      </w:r>
    </w:p>
    <w:p>
      <w:pPr>
        <w:pStyle w:val="13"/>
        <w:numPr>
          <w:ilvl w:val="1"/>
          <w:numId w:val="70"/>
        </w:numPr>
        <w:tabs>
          <w:tab w:val="left" w:pos="1572"/>
        </w:tabs>
        <w:spacing w:before="142" w:after="0" w:line="240" w:lineRule="auto"/>
        <w:ind w:left="1571" w:right="0" w:hanging="316"/>
        <w:jc w:val="left"/>
        <w:rPr>
          <w:rFonts w:hint="eastAsia" w:ascii="仿宋" w:eastAsia="仿宋"/>
          <w:sz w:val="21"/>
        </w:rPr>
      </w:pPr>
      <w:r>
        <w:rPr>
          <w:rFonts w:hint="eastAsia" w:ascii="仿宋" w:eastAsia="仿宋"/>
          <w:spacing w:val="-3"/>
          <w:sz w:val="21"/>
        </w:rPr>
        <w:t xml:space="preserve">电气管线、给排水管道、设备安装工程为 </w:t>
      </w:r>
      <w:r>
        <w:rPr>
          <w:rFonts w:ascii="Times New Roman" w:eastAsia="Times New Roman"/>
          <w:sz w:val="21"/>
          <w:u w:val="single"/>
        </w:rPr>
        <w:t>2</w:t>
      </w:r>
      <w:r>
        <w:rPr>
          <w:rFonts w:ascii="Times New Roman" w:eastAsia="Times New Roman"/>
          <w:spacing w:val="-1"/>
          <w:sz w:val="21"/>
        </w:rPr>
        <w:t xml:space="preserve"> </w:t>
      </w:r>
      <w:r>
        <w:rPr>
          <w:rFonts w:hint="eastAsia" w:ascii="仿宋" w:eastAsia="仿宋"/>
          <w:sz w:val="21"/>
        </w:rPr>
        <w:t>年；</w:t>
      </w:r>
    </w:p>
    <w:p>
      <w:pPr>
        <w:pStyle w:val="13"/>
        <w:numPr>
          <w:ilvl w:val="1"/>
          <w:numId w:val="70"/>
        </w:numPr>
        <w:tabs>
          <w:tab w:val="left" w:pos="1572"/>
        </w:tabs>
        <w:spacing w:before="139" w:after="0" w:line="240" w:lineRule="auto"/>
        <w:ind w:left="1571" w:right="0" w:hanging="316"/>
        <w:jc w:val="left"/>
        <w:rPr>
          <w:rFonts w:hint="eastAsia" w:ascii="仿宋" w:eastAsia="仿宋"/>
          <w:sz w:val="21"/>
        </w:rPr>
      </w:pPr>
      <w:r>
        <w:rPr>
          <w:rFonts w:hint="eastAsia" w:ascii="仿宋" w:eastAsia="仿宋"/>
          <w:spacing w:val="-6"/>
          <w:sz w:val="21"/>
        </w:rPr>
        <w:t xml:space="preserve">供热与供冷系统为 </w:t>
      </w:r>
      <w:r>
        <w:rPr>
          <w:rFonts w:ascii="Times New Roman" w:eastAsia="Times New Roman"/>
          <w:sz w:val="21"/>
          <w:u w:val="single"/>
        </w:rPr>
        <w:t>2</w:t>
      </w:r>
      <w:r>
        <w:rPr>
          <w:rFonts w:ascii="Times New Roman" w:eastAsia="Times New Roman"/>
          <w:spacing w:val="-1"/>
          <w:sz w:val="21"/>
        </w:rPr>
        <w:t xml:space="preserve"> </w:t>
      </w:r>
      <w:r>
        <w:rPr>
          <w:rFonts w:hint="eastAsia" w:ascii="仿宋" w:eastAsia="仿宋"/>
          <w:sz w:val="21"/>
        </w:rPr>
        <w:t>个采暖期、供冷期；</w:t>
      </w:r>
    </w:p>
    <w:p>
      <w:pPr>
        <w:pStyle w:val="13"/>
        <w:numPr>
          <w:ilvl w:val="1"/>
          <w:numId w:val="70"/>
        </w:numPr>
        <w:tabs>
          <w:tab w:val="left" w:pos="1572"/>
        </w:tabs>
        <w:spacing w:before="138" w:after="0" w:line="240" w:lineRule="auto"/>
        <w:ind w:left="1571" w:right="0" w:hanging="316"/>
        <w:jc w:val="left"/>
        <w:rPr>
          <w:rFonts w:hint="eastAsia" w:ascii="仿宋" w:eastAsia="仿宋"/>
          <w:sz w:val="21"/>
        </w:rPr>
      </w:pPr>
      <w:r>
        <w:rPr>
          <w:rFonts w:hint="eastAsia" w:ascii="仿宋" w:eastAsia="仿宋"/>
          <w:spacing w:val="-3"/>
          <w:sz w:val="21"/>
        </w:rPr>
        <w:t xml:space="preserve">住宅小区内的给排水设施、道路等配套工程为 </w:t>
      </w:r>
      <w:r>
        <w:rPr>
          <w:rFonts w:ascii="Times New Roman" w:eastAsia="Times New Roman"/>
          <w:sz w:val="21"/>
          <w:u w:val="single"/>
        </w:rPr>
        <w:t>2</w:t>
      </w:r>
      <w:r>
        <w:rPr>
          <w:rFonts w:ascii="Times New Roman" w:eastAsia="Times New Roman"/>
          <w:spacing w:val="-1"/>
          <w:sz w:val="21"/>
        </w:rPr>
        <w:t xml:space="preserve"> </w:t>
      </w:r>
      <w:r>
        <w:rPr>
          <w:rFonts w:hint="eastAsia" w:ascii="仿宋" w:eastAsia="仿宋"/>
          <w:sz w:val="21"/>
        </w:rPr>
        <w:t>年；</w:t>
      </w:r>
    </w:p>
    <w:p>
      <w:pPr>
        <w:pStyle w:val="13"/>
        <w:numPr>
          <w:ilvl w:val="1"/>
          <w:numId w:val="70"/>
        </w:numPr>
        <w:tabs>
          <w:tab w:val="left" w:pos="1572"/>
          <w:tab w:val="left" w:pos="4779"/>
        </w:tabs>
        <w:spacing w:before="139" w:after="0" w:line="240" w:lineRule="auto"/>
        <w:ind w:left="1571" w:right="0" w:hanging="316"/>
        <w:jc w:val="left"/>
        <w:rPr>
          <w:rFonts w:hint="eastAsia" w:ascii="仿宋" w:eastAsia="仿宋"/>
          <w:sz w:val="21"/>
        </w:rPr>
      </w:pPr>
      <w:r>
        <w:rPr>
          <w:rFonts w:hint="eastAsia" w:ascii="仿宋" w:eastAsia="仿宋"/>
          <w:sz w:val="21"/>
        </w:rPr>
        <w:t>其他项目保修期限约定如下：</w:t>
      </w:r>
      <w:r>
        <w:rPr>
          <w:rFonts w:hint="eastAsia" w:ascii="仿宋" w:eastAsia="仿宋"/>
          <w:spacing w:val="100"/>
          <w:sz w:val="21"/>
          <w:u w:val="single"/>
        </w:rPr>
        <w:t xml:space="preserve"> </w:t>
      </w:r>
      <w:r>
        <w:rPr>
          <w:rFonts w:ascii="Times New Roman" w:eastAsia="Times New Roman"/>
          <w:sz w:val="21"/>
          <w:u w:val="single"/>
        </w:rPr>
        <w:t>/</w:t>
      </w:r>
      <w:r>
        <w:rPr>
          <w:rFonts w:ascii="Times New Roman" w:eastAsia="Times New Roman"/>
          <w:sz w:val="21"/>
          <w:u w:val="single"/>
        </w:rPr>
        <w:tab/>
      </w:r>
      <w:r>
        <w:rPr>
          <w:rFonts w:hint="eastAsia" w:ascii="仿宋" w:eastAsia="仿宋"/>
          <w:sz w:val="21"/>
        </w:rPr>
        <w:t>。</w:t>
      </w:r>
    </w:p>
    <w:p>
      <w:pPr>
        <w:spacing w:before="142"/>
        <w:ind w:left="1151" w:right="0" w:firstLine="0"/>
        <w:jc w:val="left"/>
        <w:rPr>
          <w:rFonts w:hint="eastAsia" w:ascii="仿宋" w:eastAsia="仿宋"/>
          <w:sz w:val="21"/>
        </w:rPr>
      </w:pPr>
      <w:r>
        <w:rPr>
          <w:rFonts w:hint="eastAsia" w:ascii="仿宋" w:eastAsia="仿宋"/>
          <w:sz w:val="21"/>
        </w:rPr>
        <w:t>质量保修期自工程竣工验收合格之日起计算。</w:t>
      </w:r>
    </w:p>
    <w:p>
      <w:pPr>
        <w:spacing w:before="139"/>
        <w:ind w:left="1151" w:right="0" w:firstLine="0"/>
        <w:jc w:val="left"/>
        <w:rPr>
          <w:rFonts w:hint="eastAsia" w:ascii="黑体" w:eastAsia="黑体"/>
          <w:sz w:val="21"/>
        </w:rPr>
      </w:pPr>
      <w:r>
        <w:rPr>
          <w:rFonts w:hint="eastAsia" w:ascii="黑体" w:eastAsia="黑体"/>
          <w:sz w:val="21"/>
        </w:rPr>
        <w:t>三、缺陷责任期</w:t>
      </w:r>
    </w:p>
    <w:p>
      <w:pPr>
        <w:spacing w:before="139" w:line="364" w:lineRule="auto"/>
        <w:ind w:left="731" w:right="892" w:firstLine="420"/>
        <w:jc w:val="left"/>
        <w:rPr>
          <w:rFonts w:hint="eastAsia" w:ascii="仿宋" w:eastAsia="仿宋"/>
          <w:sz w:val="21"/>
        </w:rPr>
      </w:pPr>
      <w:r>
        <w:rPr>
          <w:rFonts w:hint="eastAsia" w:ascii="仿宋" w:eastAsia="仿宋"/>
          <w:spacing w:val="-7"/>
          <w:sz w:val="21"/>
        </w:rPr>
        <w:t xml:space="preserve">工程缺陷责任期为 </w:t>
      </w:r>
      <w:r>
        <w:rPr>
          <w:rFonts w:ascii="Times New Roman" w:eastAsia="Times New Roman"/>
          <w:sz w:val="21"/>
          <w:u w:val="single"/>
        </w:rPr>
        <w:t>24</w:t>
      </w:r>
      <w:r>
        <w:rPr>
          <w:rFonts w:ascii="Times New Roman" w:eastAsia="Times New Roman"/>
          <w:sz w:val="21"/>
        </w:rPr>
        <w:t xml:space="preserve"> </w:t>
      </w:r>
      <w:r>
        <w:rPr>
          <w:rFonts w:hint="eastAsia" w:ascii="仿宋" w:eastAsia="仿宋"/>
          <w:spacing w:val="-11"/>
          <w:sz w:val="21"/>
        </w:rPr>
        <w:t>个月，缺陷责任期自工程实际竣工之日起计算。单位工程先于全部工程进行验收，单位工程缺陷责任期自单位工程验收合格之日起算。</w:t>
      </w:r>
    </w:p>
    <w:p>
      <w:pPr>
        <w:spacing w:before="0"/>
        <w:ind w:left="1151" w:right="0" w:firstLine="0"/>
        <w:jc w:val="left"/>
        <w:rPr>
          <w:rFonts w:hint="eastAsia" w:ascii="仿宋" w:eastAsia="仿宋"/>
          <w:sz w:val="21"/>
        </w:rPr>
      </w:pPr>
      <w:r>
        <w:rPr>
          <w:rFonts w:hint="eastAsia" w:ascii="仿宋" w:eastAsia="仿宋"/>
          <w:sz w:val="21"/>
        </w:rPr>
        <w:t>缺陷责任期终止后，发包人应退还剩余的质量保证金。质量保证金不计利息。</w:t>
      </w:r>
    </w:p>
    <w:p>
      <w:pPr>
        <w:spacing w:before="139"/>
        <w:ind w:left="731" w:right="0" w:firstLine="0"/>
        <w:jc w:val="left"/>
        <w:rPr>
          <w:rFonts w:hint="eastAsia" w:ascii="黑体" w:eastAsia="黑体"/>
          <w:sz w:val="21"/>
        </w:rPr>
      </w:pPr>
      <w:r>
        <w:rPr>
          <w:rFonts w:hint="eastAsia" w:ascii="黑体" w:eastAsia="黑体"/>
          <w:sz w:val="21"/>
        </w:rPr>
        <w:t>四、质量保修责任</w:t>
      </w:r>
    </w:p>
    <w:p>
      <w:pPr>
        <w:pStyle w:val="13"/>
        <w:numPr>
          <w:ilvl w:val="0"/>
          <w:numId w:val="74"/>
        </w:numPr>
        <w:tabs>
          <w:tab w:val="left" w:pos="1582"/>
        </w:tabs>
        <w:spacing w:before="139" w:after="0" w:line="364" w:lineRule="auto"/>
        <w:ind w:left="836" w:right="890" w:firstLine="429"/>
        <w:jc w:val="left"/>
        <w:rPr>
          <w:rFonts w:hint="eastAsia" w:ascii="仿宋" w:eastAsia="仿宋"/>
          <w:sz w:val="21"/>
        </w:rPr>
      </w:pPr>
      <w:r>
        <w:rPr>
          <w:rFonts w:hint="eastAsia" w:ascii="仿宋" w:eastAsia="仿宋"/>
          <w:spacing w:val="-4"/>
          <w:sz w:val="21"/>
        </w:rPr>
        <w:t xml:space="preserve">属于保修范围、内容的项目，承包人应当在接到保修通知之日起 </w:t>
      </w:r>
      <w:r>
        <w:rPr>
          <w:rFonts w:ascii="Times New Roman" w:eastAsia="Times New Roman"/>
          <w:sz w:val="21"/>
        </w:rPr>
        <w:t>7</w:t>
      </w:r>
      <w:r>
        <w:rPr>
          <w:rFonts w:ascii="Times New Roman" w:eastAsia="Times New Roman"/>
          <w:spacing w:val="-6"/>
          <w:sz w:val="21"/>
        </w:rPr>
        <w:t xml:space="preserve"> </w:t>
      </w:r>
      <w:r>
        <w:rPr>
          <w:rFonts w:hint="eastAsia" w:ascii="仿宋" w:eastAsia="仿宋"/>
          <w:spacing w:val="-1"/>
          <w:sz w:val="21"/>
        </w:rPr>
        <w:t>天内派人保修。承包人不在约定期限内派人保修的，发包人可以委托他人修理。</w:t>
      </w:r>
    </w:p>
    <w:p>
      <w:pPr>
        <w:pStyle w:val="13"/>
        <w:numPr>
          <w:ilvl w:val="0"/>
          <w:numId w:val="74"/>
        </w:numPr>
        <w:tabs>
          <w:tab w:val="left" w:pos="1582"/>
        </w:tabs>
        <w:spacing w:before="0" w:after="0" w:line="267" w:lineRule="exact"/>
        <w:ind w:left="1582" w:right="0" w:hanging="316"/>
        <w:jc w:val="left"/>
        <w:rPr>
          <w:rFonts w:hint="eastAsia" w:ascii="仿宋" w:eastAsia="仿宋"/>
          <w:sz w:val="21"/>
        </w:rPr>
      </w:pPr>
      <w:r>
        <w:rPr>
          <w:rFonts w:hint="eastAsia" w:ascii="仿宋" w:eastAsia="仿宋"/>
          <w:sz w:val="21"/>
        </w:rPr>
        <w:t>发生紧急事故需抢修的，承包人在接到事故通知后，应当立即到达事故现场抢修。</w:t>
      </w:r>
    </w:p>
    <w:p>
      <w:pPr>
        <w:pStyle w:val="13"/>
        <w:numPr>
          <w:ilvl w:val="0"/>
          <w:numId w:val="74"/>
        </w:numPr>
        <w:tabs>
          <w:tab w:val="left" w:pos="1582"/>
        </w:tabs>
        <w:spacing w:before="139" w:after="0" w:line="364" w:lineRule="auto"/>
        <w:ind w:left="836" w:right="895" w:firstLine="429"/>
        <w:jc w:val="both"/>
        <w:rPr>
          <w:rFonts w:hint="eastAsia" w:ascii="仿宋" w:eastAsia="仿宋"/>
          <w:sz w:val="21"/>
        </w:rPr>
      </w:pPr>
      <w:r>
        <w:rPr>
          <w:rFonts w:hint="eastAsia" w:ascii="仿宋" w:eastAsia="仿宋"/>
          <w:spacing w:val="-1"/>
          <w:w w:val="95"/>
          <w:sz w:val="21"/>
        </w:rPr>
        <w:t xml:space="preserve">对于涉及结构安全的质量问题，应当按照《建设工程质量管理条例》的规定，立即向当  </w:t>
      </w:r>
      <w:r>
        <w:rPr>
          <w:rFonts w:hint="eastAsia" w:ascii="仿宋" w:eastAsia="仿宋"/>
          <w:spacing w:val="-7"/>
          <w:w w:val="95"/>
          <w:sz w:val="21"/>
        </w:rPr>
        <w:t xml:space="preserve">地建设行政主管部门和有关部门报告，采取安全防范措施，并由原设计人或者具有相应资质等级   </w:t>
      </w:r>
      <w:r>
        <w:rPr>
          <w:rFonts w:hint="eastAsia" w:ascii="仿宋" w:eastAsia="仿宋"/>
          <w:spacing w:val="-7"/>
          <w:sz w:val="21"/>
        </w:rPr>
        <w:t>的设计人提出保修方案，承包人实施保修。</w:t>
      </w:r>
    </w:p>
    <w:p>
      <w:pPr>
        <w:spacing w:after="0" w:line="364" w:lineRule="auto"/>
        <w:jc w:val="both"/>
        <w:rPr>
          <w:rFonts w:hint="eastAsia" w:ascii="仿宋" w:eastAsia="仿宋"/>
          <w:sz w:val="21"/>
        </w:rPr>
        <w:sectPr>
          <w:pgSz w:w="11910" w:h="16840"/>
          <w:pgMar w:top="1100" w:right="660" w:bottom="1200" w:left="800" w:header="878" w:footer="1003" w:gutter="0"/>
          <w:cols w:space="720" w:num="1"/>
        </w:sectPr>
      </w:pPr>
    </w:p>
    <w:p>
      <w:pPr>
        <w:pStyle w:val="9"/>
        <w:spacing w:before="5"/>
        <w:rPr>
          <w:rFonts w:ascii="仿宋"/>
          <w:sz w:val="17"/>
        </w:rPr>
      </w:pPr>
    </w:p>
    <w:p>
      <w:pPr>
        <w:pStyle w:val="13"/>
        <w:numPr>
          <w:ilvl w:val="0"/>
          <w:numId w:val="74"/>
        </w:numPr>
        <w:tabs>
          <w:tab w:val="left" w:pos="1572"/>
        </w:tabs>
        <w:spacing w:before="77" w:after="0" w:line="240" w:lineRule="auto"/>
        <w:ind w:left="1571" w:right="0" w:hanging="316"/>
        <w:jc w:val="left"/>
        <w:rPr>
          <w:rFonts w:hint="eastAsia" w:ascii="仿宋" w:eastAsia="仿宋"/>
          <w:sz w:val="21"/>
        </w:rPr>
      </w:pPr>
      <w:r>
        <w:rPr>
          <w:rFonts w:hint="eastAsia" w:ascii="仿宋" w:eastAsia="仿宋"/>
          <w:sz w:val="21"/>
        </w:rPr>
        <w:t>质量保修完成后，由发包人组织验收。</w:t>
      </w:r>
    </w:p>
    <w:p>
      <w:pPr>
        <w:spacing w:before="139"/>
        <w:ind w:left="1151" w:right="0" w:firstLine="0"/>
        <w:jc w:val="left"/>
        <w:rPr>
          <w:rFonts w:hint="eastAsia" w:ascii="黑体" w:eastAsia="黑体"/>
          <w:sz w:val="21"/>
        </w:rPr>
      </w:pPr>
      <w:r>
        <w:rPr>
          <w:rFonts w:hint="eastAsia" w:ascii="黑体" w:eastAsia="黑体"/>
          <w:sz w:val="21"/>
        </w:rPr>
        <w:t>五、保修费用</w:t>
      </w:r>
    </w:p>
    <w:p>
      <w:pPr>
        <w:spacing w:before="141"/>
        <w:ind w:left="1151" w:right="0" w:firstLine="0"/>
        <w:jc w:val="left"/>
        <w:rPr>
          <w:rFonts w:hint="eastAsia" w:ascii="仿宋" w:eastAsia="仿宋"/>
          <w:sz w:val="21"/>
        </w:rPr>
      </w:pPr>
      <w:r>
        <w:rPr>
          <w:rFonts w:hint="eastAsia" w:ascii="仿宋" w:eastAsia="仿宋"/>
          <w:sz w:val="21"/>
        </w:rPr>
        <w:t>保修费用由造成质量缺陷的责任方承担。</w:t>
      </w:r>
    </w:p>
    <w:p>
      <w:pPr>
        <w:spacing w:before="139"/>
        <w:ind w:left="1331" w:right="0" w:firstLine="0"/>
        <w:jc w:val="left"/>
        <w:rPr>
          <w:rFonts w:hint="eastAsia" w:ascii="仿宋" w:eastAsia="仿宋"/>
          <w:sz w:val="21"/>
        </w:rPr>
      </w:pPr>
      <w:r>
        <w:rPr>
          <w:rFonts w:hint="eastAsia" w:ascii="黑体" w:eastAsia="黑体"/>
          <w:b/>
          <w:sz w:val="21"/>
        </w:rPr>
        <w:t>六</w:t>
      </w:r>
      <w:r>
        <w:rPr>
          <w:rFonts w:hint="eastAsia" w:ascii="黑体" w:eastAsia="黑体"/>
          <w:sz w:val="21"/>
        </w:rPr>
        <w:t>、双方约定的其他工程质量保修事项</w:t>
      </w:r>
      <w:r>
        <w:rPr>
          <w:rFonts w:hint="eastAsia" w:ascii="仿宋" w:eastAsia="仿宋"/>
          <w:sz w:val="21"/>
        </w:rPr>
        <w:t>：</w:t>
      </w:r>
      <w:r>
        <w:rPr>
          <w:rFonts w:hint="eastAsia" w:ascii="仿宋" w:eastAsia="仿宋"/>
          <w:sz w:val="21"/>
          <w:u w:val="single"/>
        </w:rPr>
        <w:t>执行专用条款</w:t>
      </w:r>
      <w:r>
        <w:rPr>
          <w:rFonts w:hint="eastAsia" w:ascii="仿宋" w:eastAsia="仿宋"/>
          <w:sz w:val="21"/>
        </w:rPr>
        <w:t>。</w:t>
      </w:r>
    </w:p>
    <w:p>
      <w:pPr>
        <w:spacing w:before="139" w:line="364" w:lineRule="auto"/>
        <w:ind w:left="731" w:right="892" w:firstLine="398"/>
        <w:jc w:val="left"/>
        <w:rPr>
          <w:rFonts w:hint="eastAsia" w:ascii="仿宋" w:eastAsia="仿宋"/>
          <w:sz w:val="21"/>
        </w:rPr>
      </w:pPr>
      <w:r>
        <w:rPr>
          <w:rFonts w:hint="eastAsia" w:ascii="仿宋" w:eastAsia="仿宋"/>
          <w:sz w:val="21"/>
        </w:rPr>
        <w:t>工程质量保修书由发包人、承包人在工程竣工验收前共同签署，作为施工合同附件，其有效期限至保修期满。</w:t>
      </w:r>
    </w:p>
    <w:p>
      <w:pPr>
        <w:pStyle w:val="9"/>
        <w:spacing w:before="1"/>
        <w:rPr>
          <w:rFonts w:ascii="仿宋"/>
          <w:sz w:val="28"/>
        </w:rPr>
      </w:pPr>
    </w:p>
    <w:p>
      <w:pPr>
        <w:tabs>
          <w:tab w:val="left" w:pos="3776"/>
          <w:tab w:val="left" w:pos="6556"/>
          <w:tab w:val="left" w:pos="7165"/>
        </w:tabs>
        <w:spacing w:before="1" w:line="364" w:lineRule="auto"/>
        <w:ind w:left="731" w:right="3278" w:firstLine="0"/>
        <w:jc w:val="left"/>
        <w:rPr>
          <w:rFonts w:ascii="Times New Roman" w:eastAsia="Times New Roman"/>
          <w:sz w:val="21"/>
        </w:rPr>
      </w:pPr>
      <w:r>
        <w:rPr>
          <w:rFonts w:hint="eastAsia" w:ascii="仿宋" w:eastAsia="仿宋"/>
          <w:spacing w:val="5"/>
          <w:w w:val="90"/>
          <w:sz w:val="21"/>
        </w:rPr>
        <w:t>发</w:t>
      </w:r>
      <w:r>
        <w:rPr>
          <w:rFonts w:hint="eastAsia" w:ascii="仿宋" w:eastAsia="仿宋"/>
          <w:spacing w:val="3"/>
          <w:w w:val="90"/>
          <w:sz w:val="21"/>
        </w:rPr>
        <w:t>包</w:t>
      </w:r>
      <w:r>
        <w:rPr>
          <w:rFonts w:hint="eastAsia" w:ascii="仿宋" w:eastAsia="仿宋"/>
          <w:spacing w:val="5"/>
          <w:w w:val="90"/>
          <w:sz w:val="21"/>
        </w:rPr>
        <w:t>人</w:t>
      </w:r>
      <w:r>
        <w:rPr>
          <w:rFonts w:ascii="Times New Roman" w:eastAsia="Times New Roman"/>
          <w:w w:val="90"/>
          <w:sz w:val="21"/>
        </w:rPr>
        <w:t>(</w:t>
      </w:r>
      <w:r>
        <w:rPr>
          <w:rFonts w:hint="eastAsia" w:ascii="仿宋" w:eastAsia="仿宋"/>
          <w:spacing w:val="5"/>
          <w:w w:val="90"/>
          <w:sz w:val="21"/>
        </w:rPr>
        <w:t>公</w:t>
      </w:r>
      <w:r>
        <w:rPr>
          <w:rFonts w:hint="eastAsia" w:ascii="仿宋" w:eastAsia="仿宋"/>
          <w:spacing w:val="3"/>
          <w:w w:val="90"/>
          <w:sz w:val="21"/>
        </w:rPr>
        <w:t>章</w:t>
      </w:r>
      <w:r>
        <w:rPr>
          <w:rFonts w:ascii="Times New Roman" w:eastAsia="Times New Roman"/>
          <w:spacing w:val="3"/>
          <w:w w:val="90"/>
          <w:sz w:val="21"/>
        </w:rPr>
        <w:t>)</w:t>
      </w:r>
      <w:r>
        <w:rPr>
          <w:rFonts w:hint="eastAsia" w:ascii="仿宋" w:eastAsia="仿宋"/>
          <w:spacing w:val="3"/>
          <w:w w:val="90"/>
          <w:sz w:val="21"/>
        </w:rPr>
        <w:t>：</w:t>
      </w:r>
      <w:r>
        <w:rPr>
          <w:rFonts w:hint="eastAsia" w:ascii="仿宋" w:eastAsia="仿宋"/>
          <w:spacing w:val="3"/>
          <w:w w:val="90"/>
          <w:sz w:val="21"/>
          <w:lang w:val="en-US" w:eastAsia="zh-CN"/>
        </w:rPr>
        <w:t xml:space="preserve">  </w:t>
      </w:r>
      <w:r>
        <w:rPr>
          <w:rFonts w:hint="eastAsia" w:ascii="仿宋" w:eastAsia="仿宋"/>
          <w:w w:val="90"/>
          <w:sz w:val="21"/>
        </w:rPr>
        <w:tab/>
      </w:r>
      <w:r>
        <w:rPr>
          <w:rFonts w:hint="eastAsia" w:ascii="仿宋" w:eastAsia="仿宋"/>
          <w:spacing w:val="5"/>
          <w:w w:val="85"/>
          <w:sz w:val="21"/>
        </w:rPr>
        <w:t>承</w:t>
      </w:r>
      <w:r>
        <w:rPr>
          <w:rFonts w:hint="eastAsia" w:ascii="仿宋" w:eastAsia="仿宋"/>
          <w:spacing w:val="3"/>
          <w:w w:val="85"/>
          <w:sz w:val="21"/>
        </w:rPr>
        <w:t>包</w:t>
      </w:r>
      <w:r>
        <w:rPr>
          <w:rFonts w:hint="eastAsia" w:ascii="仿宋" w:eastAsia="仿宋"/>
          <w:spacing w:val="5"/>
          <w:w w:val="85"/>
          <w:sz w:val="21"/>
        </w:rPr>
        <w:t>人</w:t>
      </w:r>
      <w:r>
        <w:rPr>
          <w:rFonts w:ascii="Times New Roman" w:eastAsia="Times New Roman"/>
          <w:w w:val="85"/>
          <w:sz w:val="21"/>
        </w:rPr>
        <w:t>(</w:t>
      </w:r>
      <w:r>
        <w:rPr>
          <w:rFonts w:hint="eastAsia" w:ascii="仿宋" w:eastAsia="仿宋"/>
          <w:spacing w:val="5"/>
          <w:w w:val="85"/>
          <w:sz w:val="21"/>
        </w:rPr>
        <w:t>公</w:t>
      </w:r>
      <w:r>
        <w:rPr>
          <w:rFonts w:hint="eastAsia" w:ascii="仿宋" w:eastAsia="仿宋"/>
          <w:spacing w:val="3"/>
          <w:w w:val="85"/>
          <w:sz w:val="21"/>
        </w:rPr>
        <w:t>章</w:t>
      </w:r>
      <w:r>
        <w:rPr>
          <w:rFonts w:ascii="Times New Roman" w:eastAsia="Times New Roman"/>
          <w:spacing w:val="3"/>
          <w:w w:val="85"/>
          <w:sz w:val="21"/>
        </w:rPr>
        <w:t>)</w:t>
      </w:r>
      <w:r>
        <w:rPr>
          <w:rFonts w:hint="eastAsia" w:ascii="仿宋" w:eastAsia="仿宋"/>
          <w:spacing w:val="3"/>
          <w:w w:val="85"/>
          <w:sz w:val="21"/>
        </w:rPr>
        <w:t>：</w:t>
      </w:r>
      <w:r>
        <w:rPr>
          <w:rFonts w:hint="eastAsia" w:ascii="仿宋" w:eastAsia="仿宋"/>
          <w:spacing w:val="3"/>
          <w:w w:val="85"/>
          <w:sz w:val="21"/>
          <w:u w:val="single"/>
        </w:rPr>
        <w:tab/>
      </w:r>
      <w:r>
        <w:rPr>
          <w:rFonts w:hint="eastAsia" w:ascii="仿宋" w:eastAsia="仿宋"/>
          <w:spacing w:val="3"/>
          <w:w w:val="85"/>
          <w:sz w:val="21"/>
          <w:u w:val="single"/>
        </w:rPr>
        <w:tab/>
      </w:r>
      <w:r>
        <w:rPr>
          <w:rFonts w:hint="eastAsia" w:ascii="仿宋" w:eastAsia="仿宋"/>
          <w:w w:val="85"/>
          <w:sz w:val="21"/>
          <w:u w:val="single"/>
        </w:rPr>
        <w:t xml:space="preserve"> </w:t>
      </w:r>
      <w:r>
        <w:rPr>
          <w:rFonts w:hint="eastAsia" w:ascii="仿宋" w:eastAsia="仿宋"/>
          <w:sz w:val="21"/>
        </w:rPr>
        <w:t>地址：</w:t>
      </w:r>
      <w:r>
        <w:rPr>
          <w:rFonts w:hint="eastAsia" w:ascii="仿宋" w:eastAsia="仿宋"/>
          <w:spacing w:val="-3"/>
          <w:sz w:val="21"/>
          <w:u w:val="single"/>
        </w:rPr>
        <w:t xml:space="preserve"> </w:t>
      </w:r>
      <w:r>
        <w:rPr>
          <w:rFonts w:hint="eastAsia" w:ascii="仿宋" w:eastAsia="仿宋"/>
          <w:spacing w:val="-3"/>
          <w:sz w:val="21"/>
          <w:u w:val="single"/>
          <w:lang w:val="en-US" w:eastAsia="zh-CN"/>
        </w:rPr>
        <w:t xml:space="preserve">               </w:t>
      </w:r>
      <w:r>
        <w:rPr>
          <w:rFonts w:hint="eastAsia" w:ascii="仿宋" w:eastAsia="仿宋"/>
          <w:sz w:val="21"/>
        </w:rPr>
        <w:tab/>
      </w:r>
      <w:r>
        <w:rPr>
          <w:rFonts w:hint="eastAsia" w:ascii="仿宋" w:eastAsia="仿宋"/>
          <w:w w:val="95"/>
          <w:sz w:val="21"/>
        </w:rPr>
        <w:t>地址：</w:t>
      </w:r>
      <w:r>
        <w:rPr>
          <w:rFonts w:ascii="Times New Roman" w:eastAsia="Times New Roman"/>
          <w:w w:val="95"/>
          <w:sz w:val="21"/>
          <w:u w:val="single"/>
        </w:rPr>
        <w:t xml:space="preserve"> </w:t>
      </w:r>
      <w:r>
        <w:rPr>
          <w:rFonts w:ascii="Times New Roman" w:eastAsia="Times New Roman"/>
          <w:sz w:val="21"/>
          <w:u w:val="single"/>
        </w:rPr>
        <w:tab/>
      </w:r>
    </w:p>
    <w:p>
      <w:pPr>
        <w:tabs>
          <w:tab w:val="left" w:pos="2619"/>
          <w:tab w:val="left" w:pos="3810"/>
          <w:tab w:val="left" w:pos="6556"/>
          <w:tab w:val="left" w:pos="7571"/>
          <w:tab w:val="left" w:pos="7675"/>
        </w:tabs>
        <w:spacing w:before="0" w:line="364" w:lineRule="auto"/>
        <w:ind w:left="731" w:right="2769" w:firstLine="0"/>
        <w:jc w:val="left"/>
        <w:rPr>
          <w:rFonts w:ascii="Times New Roman" w:eastAsia="Times New Roman"/>
          <w:sz w:val="21"/>
        </w:rPr>
      </w:pPr>
      <w:r>
        <w:rPr>
          <w:rFonts w:hint="eastAsia" w:ascii="仿宋" w:eastAsia="仿宋"/>
          <w:sz w:val="21"/>
        </w:rPr>
        <w:t>法定代表人</w:t>
      </w:r>
      <w:r>
        <w:rPr>
          <w:rFonts w:ascii="Times New Roman" w:eastAsia="Times New Roman"/>
          <w:sz w:val="21"/>
        </w:rPr>
        <w:t>(</w:t>
      </w:r>
      <w:r>
        <w:rPr>
          <w:rFonts w:hint="eastAsia" w:ascii="仿宋" w:eastAsia="仿宋"/>
          <w:sz w:val="21"/>
        </w:rPr>
        <w:t>签字</w:t>
      </w:r>
      <w:r>
        <w:rPr>
          <w:rFonts w:ascii="Times New Roman" w:eastAsia="Times New Roman"/>
          <w:sz w:val="21"/>
        </w:rPr>
        <w:t>)</w:t>
      </w:r>
      <w:r>
        <w:rPr>
          <w:rFonts w:hint="eastAsia" w:ascii="仿宋" w:eastAsia="仿宋"/>
          <w:sz w:val="21"/>
        </w:rPr>
        <w:t>：</w:t>
      </w:r>
      <w:r>
        <w:rPr>
          <w:rFonts w:hint="eastAsia" w:ascii="仿宋" w:eastAsia="仿宋"/>
          <w:sz w:val="21"/>
          <w:u w:val="single"/>
        </w:rPr>
        <w:t xml:space="preserve"> </w:t>
      </w:r>
      <w:r>
        <w:rPr>
          <w:rFonts w:hint="eastAsia" w:ascii="仿宋" w:eastAsia="仿宋"/>
          <w:sz w:val="21"/>
          <w:u w:val="single"/>
        </w:rPr>
        <w:tab/>
      </w:r>
      <w:r>
        <w:rPr>
          <w:rFonts w:hint="eastAsia" w:ascii="仿宋" w:eastAsia="仿宋"/>
          <w:w w:val="95"/>
          <w:sz w:val="21"/>
        </w:rPr>
        <w:t>法定代表人</w:t>
      </w:r>
      <w:r>
        <w:rPr>
          <w:rFonts w:ascii="Times New Roman" w:eastAsia="Times New Roman"/>
          <w:w w:val="95"/>
          <w:sz w:val="21"/>
        </w:rPr>
        <w:t>(</w:t>
      </w:r>
      <w:r>
        <w:rPr>
          <w:rFonts w:hint="eastAsia" w:ascii="仿宋" w:eastAsia="仿宋"/>
          <w:w w:val="95"/>
          <w:sz w:val="21"/>
        </w:rPr>
        <w:t>签字</w:t>
      </w:r>
      <w:r>
        <w:rPr>
          <w:rFonts w:ascii="Times New Roman" w:eastAsia="Times New Roman"/>
          <w:w w:val="95"/>
          <w:sz w:val="21"/>
        </w:rPr>
        <w:t>)</w:t>
      </w:r>
      <w:r>
        <w:rPr>
          <w:rFonts w:hint="eastAsia" w:ascii="仿宋" w:eastAsia="仿宋"/>
          <w:w w:val="95"/>
          <w:sz w:val="21"/>
        </w:rPr>
        <w:t>：</w:t>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sz w:val="21"/>
        </w:rPr>
        <w:t>委托代理人</w:t>
      </w:r>
      <w:r>
        <w:rPr>
          <w:rFonts w:ascii="Times New Roman" w:eastAsia="Times New Roman"/>
          <w:sz w:val="21"/>
        </w:rPr>
        <w:t>(</w:t>
      </w:r>
      <w:r>
        <w:rPr>
          <w:rFonts w:hint="eastAsia" w:ascii="仿宋" w:eastAsia="仿宋"/>
          <w:sz w:val="21"/>
        </w:rPr>
        <w:t>签字</w:t>
      </w:r>
      <w:r>
        <w:rPr>
          <w:rFonts w:ascii="Times New Roman" w:eastAsia="Times New Roman"/>
          <w:sz w:val="21"/>
        </w:rPr>
        <w:t>)</w:t>
      </w:r>
      <w:r>
        <w:rPr>
          <w:rFonts w:hint="eastAsia" w:ascii="仿宋" w:eastAsia="仿宋"/>
          <w:sz w:val="21"/>
        </w:rPr>
        <w:t>：</w:t>
      </w:r>
      <w:r>
        <w:rPr>
          <w:rFonts w:hint="eastAsia" w:ascii="仿宋" w:eastAsia="仿宋"/>
          <w:sz w:val="21"/>
          <w:u w:val="single"/>
        </w:rPr>
        <w:t xml:space="preserve"> </w:t>
      </w:r>
      <w:r>
        <w:rPr>
          <w:rFonts w:hint="eastAsia" w:ascii="仿宋" w:eastAsia="仿宋"/>
          <w:sz w:val="21"/>
          <w:u w:val="single"/>
        </w:rPr>
        <w:tab/>
      </w:r>
      <w:r>
        <w:rPr>
          <w:rFonts w:hint="eastAsia" w:ascii="仿宋" w:eastAsia="仿宋"/>
          <w:w w:val="95"/>
          <w:sz w:val="21"/>
        </w:rPr>
        <w:t>委托代理人</w:t>
      </w:r>
      <w:r>
        <w:rPr>
          <w:rFonts w:ascii="Times New Roman" w:eastAsia="Times New Roman"/>
          <w:w w:val="95"/>
          <w:sz w:val="21"/>
        </w:rPr>
        <w:t>(</w:t>
      </w:r>
      <w:r>
        <w:rPr>
          <w:rFonts w:hint="eastAsia" w:ascii="仿宋" w:eastAsia="仿宋"/>
          <w:w w:val="95"/>
          <w:sz w:val="21"/>
        </w:rPr>
        <w:t>签字</w:t>
      </w:r>
      <w:r>
        <w:rPr>
          <w:rFonts w:ascii="Times New Roman" w:eastAsia="Times New Roman"/>
          <w:w w:val="95"/>
          <w:sz w:val="21"/>
        </w:rPr>
        <w:t>)</w:t>
      </w:r>
      <w:r>
        <w:rPr>
          <w:rFonts w:hint="eastAsia" w:ascii="仿宋" w:eastAsia="仿宋"/>
          <w:w w:val="95"/>
          <w:sz w:val="21"/>
        </w:rPr>
        <w:t>：</w:t>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sz w:val="21"/>
        </w:rPr>
        <w:t>电话：</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电话：</w:t>
      </w:r>
      <w:r>
        <w:rPr>
          <w:rFonts w:ascii="Times New Roman" w:eastAsia="Times New Roman"/>
          <w:sz w:val="21"/>
          <w:u w:val="single"/>
        </w:rPr>
        <w:t xml:space="preserve"> </w:t>
      </w:r>
      <w:r>
        <w:rPr>
          <w:rFonts w:ascii="Times New Roman" w:eastAsia="Times New Roman"/>
          <w:sz w:val="21"/>
          <w:u w:val="single"/>
        </w:rPr>
        <w:tab/>
      </w:r>
      <w:r>
        <w:rPr>
          <w:rFonts w:ascii="Times New Roman" w:eastAsia="Times New Roman"/>
          <w:sz w:val="21"/>
          <w:u w:val="single"/>
        </w:rPr>
        <w:tab/>
      </w:r>
    </w:p>
    <w:p>
      <w:pPr>
        <w:tabs>
          <w:tab w:val="left" w:pos="2516"/>
          <w:tab w:val="left" w:pos="6242"/>
        </w:tabs>
        <w:spacing w:before="0" w:line="266" w:lineRule="exact"/>
        <w:ind w:left="731" w:right="0" w:firstLine="0"/>
        <w:jc w:val="left"/>
        <w:rPr>
          <w:rFonts w:ascii="Times New Roman" w:eastAsia="Times New Roman"/>
          <w:sz w:val="21"/>
        </w:rPr>
      </w:pPr>
      <w:r>
        <w:rPr>
          <w:rFonts w:hint="eastAsia" w:ascii="仿宋" w:eastAsia="仿宋"/>
          <w:sz w:val="21"/>
        </w:rPr>
        <w:t>传真：</w:t>
      </w:r>
      <w:r>
        <w:rPr>
          <w:rFonts w:hint="eastAsia" w:ascii="仿宋" w:eastAsia="仿宋"/>
          <w:sz w:val="21"/>
          <w:u w:val="single"/>
        </w:rPr>
        <w:t xml:space="preserve"> </w:t>
      </w:r>
      <w:r>
        <w:rPr>
          <w:rFonts w:hint="eastAsia" w:ascii="仿宋" w:eastAsia="仿宋"/>
          <w:sz w:val="21"/>
          <w:u w:val="single"/>
        </w:rPr>
        <w:tab/>
      </w:r>
      <w:r>
        <w:rPr>
          <w:rFonts w:hint="eastAsia" w:ascii="仿宋" w:eastAsia="仿宋"/>
          <w:w w:val="95"/>
          <w:sz w:val="21"/>
        </w:rPr>
        <w:t>传真：</w:t>
      </w:r>
      <w:r>
        <w:rPr>
          <w:rFonts w:ascii="Times New Roman" w:eastAsia="Times New Roman"/>
          <w:w w:val="95"/>
          <w:sz w:val="21"/>
          <w:u w:val="single"/>
        </w:rPr>
        <w:t xml:space="preserve"> </w:t>
      </w:r>
      <w:r>
        <w:rPr>
          <w:rFonts w:ascii="Times New Roman" w:eastAsia="Times New Roman"/>
          <w:sz w:val="21"/>
          <w:u w:val="single"/>
        </w:rPr>
        <w:tab/>
      </w:r>
    </w:p>
    <w:p>
      <w:pPr>
        <w:tabs>
          <w:tab w:val="left" w:pos="3879"/>
          <w:tab w:val="left" w:pos="6767"/>
        </w:tabs>
        <w:spacing w:before="141"/>
        <w:ind w:left="731" w:right="0" w:firstLine="0"/>
        <w:jc w:val="left"/>
        <w:rPr>
          <w:rFonts w:ascii="Times New Roman" w:eastAsia="Times New Roman"/>
          <w:sz w:val="21"/>
        </w:rPr>
      </w:pPr>
      <w:r>
        <w:rPr>
          <w:rFonts w:hint="eastAsia" w:ascii="仿宋" w:eastAsia="仿宋"/>
          <w:sz w:val="21"/>
        </w:rPr>
        <w:t>开户银行：</w:t>
      </w:r>
      <w:r>
        <w:rPr>
          <w:rFonts w:hint="eastAsia" w:ascii="仿宋" w:eastAsia="仿宋"/>
          <w:sz w:val="21"/>
          <w:u w:val="single"/>
        </w:rPr>
        <w:tab/>
      </w:r>
      <w:r>
        <w:rPr>
          <w:rFonts w:hint="eastAsia" w:ascii="仿宋" w:eastAsia="仿宋"/>
          <w:w w:val="95"/>
          <w:sz w:val="21"/>
        </w:rPr>
        <w:t>开户银行：</w:t>
      </w:r>
      <w:r>
        <w:rPr>
          <w:rFonts w:ascii="Times New Roman" w:eastAsia="Times New Roman"/>
          <w:w w:val="95"/>
          <w:sz w:val="21"/>
          <w:u w:val="single"/>
        </w:rPr>
        <w:t xml:space="preserve"> </w:t>
      </w:r>
      <w:r>
        <w:rPr>
          <w:rFonts w:ascii="Times New Roman" w:eastAsia="Times New Roman"/>
          <w:sz w:val="21"/>
          <w:u w:val="single"/>
        </w:rPr>
        <w:tab/>
      </w:r>
    </w:p>
    <w:p>
      <w:pPr>
        <w:tabs>
          <w:tab w:val="left" w:pos="3879"/>
          <w:tab w:val="left" w:pos="7187"/>
        </w:tabs>
        <w:spacing w:before="139"/>
        <w:ind w:left="731" w:right="0" w:firstLine="0"/>
        <w:jc w:val="left"/>
        <w:rPr>
          <w:rFonts w:ascii="Times New Roman" w:eastAsia="Times New Roman"/>
          <w:sz w:val="21"/>
        </w:rPr>
      </w:pPr>
      <w:r>
        <w:rPr>
          <w:rFonts w:hint="eastAsia" w:ascii="仿宋" w:eastAsia="仿宋"/>
          <w:sz w:val="21"/>
        </w:rPr>
        <w:t>账号：</w:t>
      </w:r>
      <w:r>
        <w:rPr>
          <w:rFonts w:ascii="Times New Roman" w:eastAsia="Times New Roman"/>
          <w:sz w:val="21"/>
          <w:u w:val="single"/>
        </w:rPr>
        <w:tab/>
      </w:r>
      <w:r>
        <w:rPr>
          <w:rFonts w:hint="eastAsia" w:ascii="仿宋" w:eastAsia="仿宋"/>
          <w:sz w:val="21"/>
        </w:rPr>
        <w:t>账号：</w:t>
      </w:r>
      <w:r>
        <w:rPr>
          <w:rFonts w:ascii="Times New Roman" w:eastAsia="Times New Roman"/>
          <w:sz w:val="21"/>
          <w:u w:val="single"/>
        </w:rPr>
        <w:t xml:space="preserve"> </w:t>
      </w:r>
      <w:r>
        <w:rPr>
          <w:rFonts w:ascii="Times New Roman" w:eastAsia="Times New Roman"/>
          <w:sz w:val="21"/>
          <w:u w:val="single"/>
        </w:rPr>
        <w:tab/>
      </w:r>
    </w:p>
    <w:p>
      <w:pPr>
        <w:tabs>
          <w:tab w:val="left" w:pos="3879"/>
          <w:tab w:val="left" w:pos="8656"/>
        </w:tabs>
        <w:spacing w:before="139"/>
        <w:ind w:left="731" w:right="0" w:firstLine="0"/>
        <w:jc w:val="left"/>
        <w:rPr>
          <w:rFonts w:ascii="Times New Roman" w:eastAsia="Times New Roman"/>
          <w:sz w:val="21"/>
        </w:rPr>
      </w:pPr>
      <w:r>
        <w:rPr>
          <w:rFonts w:hint="eastAsia" w:ascii="仿宋" w:eastAsia="仿宋"/>
          <w:sz w:val="21"/>
        </w:rPr>
        <w:t>邮政编码：</w:t>
      </w:r>
      <w:r>
        <w:rPr>
          <w:rFonts w:ascii="Times New Roman" w:eastAsia="Times New Roman"/>
          <w:sz w:val="21"/>
          <w:u w:val="single"/>
        </w:rPr>
        <w:tab/>
      </w:r>
      <w:r>
        <w:rPr>
          <w:rFonts w:hint="eastAsia" w:ascii="仿宋" w:eastAsia="仿宋"/>
          <w:w w:val="95"/>
          <w:sz w:val="21"/>
        </w:rPr>
        <w:t>邮政编码：</w:t>
      </w:r>
      <w:r>
        <w:rPr>
          <w:rFonts w:ascii="Times New Roman" w:eastAsia="Times New Roman"/>
          <w:w w:val="95"/>
          <w:sz w:val="21"/>
          <w:u w:val="single"/>
        </w:rPr>
        <w:t xml:space="preserve"> </w:t>
      </w:r>
      <w:r>
        <w:rPr>
          <w:rFonts w:ascii="Times New Roman" w:eastAsia="Times New Roman"/>
          <w:sz w:val="21"/>
          <w:u w:val="single"/>
        </w:rPr>
        <w:tab/>
      </w:r>
    </w:p>
    <w:p>
      <w:pPr>
        <w:spacing w:after="0"/>
        <w:jc w:val="left"/>
        <w:rPr>
          <w:rFonts w:ascii="Times New Roman" w:eastAsia="Times New Roman"/>
          <w:sz w:val="21"/>
        </w:rPr>
        <w:sectPr>
          <w:pgSz w:w="11910" w:h="16840"/>
          <w:pgMar w:top="1100" w:right="660" w:bottom="1200" w:left="800" w:header="878" w:footer="1003" w:gutter="0"/>
          <w:cols w:space="720" w:num="1"/>
        </w:sectPr>
      </w:pPr>
    </w:p>
    <w:p>
      <w:pPr>
        <w:pStyle w:val="9"/>
        <w:spacing w:before="5"/>
        <w:rPr>
          <w:rFonts w:ascii="Times New Roman"/>
          <w:sz w:val="19"/>
        </w:rPr>
      </w:pPr>
    </w:p>
    <w:p>
      <w:pPr>
        <w:spacing w:after="0"/>
        <w:rPr>
          <w:rFonts w:ascii="Times New Roman"/>
          <w:sz w:val="19"/>
        </w:rPr>
        <w:sectPr>
          <w:pgSz w:w="11910" w:h="16840"/>
          <w:pgMar w:top="1100" w:right="660" w:bottom="1200" w:left="800" w:header="878" w:footer="1003" w:gutter="0"/>
          <w:cols w:space="720" w:num="1"/>
        </w:sectPr>
      </w:pPr>
    </w:p>
    <w:p>
      <w:pPr>
        <w:spacing w:before="76"/>
        <w:ind w:left="731" w:right="0" w:firstLine="0"/>
        <w:jc w:val="left"/>
        <w:rPr>
          <w:rFonts w:hint="eastAsia" w:ascii="仿宋" w:eastAsia="仿宋"/>
          <w:sz w:val="21"/>
        </w:rPr>
      </w:pPr>
      <w:r>
        <w:rPr>
          <w:rFonts w:hint="eastAsia" w:ascii="仿宋" w:eastAsia="仿宋"/>
          <w:spacing w:val="-18"/>
          <w:sz w:val="21"/>
        </w:rPr>
        <w:t xml:space="preserve">附件 </w:t>
      </w:r>
      <w:r>
        <w:rPr>
          <w:rFonts w:ascii="Times New Roman" w:eastAsia="Times New Roman"/>
          <w:sz w:val="21"/>
        </w:rPr>
        <w:t>2</w:t>
      </w:r>
      <w:r>
        <w:rPr>
          <w:rFonts w:hint="eastAsia" w:ascii="仿宋" w:eastAsia="仿宋"/>
          <w:sz w:val="21"/>
        </w:rPr>
        <w:t>：</w:t>
      </w:r>
    </w:p>
    <w:p>
      <w:pPr>
        <w:pStyle w:val="9"/>
        <w:rPr>
          <w:rFonts w:ascii="仿宋"/>
          <w:sz w:val="20"/>
        </w:rPr>
      </w:pPr>
      <w:r>
        <w:br w:type="column"/>
      </w:r>
    </w:p>
    <w:p>
      <w:pPr>
        <w:pStyle w:val="9"/>
        <w:spacing w:before="10"/>
        <w:rPr>
          <w:rFonts w:ascii="仿宋"/>
          <w:sz w:val="17"/>
        </w:rPr>
      </w:pPr>
    </w:p>
    <w:p>
      <w:pPr>
        <w:spacing w:before="0"/>
        <w:ind w:left="731" w:right="0" w:firstLine="0"/>
        <w:jc w:val="left"/>
        <w:rPr>
          <w:rFonts w:hint="eastAsia" w:ascii="黑体" w:eastAsia="黑体"/>
          <w:sz w:val="21"/>
        </w:rPr>
      </w:pPr>
      <w:r>
        <w:rPr>
          <w:rFonts w:hint="eastAsia" w:ascii="黑体" w:eastAsia="黑体"/>
          <w:sz w:val="21"/>
        </w:rPr>
        <w:t>建设工程廉政责任书</w:t>
      </w:r>
    </w:p>
    <w:p>
      <w:pPr>
        <w:spacing w:after="0"/>
        <w:jc w:val="left"/>
        <w:rPr>
          <w:rFonts w:hint="eastAsia" w:ascii="黑体" w:eastAsia="黑体"/>
          <w:sz w:val="21"/>
        </w:rPr>
        <w:sectPr>
          <w:type w:val="continuous"/>
          <w:pgSz w:w="11910" w:h="16840"/>
          <w:pgMar w:top="1140" w:right="660" w:bottom="280" w:left="800" w:header="720" w:footer="720" w:gutter="0"/>
          <w:cols w:equalWidth="0" w:num="2">
            <w:col w:w="1557" w:space="1909"/>
            <w:col w:w="6984"/>
          </w:cols>
        </w:sectPr>
      </w:pPr>
    </w:p>
    <w:p>
      <w:pPr>
        <w:pStyle w:val="9"/>
        <w:spacing w:before="6"/>
        <w:rPr>
          <w:rFonts w:ascii="黑体"/>
          <w:sz w:val="16"/>
        </w:rPr>
      </w:pPr>
    </w:p>
    <w:p>
      <w:pPr>
        <w:tabs>
          <w:tab w:val="left" w:pos="5875"/>
          <w:tab w:val="left" w:pos="5927"/>
        </w:tabs>
        <w:spacing w:before="69" w:line="266" w:lineRule="auto"/>
        <w:ind w:left="1151" w:right="4517" w:firstLine="0"/>
        <w:jc w:val="both"/>
        <w:rPr>
          <w:rFonts w:ascii="Times New Roman" w:eastAsia="Times New Roman"/>
          <w:sz w:val="21"/>
        </w:rPr>
      </w:pPr>
      <w:r>
        <w:rPr>
          <w:rFonts w:hint="eastAsia" w:ascii="仿宋" w:eastAsia="仿宋"/>
          <w:w w:val="95"/>
          <w:sz w:val="21"/>
        </w:rPr>
        <w:t>发包人（全称）：</w:t>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w w:val="95"/>
          <w:sz w:val="21"/>
        </w:rPr>
        <w:t>承包人（全称）：</w:t>
      </w:r>
      <w:r>
        <w:rPr>
          <w:rFonts w:ascii="Times New Roman" w:eastAsia="Times New Roman"/>
          <w:w w:val="95"/>
          <w:sz w:val="21"/>
          <w:u w:val="single"/>
        </w:rPr>
        <w:t xml:space="preserve"> </w:t>
      </w:r>
      <w:r>
        <w:rPr>
          <w:rFonts w:ascii="Times New Roman" w:eastAsia="Times New Roman"/>
          <w:sz w:val="21"/>
          <w:u w:val="single"/>
        </w:rPr>
        <w:tab/>
      </w:r>
      <w:r>
        <w:rPr>
          <w:rFonts w:ascii="Times New Roman" w:eastAsia="Times New Roman"/>
          <w:sz w:val="21"/>
          <w:u w:val="single"/>
        </w:rPr>
        <w:tab/>
      </w:r>
    </w:p>
    <w:p>
      <w:pPr>
        <w:spacing w:before="111" w:line="364" w:lineRule="auto"/>
        <w:ind w:left="731" w:right="892" w:firstLine="420"/>
        <w:jc w:val="both"/>
        <w:rPr>
          <w:rFonts w:hint="eastAsia" w:ascii="仿宋" w:eastAsia="仿宋"/>
          <w:sz w:val="21"/>
        </w:rPr>
      </w:pPr>
      <w:r>
        <w:rPr>
          <w:rFonts w:hint="eastAsia" w:ascii="仿宋" w:eastAsia="仿宋"/>
          <w:w w:val="95"/>
          <w:sz w:val="21"/>
        </w:rPr>
        <w:t xml:space="preserve">为加强建设工程廉政建设，规范建设工程各项活动中发包人承包人双方的行为，防止谋取不   正当利益的违法违纪现象的发生，保护国家、集体和当事人的合法权益，根据国家有关工程建设   </w:t>
      </w:r>
      <w:r>
        <w:rPr>
          <w:rFonts w:hint="eastAsia" w:ascii="仿宋" w:eastAsia="仿宋"/>
          <w:sz w:val="21"/>
        </w:rPr>
        <w:t>的法律法规和廉政建设的有关规定，订立本廉政责任书。</w:t>
      </w:r>
    </w:p>
    <w:p>
      <w:pPr>
        <w:spacing w:before="0" w:line="269" w:lineRule="exact"/>
        <w:ind w:left="1151" w:right="0" w:firstLine="0"/>
        <w:jc w:val="left"/>
        <w:rPr>
          <w:rFonts w:hint="eastAsia" w:ascii="黑体" w:eastAsia="黑体"/>
          <w:sz w:val="21"/>
        </w:rPr>
      </w:pPr>
      <w:r>
        <w:rPr>
          <w:rFonts w:hint="eastAsia" w:ascii="黑体" w:eastAsia="黑体"/>
          <w:sz w:val="21"/>
        </w:rPr>
        <w:t>一、双方的责任</w:t>
      </w:r>
    </w:p>
    <w:p>
      <w:pPr>
        <w:pStyle w:val="13"/>
        <w:numPr>
          <w:ilvl w:val="1"/>
          <w:numId w:val="75"/>
        </w:numPr>
        <w:tabs>
          <w:tab w:val="left" w:pos="1466"/>
        </w:tabs>
        <w:spacing w:before="139" w:after="0" w:line="240" w:lineRule="auto"/>
        <w:ind w:left="1465" w:right="0" w:hanging="315"/>
        <w:jc w:val="left"/>
        <w:rPr>
          <w:rFonts w:hint="eastAsia" w:ascii="仿宋" w:eastAsia="仿宋"/>
          <w:sz w:val="21"/>
        </w:rPr>
      </w:pPr>
      <w:r>
        <w:rPr>
          <w:rFonts w:hint="eastAsia" w:ascii="仿宋" w:eastAsia="仿宋"/>
          <w:sz w:val="21"/>
        </w:rPr>
        <w:t>应严格遵守国家关于建设工程的有关法律、法规，相关政策，以及廉政建设的各项规定。</w:t>
      </w:r>
    </w:p>
    <w:p>
      <w:pPr>
        <w:pStyle w:val="13"/>
        <w:numPr>
          <w:ilvl w:val="1"/>
          <w:numId w:val="75"/>
        </w:numPr>
        <w:tabs>
          <w:tab w:val="left" w:pos="1466"/>
        </w:tabs>
        <w:spacing w:before="139" w:after="0" w:line="240" w:lineRule="auto"/>
        <w:ind w:left="1465" w:right="0" w:hanging="315"/>
        <w:jc w:val="left"/>
        <w:rPr>
          <w:rFonts w:hint="eastAsia" w:ascii="仿宋" w:eastAsia="仿宋"/>
          <w:sz w:val="21"/>
        </w:rPr>
      </w:pPr>
      <w:r>
        <w:rPr>
          <w:rFonts w:hint="eastAsia" w:ascii="仿宋" w:eastAsia="仿宋"/>
          <w:sz w:val="21"/>
        </w:rPr>
        <w:t>严格执行建设工程合同文件，自觉按合同办事。</w:t>
      </w:r>
    </w:p>
    <w:p>
      <w:pPr>
        <w:pStyle w:val="13"/>
        <w:numPr>
          <w:ilvl w:val="1"/>
          <w:numId w:val="75"/>
        </w:numPr>
        <w:tabs>
          <w:tab w:val="left" w:pos="1466"/>
        </w:tabs>
        <w:spacing w:before="139" w:after="0" w:line="367" w:lineRule="auto"/>
        <w:ind w:left="731" w:right="789" w:firstLine="420"/>
        <w:jc w:val="left"/>
        <w:rPr>
          <w:rFonts w:hint="eastAsia" w:ascii="仿宋" w:eastAsia="仿宋"/>
          <w:sz w:val="21"/>
        </w:rPr>
      </w:pPr>
      <w:r>
        <w:rPr>
          <w:rFonts w:hint="eastAsia" w:ascii="仿宋" w:eastAsia="仿宋"/>
          <w:w w:val="95"/>
          <w:sz w:val="21"/>
        </w:rPr>
        <w:t xml:space="preserve">各项活动必须坚持公开、公平、公正、诚信、透明的原则（除法律法规另有规定者外），   </w:t>
      </w:r>
      <w:r>
        <w:rPr>
          <w:rFonts w:hint="eastAsia" w:ascii="仿宋" w:eastAsia="仿宋"/>
          <w:sz w:val="21"/>
        </w:rPr>
        <w:t>不得为获取不正当的利益，损害国家、集体和对方利益，不得违反建设工程管理的规章制度。</w:t>
      </w:r>
    </w:p>
    <w:p>
      <w:pPr>
        <w:pStyle w:val="13"/>
        <w:numPr>
          <w:ilvl w:val="1"/>
          <w:numId w:val="75"/>
        </w:numPr>
        <w:tabs>
          <w:tab w:val="left" w:pos="1466"/>
        </w:tabs>
        <w:spacing w:before="0" w:after="0" w:line="364" w:lineRule="auto"/>
        <w:ind w:left="731" w:right="890" w:firstLine="420"/>
        <w:jc w:val="left"/>
        <w:rPr>
          <w:rFonts w:hint="eastAsia" w:ascii="仿宋" w:eastAsia="仿宋"/>
          <w:sz w:val="21"/>
        </w:rPr>
      </w:pPr>
      <w:r>
        <w:rPr>
          <w:rFonts w:hint="eastAsia" w:ascii="仿宋" w:eastAsia="仿宋"/>
          <w:spacing w:val="-7"/>
          <w:sz w:val="21"/>
        </w:rPr>
        <w:t>发现对方在业务活动中有违规、违纪、违法行为的，应及时提醒对方，情节严重的，应向其上级主管部门或纪检监察、司法等有关机关举报。</w:t>
      </w:r>
    </w:p>
    <w:p>
      <w:pPr>
        <w:spacing w:before="0" w:line="267" w:lineRule="exact"/>
        <w:ind w:left="1151" w:right="0" w:firstLine="0"/>
        <w:jc w:val="left"/>
        <w:rPr>
          <w:rFonts w:hint="eastAsia" w:ascii="黑体" w:eastAsia="黑体"/>
          <w:sz w:val="21"/>
        </w:rPr>
      </w:pPr>
      <w:r>
        <w:rPr>
          <w:rFonts w:hint="eastAsia" w:ascii="黑体" w:eastAsia="黑体"/>
          <w:sz w:val="21"/>
        </w:rPr>
        <w:t>二、发包人责任</w:t>
      </w:r>
    </w:p>
    <w:p>
      <w:pPr>
        <w:spacing w:before="136" w:line="364" w:lineRule="auto"/>
        <w:ind w:left="731" w:right="892" w:firstLine="420"/>
        <w:jc w:val="left"/>
        <w:rPr>
          <w:rFonts w:hint="eastAsia" w:ascii="仿宋" w:eastAsia="仿宋"/>
          <w:sz w:val="21"/>
        </w:rPr>
      </w:pPr>
      <w:r>
        <w:rPr>
          <w:rFonts w:hint="eastAsia" w:ascii="仿宋" w:eastAsia="仿宋"/>
          <w:w w:val="95"/>
          <w:sz w:val="21"/>
        </w:rPr>
        <w:t xml:space="preserve">发包人的领导和从事该建设工程项目的工作人员，在工程建设的事前、事中、事后应遵守以   </w:t>
      </w:r>
      <w:r>
        <w:rPr>
          <w:rFonts w:hint="eastAsia" w:ascii="仿宋" w:eastAsia="仿宋"/>
          <w:sz w:val="21"/>
        </w:rPr>
        <w:t>下规定：</w:t>
      </w:r>
    </w:p>
    <w:p>
      <w:pPr>
        <w:pStyle w:val="13"/>
        <w:numPr>
          <w:ilvl w:val="1"/>
          <w:numId w:val="76"/>
        </w:numPr>
        <w:tabs>
          <w:tab w:val="left" w:pos="1466"/>
        </w:tabs>
        <w:spacing w:before="0" w:after="0" w:line="267" w:lineRule="exact"/>
        <w:ind w:left="1465" w:right="0" w:hanging="315"/>
        <w:jc w:val="left"/>
        <w:rPr>
          <w:rFonts w:hint="eastAsia" w:ascii="仿宋" w:eastAsia="仿宋"/>
          <w:sz w:val="21"/>
        </w:rPr>
      </w:pPr>
      <w:r>
        <w:rPr>
          <w:rFonts w:hint="eastAsia" w:ascii="仿宋" w:eastAsia="仿宋"/>
          <w:spacing w:val="-6"/>
          <w:sz w:val="21"/>
        </w:rPr>
        <w:t>不得向承包人和相关单位索要或接受回扣、礼金、有价证券、贵重物品和好处费、感谢费</w:t>
      </w:r>
    </w:p>
    <w:p>
      <w:pPr>
        <w:spacing w:before="139"/>
        <w:ind w:left="731" w:right="0" w:firstLine="0"/>
        <w:jc w:val="left"/>
        <w:rPr>
          <w:rFonts w:hint="eastAsia" w:ascii="仿宋" w:eastAsia="仿宋"/>
          <w:sz w:val="21"/>
        </w:rPr>
      </w:pPr>
      <w:r>
        <w:rPr>
          <w:rFonts w:hint="eastAsia" w:ascii="仿宋" w:eastAsia="仿宋"/>
          <w:sz w:val="21"/>
        </w:rPr>
        <w:t>等。</w:t>
      </w:r>
    </w:p>
    <w:p>
      <w:pPr>
        <w:pStyle w:val="13"/>
        <w:numPr>
          <w:ilvl w:val="1"/>
          <w:numId w:val="76"/>
        </w:numPr>
        <w:tabs>
          <w:tab w:val="left" w:pos="1466"/>
        </w:tabs>
        <w:spacing w:before="139" w:after="0" w:line="240" w:lineRule="auto"/>
        <w:ind w:left="1465" w:right="0" w:hanging="315"/>
        <w:jc w:val="left"/>
        <w:rPr>
          <w:rFonts w:hint="eastAsia" w:ascii="仿宋" w:eastAsia="仿宋"/>
          <w:sz w:val="21"/>
        </w:rPr>
      </w:pPr>
      <w:r>
        <w:rPr>
          <w:rFonts w:hint="eastAsia" w:ascii="仿宋" w:eastAsia="仿宋"/>
          <w:sz w:val="21"/>
        </w:rPr>
        <w:t>不得在承包人和相关单位报销任何应由发包人或个人支付的费用。</w:t>
      </w:r>
    </w:p>
    <w:p>
      <w:pPr>
        <w:pStyle w:val="13"/>
        <w:numPr>
          <w:ilvl w:val="1"/>
          <w:numId w:val="76"/>
        </w:numPr>
        <w:tabs>
          <w:tab w:val="left" w:pos="1466"/>
        </w:tabs>
        <w:spacing w:before="139" w:after="0" w:line="240" w:lineRule="auto"/>
        <w:ind w:left="1465" w:right="0" w:hanging="315"/>
        <w:jc w:val="left"/>
        <w:rPr>
          <w:rFonts w:hint="eastAsia" w:ascii="仿宋" w:eastAsia="仿宋"/>
          <w:sz w:val="21"/>
        </w:rPr>
      </w:pPr>
      <w:r>
        <w:rPr>
          <w:rFonts w:hint="eastAsia" w:ascii="仿宋" w:eastAsia="仿宋"/>
          <w:spacing w:val="-8"/>
          <w:sz w:val="21"/>
        </w:rPr>
        <w:t>不得要求、暗示或接受承包人和相关单位为个人装修住房、婚丧嫁娶、配偶子女的工作安</w:t>
      </w:r>
    </w:p>
    <w:p>
      <w:pPr>
        <w:spacing w:before="142"/>
        <w:ind w:left="731" w:right="0" w:firstLine="0"/>
        <w:jc w:val="left"/>
        <w:rPr>
          <w:rFonts w:hint="eastAsia" w:ascii="仿宋" w:eastAsia="仿宋"/>
          <w:sz w:val="21"/>
        </w:rPr>
      </w:pPr>
      <w:r>
        <w:rPr>
          <w:rFonts w:hint="eastAsia" w:ascii="仿宋" w:eastAsia="仿宋"/>
          <w:sz w:val="21"/>
        </w:rPr>
        <w:t>排以及出国</w:t>
      </w:r>
      <w:r>
        <w:rPr>
          <w:rFonts w:ascii="Times New Roman" w:eastAsia="Times New Roman"/>
          <w:sz w:val="21"/>
        </w:rPr>
        <w:t>(</w:t>
      </w:r>
      <w:r>
        <w:rPr>
          <w:rFonts w:hint="eastAsia" w:ascii="仿宋" w:eastAsia="仿宋"/>
          <w:sz w:val="21"/>
        </w:rPr>
        <w:t>境</w:t>
      </w:r>
      <w:r>
        <w:rPr>
          <w:rFonts w:ascii="Times New Roman" w:eastAsia="Times New Roman"/>
          <w:sz w:val="21"/>
        </w:rPr>
        <w:t>)</w:t>
      </w:r>
      <w:r>
        <w:rPr>
          <w:rFonts w:hint="eastAsia" w:ascii="仿宋" w:eastAsia="仿宋"/>
          <w:sz w:val="21"/>
        </w:rPr>
        <w:t>、旅游等提供方便。</w:t>
      </w:r>
    </w:p>
    <w:p>
      <w:pPr>
        <w:pStyle w:val="13"/>
        <w:numPr>
          <w:ilvl w:val="1"/>
          <w:numId w:val="76"/>
        </w:numPr>
        <w:tabs>
          <w:tab w:val="left" w:pos="1466"/>
        </w:tabs>
        <w:spacing w:before="138" w:after="0" w:line="240" w:lineRule="auto"/>
        <w:ind w:left="1465" w:right="0" w:hanging="315"/>
        <w:jc w:val="left"/>
        <w:rPr>
          <w:rFonts w:hint="eastAsia" w:ascii="仿宋" w:eastAsia="仿宋"/>
          <w:sz w:val="21"/>
        </w:rPr>
      </w:pPr>
      <w:r>
        <w:rPr>
          <w:rFonts w:hint="eastAsia" w:ascii="仿宋" w:eastAsia="仿宋"/>
          <w:sz w:val="21"/>
        </w:rPr>
        <w:t>不得参加有可能影响公正执行公务的承包人和相关单位的宴请、健身、娱乐等活动。</w:t>
      </w:r>
    </w:p>
    <w:p>
      <w:pPr>
        <w:pStyle w:val="13"/>
        <w:numPr>
          <w:ilvl w:val="1"/>
          <w:numId w:val="76"/>
        </w:numPr>
        <w:tabs>
          <w:tab w:val="left" w:pos="1466"/>
        </w:tabs>
        <w:spacing w:before="139" w:after="0" w:line="364" w:lineRule="auto"/>
        <w:ind w:left="731" w:right="892" w:firstLine="420"/>
        <w:jc w:val="left"/>
        <w:rPr>
          <w:rFonts w:hint="eastAsia" w:ascii="仿宋" w:eastAsia="仿宋"/>
          <w:sz w:val="21"/>
        </w:rPr>
      </w:pPr>
      <w:r>
        <w:rPr>
          <w:rFonts w:hint="eastAsia" w:ascii="仿宋" w:eastAsia="仿宋"/>
          <w:spacing w:val="-6"/>
          <w:w w:val="95"/>
          <w:sz w:val="21"/>
        </w:rPr>
        <w:t xml:space="preserve">不得向承包人和相关单位介绍或为配偶、子女、亲属参与同发包人工程建设管理合同有关   </w:t>
      </w:r>
      <w:r>
        <w:rPr>
          <w:rFonts w:hint="eastAsia" w:ascii="仿宋" w:eastAsia="仿宋"/>
          <w:spacing w:val="-6"/>
          <w:sz w:val="21"/>
        </w:rPr>
        <w:t>的业务活动；不得以任何理由要求承包人和相关单位使用某种产品、材料和设备。</w:t>
      </w:r>
    </w:p>
    <w:p>
      <w:pPr>
        <w:spacing w:before="1"/>
        <w:ind w:left="1151" w:right="0" w:firstLine="0"/>
        <w:jc w:val="left"/>
        <w:rPr>
          <w:rFonts w:hint="eastAsia" w:ascii="黑体" w:eastAsia="黑体"/>
          <w:sz w:val="21"/>
        </w:rPr>
      </w:pPr>
      <w:r>
        <w:rPr>
          <w:rFonts w:hint="eastAsia" w:ascii="黑体" w:eastAsia="黑体"/>
          <w:sz w:val="21"/>
        </w:rPr>
        <w:t>三、承包人责任</w:t>
      </w:r>
    </w:p>
    <w:p>
      <w:pPr>
        <w:spacing w:before="139" w:line="364" w:lineRule="auto"/>
        <w:ind w:left="731" w:right="892" w:firstLine="420"/>
        <w:jc w:val="left"/>
        <w:rPr>
          <w:rFonts w:hint="eastAsia" w:ascii="仿宋" w:eastAsia="仿宋"/>
          <w:sz w:val="21"/>
        </w:rPr>
      </w:pPr>
      <w:r>
        <w:rPr>
          <w:rFonts w:hint="eastAsia" w:ascii="仿宋" w:eastAsia="仿宋"/>
          <w:w w:val="95"/>
          <w:sz w:val="21"/>
        </w:rPr>
        <w:t xml:space="preserve">应与发包人保持正常的业务交往，按照有关法律法规和程序开展业务工作，严格执行工程建   </w:t>
      </w:r>
      <w:r>
        <w:rPr>
          <w:rFonts w:hint="eastAsia" w:ascii="仿宋" w:eastAsia="仿宋"/>
          <w:sz w:val="21"/>
        </w:rPr>
        <w:t>设的有关方针、政策，执行工程建设强制性标准，并遵守以下规定：</w:t>
      </w:r>
    </w:p>
    <w:p>
      <w:pPr>
        <w:pStyle w:val="13"/>
        <w:numPr>
          <w:ilvl w:val="1"/>
          <w:numId w:val="77"/>
        </w:numPr>
        <w:tabs>
          <w:tab w:val="left" w:pos="1466"/>
        </w:tabs>
        <w:spacing w:before="0" w:after="0" w:line="364" w:lineRule="auto"/>
        <w:ind w:left="731" w:right="890" w:firstLine="420"/>
        <w:jc w:val="left"/>
        <w:rPr>
          <w:rFonts w:hint="eastAsia" w:ascii="仿宋" w:eastAsia="仿宋"/>
          <w:sz w:val="21"/>
        </w:rPr>
      </w:pPr>
      <w:r>
        <w:rPr>
          <w:rFonts w:hint="eastAsia" w:ascii="仿宋" w:eastAsia="仿宋"/>
          <w:spacing w:val="-5"/>
          <w:w w:val="95"/>
          <w:sz w:val="21"/>
        </w:rPr>
        <w:t xml:space="preserve">不得以任何理由向发包人及其工作人员索要、接受或赠送礼金、有价证券、贵重物品及回   </w:t>
      </w:r>
      <w:r>
        <w:rPr>
          <w:rFonts w:hint="eastAsia" w:ascii="仿宋" w:eastAsia="仿宋"/>
          <w:spacing w:val="-5"/>
          <w:sz w:val="21"/>
        </w:rPr>
        <w:t>扣、好处费、感谢费等。</w:t>
      </w:r>
    </w:p>
    <w:p>
      <w:pPr>
        <w:pStyle w:val="13"/>
        <w:numPr>
          <w:ilvl w:val="1"/>
          <w:numId w:val="77"/>
        </w:numPr>
        <w:tabs>
          <w:tab w:val="left" w:pos="1466"/>
        </w:tabs>
        <w:spacing w:before="0" w:after="0" w:line="267" w:lineRule="exact"/>
        <w:ind w:left="1465" w:right="0" w:hanging="315"/>
        <w:jc w:val="left"/>
        <w:rPr>
          <w:rFonts w:hint="eastAsia" w:ascii="仿宋" w:eastAsia="仿宋"/>
          <w:sz w:val="21"/>
        </w:rPr>
      </w:pPr>
      <w:r>
        <w:rPr>
          <w:rFonts w:hint="eastAsia" w:ascii="仿宋" w:eastAsia="仿宋"/>
          <w:sz w:val="21"/>
        </w:rPr>
        <w:t>不得以任何理由为发包人和相关单位报销应由对方或个人支付的费用。</w:t>
      </w:r>
    </w:p>
    <w:p>
      <w:pPr>
        <w:pStyle w:val="13"/>
        <w:numPr>
          <w:ilvl w:val="1"/>
          <w:numId w:val="77"/>
        </w:numPr>
        <w:tabs>
          <w:tab w:val="left" w:pos="1466"/>
        </w:tabs>
        <w:spacing w:before="139" w:after="0" w:line="364" w:lineRule="auto"/>
        <w:ind w:left="731" w:right="890" w:firstLine="420"/>
        <w:jc w:val="left"/>
        <w:rPr>
          <w:rFonts w:hint="eastAsia" w:ascii="仿宋" w:eastAsia="仿宋"/>
          <w:sz w:val="21"/>
        </w:rPr>
      </w:pPr>
      <w:r>
        <w:rPr>
          <w:rFonts w:hint="eastAsia" w:ascii="仿宋" w:eastAsia="仿宋"/>
          <w:spacing w:val="-6"/>
          <w:w w:val="95"/>
          <w:sz w:val="21"/>
        </w:rPr>
        <w:t xml:space="preserve">不得接受或暗示为发包人、相关单位或个人装修住房、婚丧嫁娶、配偶子女的工作安排以   </w:t>
      </w:r>
      <w:r>
        <w:rPr>
          <w:rFonts w:hint="eastAsia" w:ascii="仿宋" w:eastAsia="仿宋"/>
          <w:spacing w:val="-6"/>
          <w:sz w:val="21"/>
        </w:rPr>
        <w:t>及出国（境）、旅游等提供方便。</w:t>
      </w:r>
    </w:p>
    <w:p>
      <w:pPr>
        <w:pStyle w:val="13"/>
        <w:numPr>
          <w:ilvl w:val="1"/>
          <w:numId w:val="77"/>
        </w:numPr>
        <w:tabs>
          <w:tab w:val="left" w:pos="1466"/>
        </w:tabs>
        <w:spacing w:before="0" w:after="0" w:line="267" w:lineRule="exact"/>
        <w:ind w:left="1465" w:right="0" w:hanging="315"/>
        <w:jc w:val="left"/>
        <w:rPr>
          <w:rFonts w:hint="eastAsia" w:ascii="仿宋" w:eastAsia="仿宋"/>
          <w:sz w:val="21"/>
        </w:rPr>
      </w:pPr>
      <w:r>
        <w:rPr>
          <w:rFonts w:hint="eastAsia" w:ascii="仿宋" w:eastAsia="仿宋"/>
          <w:sz w:val="21"/>
        </w:rPr>
        <w:t>不得以任何理由为发包人、相关单位或个人组织有可能影响公正执行公务的宴请、健身、</w:t>
      </w:r>
    </w:p>
    <w:p>
      <w:pPr>
        <w:spacing w:after="0" w:line="267" w:lineRule="exact"/>
        <w:jc w:val="left"/>
        <w:rPr>
          <w:rFonts w:hint="eastAsia" w:ascii="仿宋" w:eastAsia="仿宋"/>
          <w:sz w:val="21"/>
        </w:rPr>
        <w:sectPr>
          <w:type w:val="continuous"/>
          <w:pgSz w:w="11910" w:h="16840"/>
          <w:pgMar w:top="1140" w:right="660" w:bottom="280" w:left="800" w:header="720" w:footer="720" w:gutter="0"/>
          <w:cols w:space="720" w:num="1"/>
        </w:sectPr>
      </w:pPr>
    </w:p>
    <w:p>
      <w:pPr>
        <w:pStyle w:val="9"/>
        <w:spacing w:before="12"/>
        <w:rPr>
          <w:rFonts w:ascii="仿宋"/>
          <w:sz w:val="17"/>
        </w:rPr>
      </w:pPr>
    </w:p>
    <w:p>
      <w:pPr>
        <w:spacing w:before="70"/>
        <w:ind w:left="731" w:right="0" w:firstLine="0"/>
        <w:jc w:val="left"/>
        <w:rPr>
          <w:rFonts w:hint="eastAsia" w:ascii="仿宋" w:eastAsia="仿宋"/>
          <w:sz w:val="21"/>
        </w:rPr>
      </w:pPr>
      <w:r>
        <w:rPr>
          <w:rFonts w:hint="eastAsia" w:ascii="仿宋" w:eastAsia="仿宋"/>
          <w:sz w:val="21"/>
        </w:rPr>
        <w:t>娱乐等活动。</w:t>
      </w:r>
    </w:p>
    <w:p>
      <w:pPr>
        <w:spacing w:before="139"/>
        <w:ind w:left="1151" w:right="0" w:firstLine="0"/>
        <w:jc w:val="left"/>
        <w:rPr>
          <w:rFonts w:hint="eastAsia" w:ascii="黑体" w:eastAsia="黑体"/>
          <w:sz w:val="21"/>
        </w:rPr>
      </w:pPr>
      <w:r>
        <w:rPr>
          <w:rFonts w:hint="eastAsia" w:ascii="黑体" w:eastAsia="黑体"/>
          <w:sz w:val="21"/>
        </w:rPr>
        <w:t>四、违约责任</w:t>
      </w:r>
    </w:p>
    <w:p>
      <w:pPr>
        <w:pStyle w:val="13"/>
        <w:numPr>
          <w:ilvl w:val="1"/>
          <w:numId w:val="78"/>
        </w:numPr>
        <w:tabs>
          <w:tab w:val="left" w:pos="1466"/>
        </w:tabs>
        <w:spacing w:before="141" w:after="0" w:line="364" w:lineRule="auto"/>
        <w:ind w:left="731" w:right="789" w:firstLine="420"/>
        <w:jc w:val="left"/>
        <w:rPr>
          <w:rFonts w:hint="eastAsia" w:ascii="仿宋" w:eastAsia="仿宋"/>
          <w:sz w:val="21"/>
        </w:rPr>
      </w:pPr>
      <w:r>
        <w:rPr>
          <w:rFonts w:hint="eastAsia" w:ascii="仿宋" w:eastAsia="仿宋"/>
          <w:w w:val="95"/>
          <w:sz w:val="21"/>
        </w:rPr>
        <w:t xml:space="preserve">发包人工作人员有违反本责任书第一、二条责任行为的，依据有关法律、法规给予处理；   </w:t>
      </w:r>
      <w:r>
        <w:rPr>
          <w:rFonts w:hint="eastAsia" w:ascii="仿宋" w:eastAsia="仿宋"/>
          <w:sz w:val="21"/>
        </w:rPr>
        <w:t>涉嫌犯罪的，移交司法机关追究刑事责任；给承包人单位造成经济损失的，应予以赔偿。</w:t>
      </w:r>
    </w:p>
    <w:p>
      <w:pPr>
        <w:pStyle w:val="13"/>
        <w:numPr>
          <w:ilvl w:val="1"/>
          <w:numId w:val="78"/>
        </w:numPr>
        <w:tabs>
          <w:tab w:val="left" w:pos="1466"/>
        </w:tabs>
        <w:spacing w:before="0" w:after="0" w:line="364" w:lineRule="auto"/>
        <w:ind w:left="731" w:right="892" w:firstLine="420"/>
        <w:jc w:val="left"/>
        <w:rPr>
          <w:rFonts w:hint="eastAsia" w:ascii="仿宋" w:eastAsia="仿宋"/>
          <w:sz w:val="21"/>
        </w:rPr>
      </w:pPr>
      <w:r>
        <w:rPr>
          <w:rFonts w:hint="eastAsia" w:ascii="仿宋" w:eastAsia="仿宋"/>
          <w:spacing w:val="-5"/>
          <w:w w:val="95"/>
          <w:sz w:val="21"/>
        </w:rPr>
        <w:t xml:space="preserve">承包人工作人员有违反本责任书第一、三条责任行为的，依据有关法律法规处理；涉嫌犯   </w:t>
      </w:r>
      <w:r>
        <w:rPr>
          <w:rFonts w:hint="eastAsia" w:ascii="仿宋" w:eastAsia="仿宋"/>
          <w:spacing w:val="-5"/>
          <w:sz w:val="21"/>
        </w:rPr>
        <w:t>罪的，移交司法机关追究刑事责任；给发包人单位造成经济损失的，应予以赔偿。</w:t>
      </w:r>
    </w:p>
    <w:p>
      <w:pPr>
        <w:pStyle w:val="13"/>
        <w:numPr>
          <w:ilvl w:val="1"/>
          <w:numId w:val="78"/>
        </w:numPr>
        <w:tabs>
          <w:tab w:val="left" w:pos="1466"/>
        </w:tabs>
        <w:spacing w:before="0" w:after="0" w:line="364" w:lineRule="auto"/>
        <w:ind w:left="731" w:right="892" w:firstLine="420"/>
        <w:jc w:val="left"/>
        <w:rPr>
          <w:rFonts w:hint="eastAsia" w:ascii="仿宋" w:eastAsia="仿宋"/>
          <w:sz w:val="21"/>
        </w:rPr>
      </w:pPr>
      <w:r>
        <w:rPr>
          <w:rFonts w:hint="eastAsia" w:ascii="仿宋" w:eastAsia="仿宋"/>
          <w:spacing w:val="-5"/>
          <w:w w:val="95"/>
          <w:sz w:val="21"/>
        </w:rPr>
        <w:t xml:space="preserve">本责任书作为建设工程合同的组成部分，与建设工程合同具有同等法律效力。经双方签署   </w:t>
      </w:r>
      <w:r>
        <w:rPr>
          <w:rFonts w:hint="eastAsia" w:ascii="仿宋" w:eastAsia="仿宋"/>
          <w:spacing w:val="-5"/>
          <w:sz w:val="21"/>
        </w:rPr>
        <w:t>后立即生效。</w:t>
      </w:r>
    </w:p>
    <w:p>
      <w:pPr>
        <w:spacing w:before="0" w:line="267" w:lineRule="exact"/>
        <w:ind w:left="1151" w:right="0" w:firstLine="0"/>
        <w:jc w:val="left"/>
        <w:rPr>
          <w:rFonts w:hint="eastAsia" w:ascii="黑体" w:eastAsia="黑体"/>
          <w:sz w:val="21"/>
        </w:rPr>
      </w:pPr>
      <w:r>
        <w:rPr>
          <w:rFonts w:hint="eastAsia" w:ascii="黑体" w:eastAsia="黑体"/>
          <w:sz w:val="21"/>
        </w:rPr>
        <w:t>五、责任书有效期</w:t>
      </w:r>
    </w:p>
    <w:p>
      <w:pPr>
        <w:spacing w:before="137"/>
        <w:ind w:left="1151" w:right="0" w:firstLine="0"/>
        <w:jc w:val="left"/>
        <w:rPr>
          <w:rFonts w:hint="eastAsia" w:ascii="仿宋" w:eastAsia="仿宋"/>
          <w:sz w:val="21"/>
        </w:rPr>
      </w:pPr>
      <w:r>
        <w:rPr>
          <w:rFonts w:hint="eastAsia" w:ascii="仿宋" w:eastAsia="仿宋"/>
          <w:sz w:val="21"/>
        </w:rPr>
        <w:t>本责任书的有效期为双方签署之日起至该工程项目竣工验收合格时止。</w:t>
      </w:r>
    </w:p>
    <w:p>
      <w:pPr>
        <w:pStyle w:val="9"/>
        <w:rPr>
          <w:rFonts w:ascii="仿宋"/>
          <w:sz w:val="20"/>
        </w:rPr>
      </w:pPr>
    </w:p>
    <w:p>
      <w:pPr>
        <w:pStyle w:val="9"/>
        <w:rPr>
          <w:rFonts w:ascii="仿宋"/>
          <w:sz w:val="20"/>
        </w:rPr>
      </w:pPr>
    </w:p>
    <w:p>
      <w:pPr>
        <w:pStyle w:val="9"/>
        <w:spacing w:before="6"/>
        <w:rPr>
          <w:rFonts w:ascii="仿宋"/>
          <w:sz w:val="27"/>
        </w:rPr>
      </w:pPr>
    </w:p>
    <w:p>
      <w:pPr>
        <w:tabs>
          <w:tab w:val="left" w:pos="3776"/>
          <w:tab w:val="left" w:pos="6785"/>
          <w:tab w:val="left" w:pos="6976"/>
        </w:tabs>
        <w:spacing w:before="0" w:line="364" w:lineRule="auto"/>
        <w:ind w:left="731" w:right="3468" w:firstLine="0"/>
        <w:jc w:val="left"/>
        <w:rPr>
          <w:rFonts w:ascii="Times New Roman" w:eastAsia="Times New Roman"/>
          <w:sz w:val="21"/>
        </w:rPr>
      </w:pPr>
      <w:r>
        <w:rPr>
          <w:rFonts w:hint="eastAsia" w:ascii="仿宋" w:eastAsia="仿宋"/>
          <w:spacing w:val="5"/>
          <w:w w:val="90"/>
          <w:sz w:val="21"/>
        </w:rPr>
        <w:t>发</w:t>
      </w:r>
      <w:r>
        <w:rPr>
          <w:rFonts w:hint="eastAsia" w:ascii="仿宋" w:eastAsia="仿宋"/>
          <w:spacing w:val="3"/>
          <w:w w:val="90"/>
          <w:sz w:val="21"/>
        </w:rPr>
        <w:t>包</w:t>
      </w:r>
      <w:r>
        <w:rPr>
          <w:rFonts w:hint="eastAsia" w:ascii="仿宋" w:eastAsia="仿宋"/>
          <w:spacing w:val="5"/>
          <w:w w:val="90"/>
          <w:sz w:val="21"/>
        </w:rPr>
        <w:t>人</w:t>
      </w:r>
      <w:r>
        <w:rPr>
          <w:rFonts w:ascii="Times New Roman" w:eastAsia="Times New Roman"/>
          <w:w w:val="90"/>
          <w:sz w:val="21"/>
        </w:rPr>
        <w:t>(</w:t>
      </w:r>
      <w:r>
        <w:rPr>
          <w:rFonts w:hint="eastAsia" w:ascii="仿宋" w:eastAsia="仿宋"/>
          <w:spacing w:val="5"/>
          <w:w w:val="90"/>
          <w:sz w:val="21"/>
        </w:rPr>
        <w:t>公</w:t>
      </w:r>
      <w:r>
        <w:rPr>
          <w:rFonts w:hint="eastAsia" w:ascii="仿宋" w:eastAsia="仿宋"/>
          <w:spacing w:val="3"/>
          <w:w w:val="90"/>
          <w:sz w:val="21"/>
        </w:rPr>
        <w:t>章</w:t>
      </w:r>
      <w:r>
        <w:rPr>
          <w:rFonts w:ascii="Times New Roman" w:eastAsia="Times New Roman"/>
          <w:spacing w:val="3"/>
          <w:w w:val="90"/>
          <w:sz w:val="21"/>
        </w:rPr>
        <w:t>)</w:t>
      </w:r>
      <w:r>
        <w:rPr>
          <w:rFonts w:hint="eastAsia" w:ascii="仿宋" w:eastAsia="仿宋"/>
          <w:spacing w:val="3"/>
          <w:w w:val="90"/>
          <w:sz w:val="21"/>
        </w:rPr>
        <w:t>：</w:t>
      </w:r>
      <w:r>
        <w:rPr>
          <w:rFonts w:hint="eastAsia" w:ascii="仿宋" w:eastAsia="仿宋"/>
          <w:spacing w:val="3"/>
          <w:w w:val="90"/>
          <w:sz w:val="21"/>
          <w:lang w:val="en-US" w:eastAsia="zh-CN"/>
        </w:rPr>
        <w:t xml:space="preserve">  </w:t>
      </w:r>
      <w:r>
        <w:rPr>
          <w:rFonts w:hint="eastAsia" w:ascii="仿宋" w:eastAsia="仿宋"/>
          <w:w w:val="90"/>
          <w:sz w:val="21"/>
        </w:rPr>
        <w:tab/>
      </w:r>
      <w:r>
        <w:rPr>
          <w:rFonts w:hint="eastAsia" w:ascii="仿宋" w:eastAsia="仿宋"/>
          <w:spacing w:val="5"/>
          <w:w w:val="85"/>
          <w:sz w:val="21"/>
        </w:rPr>
        <w:t>承</w:t>
      </w:r>
      <w:r>
        <w:rPr>
          <w:rFonts w:hint="eastAsia" w:ascii="仿宋" w:eastAsia="仿宋"/>
          <w:spacing w:val="3"/>
          <w:w w:val="85"/>
          <w:sz w:val="21"/>
        </w:rPr>
        <w:t>包</w:t>
      </w:r>
      <w:r>
        <w:rPr>
          <w:rFonts w:hint="eastAsia" w:ascii="仿宋" w:eastAsia="仿宋"/>
          <w:spacing w:val="5"/>
          <w:w w:val="85"/>
          <w:sz w:val="21"/>
        </w:rPr>
        <w:t>人</w:t>
      </w:r>
      <w:r>
        <w:rPr>
          <w:rFonts w:ascii="Times New Roman" w:eastAsia="Times New Roman"/>
          <w:w w:val="85"/>
          <w:sz w:val="21"/>
        </w:rPr>
        <w:t>(</w:t>
      </w:r>
      <w:r>
        <w:rPr>
          <w:rFonts w:hint="eastAsia" w:ascii="仿宋" w:eastAsia="仿宋"/>
          <w:spacing w:val="5"/>
          <w:w w:val="85"/>
          <w:sz w:val="21"/>
        </w:rPr>
        <w:t>公</w:t>
      </w:r>
      <w:r>
        <w:rPr>
          <w:rFonts w:hint="eastAsia" w:ascii="仿宋" w:eastAsia="仿宋"/>
          <w:spacing w:val="3"/>
          <w:w w:val="85"/>
          <w:sz w:val="21"/>
        </w:rPr>
        <w:t>章</w:t>
      </w:r>
      <w:r>
        <w:rPr>
          <w:rFonts w:ascii="Times New Roman" w:eastAsia="Times New Roman"/>
          <w:spacing w:val="3"/>
          <w:w w:val="85"/>
          <w:sz w:val="21"/>
        </w:rPr>
        <w:t>)</w:t>
      </w:r>
      <w:r>
        <w:rPr>
          <w:rFonts w:hint="eastAsia" w:ascii="仿宋" w:eastAsia="仿宋"/>
          <w:spacing w:val="3"/>
          <w:w w:val="85"/>
          <w:sz w:val="21"/>
        </w:rPr>
        <w:t>：</w:t>
      </w:r>
      <w:r>
        <w:rPr>
          <w:rFonts w:hint="eastAsia" w:ascii="仿宋" w:eastAsia="仿宋"/>
          <w:spacing w:val="3"/>
          <w:w w:val="85"/>
          <w:sz w:val="21"/>
          <w:u w:val="single"/>
        </w:rPr>
        <w:tab/>
      </w:r>
      <w:r>
        <w:rPr>
          <w:rFonts w:hint="eastAsia" w:ascii="仿宋" w:eastAsia="仿宋"/>
          <w:w w:val="85"/>
          <w:sz w:val="21"/>
          <w:u w:val="single"/>
        </w:rPr>
        <w:t xml:space="preserve"> </w:t>
      </w:r>
      <w:r>
        <w:rPr>
          <w:rFonts w:hint="eastAsia" w:ascii="仿宋" w:eastAsia="仿宋"/>
          <w:sz w:val="21"/>
        </w:rPr>
        <w:t>地址：</w:t>
      </w:r>
      <w:r>
        <w:rPr>
          <w:rFonts w:hint="eastAsia" w:ascii="仿宋" w:eastAsia="仿宋"/>
          <w:spacing w:val="-3"/>
          <w:sz w:val="21"/>
          <w:u w:val="single"/>
        </w:rPr>
        <w:t xml:space="preserve"> </w:t>
      </w:r>
      <w:r>
        <w:rPr>
          <w:rFonts w:hint="eastAsia" w:ascii="仿宋" w:eastAsia="仿宋"/>
          <w:spacing w:val="-3"/>
          <w:sz w:val="21"/>
          <w:u w:val="single"/>
          <w:lang w:val="en-US" w:eastAsia="zh-CN"/>
        </w:rPr>
        <w:t xml:space="preserve">       </w:t>
      </w:r>
      <w:r>
        <w:rPr>
          <w:rFonts w:hint="eastAsia" w:ascii="仿宋" w:eastAsia="仿宋"/>
          <w:sz w:val="21"/>
        </w:rPr>
        <w:tab/>
      </w:r>
      <w:r>
        <w:rPr>
          <w:rFonts w:hint="eastAsia" w:ascii="仿宋" w:eastAsia="仿宋"/>
          <w:w w:val="95"/>
          <w:sz w:val="21"/>
        </w:rPr>
        <w:t>地址：</w:t>
      </w:r>
      <w:r>
        <w:rPr>
          <w:rFonts w:ascii="Times New Roman" w:eastAsia="Times New Roman"/>
          <w:w w:val="95"/>
          <w:sz w:val="21"/>
          <w:u w:val="single"/>
        </w:rPr>
        <w:t xml:space="preserve"> </w:t>
      </w:r>
      <w:r>
        <w:rPr>
          <w:rFonts w:ascii="Times New Roman" w:eastAsia="Times New Roman"/>
          <w:sz w:val="21"/>
          <w:u w:val="single"/>
        </w:rPr>
        <w:tab/>
      </w:r>
      <w:r>
        <w:rPr>
          <w:rFonts w:ascii="Times New Roman" w:eastAsia="Times New Roman"/>
          <w:sz w:val="21"/>
          <w:u w:val="single"/>
        </w:rPr>
        <w:tab/>
      </w:r>
    </w:p>
    <w:p>
      <w:pPr>
        <w:tabs>
          <w:tab w:val="left" w:pos="2619"/>
          <w:tab w:val="left" w:pos="3810"/>
          <w:tab w:val="left" w:pos="6031"/>
          <w:tab w:val="left" w:pos="7571"/>
          <w:tab w:val="left" w:pos="7675"/>
        </w:tabs>
        <w:spacing w:before="0" w:line="364" w:lineRule="auto"/>
        <w:ind w:left="731" w:right="2769" w:firstLine="0"/>
        <w:jc w:val="left"/>
        <w:rPr>
          <w:rFonts w:ascii="Times New Roman" w:eastAsia="Times New Roman"/>
          <w:sz w:val="21"/>
        </w:rPr>
      </w:pPr>
      <w:r>
        <w:rPr>
          <w:rFonts w:hint="eastAsia" w:ascii="仿宋" w:eastAsia="仿宋"/>
          <w:sz w:val="21"/>
        </w:rPr>
        <w:t>法定代表人</w:t>
      </w:r>
      <w:r>
        <w:rPr>
          <w:rFonts w:ascii="Times New Roman" w:eastAsia="Times New Roman"/>
          <w:sz w:val="21"/>
        </w:rPr>
        <w:t>(</w:t>
      </w:r>
      <w:r>
        <w:rPr>
          <w:rFonts w:hint="eastAsia" w:ascii="仿宋" w:eastAsia="仿宋"/>
          <w:sz w:val="21"/>
        </w:rPr>
        <w:t>签字</w:t>
      </w:r>
      <w:r>
        <w:rPr>
          <w:rFonts w:ascii="Times New Roman" w:eastAsia="Times New Roman"/>
          <w:sz w:val="21"/>
        </w:rPr>
        <w:t>)</w:t>
      </w:r>
      <w:r>
        <w:rPr>
          <w:rFonts w:hint="eastAsia" w:ascii="仿宋" w:eastAsia="仿宋"/>
          <w:sz w:val="21"/>
        </w:rPr>
        <w:t>：</w:t>
      </w:r>
      <w:r>
        <w:rPr>
          <w:rFonts w:hint="eastAsia" w:ascii="仿宋" w:eastAsia="仿宋"/>
          <w:sz w:val="21"/>
          <w:u w:val="single"/>
        </w:rPr>
        <w:t xml:space="preserve"> </w:t>
      </w:r>
      <w:r>
        <w:rPr>
          <w:rFonts w:hint="eastAsia" w:ascii="仿宋" w:eastAsia="仿宋"/>
          <w:sz w:val="21"/>
          <w:u w:val="single"/>
        </w:rPr>
        <w:tab/>
      </w:r>
      <w:r>
        <w:rPr>
          <w:rFonts w:hint="eastAsia" w:ascii="仿宋" w:eastAsia="仿宋"/>
          <w:w w:val="95"/>
          <w:sz w:val="21"/>
        </w:rPr>
        <w:t>法定代表人</w:t>
      </w:r>
      <w:r>
        <w:rPr>
          <w:rFonts w:ascii="Times New Roman" w:eastAsia="Times New Roman"/>
          <w:w w:val="95"/>
          <w:sz w:val="21"/>
        </w:rPr>
        <w:t>(</w:t>
      </w:r>
      <w:r>
        <w:rPr>
          <w:rFonts w:hint="eastAsia" w:ascii="仿宋" w:eastAsia="仿宋"/>
          <w:w w:val="95"/>
          <w:sz w:val="21"/>
        </w:rPr>
        <w:t>签字</w:t>
      </w:r>
      <w:r>
        <w:rPr>
          <w:rFonts w:ascii="Times New Roman" w:eastAsia="Times New Roman"/>
          <w:w w:val="95"/>
          <w:sz w:val="21"/>
        </w:rPr>
        <w:t>)</w:t>
      </w:r>
      <w:r>
        <w:rPr>
          <w:rFonts w:hint="eastAsia" w:ascii="仿宋" w:eastAsia="仿宋"/>
          <w:w w:val="95"/>
          <w:sz w:val="21"/>
        </w:rPr>
        <w:t>：</w:t>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sz w:val="21"/>
        </w:rPr>
        <w:t>委托代理人</w:t>
      </w:r>
      <w:r>
        <w:rPr>
          <w:rFonts w:ascii="Times New Roman" w:eastAsia="Times New Roman"/>
          <w:sz w:val="21"/>
        </w:rPr>
        <w:t>(</w:t>
      </w:r>
      <w:r>
        <w:rPr>
          <w:rFonts w:hint="eastAsia" w:ascii="仿宋" w:eastAsia="仿宋"/>
          <w:sz w:val="21"/>
        </w:rPr>
        <w:t>签字</w:t>
      </w:r>
      <w:r>
        <w:rPr>
          <w:rFonts w:ascii="Times New Roman" w:eastAsia="Times New Roman"/>
          <w:sz w:val="21"/>
        </w:rPr>
        <w:t>)</w:t>
      </w:r>
      <w:r>
        <w:rPr>
          <w:rFonts w:hint="eastAsia" w:ascii="仿宋" w:eastAsia="仿宋"/>
          <w:sz w:val="21"/>
        </w:rPr>
        <w:t>：</w:t>
      </w:r>
      <w:r>
        <w:rPr>
          <w:rFonts w:hint="eastAsia" w:ascii="仿宋" w:eastAsia="仿宋"/>
          <w:sz w:val="21"/>
          <w:u w:val="single"/>
        </w:rPr>
        <w:t xml:space="preserve"> </w:t>
      </w:r>
      <w:r>
        <w:rPr>
          <w:rFonts w:hint="eastAsia" w:ascii="仿宋" w:eastAsia="仿宋"/>
          <w:sz w:val="21"/>
          <w:u w:val="single"/>
        </w:rPr>
        <w:tab/>
      </w:r>
      <w:r>
        <w:rPr>
          <w:rFonts w:hint="eastAsia" w:ascii="仿宋" w:eastAsia="仿宋"/>
          <w:w w:val="95"/>
          <w:sz w:val="21"/>
        </w:rPr>
        <w:t>委托代理人</w:t>
      </w:r>
      <w:r>
        <w:rPr>
          <w:rFonts w:ascii="Times New Roman" w:eastAsia="Times New Roman"/>
          <w:w w:val="95"/>
          <w:sz w:val="21"/>
        </w:rPr>
        <w:t>(</w:t>
      </w:r>
      <w:r>
        <w:rPr>
          <w:rFonts w:hint="eastAsia" w:ascii="仿宋" w:eastAsia="仿宋"/>
          <w:w w:val="95"/>
          <w:sz w:val="21"/>
        </w:rPr>
        <w:t>签字</w:t>
      </w:r>
      <w:r>
        <w:rPr>
          <w:rFonts w:ascii="Times New Roman" w:eastAsia="Times New Roman"/>
          <w:w w:val="95"/>
          <w:sz w:val="21"/>
        </w:rPr>
        <w:t>)</w:t>
      </w:r>
      <w:r>
        <w:rPr>
          <w:rFonts w:hint="eastAsia" w:ascii="仿宋" w:eastAsia="仿宋"/>
          <w:w w:val="95"/>
          <w:sz w:val="21"/>
        </w:rPr>
        <w:t>：</w:t>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sz w:val="21"/>
        </w:rPr>
        <w:t>电话：</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电话：</w:t>
      </w:r>
      <w:r>
        <w:rPr>
          <w:rFonts w:ascii="Times New Roman" w:eastAsia="Times New Roman"/>
          <w:sz w:val="21"/>
          <w:u w:val="single"/>
        </w:rPr>
        <w:t xml:space="preserve"> </w:t>
      </w:r>
      <w:r>
        <w:rPr>
          <w:rFonts w:ascii="Times New Roman" w:eastAsia="Times New Roman"/>
          <w:sz w:val="21"/>
          <w:u w:val="single"/>
        </w:rPr>
        <w:tab/>
      </w:r>
      <w:r>
        <w:rPr>
          <w:rFonts w:ascii="Times New Roman" w:eastAsia="Times New Roman"/>
          <w:sz w:val="21"/>
          <w:u w:val="single"/>
        </w:rPr>
        <w:tab/>
      </w:r>
    </w:p>
    <w:p>
      <w:pPr>
        <w:tabs>
          <w:tab w:val="left" w:pos="2516"/>
          <w:tab w:val="left" w:pos="5927"/>
        </w:tabs>
        <w:spacing w:before="0" w:line="269" w:lineRule="exact"/>
        <w:ind w:left="731" w:right="0" w:firstLine="0"/>
        <w:jc w:val="left"/>
        <w:rPr>
          <w:rFonts w:ascii="Times New Roman" w:eastAsia="Times New Roman"/>
          <w:sz w:val="21"/>
        </w:rPr>
      </w:pPr>
      <w:r>
        <w:rPr>
          <w:rFonts w:hint="eastAsia" w:ascii="仿宋" w:eastAsia="仿宋"/>
          <w:sz w:val="21"/>
        </w:rPr>
        <w:t>传真：</w:t>
      </w:r>
      <w:r>
        <w:rPr>
          <w:rFonts w:hint="eastAsia" w:ascii="仿宋" w:eastAsia="仿宋"/>
          <w:sz w:val="21"/>
          <w:u w:val="single"/>
        </w:rPr>
        <w:t xml:space="preserve"> </w:t>
      </w:r>
      <w:r>
        <w:rPr>
          <w:rFonts w:hint="eastAsia" w:ascii="仿宋" w:eastAsia="仿宋"/>
          <w:sz w:val="21"/>
          <w:u w:val="single"/>
        </w:rPr>
        <w:tab/>
      </w:r>
      <w:r>
        <w:rPr>
          <w:rFonts w:hint="eastAsia" w:ascii="仿宋" w:eastAsia="仿宋"/>
          <w:w w:val="95"/>
          <w:sz w:val="21"/>
        </w:rPr>
        <w:t>传真：</w:t>
      </w:r>
      <w:r>
        <w:rPr>
          <w:rFonts w:ascii="Times New Roman" w:eastAsia="Times New Roman"/>
          <w:w w:val="95"/>
          <w:sz w:val="21"/>
          <w:u w:val="single"/>
        </w:rPr>
        <w:t xml:space="preserve"> </w:t>
      </w:r>
      <w:r>
        <w:rPr>
          <w:rFonts w:ascii="Times New Roman" w:eastAsia="Times New Roman"/>
          <w:sz w:val="21"/>
          <w:u w:val="single"/>
        </w:rPr>
        <w:tab/>
      </w:r>
    </w:p>
    <w:p>
      <w:pPr>
        <w:tabs>
          <w:tab w:val="left" w:pos="3879"/>
          <w:tab w:val="left" w:pos="7082"/>
          <w:tab w:val="left" w:pos="7187"/>
        </w:tabs>
        <w:spacing w:before="137" w:line="367" w:lineRule="auto"/>
        <w:ind w:left="731" w:right="3257" w:firstLine="0"/>
        <w:jc w:val="left"/>
        <w:rPr>
          <w:rFonts w:ascii="Times New Roman" w:eastAsia="Times New Roman"/>
          <w:sz w:val="21"/>
        </w:rPr>
      </w:pPr>
      <w:r>
        <w:rPr>
          <w:rFonts w:hint="eastAsia" w:ascii="仿宋" w:eastAsia="仿宋"/>
          <w:sz w:val="21"/>
        </w:rPr>
        <w:t>开户银行：</w:t>
      </w:r>
      <w:r>
        <w:rPr>
          <w:rFonts w:hint="eastAsia" w:ascii="仿宋" w:eastAsia="仿宋"/>
          <w:sz w:val="21"/>
          <w:u w:val="single"/>
        </w:rPr>
        <w:tab/>
      </w:r>
      <w:r>
        <w:rPr>
          <w:rFonts w:hint="eastAsia" w:ascii="仿宋" w:eastAsia="仿宋"/>
          <w:w w:val="95"/>
          <w:sz w:val="21"/>
        </w:rPr>
        <w:t>开户银行：</w:t>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sz w:val="21"/>
        </w:rPr>
        <w:t>账号：</w:t>
      </w:r>
      <w:r>
        <w:rPr>
          <w:rFonts w:ascii="Times New Roman" w:eastAsia="Times New Roman"/>
          <w:sz w:val="21"/>
          <w:u w:val="single"/>
        </w:rPr>
        <w:tab/>
      </w:r>
      <w:r>
        <w:rPr>
          <w:rFonts w:hint="eastAsia" w:ascii="仿宋" w:eastAsia="仿宋"/>
          <w:sz w:val="21"/>
        </w:rPr>
        <w:t>账号：</w:t>
      </w:r>
      <w:r>
        <w:rPr>
          <w:rFonts w:ascii="Times New Roman" w:eastAsia="Times New Roman"/>
          <w:sz w:val="21"/>
          <w:u w:val="single"/>
        </w:rPr>
        <w:t xml:space="preserve"> </w:t>
      </w:r>
      <w:r>
        <w:rPr>
          <w:rFonts w:ascii="Times New Roman" w:eastAsia="Times New Roman"/>
          <w:sz w:val="21"/>
          <w:u w:val="single"/>
        </w:rPr>
        <w:tab/>
      </w:r>
    </w:p>
    <w:p>
      <w:pPr>
        <w:tabs>
          <w:tab w:val="left" w:pos="3879"/>
          <w:tab w:val="left" w:pos="7082"/>
        </w:tabs>
        <w:spacing w:before="0" w:line="264" w:lineRule="exact"/>
        <w:ind w:left="731" w:right="0" w:firstLine="0"/>
        <w:jc w:val="left"/>
        <w:rPr>
          <w:rFonts w:ascii="Times New Roman" w:eastAsia="Times New Roman"/>
          <w:sz w:val="21"/>
        </w:rPr>
      </w:pPr>
      <w:r>
        <w:rPr>
          <w:rFonts w:hint="eastAsia" w:ascii="仿宋" w:eastAsia="仿宋"/>
          <w:sz w:val="21"/>
        </w:rPr>
        <w:t>邮政编码：</w:t>
      </w:r>
      <w:r>
        <w:rPr>
          <w:rFonts w:ascii="Times New Roman" w:eastAsia="Times New Roman"/>
          <w:sz w:val="21"/>
          <w:u w:val="single"/>
        </w:rPr>
        <w:tab/>
      </w:r>
      <w:r>
        <w:rPr>
          <w:rFonts w:hint="eastAsia" w:ascii="仿宋" w:eastAsia="仿宋"/>
          <w:w w:val="95"/>
          <w:sz w:val="21"/>
        </w:rPr>
        <w:t>邮政编码：</w:t>
      </w:r>
      <w:r>
        <w:rPr>
          <w:rFonts w:ascii="Times New Roman" w:eastAsia="Times New Roman"/>
          <w:w w:val="95"/>
          <w:sz w:val="21"/>
          <w:u w:val="single"/>
        </w:rPr>
        <w:t xml:space="preserve"> </w:t>
      </w:r>
      <w:r>
        <w:rPr>
          <w:rFonts w:ascii="Times New Roman" w:eastAsia="Times New Roman"/>
          <w:sz w:val="21"/>
          <w:u w:val="single"/>
        </w:rPr>
        <w:tab/>
      </w:r>
    </w:p>
    <w:p>
      <w:pPr>
        <w:spacing w:after="0" w:line="264" w:lineRule="exact"/>
        <w:jc w:val="left"/>
        <w:rPr>
          <w:rFonts w:ascii="Times New Roman" w:eastAsia="Times New Roman"/>
          <w:sz w:val="21"/>
        </w:rPr>
        <w:sectPr>
          <w:pgSz w:w="11910" w:h="16840"/>
          <w:pgMar w:top="1100" w:right="660" w:bottom="1200" w:left="800" w:header="878" w:footer="1003" w:gutter="0"/>
          <w:cols w:space="720" w:num="1"/>
        </w:sectPr>
      </w:pPr>
    </w:p>
    <w:p>
      <w:pPr>
        <w:pStyle w:val="9"/>
        <w:spacing w:before="5"/>
        <w:rPr>
          <w:rFonts w:ascii="Times New Roman"/>
          <w:sz w:val="19"/>
        </w:rPr>
      </w:pPr>
    </w:p>
    <w:p>
      <w:pPr>
        <w:spacing w:after="0"/>
        <w:rPr>
          <w:rFonts w:ascii="Times New Roman"/>
          <w:sz w:val="19"/>
        </w:rPr>
        <w:sectPr>
          <w:pgSz w:w="11910" w:h="16840"/>
          <w:pgMar w:top="1100" w:right="660" w:bottom="1200" w:left="800" w:header="878" w:footer="1003" w:gutter="0"/>
          <w:cols w:space="720" w:num="1"/>
        </w:sectPr>
      </w:pPr>
    </w:p>
    <w:p>
      <w:pPr>
        <w:spacing w:before="76"/>
        <w:ind w:left="731" w:right="0" w:firstLine="0"/>
        <w:jc w:val="left"/>
        <w:rPr>
          <w:rFonts w:hint="eastAsia" w:ascii="仿宋" w:eastAsia="仿宋"/>
          <w:sz w:val="21"/>
        </w:rPr>
      </w:pPr>
      <w:r>
        <w:rPr>
          <w:rFonts w:hint="eastAsia" w:ascii="仿宋" w:eastAsia="仿宋"/>
          <w:spacing w:val="-18"/>
          <w:sz w:val="21"/>
        </w:rPr>
        <w:t xml:space="preserve">附件 </w:t>
      </w:r>
      <w:r>
        <w:rPr>
          <w:rFonts w:ascii="Times New Roman" w:eastAsia="Times New Roman"/>
          <w:sz w:val="21"/>
        </w:rPr>
        <w:t>3</w:t>
      </w:r>
      <w:r>
        <w:rPr>
          <w:rFonts w:hint="eastAsia" w:ascii="仿宋" w:eastAsia="仿宋"/>
          <w:sz w:val="21"/>
        </w:rPr>
        <w:t>：</w:t>
      </w:r>
    </w:p>
    <w:p>
      <w:pPr>
        <w:pStyle w:val="9"/>
        <w:rPr>
          <w:rFonts w:ascii="仿宋"/>
          <w:sz w:val="20"/>
        </w:rPr>
      </w:pPr>
      <w:r>
        <w:br w:type="column"/>
      </w:r>
    </w:p>
    <w:p>
      <w:pPr>
        <w:pStyle w:val="9"/>
        <w:spacing w:before="10"/>
        <w:rPr>
          <w:rFonts w:ascii="仿宋"/>
          <w:sz w:val="17"/>
        </w:rPr>
      </w:pPr>
    </w:p>
    <w:p>
      <w:pPr>
        <w:spacing w:before="0"/>
        <w:ind w:left="731" w:right="0" w:firstLine="0"/>
        <w:jc w:val="left"/>
        <w:rPr>
          <w:rFonts w:hint="eastAsia" w:ascii="黑体" w:eastAsia="黑体"/>
          <w:sz w:val="21"/>
        </w:rPr>
      </w:pPr>
      <w:r>
        <w:rPr>
          <w:rFonts w:hint="eastAsia" w:ascii="黑体" w:eastAsia="黑体"/>
          <w:sz w:val="21"/>
        </w:rPr>
        <w:t>安全生产责任协议书</w:t>
      </w:r>
    </w:p>
    <w:p>
      <w:pPr>
        <w:spacing w:after="0"/>
        <w:jc w:val="left"/>
        <w:rPr>
          <w:rFonts w:hint="eastAsia" w:ascii="黑体" w:eastAsia="黑体"/>
          <w:sz w:val="21"/>
        </w:rPr>
        <w:sectPr>
          <w:type w:val="continuous"/>
          <w:pgSz w:w="11910" w:h="16840"/>
          <w:pgMar w:top="1140" w:right="660" w:bottom="280" w:left="800" w:header="720" w:footer="720" w:gutter="0"/>
          <w:cols w:equalWidth="0" w:num="2">
            <w:col w:w="1557" w:space="2118"/>
            <w:col w:w="6775"/>
          </w:cols>
        </w:sectPr>
      </w:pPr>
    </w:p>
    <w:p>
      <w:pPr>
        <w:spacing w:before="141" w:line="364" w:lineRule="auto"/>
        <w:ind w:left="731" w:right="892" w:firstLine="420"/>
        <w:jc w:val="left"/>
        <w:rPr>
          <w:rFonts w:hint="eastAsia" w:ascii="仿宋" w:eastAsia="仿宋"/>
          <w:sz w:val="21"/>
        </w:rPr>
      </w:pPr>
      <w:r>
        <w:rPr>
          <w:rFonts w:hint="eastAsia" w:ascii="仿宋" w:eastAsia="仿宋"/>
          <w:w w:val="95"/>
          <w:sz w:val="21"/>
        </w:rPr>
        <w:t xml:space="preserve">为落实安全生产的管理要求，确保工程建设的顺利进行，经甲乙双方共同协商，同意明确如   </w:t>
      </w:r>
      <w:r>
        <w:rPr>
          <w:rFonts w:hint="eastAsia" w:ascii="仿宋" w:eastAsia="仿宋"/>
          <w:sz w:val="21"/>
        </w:rPr>
        <w:t>下协议：</w:t>
      </w:r>
    </w:p>
    <w:p>
      <w:pPr>
        <w:spacing w:before="0" w:line="364" w:lineRule="auto"/>
        <w:ind w:left="731" w:right="892" w:firstLine="420"/>
        <w:jc w:val="both"/>
        <w:rPr>
          <w:rFonts w:hint="eastAsia" w:ascii="仿宋" w:eastAsia="仿宋"/>
          <w:sz w:val="21"/>
        </w:rPr>
      </w:pPr>
      <w:r>
        <w:rPr>
          <w:rFonts w:hint="eastAsia" w:ascii="仿宋" w:eastAsia="仿宋"/>
          <w:w w:val="95"/>
          <w:sz w:val="21"/>
        </w:rPr>
        <w:t xml:space="preserve">一、发包人在施工开始前向承包人提交必要的施工场地，明确承包人安全生产管理的责任区   域和要求，承包人负责施工现场的安全管理工作，是施工现场安全管理的责任单位。承包人必须   </w:t>
      </w:r>
      <w:r>
        <w:rPr>
          <w:rFonts w:hint="eastAsia" w:ascii="仿宋" w:eastAsia="仿宋"/>
          <w:sz w:val="21"/>
        </w:rPr>
        <w:t>建立安全生产保证体系，其相关文件报发包人备案。</w:t>
      </w:r>
    </w:p>
    <w:p>
      <w:pPr>
        <w:spacing w:before="0" w:line="364" w:lineRule="auto"/>
        <w:ind w:left="731" w:right="892" w:firstLine="420"/>
        <w:jc w:val="left"/>
        <w:rPr>
          <w:rFonts w:hint="eastAsia" w:ascii="仿宋" w:eastAsia="仿宋"/>
          <w:sz w:val="21"/>
        </w:rPr>
      </w:pPr>
      <w:r>
        <w:rPr>
          <w:rFonts w:hint="eastAsia" w:ascii="仿宋" w:eastAsia="仿宋"/>
          <w:w w:val="95"/>
          <w:sz w:val="21"/>
        </w:rPr>
        <w:t xml:space="preserve">二、发包人应积极组织和督促承包人开展安全达标活动，及时传达和部署上级的有关安全生   </w:t>
      </w:r>
      <w:r>
        <w:rPr>
          <w:rFonts w:hint="eastAsia" w:ascii="仿宋" w:eastAsia="仿宋"/>
          <w:sz w:val="21"/>
        </w:rPr>
        <w:t>产精神和要求，定期听取承包人的意见和要求，加强安全生产的指导和协调。</w:t>
      </w:r>
    </w:p>
    <w:p>
      <w:pPr>
        <w:spacing w:before="0" w:line="364" w:lineRule="auto"/>
        <w:ind w:left="731" w:right="891" w:firstLine="420"/>
        <w:jc w:val="both"/>
        <w:rPr>
          <w:rFonts w:ascii="Times New Roman" w:eastAsia="Times New Roman"/>
          <w:sz w:val="21"/>
        </w:rPr>
      </w:pPr>
      <w:r>
        <w:rPr>
          <w:rFonts w:hint="eastAsia" w:ascii="仿宋" w:eastAsia="仿宋"/>
          <w:w w:val="95"/>
          <w:sz w:val="21"/>
        </w:rPr>
        <w:t xml:space="preserve">三、发包人负责组织对承包人安全规范作业、文明施工情况的检查，定期组织考核；对承包   人及有关人员在安全生产工作中有突出贡献或成绩显著的集体、个人应给予表彰和物资奖励。对   承包人及有关人员发生的违章、违法行为和存在的问题以及在安全生产、文明等创优达标活动中   </w:t>
      </w:r>
      <w:r>
        <w:rPr>
          <w:rFonts w:hint="eastAsia" w:ascii="仿宋" w:eastAsia="仿宋"/>
          <w:spacing w:val="-2"/>
          <w:sz w:val="21"/>
        </w:rPr>
        <w:t xml:space="preserve">不积极配合的，发包人有权制止教育、责成其限期整改，对责任单位每次处违约金 </w:t>
      </w:r>
      <w:r>
        <w:rPr>
          <w:rFonts w:ascii="Times New Roman" w:eastAsia="Times New Roman"/>
          <w:sz w:val="21"/>
        </w:rPr>
        <w:t>500</w:t>
      </w:r>
      <w:r>
        <w:rPr>
          <w:rFonts w:ascii="Times New Roman" w:eastAsia="Times New Roman"/>
          <w:spacing w:val="-3"/>
          <w:sz w:val="21"/>
        </w:rPr>
        <w:t xml:space="preserve"> </w:t>
      </w:r>
      <w:r>
        <w:rPr>
          <w:rFonts w:hint="eastAsia" w:ascii="仿宋" w:eastAsia="仿宋"/>
          <w:spacing w:val="-28"/>
          <w:sz w:val="21"/>
        </w:rPr>
        <w:t xml:space="preserve">至 </w:t>
      </w:r>
      <w:r>
        <w:rPr>
          <w:rFonts w:ascii="Times New Roman" w:eastAsia="Times New Roman"/>
          <w:sz w:val="21"/>
        </w:rPr>
        <w:t>5,000</w:t>
      </w:r>
    </w:p>
    <w:p>
      <w:pPr>
        <w:spacing w:before="0" w:line="364" w:lineRule="auto"/>
        <w:ind w:left="1151" w:right="892" w:hanging="420"/>
        <w:jc w:val="both"/>
        <w:rPr>
          <w:rFonts w:hint="eastAsia" w:ascii="仿宋" w:eastAsia="仿宋"/>
          <w:sz w:val="21"/>
        </w:rPr>
      </w:pPr>
      <w:r>
        <w:rPr>
          <w:rFonts w:hint="eastAsia" w:ascii="仿宋" w:eastAsia="仿宋"/>
          <w:spacing w:val="-2"/>
          <w:sz w:val="21"/>
        </w:rPr>
        <w:t xml:space="preserve">元，对未按要求限期整改的或整改不力、情节严重的，对责任单位每次处违约金 </w:t>
      </w:r>
      <w:r>
        <w:rPr>
          <w:rFonts w:ascii="Times New Roman" w:eastAsia="Times New Roman"/>
          <w:sz w:val="21"/>
        </w:rPr>
        <w:t>1</w:t>
      </w:r>
      <w:r>
        <w:rPr>
          <w:rFonts w:ascii="Times New Roman" w:eastAsia="Times New Roman"/>
          <w:spacing w:val="-4"/>
          <w:sz w:val="21"/>
        </w:rPr>
        <w:t xml:space="preserve"> </w:t>
      </w:r>
      <w:r>
        <w:rPr>
          <w:rFonts w:hint="eastAsia" w:ascii="仿宋" w:eastAsia="仿宋"/>
          <w:spacing w:val="-19"/>
          <w:sz w:val="21"/>
        </w:rPr>
        <w:t xml:space="preserve">万至 </w:t>
      </w:r>
      <w:r>
        <w:rPr>
          <w:rFonts w:ascii="Times New Roman" w:eastAsia="Times New Roman"/>
          <w:sz w:val="21"/>
        </w:rPr>
        <w:t>5</w:t>
      </w:r>
      <w:r>
        <w:rPr>
          <w:rFonts w:ascii="Times New Roman" w:eastAsia="Times New Roman"/>
          <w:spacing w:val="-7"/>
          <w:sz w:val="21"/>
        </w:rPr>
        <w:t xml:space="preserve"> </w:t>
      </w:r>
      <w:r>
        <w:rPr>
          <w:rFonts w:hint="eastAsia" w:ascii="仿宋" w:eastAsia="仿宋"/>
          <w:sz w:val="21"/>
        </w:rPr>
        <w:t>万元。</w:t>
      </w:r>
      <w:r>
        <w:rPr>
          <w:rFonts w:hint="eastAsia" w:ascii="仿宋" w:eastAsia="仿宋"/>
          <w:w w:val="95"/>
          <w:sz w:val="21"/>
        </w:rPr>
        <w:t>四、凡工地内发生生产事故或重大人员伤亡的，发包人派员参与劳动行政部门、司法机关调</w:t>
      </w:r>
    </w:p>
    <w:p>
      <w:pPr>
        <w:spacing w:before="0" w:line="367" w:lineRule="auto"/>
        <w:ind w:left="731" w:right="892" w:firstLine="0"/>
        <w:jc w:val="left"/>
        <w:rPr>
          <w:rFonts w:hint="eastAsia" w:ascii="仿宋" w:eastAsia="仿宋"/>
          <w:sz w:val="21"/>
        </w:rPr>
      </w:pPr>
      <w:r>
        <w:rPr>
          <w:rFonts w:hint="eastAsia" w:ascii="仿宋" w:eastAsia="仿宋"/>
          <w:w w:val="95"/>
          <w:sz w:val="21"/>
        </w:rPr>
        <w:t xml:space="preserve">查处理。发包人可按其造成的后果及影响，对责任单位以按责任违约给予一次性经济处理。事故   </w:t>
      </w:r>
      <w:r>
        <w:rPr>
          <w:rFonts w:hint="eastAsia" w:ascii="仿宋" w:eastAsia="仿宋"/>
          <w:sz w:val="21"/>
        </w:rPr>
        <w:t>造成的经济损失及因承包人责任给发包人造成的连带经济损失全部由承包人承担。</w:t>
      </w:r>
    </w:p>
    <w:p>
      <w:pPr>
        <w:spacing w:before="0" w:line="364" w:lineRule="auto"/>
        <w:ind w:left="731" w:right="890" w:firstLine="420"/>
        <w:jc w:val="both"/>
        <w:rPr>
          <w:rFonts w:hint="eastAsia" w:ascii="仿宋" w:hAnsi="仿宋" w:eastAsia="仿宋"/>
          <w:sz w:val="21"/>
        </w:rPr>
      </w:pPr>
      <w:r>
        <w:rPr>
          <w:rFonts w:hint="eastAsia" w:ascii="仿宋" w:hAnsi="仿宋" w:eastAsia="仿宋"/>
          <w:w w:val="95"/>
          <w:sz w:val="21"/>
        </w:rPr>
        <w:t xml:space="preserve">五、承包人要严格贯彻执行国家和本市颁发的有关安全生产的法律、法规，严格按照中华人   </w:t>
      </w:r>
      <w:r>
        <w:rPr>
          <w:rFonts w:hint="eastAsia" w:ascii="仿宋" w:hAnsi="仿宋" w:eastAsia="仿宋"/>
          <w:spacing w:val="16"/>
          <w:sz w:val="21"/>
        </w:rPr>
        <w:t>民共和国建设部建标</w:t>
      </w:r>
      <w:r>
        <w:rPr>
          <w:rFonts w:ascii="Times New Roman" w:hAnsi="Times New Roman" w:eastAsia="Times New Roman"/>
          <w:sz w:val="21"/>
        </w:rPr>
        <w:t>(99)79</w:t>
      </w:r>
      <w:r>
        <w:rPr>
          <w:rFonts w:ascii="Times New Roman" w:hAnsi="Times New Roman" w:eastAsia="Times New Roman"/>
          <w:spacing w:val="-12"/>
          <w:sz w:val="21"/>
        </w:rPr>
        <w:t xml:space="preserve"> </w:t>
      </w:r>
      <w:r>
        <w:rPr>
          <w:rFonts w:hint="eastAsia" w:ascii="仿宋" w:hAnsi="仿宋" w:eastAsia="仿宋"/>
          <w:spacing w:val="16"/>
          <w:sz w:val="21"/>
        </w:rPr>
        <w:t>号</w:t>
      </w:r>
      <w:r>
        <w:rPr>
          <w:rFonts w:ascii="Times New Roman" w:hAnsi="Times New Roman" w:eastAsia="Times New Roman"/>
          <w:spacing w:val="17"/>
          <w:sz w:val="21"/>
        </w:rPr>
        <w:t>“</w:t>
      </w:r>
      <w:r>
        <w:rPr>
          <w:rFonts w:hint="eastAsia" w:ascii="仿宋" w:hAnsi="仿宋" w:eastAsia="仿宋"/>
          <w:spacing w:val="16"/>
          <w:sz w:val="21"/>
        </w:rPr>
        <w:t>关于发布行业标准《建筑施工安全检查标准》的通知</w:t>
      </w:r>
      <w:r>
        <w:rPr>
          <w:rFonts w:ascii="Times New Roman" w:hAnsi="Times New Roman" w:eastAsia="Times New Roman"/>
          <w:spacing w:val="8"/>
          <w:sz w:val="21"/>
        </w:rPr>
        <w:t>”(</w:t>
      </w:r>
      <w:r>
        <w:rPr>
          <w:rFonts w:hint="eastAsia" w:ascii="仿宋" w:hAnsi="仿宋" w:eastAsia="仿宋"/>
          <w:spacing w:val="8"/>
          <w:sz w:val="21"/>
        </w:rPr>
        <w:t>编号</w:t>
      </w:r>
      <w:r>
        <w:rPr>
          <w:rFonts w:ascii="Times New Roman" w:hAnsi="Times New Roman" w:eastAsia="Times New Roman"/>
          <w:spacing w:val="8"/>
          <w:sz w:val="21"/>
        </w:rPr>
        <w:t>JGJ59——99)</w:t>
      </w:r>
      <w:r>
        <w:rPr>
          <w:rFonts w:hint="eastAsia" w:ascii="仿宋" w:hAnsi="仿宋" w:eastAsia="仿宋"/>
          <w:spacing w:val="8"/>
          <w:sz w:val="21"/>
        </w:rPr>
        <w:t>的要求加强内部安全管理，落实各项安全防护措施，确保工程建设中不发生重大伤亡事故。</w:t>
      </w:r>
    </w:p>
    <w:p>
      <w:pPr>
        <w:spacing w:before="0" w:line="364" w:lineRule="auto"/>
        <w:ind w:left="731" w:right="892" w:firstLine="420"/>
        <w:jc w:val="both"/>
        <w:rPr>
          <w:rFonts w:hint="eastAsia" w:ascii="仿宋" w:eastAsia="仿宋"/>
          <w:sz w:val="21"/>
        </w:rPr>
      </w:pPr>
      <w:r>
        <w:rPr>
          <w:rFonts w:hint="eastAsia" w:ascii="仿宋" w:eastAsia="仿宋"/>
          <w:w w:val="95"/>
          <w:sz w:val="21"/>
        </w:rPr>
        <w:t xml:space="preserve">六、承包人要按照安全作业规范针对本工程项目的特点、性质、规模以及施工现场条件编制   施工组织设计和施工方案，制定和组织落实各项的施工安全技术措施，并向全体施工人员进行安   全技术交底，严格按照施工组织设计和有关安全要求施工。深基坑开挖必须按科技委审查批准的   </w:t>
      </w:r>
      <w:r>
        <w:rPr>
          <w:rFonts w:hint="eastAsia" w:ascii="仿宋" w:eastAsia="仿宋"/>
          <w:sz w:val="21"/>
        </w:rPr>
        <w:t>方案实施。</w:t>
      </w:r>
    </w:p>
    <w:p>
      <w:pPr>
        <w:spacing w:before="0" w:line="268" w:lineRule="exact"/>
        <w:ind w:left="1151" w:right="0" w:firstLine="0"/>
        <w:jc w:val="both"/>
        <w:rPr>
          <w:rFonts w:ascii="Times New Roman" w:eastAsia="Times New Roman"/>
          <w:sz w:val="21"/>
        </w:rPr>
      </w:pPr>
      <w:r>
        <w:rPr>
          <w:rFonts w:hint="eastAsia" w:ascii="仿宋" w:eastAsia="仿宋"/>
          <w:sz w:val="21"/>
        </w:rPr>
        <w:t xml:space="preserve">七、承包人进入工地后应明确落实施工现场安全生产第一责任人，根据建设部办公厅 </w:t>
      </w:r>
      <w:r>
        <w:rPr>
          <w:rFonts w:ascii="Times New Roman" w:eastAsia="Times New Roman"/>
          <w:sz w:val="21"/>
        </w:rPr>
        <w:t>2000</w:t>
      </w:r>
    </w:p>
    <w:p>
      <w:pPr>
        <w:spacing w:before="125"/>
        <w:ind w:left="731" w:right="0" w:firstLine="0"/>
        <w:jc w:val="left"/>
        <w:rPr>
          <w:rFonts w:hint="eastAsia" w:ascii="仿宋" w:eastAsia="仿宋"/>
          <w:sz w:val="21"/>
        </w:rPr>
      </w:pPr>
      <w:r>
        <w:rPr>
          <w:rFonts w:hint="eastAsia" w:ascii="仿宋" w:eastAsia="仿宋"/>
          <w:spacing w:val="-29"/>
          <w:sz w:val="21"/>
        </w:rPr>
        <w:t xml:space="preserve">年 </w:t>
      </w:r>
      <w:r>
        <w:rPr>
          <w:rFonts w:ascii="Times New Roman" w:eastAsia="Times New Roman"/>
          <w:sz w:val="21"/>
        </w:rPr>
        <w:t>10</w:t>
      </w:r>
      <w:r>
        <w:rPr>
          <w:rFonts w:ascii="Times New Roman" w:eastAsia="Times New Roman"/>
          <w:spacing w:val="-4"/>
          <w:sz w:val="21"/>
        </w:rPr>
        <w:t xml:space="preserve"> </w:t>
      </w:r>
      <w:r>
        <w:rPr>
          <w:rFonts w:hint="eastAsia" w:ascii="仿宋" w:eastAsia="仿宋"/>
          <w:spacing w:val="-3"/>
          <w:sz w:val="21"/>
        </w:rPr>
        <w:t xml:space="preserve">号文件要求配置专职安全管理人员。即施工人员超过 </w:t>
      </w:r>
      <w:r>
        <w:rPr>
          <w:rFonts w:ascii="Times New Roman" w:eastAsia="Times New Roman"/>
          <w:sz w:val="21"/>
        </w:rPr>
        <w:t>50</w:t>
      </w:r>
      <w:r>
        <w:rPr>
          <w:rFonts w:ascii="Times New Roman" w:eastAsia="Times New Roman"/>
          <w:spacing w:val="-5"/>
          <w:sz w:val="21"/>
        </w:rPr>
        <w:t xml:space="preserve"> </w:t>
      </w:r>
      <w:r>
        <w:rPr>
          <w:rFonts w:hint="eastAsia" w:ascii="仿宋" w:eastAsia="仿宋"/>
          <w:sz w:val="21"/>
        </w:rPr>
        <w:t>人的工地必须配置专职安全管理人</w:t>
      </w:r>
    </w:p>
    <w:p>
      <w:pPr>
        <w:spacing w:before="139"/>
        <w:ind w:left="731" w:right="0" w:firstLine="0"/>
        <w:jc w:val="left"/>
        <w:rPr>
          <w:rFonts w:hint="eastAsia" w:ascii="仿宋" w:eastAsia="仿宋"/>
          <w:sz w:val="21"/>
        </w:rPr>
      </w:pPr>
      <w:r>
        <w:rPr>
          <w:rFonts w:hint="eastAsia" w:ascii="仿宋" w:eastAsia="仿宋"/>
          <w:spacing w:val="-7"/>
          <w:sz w:val="21"/>
        </w:rPr>
        <w:t xml:space="preserve">员；工程造价在 </w:t>
      </w:r>
      <w:r>
        <w:rPr>
          <w:rFonts w:ascii="Times New Roman" w:eastAsia="Times New Roman"/>
          <w:sz w:val="21"/>
        </w:rPr>
        <w:t>1,000</w:t>
      </w:r>
      <w:r>
        <w:rPr>
          <w:rFonts w:ascii="Times New Roman" w:eastAsia="Times New Roman"/>
          <w:spacing w:val="4"/>
          <w:sz w:val="21"/>
        </w:rPr>
        <w:t xml:space="preserve"> </w:t>
      </w:r>
      <w:r>
        <w:rPr>
          <w:rFonts w:hint="eastAsia" w:ascii="仿宋" w:eastAsia="仿宋"/>
          <w:spacing w:val="-4"/>
          <w:sz w:val="21"/>
        </w:rPr>
        <w:t xml:space="preserve">万元以上的工地，必须配置 </w:t>
      </w:r>
      <w:r>
        <w:rPr>
          <w:rFonts w:ascii="Times New Roman" w:eastAsia="Times New Roman"/>
          <w:sz w:val="21"/>
        </w:rPr>
        <w:t>2</w:t>
      </w:r>
      <w:r>
        <w:rPr>
          <w:rFonts w:ascii="Times New Roman" w:eastAsia="Times New Roman"/>
          <w:spacing w:val="4"/>
          <w:sz w:val="21"/>
        </w:rPr>
        <w:t xml:space="preserve"> </w:t>
      </w:r>
      <w:r>
        <w:rPr>
          <w:rFonts w:hint="eastAsia" w:ascii="仿宋" w:eastAsia="仿宋"/>
          <w:spacing w:val="-23"/>
          <w:sz w:val="21"/>
        </w:rPr>
        <w:t xml:space="preserve">至 </w:t>
      </w:r>
      <w:r>
        <w:rPr>
          <w:rFonts w:ascii="Times New Roman" w:eastAsia="Times New Roman"/>
          <w:sz w:val="21"/>
        </w:rPr>
        <w:t>3</w:t>
      </w:r>
      <w:r>
        <w:rPr>
          <w:rFonts w:ascii="Times New Roman" w:eastAsia="Times New Roman"/>
          <w:spacing w:val="4"/>
          <w:sz w:val="21"/>
        </w:rPr>
        <w:t xml:space="preserve"> </w:t>
      </w:r>
      <w:r>
        <w:rPr>
          <w:rFonts w:hint="eastAsia" w:ascii="仿宋" w:eastAsia="仿宋"/>
          <w:sz w:val="21"/>
        </w:rPr>
        <w:t>名管理安全生产工作人员；工程造价在</w:t>
      </w:r>
    </w:p>
    <w:p>
      <w:pPr>
        <w:spacing w:before="139" w:line="364" w:lineRule="auto"/>
        <w:ind w:left="731" w:right="788" w:firstLine="0"/>
        <w:jc w:val="left"/>
        <w:rPr>
          <w:rFonts w:hint="eastAsia" w:ascii="仿宋" w:hAnsi="仿宋" w:eastAsia="仿宋"/>
          <w:sz w:val="21"/>
        </w:rPr>
      </w:pPr>
      <w:r>
        <w:rPr>
          <w:rFonts w:ascii="Times New Roman" w:hAnsi="Times New Roman" w:eastAsia="Times New Roman"/>
          <w:sz w:val="21"/>
        </w:rPr>
        <w:t xml:space="preserve">5,000 </w:t>
      </w:r>
      <w:r>
        <w:rPr>
          <w:rFonts w:hint="eastAsia" w:ascii="仿宋" w:hAnsi="仿宋" w:eastAsia="仿宋"/>
          <w:spacing w:val="-15"/>
          <w:sz w:val="21"/>
        </w:rPr>
        <w:t>万元以上的工地，要按专业设置专职安全员，组成安全管理组负责工地的安全生产管理工作。并将名单报发包人备案。承包人要建立健全安全生产保证体系，落实各级安全责任制，完善各项</w:t>
      </w:r>
      <w:r>
        <w:rPr>
          <w:rFonts w:hint="eastAsia" w:ascii="仿宋" w:hAnsi="仿宋" w:eastAsia="仿宋"/>
          <w:spacing w:val="-2"/>
          <w:sz w:val="21"/>
        </w:rPr>
        <w:t>安全生产制度</w:t>
      </w:r>
      <w:r>
        <w:rPr>
          <w:rFonts w:ascii="Times New Roman" w:hAnsi="Times New Roman" w:eastAsia="Times New Roman"/>
          <w:sz w:val="21"/>
        </w:rPr>
        <w:t>(</w:t>
      </w:r>
      <w:r>
        <w:rPr>
          <w:rFonts w:hint="eastAsia" w:ascii="仿宋" w:hAnsi="仿宋" w:eastAsia="仿宋"/>
          <w:sz w:val="21"/>
        </w:rPr>
        <w:t>包括奖惩制度</w:t>
      </w:r>
      <w:r>
        <w:rPr>
          <w:rFonts w:ascii="Times New Roman" w:hAnsi="Times New Roman" w:eastAsia="Times New Roman"/>
          <w:sz w:val="21"/>
        </w:rPr>
        <w:t>)</w:t>
      </w:r>
      <w:r>
        <w:rPr>
          <w:rFonts w:hint="eastAsia" w:ascii="仿宋" w:hAnsi="仿宋" w:eastAsia="仿宋"/>
          <w:spacing w:val="2"/>
          <w:sz w:val="21"/>
        </w:rPr>
        <w:t>，按照</w:t>
      </w:r>
      <w:r>
        <w:rPr>
          <w:rFonts w:ascii="Times New Roman" w:hAnsi="Times New Roman" w:eastAsia="Times New Roman"/>
          <w:sz w:val="21"/>
        </w:rPr>
        <w:t>“</w:t>
      </w:r>
      <w:r>
        <w:rPr>
          <w:rFonts w:hint="eastAsia" w:ascii="仿宋" w:hAnsi="仿宋" w:eastAsia="仿宋"/>
          <w:sz w:val="21"/>
        </w:rPr>
        <w:t>谁施工谁负责</w:t>
      </w:r>
      <w:r>
        <w:rPr>
          <w:rFonts w:ascii="Times New Roman" w:hAnsi="Times New Roman" w:eastAsia="Times New Roman"/>
          <w:spacing w:val="3"/>
          <w:sz w:val="21"/>
        </w:rPr>
        <w:t>”</w:t>
      </w:r>
      <w:r>
        <w:rPr>
          <w:rFonts w:hint="eastAsia" w:ascii="仿宋" w:hAnsi="仿宋" w:eastAsia="仿宋"/>
          <w:sz w:val="21"/>
        </w:rPr>
        <w:t>的原则，负责单位内部和施工责任区域的安全生产管理工作。</w:t>
      </w:r>
    </w:p>
    <w:p>
      <w:pPr>
        <w:spacing w:before="0" w:line="364" w:lineRule="auto"/>
        <w:ind w:left="731" w:right="892" w:firstLine="420"/>
        <w:jc w:val="left"/>
        <w:rPr>
          <w:rFonts w:hint="eastAsia" w:ascii="仿宋" w:eastAsia="仿宋"/>
          <w:sz w:val="21"/>
        </w:rPr>
      </w:pPr>
      <w:r>
        <w:rPr>
          <w:rFonts w:hint="eastAsia" w:ascii="仿宋" w:eastAsia="仿宋"/>
          <w:w w:val="95"/>
          <w:sz w:val="21"/>
        </w:rPr>
        <w:t>八、承包人对各分包单位及外聘人员的安全生产工作要纳入本单位统一管理的范围，明确要   求，签订管理协议；要加强对全体施工人员安全作业、文明施工和自我保护的宣传教育；做好上</w:t>
      </w:r>
    </w:p>
    <w:p>
      <w:pPr>
        <w:spacing w:after="0" w:line="364" w:lineRule="auto"/>
        <w:jc w:val="left"/>
        <w:rPr>
          <w:rFonts w:hint="eastAsia" w:ascii="仿宋" w:eastAsia="仿宋"/>
          <w:sz w:val="21"/>
        </w:rPr>
        <w:sectPr>
          <w:type w:val="continuous"/>
          <w:pgSz w:w="11910" w:h="16840"/>
          <w:pgMar w:top="1140" w:right="660" w:bottom="280" w:left="800" w:header="720" w:footer="720" w:gutter="0"/>
          <w:cols w:space="720" w:num="1"/>
        </w:sectPr>
      </w:pPr>
    </w:p>
    <w:p>
      <w:pPr>
        <w:pStyle w:val="9"/>
        <w:spacing w:before="12"/>
        <w:rPr>
          <w:rFonts w:ascii="仿宋"/>
          <w:sz w:val="17"/>
        </w:rPr>
      </w:pPr>
    </w:p>
    <w:p>
      <w:pPr>
        <w:spacing w:before="70" w:line="364" w:lineRule="auto"/>
        <w:ind w:left="731" w:right="892" w:firstLine="0"/>
        <w:jc w:val="both"/>
        <w:rPr>
          <w:rFonts w:hint="eastAsia" w:ascii="仿宋" w:eastAsia="仿宋"/>
          <w:sz w:val="21"/>
        </w:rPr>
      </w:pPr>
      <w:r>
        <w:rPr>
          <w:rFonts w:hint="eastAsia" w:ascii="仿宋" w:eastAsia="仿宋"/>
          <w:w w:val="95"/>
          <w:sz w:val="21"/>
        </w:rPr>
        <w:t xml:space="preserve">岗前的安全培训，特殊工种作业人员必须做到持证上岗；进入本市施工的外省市特殊作业人员，   还必须经本市有关特种作业考核站进行审证教育，禁止实习、学习人员现场作业。严格执行各种   </w:t>
      </w:r>
      <w:r>
        <w:rPr>
          <w:rFonts w:hint="eastAsia" w:ascii="仿宋" w:eastAsia="仿宋"/>
          <w:sz w:val="21"/>
        </w:rPr>
        <w:t>安全操作规程，确保施工安全。</w:t>
      </w:r>
    </w:p>
    <w:p>
      <w:pPr>
        <w:spacing w:before="0" w:line="364" w:lineRule="auto"/>
        <w:ind w:left="731" w:right="892" w:firstLine="420"/>
        <w:jc w:val="left"/>
        <w:rPr>
          <w:rFonts w:hint="eastAsia" w:ascii="仿宋" w:hAnsi="仿宋" w:eastAsia="仿宋"/>
          <w:sz w:val="21"/>
        </w:rPr>
      </w:pPr>
      <w:r>
        <w:rPr>
          <w:rFonts w:hint="eastAsia" w:ascii="仿宋" w:hAnsi="仿宋" w:eastAsia="仿宋"/>
          <w:sz w:val="21"/>
        </w:rPr>
        <w:t>九、承包人要按照</w:t>
      </w:r>
      <w:r>
        <w:rPr>
          <w:rFonts w:ascii="Times New Roman" w:hAnsi="Times New Roman" w:eastAsia="Times New Roman"/>
          <w:sz w:val="21"/>
        </w:rPr>
        <w:t>“</w:t>
      </w:r>
      <w:r>
        <w:rPr>
          <w:rFonts w:hint="eastAsia" w:ascii="仿宋" w:hAnsi="仿宋" w:eastAsia="仿宋"/>
          <w:sz w:val="21"/>
        </w:rPr>
        <w:t>安全自查，隐患自改、责任自负</w:t>
      </w:r>
      <w:r>
        <w:rPr>
          <w:rFonts w:ascii="Times New Roman" w:hAnsi="Times New Roman" w:eastAsia="Times New Roman"/>
          <w:sz w:val="21"/>
        </w:rPr>
        <w:t>”</w:t>
      </w:r>
      <w:r>
        <w:rPr>
          <w:rFonts w:hint="eastAsia" w:ascii="仿宋" w:hAnsi="仿宋" w:eastAsia="仿宋"/>
          <w:sz w:val="21"/>
        </w:rPr>
        <w:t>的原则加强对施工责任区的日常安全检查，及时制止和处理各类违章违法行为，对查获的隐患要及时落实整改措施，消除隐患。</w:t>
      </w:r>
    </w:p>
    <w:p>
      <w:pPr>
        <w:spacing w:before="0" w:line="364" w:lineRule="auto"/>
        <w:ind w:left="731" w:right="892" w:firstLine="420"/>
        <w:jc w:val="both"/>
        <w:rPr>
          <w:rFonts w:hint="eastAsia" w:ascii="仿宋" w:eastAsia="仿宋"/>
          <w:sz w:val="21"/>
        </w:rPr>
      </w:pPr>
      <w:r>
        <w:rPr>
          <w:rFonts w:hint="eastAsia" w:ascii="仿宋" w:eastAsia="仿宋"/>
          <w:w w:val="95"/>
          <w:sz w:val="21"/>
        </w:rPr>
        <w:t xml:space="preserve">十、承包人应主动接受发包人在安全生产工作上的业务指导，检查和督促，服从管理，对发   包人的工作布置和组织的活动要积极贯彻实施和参加，对发包人给予因责任违约的经济处理如有   异议可要求复核，对发包人工作人员利用职权营私舞弊、有意刁难的违法行为，有权检举揭发，   </w:t>
      </w:r>
      <w:r>
        <w:rPr>
          <w:rFonts w:hint="eastAsia" w:ascii="仿宋" w:eastAsia="仿宋"/>
          <w:sz w:val="21"/>
        </w:rPr>
        <w:t>要求处理。</w:t>
      </w:r>
    </w:p>
    <w:p>
      <w:pPr>
        <w:spacing w:before="0" w:line="364" w:lineRule="auto"/>
        <w:ind w:left="731" w:right="892" w:firstLine="420"/>
        <w:jc w:val="both"/>
        <w:rPr>
          <w:rFonts w:hint="eastAsia" w:ascii="仿宋" w:eastAsia="仿宋"/>
          <w:sz w:val="21"/>
        </w:rPr>
      </w:pPr>
      <w:r>
        <w:rPr>
          <w:rFonts w:hint="eastAsia" w:ascii="仿宋" w:eastAsia="仿宋"/>
          <w:w w:val="95"/>
          <w:sz w:val="21"/>
        </w:rPr>
        <w:t xml:space="preserve">十一、承包人因疏于管理违章违法作业发生安全事故或造成人员伤亡的，应在积极抢救受伤   人员、保护现场的同时，严格按安全事故上报的规定时限向发包人和当地劳动行政部门汇报，不   </w:t>
      </w:r>
      <w:r>
        <w:rPr>
          <w:rFonts w:hint="eastAsia" w:ascii="仿宋" w:eastAsia="仿宋"/>
          <w:sz w:val="21"/>
        </w:rPr>
        <w:t>得迟报瞒报。</w:t>
      </w:r>
    </w:p>
    <w:p>
      <w:pPr>
        <w:spacing w:before="0" w:line="364" w:lineRule="auto"/>
        <w:ind w:left="731" w:right="892" w:firstLine="420"/>
        <w:jc w:val="left"/>
        <w:rPr>
          <w:rFonts w:hint="eastAsia" w:ascii="仿宋" w:eastAsia="仿宋"/>
          <w:sz w:val="21"/>
        </w:rPr>
      </w:pPr>
      <w:r>
        <w:rPr>
          <w:rFonts w:hint="eastAsia" w:ascii="仿宋" w:eastAsia="仿宋"/>
          <w:w w:val="95"/>
          <w:sz w:val="21"/>
        </w:rPr>
        <w:t xml:space="preserve">十二、本协议中未涉及的有关条款，甲乙双方可根据需要协商补充修改。如遇有国家和本市   </w:t>
      </w:r>
      <w:r>
        <w:rPr>
          <w:rFonts w:hint="eastAsia" w:ascii="仿宋" w:eastAsia="仿宋"/>
          <w:sz w:val="21"/>
        </w:rPr>
        <w:t>的有关法规不符的，应按国家和本市的有关法规执行。</w:t>
      </w:r>
    </w:p>
    <w:p>
      <w:pPr>
        <w:spacing w:before="0" w:line="364" w:lineRule="auto"/>
        <w:ind w:left="731" w:right="892" w:firstLine="420"/>
        <w:jc w:val="left"/>
        <w:rPr>
          <w:rFonts w:hint="eastAsia" w:ascii="仿宋" w:eastAsia="仿宋"/>
          <w:sz w:val="21"/>
        </w:rPr>
      </w:pPr>
      <w:r>
        <w:rPr>
          <w:rFonts w:hint="eastAsia" w:ascii="仿宋" w:eastAsia="仿宋"/>
          <w:w w:val="95"/>
          <w:sz w:val="21"/>
        </w:rPr>
        <w:t xml:space="preserve">十三、承包方应该接受发包方安保部门的监督、检查和指导，积极落实发包方安保部门发出   </w:t>
      </w:r>
      <w:r>
        <w:rPr>
          <w:rFonts w:hint="eastAsia" w:ascii="仿宋" w:eastAsia="仿宋"/>
          <w:sz w:val="21"/>
        </w:rPr>
        <w:t>的整改指令。</w:t>
      </w:r>
    </w:p>
    <w:p>
      <w:pPr>
        <w:spacing w:before="0" w:line="364" w:lineRule="auto"/>
        <w:ind w:left="731" w:right="892" w:firstLine="420"/>
        <w:jc w:val="left"/>
        <w:rPr>
          <w:rFonts w:hint="eastAsia" w:ascii="仿宋" w:eastAsia="仿宋"/>
          <w:sz w:val="21"/>
        </w:rPr>
      </w:pPr>
      <w:r>
        <w:rPr>
          <w:rFonts w:hint="eastAsia" w:ascii="仿宋" w:eastAsia="仿宋"/>
          <w:w w:val="95"/>
          <w:sz w:val="21"/>
        </w:rPr>
        <w:t xml:space="preserve">十四、本协议作为甲乙双方工程合同的附件，在工程合同签约后生效，与工程合同具有同等   </w:t>
      </w:r>
      <w:r>
        <w:rPr>
          <w:rFonts w:hint="eastAsia" w:ascii="仿宋" w:eastAsia="仿宋"/>
          <w:sz w:val="21"/>
        </w:rPr>
        <w:t>法律效力。工程合同期满，本协议终止。</w:t>
      </w:r>
    </w:p>
    <w:p>
      <w:pPr>
        <w:pStyle w:val="9"/>
        <w:rPr>
          <w:rFonts w:ascii="仿宋"/>
          <w:sz w:val="20"/>
        </w:rPr>
      </w:pPr>
    </w:p>
    <w:p>
      <w:pPr>
        <w:pStyle w:val="9"/>
        <w:rPr>
          <w:rFonts w:ascii="仿宋"/>
          <w:sz w:val="20"/>
        </w:rPr>
      </w:pPr>
    </w:p>
    <w:p>
      <w:pPr>
        <w:pStyle w:val="9"/>
        <w:spacing w:before="12"/>
        <w:rPr>
          <w:rFonts w:ascii="仿宋"/>
          <w:sz w:val="15"/>
        </w:rPr>
      </w:pPr>
    </w:p>
    <w:p>
      <w:pPr>
        <w:spacing w:before="0"/>
        <w:ind w:left="731" w:right="0" w:firstLine="0"/>
        <w:jc w:val="left"/>
        <w:rPr>
          <w:rFonts w:hint="eastAsia" w:ascii="仿宋" w:eastAsia="仿宋"/>
          <w:sz w:val="21"/>
        </w:rPr>
      </w:pPr>
      <w:r>
        <w:rPr>
          <w:rFonts w:hint="eastAsia" w:ascii="仿宋" w:eastAsia="仿宋"/>
          <w:sz w:val="21"/>
        </w:rPr>
        <w:t>（本页无正文）</w:t>
      </w:r>
    </w:p>
    <w:p>
      <w:pPr>
        <w:pStyle w:val="9"/>
        <w:rPr>
          <w:rFonts w:ascii="仿宋"/>
          <w:sz w:val="20"/>
        </w:rPr>
      </w:pPr>
    </w:p>
    <w:p>
      <w:pPr>
        <w:pStyle w:val="9"/>
        <w:rPr>
          <w:rFonts w:ascii="仿宋"/>
          <w:sz w:val="20"/>
        </w:rPr>
      </w:pPr>
    </w:p>
    <w:p>
      <w:pPr>
        <w:pStyle w:val="9"/>
        <w:spacing w:before="5"/>
        <w:rPr>
          <w:rFonts w:ascii="仿宋"/>
          <w:sz w:val="27"/>
        </w:rPr>
      </w:pPr>
    </w:p>
    <w:p>
      <w:pPr>
        <w:tabs>
          <w:tab w:val="left" w:pos="3776"/>
          <w:tab w:val="left" w:pos="6785"/>
          <w:tab w:val="left" w:pos="6976"/>
        </w:tabs>
        <w:spacing w:before="0" w:line="364" w:lineRule="auto"/>
        <w:ind w:left="731" w:right="3468" w:firstLine="0"/>
        <w:jc w:val="left"/>
        <w:rPr>
          <w:rFonts w:ascii="Times New Roman" w:eastAsia="Times New Roman"/>
          <w:sz w:val="21"/>
        </w:rPr>
      </w:pPr>
      <w:r>
        <w:rPr>
          <w:rFonts w:hint="eastAsia" w:ascii="仿宋" w:eastAsia="仿宋"/>
          <w:spacing w:val="5"/>
          <w:w w:val="90"/>
          <w:sz w:val="21"/>
        </w:rPr>
        <w:t>发</w:t>
      </w:r>
      <w:r>
        <w:rPr>
          <w:rFonts w:hint="eastAsia" w:ascii="仿宋" w:eastAsia="仿宋"/>
          <w:spacing w:val="3"/>
          <w:w w:val="90"/>
          <w:sz w:val="21"/>
        </w:rPr>
        <w:t>包</w:t>
      </w:r>
      <w:r>
        <w:rPr>
          <w:rFonts w:hint="eastAsia" w:ascii="仿宋" w:eastAsia="仿宋"/>
          <w:spacing w:val="5"/>
          <w:w w:val="90"/>
          <w:sz w:val="21"/>
        </w:rPr>
        <w:t>人</w:t>
      </w:r>
      <w:r>
        <w:rPr>
          <w:rFonts w:ascii="Times New Roman" w:eastAsia="Times New Roman"/>
          <w:w w:val="90"/>
          <w:sz w:val="21"/>
        </w:rPr>
        <w:t>(</w:t>
      </w:r>
      <w:r>
        <w:rPr>
          <w:rFonts w:hint="eastAsia" w:ascii="仿宋" w:eastAsia="仿宋"/>
          <w:spacing w:val="5"/>
          <w:w w:val="90"/>
          <w:sz w:val="21"/>
        </w:rPr>
        <w:t>公</w:t>
      </w:r>
      <w:r>
        <w:rPr>
          <w:rFonts w:hint="eastAsia" w:ascii="仿宋" w:eastAsia="仿宋"/>
          <w:spacing w:val="3"/>
          <w:w w:val="90"/>
          <w:sz w:val="21"/>
        </w:rPr>
        <w:t>章</w:t>
      </w:r>
      <w:r>
        <w:rPr>
          <w:rFonts w:ascii="Times New Roman" w:eastAsia="Times New Roman"/>
          <w:spacing w:val="3"/>
          <w:w w:val="90"/>
          <w:sz w:val="21"/>
        </w:rPr>
        <w:t>)</w:t>
      </w:r>
      <w:r>
        <w:rPr>
          <w:rFonts w:hint="eastAsia" w:ascii="仿宋" w:eastAsia="仿宋"/>
          <w:spacing w:val="3"/>
          <w:w w:val="90"/>
          <w:sz w:val="21"/>
        </w:rPr>
        <w:t>：</w:t>
      </w:r>
      <w:r>
        <w:rPr>
          <w:rFonts w:hint="eastAsia" w:ascii="仿宋" w:eastAsia="仿宋"/>
          <w:w w:val="90"/>
          <w:sz w:val="21"/>
        </w:rPr>
        <w:tab/>
      </w:r>
      <w:r>
        <w:rPr>
          <w:rFonts w:hint="eastAsia" w:ascii="仿宋" w:eastAsia="仿宋"/>
          <w:spacing w:val="5"/>
          <w:w w:val="85"/>
          <w:sz w:val="21"/>
        </w:rPr>
        <w:t>承</w:t>
      </w:r>
      <w:r>
        <w:rPr>
          <w:rFonts w:hint="eastAsia" w:ascii="仿宋" w:eastAsia="仿宋"/>
          <w:spacing w:val="3"/>
          <w:w w:val="85"/>
          <w:sz w:val="21"/>
        </w:rPr>
        <w:t>包</w:t>
      </w:r>
      <w:r>
        <w:rPr>
          <w:rFonts w:hint="eastAsia" w:ascii="仿宋" w:eastAsia="仿宋"/>
          <w:spacing w:val="5"/>
          <w:w w:val="85"/>
          <w:sz w:val="21"/>
        </w:rPr>
        <w:t>人</w:t>
      </w:r>
      <w:r>
        <w:rPr>
          <w:rFonts w:ascii="Times New Roman" w:eastAsia="Times New Roman"/>
          <w:w w:val="85"/>
          <w:sz w:val="21"/>
        </w:rPr>
        <w:t>(</w:t>
      </w:r>
      <w:r>
        <w:rPr>
          <w:rFonts w:hint="eastAsia" w:ascii="仿宋" w:eastAsia="仿宋"/>
          <w:spacing w:val="5"/>
          <w:w w:val="85"/>
          <w:sz w:val="21"/>
        </w:rPr>
        <w:t>公</w:t>
      </w:r>
      <w:r>
        <w:rPr>
          <w:rFonts w:hint="eastAsia" w:ascii="仿宋" w:eastAsia="仿宋"/>
          <w:spacing w:val="3"/>
          <w:w w:val="85"/>
          <w:sz w:val="21"/>
        </w:rPr>
        <w:t>章</w:t>
      </w:r>
      <w:r>
        <w:rPr>
          <w:rFonts w:ascii="Times New Roman" w:eastAsia="Times New Roman"/>
          <w:spacing w:val="3"/>
          <w:w w:val="85"/>
          <w:sz w:val="21"/>
        </w:rPr>
        <w:t>)</w:t>
      </w:r>
      <w:r>
        <w:rPr>
          <w:rFonts w:hint="eastAsia" w:ascii="仿宋" w:eastAsia="仿宋"/>
          <w:spacing w:val="3"/>
          <w:w w:val="85"/>
          <w:sz w:val="21"/>
        </w:rPr>
        <w:t>：</w:t>
      </w:r>
      <w:r>
        <w:rPr>
          <w:rFonts w:hint="eastAsia" w:ascii="仿宋" w:eastAsia="仿宋"/>
          <w:spacing w:val="3"/>
          <w:w w:val="85"/>
          <w:sz w:val="21"/>
          <w:u w:val="single"/>
        </w:rPr>
        <w:tab/>
      </w:r>
      <w:r>
        <w:rPr>
          <w:rFonts w:hint="eastAsia" w:ascii="仿宋" w:eastAsia="仿宋"/>
          <w:w w:val="85"/>
          <w:sz w:val="21"/>
          <w:u w:val="single"/>
        </w:rPr>
        <w:t xml:space="preserve"> </w:t>
      </w:r>
      <w:r>
        <w:rPr>
          <w:rFonts w:hint="eastAsia" w:ascii="仿宋" w:eastAsia="仿宋"/>
          <w:sz w:val="21"/>
        </w:rPr>
        <w:t>地址：</w:t>
      </w:r>
      <w:r>
        <w:rPr>
          <w:rFonts w:hint="eastAsia" w:ascii="仿宋" w:eastAsia="仿宋"/>
          <w:spacing w:val="-3"/>
          <w:sz w:val="21"/>
          <w:u w:val="single"/>
        </w:rPr>
        <w:t xml:space="preserve"> </w:t>
      </w:r>
      <w:r>
        <w:rPr>
          <w:rFonts w:hint="eastAsia" w:ascii="仿宋" w:eastAsia="仿宋"/>
          <w:sz w:val="21"/>
        </w:rPr>
        <w:tab/>
      </w:r>
      <w:r>
        <w:rPr>
          <w:rFonts w:hint="eastAsia" w:ascii="仿宋" w:eastAsia="仿宋"/>
          <w:w w:val="95"/>
          <w:sz w:val="21"/>
        </w:rPr>
        <w:t>地址：</w:t>
      </w:r>
      <w:r>
        <w:rPr>
          <w:rFonts w:ascii="Times New Roman" w:eastAsia="Times New Roman"/>
          <w:w w:val="95"/>
          <w:sz w:val="21"/>
          <w:u w:val="single"/>
        </w:rPr>
        <w:t xml:space="preserve"> </w:t>
      </w:r>
      <w:r>
        <w:rPr>
          <w:rFonts w:ascii="Times New Roman" w:eastAsia="Times New Roman"/>
          <w:sz w:val="21"/>
          <w:u w:val="single"/>
        </w:rPr>
        <w:tab/>
      </w:r>
      <w:r>
        <w:rPr>
          <w:rFonts w:ascii="Times New Roman" w:eastAsia="Times New Roman"/>
          <w:sz w:val="21"/>
          <w:u w:val="single"/>
        </w:rPr>
        <w:tab/>
      </w:r>
    </w:p>
    <w:p>
      <w:pPr>
        <w:tabs>
          <w:tab w:val="left" w:pos="2516"/>
          <w:tab w:val="left" w:pos="3810"/>
          <w:tab w:val="left" w:pos="5927"/>
          <w:tab w:val="left" w:pos="7571"/>
          <w:tab w:val="left" w:pos="7675"/>
        </w:tabs>
        <w:spacing w:before="0" w:line="364" w:lineRule="auto"/>
        <w:ind w:left="731" w:right="2769" w:firstLine="0"/>
        <w:jc w:val="left"/>
        <w:rPr>
          <w:rFonts w:ascii="Times New Roman" w:eastAsia="Times New Roman"/>
          <w:sz w:val="21"/>
        </w:rPr>
      </w:pPr>
      <w:r>
        <w:rPr>
          <w:rFonts w:hint="eastAsia" w:ascii="仿宋" w:eastAsia="仿宋"/>
          <w:sz w:val="21"/>
        </w:rPr>
        <w:t>法定代表人</w:t>
      </w:r>
      <w:r>
        <w:rPr>
          <w:rFonts w:ascii="Times New Roman" w:eastAsia="Times New Roman"/>
          <w:sz w:val="21"/>
        </w:rPr>
        <w:t>(</w:t>
      </w:r>
      <w:r>
        <w:rPr>
          <w:rFonts w:hint="eastAsia" w:ascii="仿宋" w:eastAsia="仿宋"/>
          <w:sz w:val="21"/>
        </w:rPr>
        <w:t>签字</w:t>
      </w:r>
      <w:r>
        <w:rPr>
          <w:rFonts w:ascii="Times New Roman" w:eastAsia="Times New Roman"/>
          <w:sz w:val="21"/>
        </w:rPr>
        <w:t>)</w:t>
      </w:r>
      <w:r>
        <w:rPr>
          <w:rFonts w:hint="eastAsia" w:ascii="仿宋" w:eastAsia="仿宋"/>
          <w:sz w:val="21"/>
        </w:rPr>
        <w:t>：</w:t>
      </w:r>
      <w:r>
        <w:rPr>
          <w:rFonts w:hint="eastAsia" w:ascii="仿宋" w:eastAsia="仿宋"/>
          <w:sz w:val="21"/>
          <w:u w:val="single"/>
        </w:rPr>
        <w:t xml:space="preserve"> </w:t>
      </w:r>
      <w:r>
        <w:rPr>
          <w:rFonts w:hint="eastAsia" w:ascii="仿宋" w:eastAsia="仿宋"/>
          <w:sz w:val="21"/>
          <w:u w:val="single"/>
        </w:rPr>
        <w:tab/>
      </w:r>
      <w:r>
        <w:rPr>
          <w:rFonts w:hint="eastAsia" w:ascii="仿宋" w:eastAsia="仿宋"/>
          <w:w w:val="95"/>
          <w:sz w:val="21"/>
        </w:rPr>
        <w:t>法定代表人</w:t>
      </w:r>
      <w:r>
        <w:rPr>
          <w:rFonts w:ascii="Times New Roman" w:eastAsia="Times New Roman"/>
          <w:w w:val="95"/>
          <w:sz w:val="21"/>
        </w:rPr>
        <w:t>(</w:t>
      </w:r>
      <w:r>
        <w:rPr>
          <w:rFonts w:hint="eastAsia" w:ascii="仿宋" w:eastAsia="仿宋"/>
          <w:w w:val="95"/>
          <w:sz w:val="21"/>
        </w:rPr>
        <w:t>签字</w:t>
      </w:r>
      <w:r>
        <w:rPr>
          <w:rFonts w:ascii="Times New Roman" w:eastAsia="Times New Roman"/>
          <w:w w:val="95"/>
          <w:sz w:val="21"/>
        </w:rPr>
        <w:t>)</w:t>
      </w:r>
      <w:r>
        <w:rPr>
          <w:rFonts w:hint="eastAsia" w:ascii="仿宋" w:eastAsia="仿宋"/>
          <w:w w:val="95"/>
          <w:sz w:val="21"/>
        </w:rPr>
        <w:t>：</w:t>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sz w:val="21"/>
        </w:rPr>
        <w:t>委托代理人</w:t>
      </w:r>
      <w:r>
        <w:rPr>
          <w:rFonts w:ascii="Times New Roman" w:eastAsia="Times New Roman"/>
          <w:sz w:val="21"/>
        </w:rPr>
        <w:t>(</w:t>
      </w:r>
      <w:r>
        <w:rPr>
          <w:rFonts w:hint="eastAsia" w:ascii="仿宋" w:eastAsia="仿宋"/>
          <w:sz w:val="21"/>
        </w:rPr>
        <w:t>签字</w:t>
      </w:r>
      <w:r>
        <w:rPr>
          <w:rFonts w:ascii="Times New Roman" w:eastAsia="Times New Roman"/>
          <w:sz w:val="21"/>
        </w:rPr>
        <w:t>)</w:t>
      </w:r>
      <w:r>
        <w:rPr>
          <w:rFonts w:hint="eastAsia" w:ascii="仿宋" w:eastAsia="仿宋"/>
          <w:sz w:val="21"/>
        </w:rPr>
        <w:t>：</w:t>
      </w:r>
      <w:r>
        <w:rPr>
          <w:rFonts w:hint="eastAsia" w:ascii="仿宋" w:eastAsia="仿宋"/>
          <w:sz w:val="21"/>
          <w:u w:val="single"/>
        </w:rPr>
        <w:t xml:space="preserve"> </w:t>
      </w:r>
      <w:r>
        <w:rPr>
          <w:rFonts w:hint="eastAsia" w:ascii="仿宋" w:eastAsia="仿宋"/>
          <w:sz w:val="21"/>
          <w:u w:val="single"/>
        </w:rPr>
        <w:tab/>
      </w:r>
      <w:r>
        <w:rPr>
          <w:rFonts w:hint="eastAsia" w:ascii="仿宋" w:eastAsia="仿宋"/>
          <w:w w:val="95"/>
          <w:sz w:val="21"/>
        </w:rPr>
        <w:t>委托代理人</w:t>
      </w:r>
      <w:r>
        <w:rPr>
          <w:rFonts w:ascii="Times New Roman" w:eastAsia="Times New Roman"/>
          <w:w w:val="95"/>
          <w:sz w:val="21"/>
        </w:rPr>
        <w:t>(</w:t>
      </w:r>
      <w:r>
        <w:rPr>
          <w:rFonts w:hint="eastAsia" w:ascii="仿宋" w:eastAsia="仿宋"/>
          <w:w w:val="95"/>
          <w:sz w:val="21"/>
        </w:rPr>
        <w:t>签字</w:t>
      </w:r>
      <w:r>
        <w:rPr>
          <w:rFonts w:ascii="Times New Roman" w:eastAsia="Times New Roman"/>
          <w:w w:val="95"/>
          <w:sz w:val="21"/>
        </w:rPr>
        <w:t>)</w:t>
      </w:r>
      <w:r>
        <w:rPr>
          <w:rFonts w:hint="eastAsia" w:ascii="仿宋" w:eastAsia="仿宋"/>
          <w:w w:val="95"/>
          <w:sz w:val="21"/>
        </w:rPr>
        <w:t>：</w:t>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sz w:val="21"/>
        </w:rPr>
        <w:t>电话：</w:t>
      </w:r>
      <w:r>
        <w:rPr>
          <w:rFonts w:hint="eastAsia" w:ascii="仿宋" w:eastAsia="仿宋"/>
          <w:sz w:val="21"/>
          <w:u w:val="single"/>
        </w:rPr>
        <w:t xml:space="preserve"> </w:t>
      </w:r>
      <w:r>
        <w:rPr>
          <w:rFonts w:hint="eastAsia" w:ascii="仿宋" w:eastAsia="仿宋"/>
          <w:sz w:val="21"/>
          <w:u w:val="single"/>
        </w:rPr>
        <w:tab/>
      </w:r>
      <w:r>
        <w:rPr>
          <w:rFonts w:hint="eastAsia" w:ascii="仿宋" w:eastAsia="仿宋"/>
          <w:w w:val="95"/>
          <w:sz w:val="21"/>
        </w:rPr>
        <w:t>电话：</w:t>
      </w:r>
      <w:r>
        <w:rPr>
          <w:rFonts w:ascii="Times New Roman" w:eastAsia="Times New Roman"/>
          <w:w w:val="95"/>
          <w:sz w:val="21"/>
          <w:u w:val="single"/>
        </w:rPr>
        <w:t xml:space="preserve"> </w:t>
      </w:r>
      <w:r>
        <w:rPr>
          <w:rFonts w:ascii="Times New Roman" w:eastAsia="Times New Roman"/>
          <w:sz w:val="21"/>
          <w:u w:val="single"/>
        </w:rPr>
        <w:tab/>
      </w:r>
      <w:r>
        <w:rPr>
          <w:rFonts w:ascii="Times New Roman" w:eastAsia="Times New Roman"/>
          <w:sz w:val="21"/>
          <w:u w:val="single"/>
        </w:rPr>
        <w:tab/>
      </w:r>
    </w:p>
    <w:p>
      <w:pPr>
        <w:tabs>
          <w:tab w:val="left" w:pos="2619"/>
          <w:tab w:val="left" w:pos="6031"/>
        </w:tabs>
        <w:spacing w:before="0" w:line="269" w:lineRule="exact"/>
        <w:ind w:left="731" w:right="0" w:firstLine="0"/>
        <w:jc w:val="left"/>
        <w:rPr>
          <w:rFonts w:ascii="Times New Roman" w:eastAsia="Times New Roman"/>
          <w:sz w:val="21"/>
        </w:rPr>
      </w:pPr>
      <w:r>
        <w:rPr>
          <w:rFonts w:hint="eastAsia" w:ascii="仿宋" w:eastAsia="仿宋"/>
          <w:sz w:val="21"/>
        </w:rPr>
        <w:t>传真：</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传真：</w:t>
      </w:r>
      <w:r>
        <w:rPr>
          <w:rFonts w:ascii="Times New Roman" w:eastAsia="Times New Roman"/>
          <w:sz w:val="21"/>
          <w:u w:val="single"/>
        </w:rPr>
        <w:t xml:space="preserve"> </w:t>
      </w:r>
      <w:r>
        <w:rPr>
          <w:rFonts w:ascii="Times New Roman" w:eastAsia="Times New Roman"/>
          <w:sz w:val="21"/>
          <w:u w:val="single"/>
        </w:rPr>
        <w:tab/>
      </w:r>
    </w:p>
    <w:p>
      <w:pPr>
        <w:tabs>
          <w:tab w:val="left" w:pos="3879"/>
          <w:tab w:val="left" w:pos="7082"/>
          <w:tab w:val="left" w:pos="7187"/>
        </w:tabs>
        <w:spacing w:before="137" w:line="364" w:lineRule="auto"/>
        <w:ind w:left="731" w:right="3257" w:firstLine="0"/>
        <w:jc w:val="left"/>
        <w:rPr>
          <w:rFonts w:ascii="Times New Roman" w:eastAsia="Times New Roman"/>
          <w:sz w:val="21"/>
        </w:rPr>
      </w:pPr>
      <w:r>
        <w:rPr>
          <w:rFonts w:hint="eastAsia" w:ascii="仿宋" w:eastAsia="仿宋"/>
          <w:sz w:val="21"/>
        </w:rPr>
        <w:t>开户银行：</w:t>
      </w:r>
      <w:r>
        <w:rPr>
          <w:rFonts w:hint="eastAsia" w:ascii="仿宋" w:eastAsia="仿宋"/>
          <w:sz w:val="21"/>
          <w:u w:val="single"/>
        </w:rPr>
        <w:tab/>
      </w:r>
      <w:r>
        <w:rPr>
          <w:rFonts w:hint="eastAsia" w:ascii="仿宋" w:eastAsia="仿宋"/>
          <w:w w:val="95"/>
          <w:sz w:val="21"/>
        </w:rPr>
        <w:t>开户银行：</w:t>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sz w:val="21"/>
        </w:rPr>
        <w:t>账号：</w:t>
      </w:r>
      <w:r>
        <w:rPr>
          <w:rFonts w:ascii="Times New Roman" w:eastAsia="Times New Roman"/>
          <w:sz w:val="21"/>
          <w:u w:val="single"/>
        </w:rPr>
        <w:tab/>
      </w:r>
      <w:r>
        <w:rPr>
          <w:rFonts w:hint="eastAsia" w:ascii="仿宋" w:eastAsia="仿宋"/>
          <w:sz w:val="21"/>
        </w:rPr>
        <w:t>账号：</w:t>
      </w:r>
      <w:r>
        <w:rPr>
          <w:rFonts w:ascii="Times New Roman" w:eastAsia="Times New Roman"/>
          <w:sz w:val="21"/>
          <w:u w:val="single"/>
        </w:rPr>
        <w:t xml:space="preserve"> </w:t>
      </w:r>
      <w:r>
        <w:rPr>
          <w:rFonts w:ascii="Times New Roman" w:eastAsia="Times New Roman"/>
          <w:sz w:val="21"/>
          <w:u w:val="single"/>
        </w:rPr>
        <w:tab/>
      </w:r>
    </w:p>
    <w:p>
      <w:pPr>
        <w:tabs>
          <w:tab w:val="left" w:pos="3879"/>
          <w:tab w:val="left" w:pos="7082"/>
        </w:tabs>
        <w:spacing w:before="0" w:line="267" w:lineRule="exact"/>
        <w:ind w:left="731" w:right="0" w:firstLine="0"/>
        <w:jc w:val="left"/>
        <w:rPr>
          <w:rFonts w:ascii="Times New Roman" w:eastAsia="Times New Roman"/>
          <w:sz w:val="21"/>
        </w:rPr>
      </w:pPr>
      <w:r>
        <w:rPr>
          <w:rFonts w:hint="eastAsia" w:ascii="仿宋" w:eastAsia="仿宋"/>
          <w:sz w:val="21"/>
        </w:rPr>
        <w:t>邮政编码：</w:t>
      </w:r>
      <w:r>
        <w:rPr>
          <w:rFonts w:ascii="Times New Roman" w:eastAsia="Times New Roman"/>
          <w:sz w:val="21"/>
          <w:u w:val="single"/>
        </w:rPr>
        <w:tab/>
      </w:r>
      <w:r>
        <w:rPr>
          <w:rFonts w:hint="eastAsia" w:ascii="仿宋" w:eastAsia="仿宋"/>
          <w:w w:val="95"/>
          <w:sz w:val="21"/>
        </w:rPr>
        <w:t>邮政编码：</w:t>
      </w:r>
      <w:r>
        <w:rPr>
          <w:rFonts w:ascii="Times New Roman" w:eastAsia="Times New Roman"/>
          <w:w w:val="95"/>
          <w:sz w:val="21"/>
          <w:u w:val="single"/>
        </w:rPr>
        <w:t xml:space="preserve"> </w:t>
      </w:r>
      <w:r>
        <w:rPr>
          <w:rFonts w:ascii="Times New Roman" w:eastAsia="Times New Roman"/>
          <w:sz w:val="21"/>
          <w:u w:val="single"/>
        </w:rPr>
        <w:tab/>
      </w:r>
    </w:p>
    <w:p>
      <w:pPr>
        <w:spacing w:after="0" w:line="267" w:lineRule="exact"/>
        <w:jc w:val="left"/>
        <w:rPr>
          <w:rFonts w:ascii="Times New Roman" w:eastAsia="Times New Roman"/>
          <w:sz w:val="21"/>
        </w:rPr>
        <w:sectPr>
          <w:pgSz w:w="11910" w:h="16840"/>
          <w:pgMar w:top="1100" w:right="660" w:bottom="1200" w:left="800" w:header="878" w:footer="1003" w:gutter="0"/>
          <w:cols w:space="720" w:num="1"/>
        </w:sectPr>
      </w:pPr>
    </w:p>
    <w:p>
      <w:pPr>
        <w:pStyle w:val="9"/>
        <w:rPr>
          <w:rFonts w:ascii="Times New Roman"/>
          <w:sz w:val="20"/>
        </w:rPr>
      </w:pPr>
    </w:p>
    <w:p>
      <w:pPr>
        <w:pStyle w:val="9"/>
        <w:spacing w:before="6"/>
        <w:rPr>
          <w:rFonts w:ascii="Times New Roman"/>
          <w:sz w:val="20"/>
        </w:rPr>
      </w:pPr>
    </w:p>
    <w:p>
      <w:pPr>
        <w:spacing w:after="0"/>
        <w:rPr>
          <w:rFonts w:ascii="Times New Roman"/>
          <w:sz w:val="20"/>
        </w:rPr>
        <w:sectPr>
          <w:pgSz w:w="11910" w:h="16840"/>
          <w:pgMar w:top="1100" w:right="660" w:bottom="1200" w:left="800" w:header="878" w:footer="1003" w:gutter="0"/>
          <w:cols w:space="720" w:num="1"/>
        </w:sectPr>
      </w:pPr>
    </w:p>
    <w:p>
      <w:pPr>
        <w:spacing w:before="76"/>
        <w:ind w:left="731" w:right="0" w:firstLine="0"/>
        <w:jc w:val="left"/>
        <w:rPr>
          <w:rFonts w:hint="eastAsia" w:ascii="仿宋" w:eastAsia="仿宋"/>
          <w:sz w:val="21"/>
        </w:rPr>
      </w:pPr>
      <w:r>
        <w:rPr>
          <w:rFonts w:hint="eastAsia" w:ascii="仿宋" w:eastAsia="仿宋"/>
          <w:sz w:val="21"/>
        </w:rPr>
        <w:t xml:space="preserve">附件 </w:t>
      </w:r>
      <w:r>
        <w:rPr>
          <w:rFonts w:ascii="Times New Roman" w:eastAsia="Times New Roman"/>
          <w:sz w:val="21"/>
        </w:rPr>
        <w:t xml:space="preserve">4 </w:t>
      </w:r>
      <w:r>
        <w:rPr>
          <w:rFonts w:hint="eastAsia" w:ascii="仿宋" w:eastAsia="仿宋"/>
          <w:sz w:val="21"/>
        </w:rPr>
        <w:t>：</w:t>
      </w:r>
    </w:p>
    <w:p>
      <w:pPr>
        <w:pStyle w:val="9"/>
        <w:rPr>
          <w:rFonts w:ascii="仿宋"/>
          <w:sz w:val="20"/>
        </w:rPr>
      </w:pPr>
      <w:r>
        <w:br w:type="column"/>
      </w:r>
    </w:p>
    <w:p>
      <w:pPr>
        <w:pStyle w:val="9"/>
        <w:spacing w:before="10"/>
        <w:rPr>
          <w:rFonts w:ascii="仿宋"/>
          <w:sz w:val="17"/>
        </w:rPr>
      </w:pPr>
    </w:p>
    <w:p>
      <w:pPr>
        <w:spacing w:before="0"/>
        <w:ind w:left="731" w:right="0" w:firstLine="0"/>
        <w:jc w:val="left"/>
        <w:rPr>
          <w:rFonts w:hint="eastAsia" w:ascii="黑体" w:eastAsia="黑体"/>
          <w:sz w:val="21"/>
        </w:rPr>
      </w:pPr>
      <w:r>
        <w:rPr>
          <w:rFonts w:hint="eastAsia" w:ascii="黑体" w:eastAsia="黑体"/>
          <w:sz w:val="21"/>
        </w:rPr>
        <w:t>文明施工责任协议书</w:t>
      </w:r>
    </w:p>
    <w:p>
      <w:pPr>
        <w:spacing w:after="0"/>
        <w:jc w:val="left"/>
        <w:rPr>
          <w:rFonts w:hint="eastAsia" w:ascii="黑体" w:eastAsia="黑体"/>
          <w:sz w:val="21"/>
        </w:rPr>
        <w:sectPr>
          <w:type w:val="continuous"/>
          <w:pgSz w:w="11910" w:h="16840"/>
          <w:pgMar w:top="1140" w:right="660" w:bottom="280" w:left="800" w:header="720" w:footer="720" w:gutter="0"/>
          <w:cols w:equalWidth="0" w:num="2">
            <w:col w:w="1662" w:space="2012"/>
            <w:col w:w="6776"/>
          </w:cols>
        </w:sectPr>
      </w:pPr>
    </w:p>
    <w:p>
      <w:pPr>
        <w:spacing w:before="139" w:line="364" w:lineRule="auto"/>
        <w:ind w:left="731" w:right="892" w:firstLine="420"/>
        <w:jc w:val="both"/>
        <w:rPr>
          <w:rFonts w:hint="eastAsia" w:ascii="仿宋" w:eastAsia="仿宋"/>
          <w:sz w:val="21"/>
        </w:rPr>
      </w:pPr>
      <w:r>
        <w:rPr>
          <w:rFonts w:hint="eastAsia" w:ascii="仿宋" w:eastAsia="仿宋"/>
          <w:w w:val="95"/>
          <w:sz w:val="21"/>
        </w:rPr>
        <w:t xml:space="preserve">为贯彻执行建设部《建设工程施工现场管理规定》和《上海市建设工程文明施工管理暂行规   定》，认真做好工程建设施工区域内的文明施工，现经甲、乙双方协商同意，明确在文明施工和   </w:t>
      </w:r>
      <w:r>
        <w:rPr>
          <w:rFonts w:hint="eastAsia" w:ascii="仿宋" w:eastAsia="仿宋"/>
          <w:sz w:val="21"/>
        </w:rPr>
        <w:t>文明施工管理中的各自职责，并签订如下协议。</w:t>
      </w:r>
    </w:p>
    <w:p>
      <w:pPr>
        <w:spacing w:before="0" w:line="364" w:lineRule="auto"/>
        <w:ind w:left="731" w:right="784" w:firstLine="420"/>
        <w:jc w:val="left"/>
        <w:rPr>
          <w:rFonts w:hint="eastAsia" w:ascii="仿宋" w:hAnsi="仿宋" w:eastAsia="仿宋"/>
          <w:sz w:val="21"/>
        </w:rPr>
      </w:pPr>
      <w:r>
        <w:rPr>
          <w:rFonts w:hint="eastAsia" w:ascii="仿宋" w:hAnsi="仿宋" w:eastAsia="仿宋"/>
          <w:spacing w:val="-10"/>
          <w:sz w:val="21"/>
        </w:rPr>
        <w:t>一、 双方同意在工程管理和工程建设中必须坚持社会效益第一，经济效益和社会效益相一致</w:t>
      </w:r>
      <w:r>
        <w:rPr>
          <w:rFonts w:hint="eastAsia" w:ascii="仿宋" w:hAnsi="仿宋" w:eastAsia="仿宋"/>
          <w:spacing w:val="-14"/>
          <w:w w:val="95"/>
          <w:sz w:val="21"/>
        </w:rPr>
        <w:t xml:space="preserve">“方便人民生活，有利于发展生产、保护生态环境”的原则，坚持便民、利民、为民服务的宗旨。   </w:t>
      </w:r>
      <w:r>
        <w:rPr>
          <w:rFonts w:hint="eastAsia" w:ascii="仿宋" w:hAnsi="仿宋" w:eastAsia="仿宋"/>
          <w:spacing w:val="-14"/>
          <w:sz w:val="21"/>
        </w:rPr>
        <w:t>搞好工程建设中的文明施工。</w:t>
      </w:r>
    </w:p>
    <w:p>
      <w:pPr>
        <w:spacing w:before="0" w:line="364" w:lineRule="auto"/>
        <w:ind w:left="731" w:right="784" w:firstLine="420"/>
        <w:jc w:val="left"/>
        <w:rPr>
          <w:rFonts w:hint="eastAsia" w:ascii="仿宋" w:hAnsi="仿宋" w:eastAsia="仿宋"/>
          <w:sz w:val="21"/>
        </w:rPr>
      </w:pPr>
      <w:r>
        <w:rPr>
          <w:rFonts w:hint="eastAsia" w:ascii="仿宋" w:hAnsi="仿宋" w:eastAsia="仿宋"/>
          <w:spacing w:val="-10"/>
          <w:sz w:val="21"/>
        </w:rPr>
        <w:t>二、 双方要认真贯彻“发包人负责，施工单位实施，地方政府监督”的文明施工原则。现场由发包人项目管理组牵头，建立三方共同参与的文明施工管理小组，负责日常管理协调工作，争</w:t>
      </w:r>
      <w:r>
        <w:rPr>
          <w:rFonts w:hint="eastAsia" w:ascii="仿宋" w:hAnsi="仿宋" w:eastAsia="仿宋"/>
          <w:spacing w:val="-13"/>
          <w:w w:val="95"/>
          <w:sz w:val="21"/>
        </w:rPr>
        <w:t xml:space="preserve">创文明工地。发包人按市有关创建文明工地的规定，组织、指导、检查、考核、和开展选评工作，   </w:t>
      </w:r>
      <w:r>
        <w:rPr>
          <w:rFonts w:hint="eastAsia" w:ascii="仿宋" w:hAnsi="仿宋" w:eastAsia="仿宋"/>
          <w:spacing w:val="-13"/>
          <w:sz w:val="21"/>
        </w:rPr>
        <w:t>创建活动的实施由承包人负责。</w:t>
      </w:r>
    </w:p>
    <w:p>
      <w:pPr>
        <w:spacing w:before="0" w:line="367" w:lineRule="auto"/>
        <w:ind w:left="731" w:right="892" w:firstLine="420"/>
        <w:jc w:val="left"/>
        <w:rPr>
          <w:rFonts w:hint="eastAsia" w:ascii="仿宋" w:eastAsia="仿宋"/>
          <w:sz w:val="21"/>
        </w:rPr>
      </w:pPr>
      <w:r>
        <w:rPr>
          <w:rFonts w:hint="eastAsia" w:ascii="仿宋" w:eastAsia="仿宋"/>
          <w:spacing w:val="-11"/>
          <w:sz w:val="21"/>
        </w:rPr>
        <w:t>三、 承包人在其施工大纲中应结合工程实际情况，制订出各项文明施工措施，并落实如下有关要求：</w:t>
      </w:r>
    </w:p>
    <w:p>
      <w:pPr>
        <w:spacing w:before="0" w:line="264" w:lineRule="exact"/>
        <w:ind w:left="1151" w:right="0" w:firstLine="0"/>
        <w:jc w:val="left"/>
        <w:rPr>
          <w:rFonts w:hint="eastAsia" w:ascii="仿宋" w:eastAsia="仿宋"/>
          <w:sz w:val="21"/>
        </w:rPr>
      </w:pPr>
      <w:r>
        <w:rPr>
          <w:rFonts w:ascii="Times New Roman" w:eastAsia="Times New Roman"/>
          <w:sz w:val="21"/>
        </w:rPr>
        <w:t>1</w:t>
      </w:r>
      <w:r>
        <w:rPr>
          <w:rFonts w:hint="eastAsia" w:ascii="仿宋" w:eastAsia="仿宋"/>
          <w:sz w:val="21"/>
        </w:rPr>
        <w:t>、施工现场必须按规定要求设置施工铭牌，所有施工管理、作业人员应配带胸卡上岗。</w:t>
      </w:r>
    </w:p>
    <w:p>
      <w:pPr>
        <w:spacing w:before="134" w:line="364" w:lineRule="auto"/>
        <w:ind w:left="731" w:right="892" w:firstLine="420"/>
        <w:jc w:val="left"/>
        <w:rPr>
          <w:rFonts w:hint="eastAsia" w:ascii="仿宋" w:eastAsia="仿宋"/>
          <w:sz w:val="21"/>
        </w:rPr>
      </w:pPr>
      <w:r>
        <w:rPr>
          <w:rFonts w:ascii="Times New Roman" w:eastAsia="Times New Roman"/>
          <w:w w:val="95"/>
          <w:sz w:val="21"/>
        </w:rPr>
        <w:t>2</w:t>
      </w:r>
      <w:r>
        <w:rPr>
          <w:rFonts w:hint="eastAsia" w:ascii="仿宋" w:eastAsia="仿宋"/>
          <w:spacing w:val="-9"/>
          <w:w w:val="95"/>
          <w:sz w:val="21"/>
        </w:rPr>
        <w:t xml:space="preserve">、施工区域与非施工区域必须按规定设置分隔设施，并做到连续、稳固、整洁、美观和线型   </w:t>
      </w:r>
      <w:r>
        <w:rPr>
          <w:rFonts w:hint="eastAsia" w:ascii="仿宋" w:eastAsia="仿宋"/>
          <w:spacing w:val="-9"/>
          <w:sz w:val="21"/>
        </w:rPr>
        <w:t>和顺。施工区域的围护设施如有损坏要及时修复。</w:t>
      </w:r>
    </w:p>
    <w:p>
      <w:pPr>
        <w:spacing w:before="0" w:line="364" w:lineRule="auto"/>
        <w:ind w:left="731" w:right="892" w:firstLine="420"/>
        <w:jc w:val="both"/>
        <w:rPr>
          <w:rFonts w:hint="eastAsia" w:ascii="仿宋" w:eastAsia="仿宋"/>
          <w:sz w:val="21"/>
        </w:rPr>
      </w:pPr>
      <w:r>
        <w:rPr>
          <w:rFonts w:ascii="Times New Roman" w:eastAsia="Times New Roman"/>
          <w:w w:val="95"/>
          <w:sz w:val="21"/>
        </w:rPr>
        <w:t>3</w:t>
      </w:r>
      <w:r>
        <w:rPr>
          <w:rFonts w:hint="eastAsia" w:ascii="仿宋" w:eastAsia="仿宋"/>
          <w:spacing w:val="-9"/>
          <w:w w:val="95"/>
          <w:sz w:val="21"/>
        </w:rPr>
        <w:t xml:space="preserve">、在施工的路段要有保证车辆通行宽度的车行道、人行道和沿街居民出行的安全便道。凡在   </w:t>
      </w:r>
      <w:r>
        <w:rPr>
          <w:rFonts w:hint="eastAsia" w:ascii="仿宋" w:eastAsia="仿宋"/>
          <w:spacing w:val="-3"/>
          <w:sz w:val="21"/>
        </w:rPr>
        <w:t>施工道路的交叉路口，均应按规定设置交通标志</w:t>
      </w:r>
      <w:r>
        <w:rPr>
          <w:rFonts w:ascii="Times New Roman" w:eastAsia="Times New Roman"/>
          <w:sz w:val="21"/>
        </w:rPr>
        <w:t>(</w:t>
      </w:r>
      <w:r>
        <w:rPr>
          <w:rFonts w:hint="eastAsia" w:ascii="仿宋" w:eastAsia="仿宋"/>
          <w:sz w:val="21"/>
        </w:rPr>
        <w:t>牌</w:t>
      </w:r>
      <w:r>
        <w:rPr>
          <w:rFonts w:ascii="Times New Roman" w:eastAsia="Times New Roman"/>
          <w:sz w:val="21"/>
        </w:rPr>
        <w:t>)</w:t>
      </w:r>
      <w:r>
        <w:rPr>
          <w:rFonts w:hint="eastAsia" w:ascii="仿宋" w:eastAsia="仿宋"/>
          <w:sz w:val="21"/>
        </w:rPr>
        <w:t>，夜间设示警灯及照明灯，便于车辆行人通行。如遇台风、暴雨季节要派人值班，确保安全。</w:t>
      </w:r>
    </w:p>
    <w:p>
      <w:pPr>
        <w:spacing w:before="0" w:line="364" w:lineRule="auto"/>
        <w:ind w:left="731" w:right="895" w:firstLine="420"/>
        <w:jc w:val="left"/>
        <w:rPr>
          <w:rFonts w:hint="eastAsia" w:ascii="仿宋" w:eastAsia="仿宋"/>
          <w:sz w:val="21"/>
        </w:rPr>
      </w:pPr>
      <w:r>
        <w:rPr>
          <w:rFonts w:ascii="Times New Roman" w:eastAsia="Times New Roman"/>
          <w:w w:val="95"/>
          <w:sz w:val="21"/>
        </w:rPr>
        <w:t>4</w:t>
      </w:r>
      <w:r>
        <w:rPr>
          <w:rFonts w:hint="eastAsia" w:ascii="仿宋" w:eastAsia="仿宋"/>
          <w:spacing w:val="-9"/>
          <w:w w:val="95"/>
          <w:sz w:val="21"/>
        </w:rPr>
        <w:t xml:space="preserve">、要落实切实可行的施工临时排水和防汛措施，禁止向通道上排放，禁止泥浆水、水泥浆水   </w:t>
      </w:r>
      <w:r>
        <w:rPr>
          <w:rFonts w:hint="eastAsia" w:ascii="仿宋" w:eastAsia="仿宋"/>
          <w:spacing w:val="-9"/>
          <w:sz w:val="21"/>
        </w:rPr>
        <w:t>未经沉淀直接排入下水道。</w:t>
      </w:r>
    </w:p>
    <w:p>
      <w:pPr>
        <w:spacing w:before="0" w:line="367" w:lineRule="auto"/>
        <w:ind w:left="731" w:right="890" w:firstLine="420"/>
        <w:jc w:val="left"/>
        <w:rPr>
          <w:rFonts w:hint="eastAsia" w:ascii="仿宋" w:eastAsia="仿宋"/>
          <w:sz w:val="21"/>
        </w:rPr>
      </w:pPr>
      <w:r>
        <w:rPr>
          <w:rFonts w:ascii="Times New Roman" w:eastAsia="Times New Roman"/>
          <w:w w:val="95"/>
          <w:sz w:val="21"/>
        </w:rPr>
        <w:t>5</w:t>
      </w:r>
      <w:r>
        <w:rPr>
          <w:rFonts w:hint="eastAsia" w:ascii="仿宋" w:eastAsia="仿宋"/>
          <w:spacing w:val="-5"/>
          <w:w w:val="95"/>
          <w:sz w:val="21"/>
        </w:rPr>
        <w:t>、施工现场平面布置合理，各类材料、设备、预制构件等</w:t>
      </w:r>
      <w:r>
        <w:rPr>
          <w:rFonts w:ascii="Times New Roman" w:eastAsia="Times New Roman"/>
          <w:w w:val="95"/>
          <w:sz w:val="21"/>
        </w:rPr>
        <w:t>(</w:t>
      </w:r>
      <w:r>
        <w:rPr>
          <w:rFonts w:hint="eastAsia" w:ascii="仿宋" w:eastAsia="仿宋"/>
          <w:w w:val="95"/>
          <w:sz w:val="21"/>
        </w:rPr>
        <w:t>包括土方</w:t>
      </w:r>
      <w:r>
        <w:rPr>
          <w:rFonts w:ascii="Times New Roman" w:eastAsia="Times New Roman"/>
          <w:w w:val="95"/>
          <w:sz w:val="21"/>
        </w:rPr>
        <w:t>)</w:t>
      </w:r>
      <w:r>
        <w:rPr>
          <w:rFonts w:hint="eastAsia" w:ascii="仿宋" w:eastAsia="仿宋"/>
          <w:spacing w:val="-1"/>
          <w:w w:val="95"/>
          <w:sz w:val="21"/>
        </w:rPr>
        <w:t xml:space="preserve">做到有序堆放，不得侵   </w:t>
      </w:r>
      <w:r>
        <w:rPr>
          <w:rFonts w:hint="eastAsia" w:ascii="仿宋" w:eastAsia="仿宋"/>
          <w:spacing w:val="-1"/>
          <w:sz w:val="21"/>
        </w:rPr>
        <w:t>占车行道、人行道。施工中要加强对各种管线的保护。</w:t>
      </w:r>
    </w:p>
    <w:p>
      <w:pPr>
        <w:spacing w:before="0" w:line="364" w:lineRule="auto"/>
        <w:ind w:left="731" w:right="887" w:firstLine="420"/>
        <w:jc w:val="left"/>
        <w:rPr>
          <w:rFonts w:hint="eastAsia" w:ascii="仿宋" w:eastAsia="仿宋"/>
          <w:sz w:val="21"/>
        </w:rPr>
      </w:pPr>
      <w:r>
        <w:rPr>
          <w:rFonts w:ascii="Times New Roman" w:eastAsia="Times New Roman"/>
          <w:w w:val="95"/>
          <w:sz w:val="21"/>
        </w:rPr>
        <w:t>6</w:t>
      </w:r>
      <w:r>
        <w:rPr>
          <w:rFonts w:hint="eastAsia" w:ascii="仿宋" w:eastAsia="仿宋"/>
          <w:spacing w:val="-9"/>
          <w:w w:val="95"/>
          <w:sz w:val="21"/>
        </w:rPr>
        <w:t xml:space="preserve">、施工中必须要采取有效措施，防止渣土洒落，泥浆、废水流溢，控制粉尘飞扬，减少施工   </w:t>
      </w:r>
      <w:r>
        <w:rPr>
          <w:rFonts w:hint="eastAsia" w:ascii="仿宋" w:eastAsia="仿宋"/>
          <w:spacing w:val="-9"/>
          <w:sz w:val="21"/>
        </w:rPr>
        <w:t>对本市环境的污染，严格控制噪音。</w:t>
      </w:r>
    </w:p>
    <w:p>
      <w:pPr>
        <w:spacing w:before="0" w:line="364" w:lineRule="auto"/>
        <w:ind w:left="731" w:right="890" w:firstLine="420"/>
        <w:jc w:val="both"/>
        <w:rPr>
          <w:rFonts w:hint="eastAsia" w:ascii="仿宋" w:eastAsia="仿宋"/>
          <w:sz w:val="21"/>
        </w:rPr>
      </w:pPr>
      <w:r>
        <w:rPr>
          <w:rFonts w:ascii="Times New Roman" w:eastAsia="Times New Roman"/>
          <w:sz w:val="21"/>
        </w:rPr>
        <w:t>7</w:t>
      </w:r>
      <w:r>
        <w:rPr>
          <w:rFonts w:hint="eastAsia" w:ascii="仿宋" w:eastAsia="仿宋"/>
          <w:spacing w:val="-10"/>
          <w:sz w:val="21"/>
        </w:rPr>
        <w:t xml:space="preserve">、为配合实施国家和上海市开展环境保护和减少污染的要求，承包人必须在每年 </w:t>
      </w:r>
      <w:r>
        <w:rPr>
          <w:rFonts w:ascii="Times New Roman" w:eastAsia="Times New Roman"/>
          <w:sz w:val="21"/>
        </w:rPr>
        <w:t>5-8</w:t>
      </w:r>
      <w:r>
        <w:rPr>
          <w:rFonts w:ascii="Times New Roman" w:eastAsia="Times New Roman"/>
          <w:spacing w:val="-5"/>
          <w:sz w:val="21"/>
        </w:rPr>
        <w:t xml:space="preserve"> </w:t>
      </w:r>
      <w:r>
        <w:rPr>
          <w:rFonts w:hint="eastAsia" w:ascii="仿宋" w:eastAsia="仿宋"/>
          <w:sz w:val="21"/>
        </w:rPr>
        <w:t>月委托</w:t>
      </w:r>
      <w:r>
        <w:rPr>
          <w:rFonts w:hint="eastAsia" w:ascii="仿宋" w:eastAsia="仿宋"/>
          <w:w w:val="95"/>
          <w:sz w:val="21"/>
        </w:rPr>
        <w:t xml:space="preserve">政府环保监督部门对施工过程中的噪音、粉尘、废水进行一次测试，出具相应的测试报告，并提   </w:t>
      </w:r>
      <w:r>
        <w:rPr>
          <w:rFonts w:hint="eastAsia" w:ascii="仿宋" w:eastAsia="仿宋"/>
          <w:sz w:val="21"/>
        </w:rPr>
        <w:t>交发包人备案。</w:t>
      </w:r>
    </w:p>
    <w:p>
      <w:pPr>
        <w:spacing w:before="0" w:line="364" w:lineRule="auto"/>
        <w:ind w:left="731" w:right="892" w:firstLine="420"/>
        <w:jc w:val="left"/>
        <w:rPr>
          <w:rFonts w:hint="eastAsia" w:ascii="仿宋" w:eastAsia="仿宋"/>
          <w:sz w:val="21"/>
        </w:rPr>
      </w:pPr>
      <w:r>
        <w:rPr>
          <w:rFonts w:ascii="Times New Roman" w:eastAsia="Times New Roman"/>
          <w:w w:val="95"/>
          <w:sz w:val="21"/>
        </w:rPr>
        <w:t>8</w:t>
      </w:r>
      <w:r>
        <w:rPr>
          <w:rFonts w:hint="eastAsia" w:ascii="仿宋" w:eastAsia="仿宋"/>
          <w:spacing w:val="-9"/>
          <w:w w:val="95"/>
          <w:sz w:val="21"/>
        </w:rPr>
        <w:t xml:space="preserve">、如发现承包人未进行上述环境保护测试工作，此测试工作由发包人代为办理，其费用由承   </w:t>
      </w:r>
      <w:r>
        <w:rPr>
          <w:rFonts w:hint="eastAsia" w:ascii="仿宋" w:eastAsia="仿宋"/>
          <w:spacing w:val="-9"/>
          <w:sz w:val="21"/>
        </w:rPr>
        <w:t>包人加倍承担。</w:t>
      </w:r>
    </w:p>
    <w:p>
      <w:pPr>
        <w:spacing w:before="0" w:line="364" w:lineRule="auto"/>
        <w:ind w:left="731" w:right="892" w:firstLine="420"/>
        <w:jc w:val="left"/>
        <w:rPr>
          <w:rFonts w:hint="eastAsia" w:ascii="仿宋" w:hAnsi="仿宋" w:eastAsia="仿宋"/>
          <w:sz w:val="21"/>
        </w:rPr>
      </w:pPr>
      <w:r>
        <w:rPr>
          <w:rFonts w:hint="eastAsia" w:ascii="仿宋" w:hAnsi="仿宋" w:eastAsia="仿宋"/>
          <w:w w:val="95"/>
          <w:sz w:val="21"/>
        </w:rPr>
        <w:t xml:space="preserve">四、承包人负责施工区域及生活区域的环境卫生，建立完善相关的规章制度，落实责任制。   </w:t>
      </w:r>
      <w:r>
        <w:rPr>
          <w:rFonts w:hint="eastAsia" w:ascii="仿宋" w:hAnsi="仿宋" w:eastAsia="仿宋"/>
          <w:sz w:val="21"/>
        </w:rPr>
        <w:t>做到“五小”生活设施齐全，符合规范要求。</w:t>
      </w:r>
    </w:p>
    <w:p>
      <w:pPr>
        <w:spacing w:before="0"/>
        <w:ind w:left="1151" w:right="0" w:firstLine="0"/>
        <w:jc w:val="left"/>
        <w:rPr>
          <w:rFonts w:hint="eastAsia" w:ascii="仿宋" w:eastAsia="仿宋"/>
          <w:sz w:val="21"/>
        </w:rPr>
      </w:pPr>
      <w:r>
        <w:rPr>
          <w:rFonts w:hint="eastAsia" w:ascii="仿宋" w:eastAsia="仿宋"/>
          <w:sz w:val="21"/>
        </w:rPr>
        <w:t>五、发包人对承包人开展创建文明工地的工作要经常性地给予指导，定期组织检查，对承包</w:t>
      </w:r>
    </w:p>
    <w:p>
      <w:pPr>
        <w:spacing w:after="0"/>
        <w:jc w:val="left"/>
        <w:rPr>
          <w:rFonts w:hint="eastAsia" w:ascii="仿宋" w:eastAsia="仿宋"/>
          <w:sz w:val="21"/>
        </w:rPr>
        <w:sectPr>
          <w:type w:val="continuous"/>
          <w:pgSz w:w="11910" w:h="16840"/>
          <w:pgMar w:top="1140" w:right="660" w:bottom="280" w:left="800" w:header="720" w:footer="720" w:gutter="0"/>
          <w:cols w:space="720" w:num="1"/>
        </w:sectPr>
      </w:pPr>
    </w:p>
    <w:p>
      <w:pPr>
        <w:pStyle w:val="9"/>
        <w:spacing w:before="12"/>
        <w:rPr>
          <w:rFonts w:ascii="仿宋"/>
          <w:sz w:val="17"/>
        </w:rPr>
      </w:pPr>
    </w:p>
    <w:p>
      <w:pPr>
        <w:spacing w:before="70"/>
        <w:ind w:left="731" w:right="0" w:firstLine="0"/>
        <w:jc w:val="left"/>
        <w:rPr>
          <w:rFonts w:hint="eastAsia" w:ascii="仿宋" w:eastAsia="仿宋"/>
          <w:sz w:val="21"/>
        </w:rPr>
      </w:pPr>
      <w:r>
        <w:rPr>
          <w:rFonts w:hint="eastAsia" w:ascii="仿宋" w:eastAsia="仿宋"/>
          <w:w w:val="95"/>
          <w:sz w:val="21"/>
        </w:rPr>
        <w:t>人存在的问题应及时通知承包人进行整改，并有权以承包人责任违约，对责任单位每次处违约金</w:t>
      </w:r>
    </w:p>
    <w:p>
      <w:pPr>
        <w:spacing w:before="139"/>
        <w:ind w:left="731" w:right="0" w:firstLine="0"/>
        <w:jc w:val="left"/>
        <w:rPr>
          <w:rFonts w:hint="eastAsia" w:ascii="仿宋" w:eastAsia="仿宋"/>
          <w:sz w:val="21"/>
        </w:rPr>
      </w:pPr>
      <w:r>
        <w:rPr>
          <w:rFonts w:ascii="Times New Roman" w:eastAsia="Times New Roman"/>
          <w:sz w:val="21"/>
        </w:rPr>
        <w:t>500</w:t>
      </w:r>
      <w:r>
        <w:rPr>
          <w:rFonts w:ascii="Times New Roman" w:eastAsia="Times New Roman"/>
          <w:spacing w:val="-6"/>
          <w:sz w:val="21"/>
        </w:rPr>
        <w:t xml:space="preserve"> </w:t>
      </w:r>
      <w:r>
        <w:rPr>
          <w:rFonts w:hint="eastAsia" w:ascii="仿宋" w:eastAsia="仿宋"/>
          <w:spacing w:val="-29"/>
          <w:sz w:val="21"/>
        </w:rPr>
        <w:t xml:space="preserve">至 </w:t>
      </w:r>
      <w:r>
        <w:rPr>
          <w:rFonts w:ascii="Times New Roman" w:eastAsia="Times New Roman"/>
          <w:sz w:val="21"/>
        </w:rPr>
        <w:t>5,000</w:t>
      </w:r>
      <w:r>
        <w:rPr>
          <w:rFonts w:ascii="Times New Roman" w:eastAsia="Times New Roman"/>
          <w:spacing w:val="-6"/>
          <w:sz w:val="21"/>
        </w:rPr>
        <w:t xml:space="preserve"> </w:t>
      </w:r>
      <w:r>
        <w:rPr>
          <w:rFonts w:hint="eastAsia" w:ascii="仿宋" w:eastAsia="仿宋"/>
          <w:spacing w:val="-10"/>
          <w:sz w:val="21"/>
        </w:rPr>
        <w:t>元，并采取强化整改措施，对未按要求限期整改的或整改不力，情节严重的，对责任</w:t>
      </w:r>
    </w:p>
    <w:p>
      <w:pPr>
        <w:spacing w:before="141"/>
        <w:ind w:left="731" w:right="0" w:firstLine="0"/>
        <w:jc w:val="left"/>
        <w:rPr>
          <w:rFonts w:ascii="Times New Roman" w:eastAsia="Times New Roman"/>
          <w:sz w:val="21"/>
        </w:rPr>
      </w:pPr>
      <w:r>
        <w:rPr>
          <w:rFonts w:hint="eastAsia" w:ascii="仿宋" w:eastAsia="仿宋"/>
          <w:spacing w:val="-4"/>
          <w:sz w:val="21"/>
        </w:rPr>
        <w:t xml:space="preserve">单位每次处违约金 </w:t>
      </w:r>
      <w:r>
        <w:rPr>
          <w:rFonts w:ascii="Times New Roman" w:eastAsia="Times New Roman"/>
          <w:sz w:val="21"/>
        </w:rPr>
        <w:t>1</w:t>
      </w:r>
      <w:r>
        <w:rPr>
          <w:rFonts w:ascii="Times New Roman" w:eastAsia="Times New Roman"/>
          <w:spacing w:val="-5"/>
          <w:sz w:val="21"/>
        </w:rPr>
        <w:t xml:space="preserve"> </w:t>
      </w:r>
      <w:r>
        <w:rPr>
          <w:rFonts w:hint="eastAsia" w:ascii="仿宋" w:eastAsia="仿宋"/>
          <w:spacing w:val="-18"/>
          <w:sz w:val="21"/>
        </w:rPr>
        <w:t xml:space="preserve">万至 </w:t>
      </w:r>
      <w:r>
        <w:rPr>
          <w:rFonts w:ascii="Times New Roman" w:eastAsia="Times New Roman"/>
          <w:sz w:val="21"/>
        </w:rPr>
        <w:t>5</w:t>
      </w:r>
      <w:r>
        <w:rPr>
          <w:rFonts w:ascii="Times New Roman" w:eastAsia="Times New Roman"/>
          <w:spacing w:val="-3"/>
          <w:sz w:val="21"/>
        </w:rPr>
        <w:t xml:space="preserve"> </w:t>
      </w:r>
      <w:r>
        <w:rPr>
          <w:rFonts w:hint="eastAsia" w:ascii="仿宋" w:eastAsia="仿宋"/>
          <w:sz w:val="21"/>
        </w:rPr>
        <w:t xml:space="preserve">万元不等，整改所发生的费用从安全抵押金中扣除，最高上限为 </w:t>
      </w:r>
      <w:r>
        <w:rPr>
          <w:rFonts w:ascii="Times New Roman" w:eastAsia="Times New Roman"/>
          <w:sz w:val="21"/>
        </w:rPr>
        <w:t>10</w:t>
      </w:r>
    </w:p>
    <w:p>
      <w:pPr>
        <w:spacing w:before="139"/>
        <w:ind w:left="731" w:right="0" w:firstLine="0"/>
        <w:jc w:val="left"/>
        <w:rPr>
          <w:rFonts w:hint="eastAsia" w:ascii="仿宋" w:eastAsia="仿宋"/>
          <w:sz w:val="21"/>
        </w:rPr>
      </w:pPr>
      <w:r>
        <w:rPr>
          <w:rFonts w:hint="eastAsia" w:ascii="仿宋" w:eastAsia="仿宋"/>
          <w:sz w:val="21"/>
        </w:rPr>
        <w:t>万元。</w:t>
      </w:r>
    </w:p>
    <w:p>
      <w:pPr>
        <w:spacing w:before="139" w:line="364" w:lineRule="auto"/>
        <w:ind w:left="731" w:right="892" w:firstLine="420"/>
        <w:jc w:val="left"/>
        <w:rPr>
          <w:rFonts w:hint="eastAsia" w:ascii="仿宋" w:eastAsia="仿宋"/>
          <w:sz w:val="21"/>
        </w:rPr>
      </w:pPr>
      <w:r>
        <w:rPr>
          <w:rFonts w:hint="eastAsia" w:ascii="仿宋" w:eastAsia="仿宋"/>
          <w:w w:val="95"/>
          <w:sz w:val="21"/>
        </w:rPr>
        <w:t xml:space="preserve">六、因承包人违反文明施工管理要求，被地方政府有关部门查获而受到的经济处罚，以及由   </w:t>
      </w:r>
      <w:r>
        <w:rPr>
          <w:rFonts w:hint="eastAsia" w:ascii="仿宋" w:eastAsia="仿宋"/>
          <w:sz w:val="21"/>
        </w:rPr>
        <w:t>此而使发包人受到的经济损失，均由承包人承担。</w:t>
      </w:r>
    </w:p>
    <w:p>
      <w:pPr>
        <w:spacing w:before="0" w:line="364" w:lineRule="auto"/>
        <w:ind w:left="731" w:right="892" w:firstLine="420"/>
        <w:jc w:val="left"/>
        <w:rPr>
          <w:rFonts w:hint="eastAsia" w:ascii="仿宋" w:eastAsia="仿宋"/>
          <w:sz w:val="21"/>
        </w:rPr>
      </w:pPr>
      <w:r>
        <w:rPr>
          <w:rFonts w:hint="eastAsia" w:ascii="仿宋" w:eastAsia="仿宋"/>
          <w:w w:val="95"/>
          <w:sz w:val="21"/>
        </w:rPr>
        <w:t xml:space="preserve">七、本协议作为甲乙双方工程合同的附件，在工程合同正式签约后生效，与工程合同具有同   </w:t>
      </w:r>
      <w:r>
        <w:rPr>
          <w:rFonts w:hint="eastAsia" w:ascii="仿宋" w:eastAsia="仿宋"/>
          <w:sz w:val="21"/>
        </w:rPr>
        <w:t>等法律效力。工程合同期满，本协议终止。</w:t>
      </w:r>
    </w:p>
    <w:p>
      <w:pPr>
        <w:pStyle w:val="9"/>
        <w:rPr>
          <w:rFonts w:ascii="仿宋"/>
          <w:sz w:val="20"/>
        </w:rPr>
      </w:pPr>
    </w:p>
    <w:p>
      <w:pPr>
        <w:pStyle w:val="9"/>
        <w:rPr>
          <w:rFonts w:ascii="仿宋"/>
          <w:sz w:val="20"/>
        </w:rPr>
      </w:pPr>
    </w:p>
    <w:p>
      <w:pPr>
        <w:pStyle w:val="9"/>
        <w:spacing w:before="5"/>
        <w:rPr>
          <w:rFonts w:ascii="仿宋"/>
          <w:sz w:val="16"/>
        </w:rPr>
      </w:pPr>
    </w:p>
    <w:p>
      <w:pPr>
        <w:tabs>
          <w:tab w:val="left" w:pos="3776"/>
          <w:tab w:val="left" w:pos="6785"/>
          <w:tab w:val="left" w:pos="6976"/>
        </w:tabs>
        <w:spacing w:before="1" w:line="364" w:lineRule="auto"/>
        <w:ind w:left="731" w:right="3468" w:firstLine="0"/>
        <w:jc w:val="left"/>
        <w:rPr>
          <w:rFonts w:ascii="Times New Roman" w:eastAsia="Times New Roman"/>
          <w:sz w:val="21"/>
        </w:rPr>
      </w:pPr>
      <w:r>
        <w:rPr>
          <w:rFonts w:hint="eastAsia" w:ascii="仿宋" w:eastAsia="仿宋"/>
          <w:spacing w:val="5"/>
          <w:w w:val="90"/>
          <w:sz w:val="21"/>
        </w:rPr>
        <w:t>发</w:t>
      </w:r>
      <w:r>
        <w:rPr>
          <w:rFonts w:hint="eastAsia" w:ascii="仿宋" w:eastAsia="仿宋"/>
          <w:spacing w:val="3"/>
          <w:w w:val="90"/>
          <w:sz w:val="21"/>
        </w:rPr>
        <w:t>包</w:t>
      </w:r>
      <w:r>
        <w:rPr>
          <w:rFonts w:hint="eastAsia" w:ascii="仿宋" w:eastAsia="仿宋"/>
          <w:spacing w:val="5"/>
          <w:w w:val="90"/>
          <w:sz w:val="21"/>
        </w:rPr>
        <w:t>人</w:t>
      </w:r>
      <w:r>
        <w:rPr>
          <w:rFonts w:ascii="Times New Roman" w:eastAsia="Times New Roman"/>
          <w:w w:val="90"/>
          <w:sz w:val="21"/>
        </w:rPr>
        <w:t>(</w:t>
      </w:r>
      <w:r>
        <w:rPr>
          <w:rFonts w:hint="eastAsia" w:ascii="仿宋" w:eastAsia="仿宋"/>
          <w:spacing w:val="5"/>
          <w:w w:val="90"/>
          <w:sz w:val="21"/>
        </w:rPr>
        <w:t>公</w:t>
      </w:r>
      <w:r>
        <w:rPr>
          <w:rFonts w:hint="eastAsia" w:ascii="仿宋" w:eastAsia="仿宋"/>
          <w:spacing w:val="3"/>
          <w:w w:val="90"/>
          <w:sz w:val="21"/>
        </w:rPr>
        <w:t>章</w:t>
      </w:r>
      <w:r>
        <w:rPr>
          <w:rFonts w:ascii="Times New Roman" w:eastAsia="Times New Roman"/>
          <w:spacing w:val="3"/>
          <w:w w:val="90"/>
          <w:sz w:val="21"/>
        </w:rPr>
        <w:t>)</w:t>
      </w:r>
      <w:r>
        <w:rPr>
          <w:rFonts w:hint="eastAsia" w:ascii="仿宋" w:eastAsia="仿宋"/>
          <w:spacing w:val="3"/>
          <w:w w:val="90"/>
          <w:sz w:val="21"/>
        </w:rPr>
        <w:t>：</w:t>
      </w:r>
      <w:r>
        <w:rPr>
          <w:rFonts w:hint="eastAsia" w:ascii="仿宋" w:eastAsia="仿宋"/>
          <w:w w:val="90"/>
          <w:sz w:val="21"/>
        </w:rPr>
        <w:tab/>
      </w:r>
      <w:r>
        <w:rPr>
          <w:rFonts w:hint="eastAsia" w:ascii="仿宋" w:eastAsia="仿宋"/>
          <w:spacing w:val="5"/>
          <w:w w:val="85"/>
          <w:sz w:val="21"/>
        </w:rPr>
        <w:t>承</w:t>
      </w:r>
      <w:r>
        <w:rPr>
          <w:rFonts w:hint="eastAsia" w:ascii="仿宋" w:eastAsia="仿宋"/>
          <w:spacing w:val="3"/>
          <w:w w:val="85"/>
          <w:sz w:val="21"/>
        </w:rPr>
        <w:t>包</w:t>
      </w:r>
      <w:r>
        <w:rPr>
          <w:rFonts w:hint="eastAsia" w:ascii="仿宋" w:eastAsia="仿宋"/>
          <w:spacing w:val="5"/>
          <w:w w:val="85"/>
          <w:sz w:val="21"/>
        </w:rPr>
        <w:t>人</w:t>
      </w:r>
      <w:r>
        <w:rPr>
          <w:rFonts w:ascii="Times New Roman" w:eastAsia="Times New Roman"/>
          <w:w w:val="85"/>
          <w:sz w:val="21"/>
        </w:rPr>
        <w:t>(</w:t>
      </w:r>
      <w:r>
        <w:rPr>
          <w:rFonts w:hint="eastAsia" w:ascii="仿宋" w:eastAsia="仿宋"/>
          <w:spacing w:val="5"/>
          <w:w w:val="85"/>
          <w:sz w:val="21"/>
        </w:rPr>
        <w:t>公</w:t>
      </w:r>
      <w:r>
        <w:rPr>
          <w:rFonts w:hint="eastAsia" w:ascii="仿宋" w:eastAsia="仿宋"/>
          <w:spacing w:val="3"/>
          <w:w w:val="85"/>
          <w:sz w:val="21"/>
        </w:rPr>
        <w:t>章</w:t>
      </w:r>
      <w:r>
        <w:rPr>
          <w:rFonts w:ascii="Times New Roman" w:eastAsia="Times New Roman"/>
          <w:spacing w:val="3"/>
          <w:w w:val="85"/>
          <w:sz w:val="21"/>
        </w:rPr>
        <w:t>)</w:t>
      </w:r>
      <w:r>
        <w:rPr>
          <w:rFonts w:hint="eastAsia" w:ascii="仿宋" w:eastAsia="仿宋"/>
          <w:spacing w:val="3"/>
          <w:w w:val="85"/>
          <w:sz w:val="21"/>
        </w:rPr>
        <w:t>：</w:t>
      </w:r>
      <w:r>
        <w:rPr>
          <w:rFonts w:hint="eastAsia" w:ascii="仿宋" w:eastAsia="仿宋"/>
          <w:spacing w:val="3"/>
          <w:w w:val="85"/>
          <w:sz w:val="21"/>
          <w:u w:val="single"/>
        </w:rPr>
        <w:tab/>
      </w:r>
      <w:r>
        <w:rPr>
          <w:rFonts w:hint="eastAsia" w:ascii="仿宋" w:eastAsia="仿宋"/>
          <w:w w:val="85"/>
          <w:sz w:val="21"/>
          <w:u w:val="single"/>
        </w:rPr>
        <w:t xml:space="preserve"> </w:t>
      </w:r>
      <w:r>
        <w:rPr>
          <w:rFonts w:hint="eastAsia" w:ascii="仿宋" w:eastAsia="仿宋"/>
          <w:sz w:val="21"/>
        </w:rPr>
        <w:t>地址：</w:t>
      </w:r>
      <w:r>
        <w:rPr>
          <w:rFonts w:hint="eastAsia" w:ascii="仿宋" w:eastAsia="仿宋"/>
          <w:spacing w:val="-3"/>
          <w:sz w:val="21"/>
          <w:u w:val="single"/>
        </w:rPr>
        <w:t xml:space="preserve"> </w:t>
      </w:r>
      <w:r>
        <w:rPr>
          <w:rFonts w:hint="eastAsia" w:ascii="仿宋" w:eastAsia="仿宋"/>
          <w:sz w:val="21"/>
        </w:rPr>
        <w:tab/>
      </w:r>
      <w:r>
        <w:rPr>
          <w:rFonts w:hint="eastAsia" w:ascii="仿宋" w:eastAsia="仿宋"/>
          <w:w w:val="95"/>
          <w:sz w:val="21"/>
        </w:rPr>
        <w:t>地址：</w:t>
      </w:r>
      <w:r>
        <w:rPr>
          <w:rFonts w:ascii="Times New Roman" w:eastAsia="Times New Roman"/>
          <w:w w:val="95"/>
          <w:sz w:val="21"/>
          <w:u w:val="single"/>
        </w:rPr>
        <w:t xml:space="preserve"> </w:t>
      </w:r>
      <w:r>
        <w:rPr>
          <w:rFonts w:ascii="Times New Roman" w:eastAsia="Times New Roman"/>
          <w:sz w:val="21"/>
          <w:u w:val="single"/>
        </w:rPr>
        <w:tab/>
      </w:r>
      <w:r>
        <w:rPr>
          <w:rFonts w:ascii="Times New Roman" w:eastAsia="Times New Roman"/>
          <w:sz w:val="21"/>
          <w:u w:val="single"/>
        </w:rPr>
        <w:tab/>
      </w:r>
    </w:p>
    <w:p>
      <w:pPr>
        <w:tabs>
          <w:tab w:val="left" w:pos="2619"/>
          <w:tab w:val="left" w:pos="3810"/>
          <w:tab w:val="left" w:pos="6031"/>
          <w:tab w:val="left" w:pos="7571"/>
          <w:tab w:val="left" w:pos="7675"/>
        </w:tabs>
        <w:spacing w:before="0" w:line="364" w:lineRule="auto"/>
        <w:ind w:left="731" w:right="2769" w:firstLine="0"/>
        <w:jc w:val="left"/>
        <w:rPr>
          <w:rFonts w:ascii="Times New Roman" w:eastAsia="Times New Roman"/>
          <w:sz w:val="21"/>
        </w:rPr>
      </w:pPr>
      <w:r>
        <w:rPr>
          <w:rFonts w:hint="eastAsia" w:ascii="仿宋" w:eastAsia="仿宋"/>
          <w:sz w:val="21"/>
        </w:rPr>
        <w:t>法定代表人</w:t>
      </w:r>
      <w:r>
        <w:rPr>
          <w:rFonts w:ascii="Times New Roman" w:eastAsia="Times New Roman"/>
          <w:sz w:val="21"/>
        </w:rPr>
        <w:t>(</w:t>
      </w:r>
      <w:r>
        <w:rPr>
          <w:rFonts w:hint="eastAsia" w:ascii="仿宋" w:eastAsia="仿宋"/>
          <w:sz w:val="21"/>
        </w:rPr>
        <w:t>签字</w:t>
      </w:r>
      <w:r>
        <w:rPr>
          <w:rFonts w:ascii="Times New Roman" w:eastAsia="Times New Roman"/>
          <w:sz w:val="21"/>
        </w:rPr>
        <w:t>)</w:t>
      </w:r>
      <w:r>
        <w:rPr>
          <w:rFonts w:hint="eastAsia" w:ascii="仿宋" w:eastAsia="仿宋"/>
          <w:sz w:val="21"/>
        </w:rPr>
        <w:t>：</w:t>
      </w:r>
      <w:r>
        <w:rPr>
          <w:rFonts w:hint="eastAsia" w:ascii="仿宋" w:eastAsia="仿宋"/>
          <w:sz w:val="21"/>
          <w:u w:val="single"/>
        </w:rPr>
        <w:t xml:space="preserve"> </w:t>
      </w:r>
      <w:r>
        <w:rPr>
          <w:rFonts w:hint="eastAsia" w:ascii="仿宋" w:eastAsia="仿宋"/>
          <w:sz w:val="21"/>
          <w:u w:val="single"/>
        </w:rPr>
        <w:tab/>
      </w:r>
      <w:r>
        <w:rPr>
          <w:rFonts w:hint="eastAsia" w:ascii="仿宋" w:eastAsia="仿宋"/>
          <w:w w:val="95"/>
          <w:sz w:val="21"/>
        </w:rPr>
        <w:t>法定代表人</w:t>
      </w:r>
      <w:r>
        <w:rPr>
          <w:rFonts w:ascii="Times New Roman" w:eastAsia="Times New Roman"/>
          <w:w w:val="95"/>
          <w:sz w:val="21"/>
        </w:rPr>
        <w:t>(</w:t>
      </w:r>
      <w:r>
        <w:rPr>
          <w:rFonts w:hint="eastAsia" w:ascii="仿宋" w:eastAsia="仿宋"/>
          <w:w w:val="95"/>
          <w:sz w:val="21"/>
        </w:rPr>
        <w:t>签字</w:t>
      </w:r>
      <w:r>
        <w:rPr>
          <w:rFonts w:ascii="Times New Roman" w:eastAsia="Times New Roman"/>
          <w:w w:val="95"/>
          <w:sz w:val="21"/>
        </w:rPr>
        <w:t>)</w:t>
      </w:r>
      <w:r>
        <w:rPr>
          <w:rFonts w:hint="eastAsia" w:ascii="仿宋" w:eastAsia="仿宋"/>
          <w:w w:val="95"/>
          <w:sz w:val="21"/>
        </w:rPr>
        <w:t>：</w:t>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sz w:val="21"/>
        </w:rPr>
        <w:t>委托代理人</w:t>
      </w:r>
      <w:r>
        <w:rPr>
          <w:rFonts w:ascii="Times New Roman" w:eastAsia="Times New Roman"/>
          <w:sz w:val="21"/>
        </w:rPr>
        <w:t>(</w:t>
      </w:r>
      <w:r>
        <w:rPr>
          <w:rFonts w:hint="eastAsia" w:ascii="仿宋" w:eastAsia="仿宋"/>
          <w:sz w:val="21"/>
        </w:rPr>
        <w:t>签字</w:t>
      </w:r>
      <w:r>
        <w:rPr>
          <w:rFonts w:ascii="Times New Roman" w:eastAsia="Times New Roman"/>
          <w:sz w:val="21"/>
        </w:rPr>
        <w:t>)</w:t>
      </w:r>
      <w:r>
        <w:rPr>
          <w:rFonts w:hint="eastAsia" w:ascii="仿宋" w:eastAsia="仿宋"/>
          <w:sz w:val="21"/>
        </w:rPr>
        <w:t>：</w:t>
      </w:r>
      <w:r>
        <w:rPr>
          <w:rFonts w:hint="eastAsia" w:ascii="仿宋" w:eastAsia="仿宋"/>
          <w:sz w:val="21"/>
          <w:u w:val="single"/>
        </w:rPr>
        <w:t xml:space="preserve"> </w:t>
      </w:r>
      <w:r>
        <w:rPr>
          <w:rFonts w:hint="eastAsia" w:ascii="仿宋" w:eastAsia="仿宋"/>
          <w:sz w:val="21"/>
          <w:u w:val="single"/>
        </w:rPr>
        <w:tab/>
      </w:r>
      <w:r>
        <w:rPr>
          <w:rFonts w:hint="eastAsia" w:ascii="仿宋" w:eastAsia="仿宋"/>
          <w:w w:val="95"/>
          <w:sz w:val="21"/>
        </w:rPr>
        <w:t>委托代理人</w:t>
      </w:r>
      <w:r>
        <w:rPr>
          <w:rFonts w:ascii="Times New Roman" w:eastAsia="Times New Roman"/>
          <w:w w:val="95"/>
          <w:sz w:val="21"/>
        </w:rPr>
        <w:t>(</w:t>
      </w:r>
      <w:r>
        <w:rPr>
          <w:rFonts w:hint="eastAsia" w:ascii="仿宋" w:eastAsia="仿宋"/>
          <w:w w:val="95"/>
          <w:sz w:val="21"/>
        </w:rPr>
        <w:t>签字</w:t>
      </w:r>
      <w:r>
        <w:rPr>
          <w:rFonts w:ascii="Times New Roman" w:eastAsia="Times New Roman"/>
          <w:w w:val="95"/>
          <w:sz w:val="21"/>
        </w:rPr>
        <w:t>)</w:t>
      </w:r>
      <w:r>
        <w:rPr>
          <w:rFonts w:hint="eastAsia" w:ascii="仿宋" w:eastAsia="仿宋"/>
          <w:w w:val="95"/>
          <w:sz w:val="21"/>
        </w:rPr>
        <w:t>：</w:t>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sz w:val="21"/>
        </w:rPr>
        <w:t>电话：</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电话：</w:t>
      </w:r>
      <w:r>
        <w:rPr>
          <w:rFonts w:ascii="Times New Roman" w:eastAsia="Times New Roman"/>
          <w:sz w:val="21"/>
          <w:u w:val="single"/>
        </w:rPr>
        <w:t xml:space="preserve"> </w:t>
      </w:r>
      <w:r>
        <w:rPr>
          <w:rFonts w:ascii="Times New Roman" w:eastAsia="Times New Roman"/>
          <w:sz w:val="21"/>
          <w:u w:val="single"/>
        </w:rPr>
        <w:tab/>
      </w:r>
      <w:r>
        <w:rPr>
          <w:rFonts w:ascii="Times New Roman" w:eastAsia="Times New Roman"/>
          <w:sz w:val="21"/>
          <w:u w:val="single"/>
        </w:rPr>
        <w:tab/>
      </w:r>
    </w:p>
    <w:p>
      <w:pPr>
        <w:tabs>
          <w:tab w:val="left" w:pos="2516"/>
          <w:tab w:val="left" w:pos="5927"/>
        </w:tabs>
        <w:spacing w:before="0" w:line="269" w:lineRule="exact"/>
        <w:ind w:left="731" w:right="0" w:firstLine="0"/>
        <w:jc w:val="left"/>
        <w:rPr>
          <w:rFonts w:ascii="Times New Roman" w:eastAsia="Times New Roman"/>
          <w:sz w:val="21"/>
        </w:rPr>
      </w:pPr>
      <w:r>
        <w:rPr>
          <w:rFonts w:hint="eastAsia" w:ascii="仿宋" w:eastAsia="仿宋"/>
          <w:sz w:val="21"/>
        </w:rPr>
        <w:t>传真：</w:t>
      </w:r>
      <w:r>
        <w:rPr>
          <w:rFonts w:hint="eastAsia" w:ascii="仿宋" w:eastAsia="仿宋"/>
          <w:sz w:val="21"/>
          <w:u w:val="single"/>
        </w:rPr>
        <w:t xml:space="preserve"> </w:t>
      </w:r>
      <w:r>
        <w:rPr>
          <w:rFonts w:hint="eastAsia" w:ascii="仿宋" w:eastAsia="仿宋"/>
          <w:sz w:val="21"/>
          <w:u w:val="single"/>
        </w:rPr>
        <w:tab/>
      </w:r>
      <w:r>
        <w:rPr>
          <w:rFonts w:hint="eastAsia" w:ascii="仿宋" w:eastAsia="仿宋"/>
          <w:w w:val="95"/>
          <w:sz w:val="21"/>
        </w:rPr>
        <w:t>传真：</w:t>
      </w:r>
      <w:r>
        <w:rPr>
          <w:rFonts w:ascii="Times New Roman" w:eastAsia="Times New Roman"/>
          <w:w w:val="95"/>
          <w:sz w:val="21"/>
          <w:u w:val="single"/>
        </w:rPr>
        <w:t xml:space="preserve"> </w:t>
      </w:r>
      <w:r>
        <w:rPr>
          <w:rFonts w:ascii="Times New Roman" w:eastAsia="Times New Roman"/>
          <w:sz w:val="21"/>
          <w:u w:val="single"/>
        </w:rPr>
        <w:tab/>
      </w:r>
    </w:p>
    <w:p>
      <w:pPr>
        <w:tabs>
          <w:tab w:val="left" w:pos="3879"/>
          <w:tab w:val="left" w:pos="7082"/>
          <w:tab w:val="left" w:pos="7187"/>
        </w:tabs>
        <w:spacing w:before="137" w:line="364" w:lineRule="auto"/>
        <w:ind w:left="731" w:right="3257" w:firstLine="0"/>
        <w:jc w:val="left"/>
        <w:rPr>
          <w:rFonts w:ascii="Times New Roman" w:eastAsia="Times New Roman"/>
          <w:sz w:val="21"/>
        </w:rPr>
      </w:pPr>
      <w:r>
        <w:rPr>
          <w:rFonts w:hint="eastAsia" w:ascii="仿宋" w:eastAsia="仿宋"/>
          <w:sz w:val="21"/>
        </w:rPr>
        <w:t>开户银行：</w:t>
      </w:r>
      <w:r>
        <w:rPr>
          <w:rFonts w:hint="eastAsia" w:ascii="仿宋" w:eastAsia="仿宋"/>
          <w:sz w:val="21"/>
          <w:u w:val="single"/>
        </w:rPr>
        <w:tab/>
      </w:r>
      <w:r>
        <w:rPr>
          <w:rFonts w:hint="eastAsia" w:ascii="仿宋" w:eastAsia="仿宋"/>
          <w:w w:val="95"/>
          <w:sz w:val="21"/>
        </w:rPr>
        <w:t>开户银行：</w:t>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sz w:val="21"/>
        </w:rPr>
        <w:t>账号：</w:t>
      </w:r>
      <w:r>
        <w:rPr>
          <w:rFonts w:ascii="Times New Roman" w:eastAsia="Times New Roman"/>
          <w:sz w:val="21"/>
          <w:u w:val="single"/>
        </w:rPr>
        <w:tab/>
      </w:r>
      <w:r>
        <w:rPr>
          <w:rFonts w:hint="eastAsia" w:ascii="仿宋" w:eastAsia="仿宋"/>
          <w:sz w:val="21"/>
        </w:rPr>
        <w:t>账号：</w:t>
      </w:r>
      <w:r>
        <w:rPr>
          <w:rFonts w:ascii="Times New Roman" w:eastAsia="Times New Roman"/>
          <w:sz w:val="21"/>
          <w:u w:val="single"/>
        </w:rPr>
        <w:t xml:space="preserve"> </w:t>
      </w:r>
      <w:r>
        <w:rPr>
          <w:rFonts w:ascii="Times New Roman" w:eastAsia="Times New Roman"/>
          <w:sz w:val="21"/>
          <w:u w:val="single"/>
        </w:rPr>
        <w:tab/>
      </w:r>
    </w:p>
    <w:p>
      <w:pPr>
        <w:tabs>
          <w:tab w:val="left" w:pos="3879"/>
          <w:tab w:val="left" w:pos="7082"/>
        </w:tabs>
        <w:spacing w:before="0" w:line="267" w:lineRule="exact"/>
        <w:ind w:left="731" w:right="0" w:firstLine="0"/>
        <w:jc w:val="left"/>
        <w:rPr>
          <w:rFonts w:ascii="Times New Roman" w:eastAsia="Times New Roman"/>
          <w:sz w:val="21"/>
        </w:rPr>
      </w:pPr>
      <w:r>
        <w:rPr>
          <w:rFonts w:hint="eastAsia" w:ascii="仿宋" w:eastAsia="仿宋"/>
          <w:sz w:val="21"/>
        </w:rPr>
        <w:t>邮政编码：</w:t>
      </w:r>
      <w:r>
        <w:rPr>
          <w:rFonts w:ascii="Times New Roman" w:eastAsia="Times New Roman"/>
          <w:sz w:val="21"/>
          <w:u w:val="single"/>
        </w:rPr>
        <w:tab/>
      </w:r>
      <w:r>
        <w:rPr>
          <w:rFonts w:hint="eastAsia" w:ascii="仿宋" w:eastAsia="仿宋"/>
          <w:w w:val="95"/>
          <w:sz w:val="21"/>
        </w:rPr>
        <w:t>邮政编码：</w:t>
      </w:r>
      <w:r>
        <w:rPr>
          <w:rFonts w:ascii="Times New Roman" w:eastAsia="Times New Roman"/>
          <w:w w:val="95"/>
          <w:sz w:val="21"/>
          <w:u w:val="single"/>
        </w:rPr>
        <w:t xml:space="preserve"> </w:t>
      </w:r>
      <w:r>
        <w:rPr>
          <w:rFonts w:ascii="Times New Roman" w:eastAsia="Times New Roman"/>
          <w:sz w:val="21"/>
          <w:u w:val="single"/>
        </w:rPr>
        <w:tab/>
      </w:r>
    </w:p>
    <w:p>
      <w:pPr>
        <w:spacing w:after="0" w:line="267" w:lineRule="exact"/>
        <w:jc w:val="left"/>
        <w:rPr>
          <w:rFonts w:ascii="Times New Roman" w:eastAsia="Times New Roman"/>
          <w:sz w:val="21"/>
        </w:rPr>
        <w:sectPr>
          <w:pgSz w:w="11910" w:h="16840"/>
          <w:pgMar w:top="1100" w:right="660" w:bottom="1200" w:left="800" w:header="878" w:footer="1003" w:gutter="0"/>
          <w:cols w:space="720" w:num="1"/>
        </w:sectPr>
      </w:pPr>
    </w:p>
    <w:p>
      <w:pPr>
        <w:pStyle w:val="9"/>
        <w:rPr>
          <w:rFonts w:ascii="Times New Roman"/>
          <w:sz w:val="20"/>
        </w:rPr>
      </w:pPr>
    </w:p>
    <w:p>
      <w:pPr>
        <w:pStyle w:val="9"/>
        <w:rPr>
          <w:rFonts w:ascii="Times New Roman"/>
          <w:sz w:val="20"/>
        </w:rPr>
      </w:pPr>
    </w:p>
    <w:p>
      <w:pPr>
        <w:spacing w:after="0"/>
        <w:rPr>
          <w:rFonts w:ascii="Times New Roman"/>
          <w:sz w:val="20"/>
        </w:rPr>
        <w:sectPr>
          <w:pgSz w:w="11910" w:h="16840"/>
          <w:pgMar w:top="1100" w:right="660" w:bottom="1200" w:left="800" w:header="878" w:footer="1003" w:gutter="0"/>
          <w:cols w:space="720" w:num="1"/>
        </w:sectPr>
      </w:pPr>
    </w:p>
    <w:p>
      <w:pPr>
        <w:pStyle w:val="9"/>
        <w:spacing w:before="6"/>
        <w:rPr>
          <w:rFonts w:ascii="Times New Roman"/>
          <w:sz w:val="17"/>
        </w:rPr>
      </w:pPr>
    </w:p>
    <w:p>
      <w:pPr>
        <w:spacing w:before="0"/>
        <w:ind w:left="731" w:right="0" w:firstLine="0"/>
        <w:jc w:val="left"/>
        <w:rPr>
          <w:rFonts w:hint="eastAsia" w:ascii="仿宋" w:eastAsia="仿宋"/>
          <w:sz w:val="21"/>
        </w:rPr>
      </w:pPr>
      <w:r>
        <w:rPr>
          <w:rFonts w:hint="eastAsia" w:ascii="仿宋" w:eastAsia="仿宋"/>
          <w:spacing w:val="-18"/>
          <w:sz w:val="21"/>
        </w:rPr>
        <w:t xml:space="preserve">附件 </w:t>
      </w:r>
      <w:r>
        <w:rPr>
          <w:rFonts w:ascii="Times New Roman" w:eastAsia="Times New Roman"/>
          <w:sz w:val="21"/>
        </w:rPr>
        <w:t>5</w:t>
      </w:r>
      <w:r>
        <w:rPr>
          <w:rFonts w:hint="eastAsia" w:ascii="仿宋" w:eastAsia="仿宋"/>
          <w:sz w:val="21"/>
        </w:rPr>
        <w:t>：</w:t>
      </w:r>
    </w:p>
    <w:p>
      <w:pPr>
        <w:pStyle w:val="9"/>
        <w:rPr>
          <w:rFonts w:ascii="仿宋"/>
          <w:sz w:val="20"/>
        </w:rPr>
      </w:pPr>
      <w:r>
        <w:br w:type="column"/>
      </w:r>
    </w:p>
    <w:p>
      <w:pPr>
        <w:pStyle w:val="9"/>
        <w:spacing w:before="8"/>
        <w:rPr>
          <w:rFonts w:ascii="仿宋"/>
          <w:sz w:val="27"/>
        </w:rPr>
      </w:pPr>
    </w:p>
    <w:p>
      <w:pPr>
        <w:spacing w:before="0"/>
        <w:ind w:left="731" w:right="0" w:firstLine="0"/>
        <w:jc w:val="left"/>
        <w:rPr>
          <w:rFonts w:hint="eastAsia" w:ascii="黑体" w:eastAsia="黑体"/>
          <w:sz w:val="21"/>
        </w:rPr>
      </w:pPr>
      <w:r>
        <w:rPr>
          <w:rFonts w:hint="eastAsia" w:ascii="黑体" w:eastAsia="黑体"/>
          <w:sz w:val="21"/>
        </w:rPr>
        <w:t>治安、防火责任协议</w:t>
      </w:r>
    </w:p>
    <w:p>
      <w:pPr>
        <w:spacing w:after="0"/>
        <w:jc w:val="left"/>
        <w:rPr>
          <w:rFonts w:hint="eastAsia" w:ascii="黑体" w:eastAsia="黑体"/>
          <w:sz w:val="21"/>
        </w:rPr>
        <w:sectPr>
          <w:type w:val="continuous"/>
          <w:pgSz w:w="11910" w:h="16840"/>
          <w:pgMar w:top="1140" w:right="660" w:bottom="280" w:left="800" w:header="720" w:footer="720" w:gutter="0"/>
          <w:cols w:equalWidth="0" w:num="2">
            <w:col w:w="1557" w:space="2118"/>
            <w:col w:w="6775"/>
          </w:cols>
        </w:sectPr>
      </w:pPr>
    </w:p>
    <w:p>
      <w:pPr>
        <w:spacing w:before="141" w:line="364" w:lineRule="auto"/>
        <w:ind w:left="731" w:right="890" w:firstLine="420"/>
        <w:jc w:val="both"/>
        <w:rPr>
          <w:rFonts w:hint="eastAsia" w:ascii="仿宋" w:eastAsia="仿宋"/>
          <w:sz w:val="21"/>
        </w:rPr>
      </w:pPr>
      <w:r>
        <w:rPr>
          <w:rFonts w:hint="eastAsia" w:ascii="仿宋" w:eastAsia="仿宋"/>
          <w:spacing w:val="-11"/>
          <w:w w:val="95"/>
          <w:sz w:val="21"/>
        </w:rPr>
        <w:t xml:space="preserve">为切实搞好工程建设中的治安、防火工作，确保施工现场的治安稳定和防火安全，现根据《上   海市社会治安防范责任条例》之规定，经甲乙双方协商，明确双方在治安防范、防火安全方面的   </w:t>
      </w:r>
      <w:r>
        <w:rPr>
          <w:rFonts w:hint="eastAsia" w:ascii="仿宋" w:eastAsia="仿宋"/>
          <w:spacing w:val="-11"/>
          <w:sz w:val="21"/>
        </w:rPr>
        <w:t>权利和义务：</w:t>
      </w:r>
    </w:p>
    <w:p>
      <w:pPr>
        <w:spacing w:before="0" w:line="266" w:lineRule="exact"/>
        <w:ind w:left="1151" w:right="0" w:firstLine="0"/>
        <w:jc w:val="left"/>
        <w:rPr>
          <w:rFonts w:hint="eastAsia" w:ascii="黑体" w:eastAsia="黑体"/>
          <w:sz w:val="21"/>
        </w:rPr>
      </w:pPr>
      <w:r>
        <w:rPr>
          <w:rFonts w:hint="eastAsia" w:ascii="黑体" w:eastAsia="黑体"/>
          <w:sz w:val="21"/>
        </w:rPr>
        <w:t>一、发包人的权利和义务</w:t>
      </w:r>
    </w:p>
    <w:p>
      <w:pPr>
        <w:pStyle w:val="13"/>
        <w:numPr>
          <w:ilvl w:val="0"/>
          <w:numId w:val="79"/>
        </w:numPr>
        <w:tabs>
          <w:tab w:val="left" w:pos="1467"/>
        </w:tabs>
        <w:spacing w:before="139" w:after="0" w:line="364" w:lineRule="auto"/>
        <w:ind w:left="731" w:right="892" w:firstLine="420"/>
        <w:jc w:val="left"/>
        <w:rPr>
          <w:rFonts w:hint="eastAsia" w:ascii="仿宋" w:eastAsia="仿宋"/>
          <w:sz w:val="21"/>
        </w:rPr>
      </w:pPr>
      <w:r>
        <w:rPr>
          <w:rFonts w:hint="eastAsia" w:ascii="仿宋" w:eastAsia="仿宋"/>
          <w:spacing w:val="-3"/>
          <w:sz w:val="21"/>
        </w:rPr>
        <w:t>发包人在与承包人签约工程合同时应将发包人对《施工现场治安防火工作管理规范》书面交于承包人，明确要求、落实责任、加强指导。</w:t>
      </w:r>
    </w:p>
    <w:p>
      <w:pPr>
        <w:pStyle w:val="13"/>
        <w:numPr>
          <w:ilvl w:val="0"/>
          <w:numId w:val="79"/>
        </w:numPr>
        <w:tabs>
          <w:tab w:val="left" w:pos="1467"/>
        </w:tabs>
        <w:spacing w:before="0" w:after="0" w:line="364" w:lineRule="auto"/>
        <w:ind w:left="731" w:right="895" w:firstLine="420"/>
        <w:jc w:val="left"/>
        <w:rPr>
          <w:rFonts w:hint="eastAsia" w:ascii="仿宋" w:eastAsia="仿宋"/>
          <w:sz w:val="21"/>
        </w:rPr>
      </w:pPr>
      <w:r>
        <w:rPr>
          <w:rFonts w:hint="eastAsia" w:ascii="仿宋" w:eastAsia="仿宋"/>
          <w:spacing w:val="-2"/>
          <w:sz w:val="21"/>
        </w:rPr>
        <w:t>发包人应将上级公安部门和上级单位对工地治安防火工作的有关要求、信息及时向承包</w:t>
      </w:r>
      <w:r>
        <w:rPr>
          <w:rFonts w:hint="eastAsia" w:ascii="仿宋" w:eastAsia="仿宋"/>
          <w:spacing w:val="-2"/>
          <w:w w:val="95"/>
          <w:sz w:val="21"/>
        </w:rPr>
        <w:t>人进行传达布置，定期听取承包人在开展治安防火工作中的情况和意见，做好指导和协调工作。</w:t>
      </w:r>
    </w:p>
    <w:p>
      <w:pPr>
        <w:pStyle w:val="13"/>
        <w:numPr>
          <w:ilvl w:val="0"/>
          <w:numId w:val="79"/>
        </w:numPr>
        <w:tabs>
          <w:tab w:val="left" w:pos="1467"/>
        </w:tabs>
        <w:spacing w:before="0" w:after="0" w:line="364" w:lineRule="auto"/>
        <w:ind w:left="731" w:right="892" w:firstLine="420"/>
        <w:jc w:val="both"/>
        <w:rPr>
          <w:rFonts w:hint="eastAsia" w:ascii="仿宋" w:eastAsia="仿宋"/>
          <w:sz w:val="21"/>
        </w:rPr>
      </w:pPr>
      <w:r>
        <w:rPr>
          <w:rFonts w:hint="eastAsia" w:ascii="仿宋" w:eastAsia="仿宋"/>
          <w:spacing w:val="-2"/>
          <w:sz w:val="21"/>
        </w:rPr>
        <w:t>发包人有权对承包人贯彻落实治安防火工作的情况进行检查，对承包人有关人员发生的</w:t>
      </w:r>
      <w:r>
        <w:rPr>
          <w:rFonts w:hint="eastAsia" w:ascii="仿宋" w:eastAsia="仿宋"/>
          <w:spacing w:val="-2"/>
          <w:w w:val="95"/>
          <w:sz w:val="21"/>
        </w:rPr>
        <w:t xml:space="preserve">违章违法行为及相关问题，则有权教育、制止和责成其限期整改，必要时可按责任违约给予相应   </w:t>
      </w:r>
      <w:r>
        <w:rPr>
          <w:rFonts w:hint="eastAsia" w:ascii="仿宋" w:eastAsia="仿宋"/>
          <w:spacing w:val="-2"/>
          <w:sz w:val="21"/>
        </w:rPr>
        <w:t>的经济处理</w:t>
      </w:r>
      <w:r>
        <w:rPr>
          <w:rFonts w:ascii="Times New Roman" w:eastAsia="Times New Roman"/>
          <w:spacing w:val="-2"/>
          <w:sz w:val="21"/>
        </w:rPr>
        <w:t xml:space="preserve">(500 </w:t>
      </w:r>
      <w:r>
        <w:rPr>
          <w:rFonts w:hint="eastAsia" w:ascii="仿宋" w:eastAsia="仿宋"/>
          <w:spacing w:val="-27"/>
          <w:sz w:val="21"/>
        </w:rPr>
        <w:t xml:space="preserve">至 </w:t>
      </w:r>
      <w:r>
        <w:rPr>
          <w:rFonts w:ascii="Times New Roman" w:eastAsia="Times New Roman"/>
          <w:sz w:val="21"/>
        </w:rPr>
        <w:t>1,000</w:t>
      </w:r>
      <w:r>
        <w:rPr>
          <w:rFonts w:ascii="Times New Roman" w:eastAsia="Times New Roman"/>
          <w:spacing w:val="-1"/>
          <w:sz w:val="21"/>
        </w:rPr>
        <w:t xml:space="preserve"> </w:t>
      </w:r>
      <w:r>
        <w:rPr>
          <w:rFonts w:hint="eastAsia" w:ascii="仿宋" w:eastAsia="仿宋"/>
          <w:sz w:val="21"/>
        </w:rPr>
        <w:t>元／次</w:t>
      </w:r>
      <w:r>
        <w:rPr>
          <w:rFonts w:ascii="Times New Roman" w:eastAsia="Times New Roman"/>
          <w:sz w:val="21"/>
        </w:rPr>
        <w:t>)</w:t>
      </w:r>
      <w:r>
        <w:rPr>
          <w:rFonts w:hint="eastAsia" w:ascii="仿宋" w:eastAsia="仿宋"/>
          <w:sz w:val="21"/>
        </w:rPr>
        <w:t>。</w:t>
      </w:r>
    </w:p>
    <w:p>
      <w:pPr>
        <w:pStyle w:val="13"/>
        <w:numPr>
          <w:ilvl w:val="0"/>
          <w:numId w:val="79"/>
        </w:numPr>
        <w:tabs>
          <w:tab w:val="left" w:pos="1467"/>
        </w:tabs>
        <w:spacing w:before="0" w:after="0" w:line="269" w:lineRule="exact"/>
        <w:ind w:left="1466" w:right="0" w:hanging="316"/>
        <w:jc w:val="left"/>
        <w:rPr>
          <w:rFonts w:hint="eastAsia" w:ascii="仿宋" w:eastAsia="仿宋"/>
          <w:sz w:val="21"/>
        </w:rPr>
      </w:pPr>
      <w:r>
        <w:rPr>
          <w:rFonts w:hint="eastAsia" w:ascii="仿宋" w:eastAsia="仿宋"/>
          <w:sz w:val="21"/>
        </w:rPr>
        <w:t>承包人的违章违法行为，发包人有权对其进行经济处理的是指：</w:t>
      </w:r>
    </w:p>
    <w:p>
      <w:pPr>
        <w:pStyle w:val="13"/>
        <w:numPr>
          <w:ilvl w:val="0"/>
          <w:numId w:val="80"/>
        </w:numPr>
        <w:tabs>
          <w:tab w:val="left" w:pos="1397"/>
        </w:tabs>
        <w:spacing w:before="137" w:after="0" w:line="364" w:lineRule="auto"/>
        <w:ind w:left="731" w:right="892" w:firstLine="420"/>
        <w:jc w:val="left"/>
        <w:rPr>
          <w:rFonts w:hint="eastAsia" w:ascii="仿宋" w:eastAsia="仿宋"/>
          <w:sz w:val="21"/>
        </w:rPr>
      </w:pPr>
      <w:r>
        <w:rPr>
          <w:rFonts w:hint="eastAsia" w:ascii="仿宋" w:eastAsia="仿宋"/>
          <w:spacing w:val="-3"/>
          <w:w w:val="95"/>
          <w:sz w:val="21"/>
        </w:rPr>
        <w:t xml:space="preserve">未经公安消防部门审核批准，擅自使用液化气钢瓶或违章储存易燃、易爆危险物品尚未造   </w:t>
      </w:r>
      <w:r>
        <w:rPr>
          <w:rFonts w:hint="eastAsia" w:ascii="仿宋" w:eastAsia="仿宋"/>
          <w:spacing w:val="-3"/>
          <w:sz w:val="21"/>
        </w:rPr>
        <w:t>成后果的。</w:t>
      </w:r>
    </w:p>
    <w:p>
      <w:pPr>
        <w:pStyle w:val="13"/>
        <w:numPr>
          <w:ilvl w:val="0"/>
          <w:numId w:val="80"/>
        </w:numPr>
        <w:tabs>
          <w:tab w:val="left" w:pos="1397"/>
        </w:tabs>
        <w:spacing w:before="0" w:after="0" w:line="267" w:lineRule="exact"/>
        <w:ind w:left="1396" w:right="0" w:hanging="246"/>
        <w:jc w:val="left"/>
        <w:rPr>
          <w:rFonts w:hint="eastAsia" w:ascii="仿宋" w:eastAsia="仿宋"/>
          <w:sz w:val="21"/>
        </w:rPr>
      </w:pPr>
      <w:r>
        <w:rPr>
          <w:rFonts w:hint="eastAsia" w:ascii="仿宋" w:eastAsia="仿宋"/>
          <w:sz w:val="21"/>
        </w:rPr>
        <w:t>未严格按施工现场动用明火相关规定进行动火作业尚未造成后果的。</w:t>
      </w:r>
    </w:p>
    <w:p>
      <w:pPr>
        <w:pStyle w:val="13"/>
        <w:numPr>
          <w:ilvl w:val="0"/>
          <w:numId w:val="80"/>
        </w:numPr>
        <w:tabs>
          <w:tab w:val="left" w:pos="1397"/>
        </w:tabs>
        <w:spacing w:before="139" w:after="0" w:line="367" w:lineRule="auto"/>
        <w:ind w:left="731" w:right="892" w:firstLine="420"/>
        <w:jc w:val="left"/>
        <w:rPr>
          <w:rFonts w:hint="eastAsia" w:ascii="仿宋" w:eastAsia="仿宋"/>
          <w:sz w:val="21"/>
        </w:rPr>
      </w:pPr>
      <w:r>
        <w:rPr>
          <w:rFonts w:hint="eastAsia" w:ascii="仿宋" w:eastAsia="仿宋"/>
          <w:spacing w:val="-3"/>
          <w:w w:val="95"/>
          <w:sz w:val="21"/>
        </w:rPr>
        <w:t xml:space="preserve">施工区域内发生聚众斗殴、赌博、收看淫秽录像等影响工地治安秩序的违法行为及集体宿   </w:t>
      </w:r>
      <w:r>
        <w:rPr>
          <w:rFonts w:hint="eastAsia" w:ascii="仿宋" w:eastAsia="仿宋"/>
          <w:spacing w:val="-3"/>
          <w:sz w:val="21"/>
        </w:rPr>
        <w:t>舍内违章男女混居的。</w:t>
      </w:r>
    </w:p>
    <w:p>
      <w:pPr>
        <w:pStyle w:val="13"/>
        <w:numPr>
          <w:ilvl w:val="0"/>
          <w:numId w:val="80"/>
        </w:numPr>
        <w:tabs>
          <w:tab w:val="left" w:pos="1397"/>
        </w:tabs>
        <w:spacing w:before="0" w:after="0" w:line="364" w:lineRule="auto"/>
        <w:ind w:left="731" w:right="890" w:firstLine="420"/>
        <w:jc w:val="left"/>
        <w:rPr>
          <w:rFonts w:hint="eastAsia" w:ascii="仿宋" w:eastAsia="仿宋"/>
          <w:sz w:val="21"/>
        </w:rPr>
      </w:pPr>
      <w:r>
        <w:rPr>
          <w:rFonts w:hint="eastAsia" w:ascii="仿宋" w:eastAsia="仿宋"/>
          <w:spacing w:val="-4"/>
          <w:w w:val="95"/>
          <w:sz w:val="21"/>
        </w:rPr>
        <w:t xml:space="preserve">违反施工现场用电安全相关规定用电，擅自使用电炉、煤油炉、电热毯、电熨斗等及带有   </w:t>
      </w:r>
      <w:r>
        <w:rPr>
          <w:rFonts w:hint="eastAsia" w:ascii="仿宋" w:eastAsia="仿宋"/>
          <w:spacing w:val="-4"/>
          <w:sz w:val="21"/>
        </w:rPr>
        <w:t>明火的各类电取热器，或擅自使用高能耗灯具取暖、烘烤物品及在禁火区域内违章吸烟的。</w:t>
      </w:r>
    </w:p>
    <w:p>
      <w:pPr>
        <w:pStyle w:val="13"/>
        <w:numPr>
          <w:ilvl w:val="0"/>
          <w:numId w:val="79"/>
        </w:numPr>
        <w:tabs>
          <w:tab w:val="left" w:pos="1467"/>
        </w:tabs>
        <w:spacing w:before="0" w:after="0" w:line="364" w:lineRule="auto"/>
        <w:ind w:left="731" w:right="892" w:firstLine="420"/>
        <w:jc w:val="right"/>
        <w:rPr>
          <w:rFonts w:hint="eastAsia" w:ascii="仿宋" w:eastAsia="仿宋"/>
          <w:sz w:val="21"/>
        </w:rPr>
      </w:pPr>
      <w:r>
        <w:rPr>
          <w:rFonts w:hint="eastAsia" w:ascii="仿宋" w:eastAsia="仿宋"/>
          <w:spacing w:val="-2"/>
          <w:w w:val="95"/>
          <w:sz w:val="21"/>
        </w:rPr>
        <w:t xml:space="preserve">承包人在其责任区域内发生严重违法犯罪案件或重特大火灾事故的，由公安司法部门调  查处理：但发包人可按其造成的后果和影响，对承包人或其治安、防火第一责任人行使评选先进   </w:t>
      </w:r>
      <w:r>
        <w:rPr>
          <w:rFonts w:hint="eastAsia" w:ascii="仿宋" w:eastAsia="仿宋"/>
          <w:spacing w:val="-2"/>
          <w:sz w:val="21"/>
        </w:rPr>
        <w:t>集</w:t>
      </w:r>
      <w:r>
        <w:rPr>
          <w:rFonts w:hint="eastAsia" w:ascii="仿宋" w:eastAsia="仿宋"/>
          <w:spacing w:val="-5"/>
          <w:sz w:val="21"/>
        </w:rPr>
        <w:t xml:space="preserve">体、先进个人否决权。同时，还可对承包人进行 </w:t>
      </w:r>
      <w:r>
        <w:rPr>
          <w:rFonts w:ascii="Times New Roman" w:eastAsia="Times New Roman"/>
          <w:sz w:val="21"/>
        </w:rPr>
        <w:t>2,000</w:t>
      </w:r>
      <w:r>
        <w:rPr>
          <w:rFonts w:ascii="Times New Roman" w:eastAsia="Times New Roman"/>
          <w:spacing w:val="-6"/>
          <w:sz w:val="21"/>
        </w:rPr>
        <w:t xml:space="preserve"> </w:t>
      </w:r>
      <w:r>
        <w:rPr>
          <w:rFonts w:hint="eastAsia" w:ascii="仿宋" w:eastAsia="仿宋"/>
          <w:spacing w:val="-30"/>
          <w:sz w:val="21"/>
        </w:rPr>
        <w:t xml:space="preserve">至 </w:t>
      </w:r>
      <w:r>
        <w:rPr>
          <w:rFonts w:ascii="Times New Roman" w:eastAsia="Times New Roman"/>
          <w:sz w:val="21"/>
        </w:rPr>
        <w:t>50,000</w:t>
      </w:r>
      <w:r>
        <w:rPr>
          <w:rFonts w:ascii="Times New Roman" w:eastAsia="Times New Roman"/>
          <w:spacing w:val="-4"/>
          <w:sz w:val="21"/>
        </w:rPr>
        <w:t xml:space="preserve"> </w:t>
      </w:r>
      <w:r>
        <w:rPr>
          <w:rFonts w:hint="eastAsia" w:ascii="仿宋" w:eastAsia="仿宋"/>
          <w:sz w:val="21"/>
        </w:rPr>
        <w:t>元的一次性责任违约经济处理。</w:t>
      </w:r>
      <w:r>
        <w:rPr>
          <w:rFonts w:hint="eastAsia" w:ascii="仿宋" w:eastAsia="仿宋"/>
          <w:spacing w:val="-23"/>
          <w:sz w:val="21"/>
        </w:rPr>
        <w:t xml:space="preserve"> </w:t>
      </w:r>
      <w:r>
        <w:rPr>
          <w:rFonts w:ascii="Times New Roman" w:eastAsia="Times New Roman"/>
          <w:spacing w:val="-17"/>
          <w:sz w:val="21"/>
        </w:rPr>
        <w:t>6</w:t>
      </w:r>
      <w:r>
        <w:rPr>
          <w:rFonts w:hint="eastAsia" w:ascii="仿宋" w:eastAsia="仿宋"/>
          <w:spacing w:val="-7"/>
          <w:sz w:val="21"/>
        </w:rPr>
        <w:t>．发包人对承包人的责任违约经济处理，由发包人开具书面通知单给承包人认可。处理款从</w:t>
      </w:r>
    </w:p>
    <w:p>
      <w:pPr>
        <w:spacing w:before="0" w:line="268" w:lineRule="exact"/>
        <w:ind w:left="731" w:right="0" w:firstLine="0"/>
        <w:jc w:val="left"/>
        <w:rPr>
          <w:rFonts w:hint="eastAsia" w:ascii="仿宋" w:eastAsia="仿宋"/>
          <w:sz w:val="21"/>
        </w:rPr>
      </w:pPr>
      <w:r>
        <w:rPr>
          <w:rFonts w:hint="eastAsia" w:ascii="仿宋" w:eastAsia="仿宋"/>
          <w:sz w:val="21"/>
        </w:rPr>
        <w:t>承包人工程款中直接扣除。</w:t>
      </w:r>
    </w:p>
    <w:p>
      <w:pPr>
        <w:spacing w:before="135" w:line="364" w:lineRule="auto"/>
        <w:ind w:left="731" w:right="890" w:firstLine="420"/>
        <w:jc w:val="both"/>
        <w:rPr>
          <w:rFonts w:hint="eastAsia" w:ascii="仿宋" w:hAnsi="仿宋" w:eastAsia="仿宋"/>
          <w:sz w:val="21"/>
        </w:rPr>
      </w:pPr>
      <w:r>
        <w:rPr>
          <w:rFonts w:ascii="Times New Roman" w:hAnsi="Times New Roman" w:eastAsia="Times New Roman"/>
          <w:sz w:val="21"/>
        </w:rPr>
        <w:t>7</w:t>
      </w:r>
      <w:r>
        <w:rPr>
          <w:rFonts w:hint="eastAsia" w:ascii="仿宋" w:hAnsi="仿宋" w:eastAsia="仿宋"/>
          <w:sz w:val="21"/>
        </w:rPr>
        <w:t>．根据整个工地治安防范的需要，如确需增设或外聘警卫值勤人员时，发包人可按</w:t>
      </w:r>
      <w:r>
        <w:rPr>
          <w:rFonts w:ascii="Times New Roman" w:hAnsi="Times New Roman" w:eastAsia="Times New Roman"/>
          <w:sz w:val="21"/>
        </w:rPr>
        <w:t>“</w:t>
      </w:r>
      <w:r>
        <w:rPr>
          <w:rFonts w:hint="eastAsia" w:ascii="仿宋" w:hAnsi="仿宋" w:eastAsia="仿宋"/>
          <w:sz w:val="21"/>
        </w:rPr>
        <w:t>协商、</w:t>
      </w:r>
      <w:r>
        <w:rPr>
          <w:rFonts w:hint="eastAsia" w:ascii="仿宋" w:hAnsi="仿宋" w:eastAsia="仿宋"/>
          <w:w w:val="95"/>
          <w:sz w:val="21"/>
        </w:rPr>
        <w:t>集中</w:t>
      </w:r>
      <w:r>
        <w:rPr>
          <w:rFonts w:ascii="Times New Roman" w:hAnsi="Times New Roman" w:eastAsia="Times New Roman"/>
          <w:w w:val="95"/>
          <w:sz w:val="21"/>
        </w:rPr>
        <w:t>”</w:t>
      </w:r>
      <w:r>
        <w:rPr>
          <w:rFonts w:hint="eastAsia" w:ascii="仿宋" w:hAnsi="仿宋" w:eastAsia="仿宋"/>
          <w:spacing w:val="-7"/>
          <w:w w:val="95"/>
          <w:sz w:val="21"/>
        </w:rPr>
        <w:t xml:space="preserve">的原则决定实施方案，其费用发包人按实际需要由涉及到的各施工单位分担，承包人不得推   </w:t>
      </w:r>
      <w:r>
        <w:rPr>
          <w:rFonts w:hint="eastAsia" w:ascii="仿宋" w:hAnsi="仿宋" w:eastAsia="仿宋"/>
          <w:spacing w:val="-7"/>
          <w:sz w:val="21"/>
        </w:rPr>
        <w:t>委。</w:t>
      </w:r>
    </w:p>
    <w:p>
      <w:pPr>
        <w:spacing w:before="0" w:line="266" w:lineRule="exact"/>
        <w:ind w:left="1151" w:right="0" w:firstLine="0"/>
        <w:jc w:val="left"/>
        <w:rPr>
          <w:rFonts w:hint="eastAsia" w:ascii="黑体" w:eastAsia="黑体"/>
          <w:sz w:val="21"/>
        </w:rPr>
      </w:pPr>
      <w:r>
        <w:rPr>
          <w:rFonts w:hint="eastAsia" w:ascii="黑体" w:eastAsia="黑体"/>
          <w:sz w:val="21"/>
        </w:rPr>
        <w:t>二、承包人的权利和义务</w:t>
      </w:r>
    </w:p>
    <w:p>
      <w:pPr>
        <w:pStyle w:val="13"/>
        <w:numPr>
          <w:ilvl w:val="0"/>
          <w:numId w:val="81"/>
        </w:numPr>
        <w:tabs>
          <w:tab w:val="left" w:pos="1467"/>
        </w:tabs>
        <w:spacing w:before="139" w:after="0" w:line="367" w:lineRule="auto"/>
        <w:ind w:left="731" w:right="892" w:firstLine="420"/>
        <w:jc w:val="left"/>
        <w:rPr>
          <w:rFonts w:hint="eastAsia" w:ascii="仿宋" w:eastAsia="仿宋"/>
          <w:sz w:val="21"/>
        </w:rPr>
      </w:pPr>
      <w:r>
        <w:rPr>
          <w:rFonts w:hint="eastAsia" w:ascii="仿宋" w:eastAsia="仿宋"/>
          <w:spacing w:val="-4"/>
          <w:w w:val="95"/>
          <w:sz w:val="21"/>
        </w:rPr>
        <w:t>承包人在进入工地后，应及时明确落实工地治安、防火第一责任人专</w:t>
      </w:r>
      <w:r>
        <w:rPr>
          <w:rFonts w:hint="eastAsia" w:ascii="仿宋" w:eastAsia="仿宋"/>
          <w:w w:val="95"/>
          <w:sz w:val="21"/>
        </w:rPr>
        <w:t>（兼</w:t>
      </w:r>
      <w:r>
        <w:rPr>
          <w:rFonts w:hint="eastAsia" w:ascii="仿宋" w:eastAsia="仿宋"/>
          <w:spacing w:val="-22"/>
          <w:w w:val="95"/>
          <w:sz w:val="21"/>
        </w:rPr>
        <w:t>）</w:t>
      </w:r>
      <w:r>
        <w:rPr>
          <w:rFonts w:hint="eastAsia" w:ascii="仿宋" w:eastAsia="仿宋"/>
          <w:w w:val="95"/>
          <w:sz w:val="21"/>
        </w:rPr>
        <w:t xml:space="preserve">职保卫消防干  </w:t>
      </w:r>
      <w:r>
        <w:rPr>
          <w:rFonts w:hint="eastAsia" w:ascii="仿宋" w:eastAsia="仿宋"/>
          <w:sz w:val="21"/>
        </w:rPr>
        <w:t>部及治安保卫组织网络，书面报发包人备案。</w:t>
      </w:r>
    </w:p>
    <w:p>
      <w:pPr>
        <w:pStyle w:val="13"/>
        <w:numPr>
          <w:ilvl w:val="0"/>
          <w:numId w:val="81"/>
        </w:numPr>
        <w:tabs>
          <w:tab w:val="left" w:pos="1467"/>
        </w:tabs>
        <w:spacing w:before="0" w:after="0" w:line="264" w:lineRule="exact"/>
        <w:ind w:left="1466" w:right="0" w:hanging="316"/>
        <w:jc w:val="left"/>
        <w:rPr>
          <w:rFonts w:hint="eastAsia" w:ascii="仿宋" w:eastAsia="仿宋"/>
          <w:sz w:val="21"/>
        </w:rPr>
      </w:pPr>
      <w:r>
        <w:rPr>
          <w:rFonts w:hint="eastAsia" w:ascii="仿宋" w:eastAsia="仿宋"/>
          <w:spacing w:val="-5"/>
          <w:sz w:val="21"/>
        </w:rPr>
        <w:t>承包人在施工期间必须遵守、执行国家和本市颁布的治安、消防方面的法律、法规，认真</w:t>
      </w:r>
    </w:p>
    <w:p>
      <w:pPr>
        <w:spacing w:after="0" w:line="264" w:lineRule="exact"/>
        <w:jc w:val="left"/>
        <w:rPr>
          <w:rFonts w:hint="eastAsia" w:ascii="仿宋" w:eastAsia="仿宋"/>
          <w:sz w:val="21"/>
        </w:rPr>
        <w:sectPr>
          <w:type w:val="continuous"/>
          <w:pgSz w:w="11910" w:h="16840"/>
          <w:pgMar w:top="1140" w:right="660" w:bottom="280" w:left="800" w:header="720" w:footer="720" w:gutter="0"/>
          <w:cols w:space="720" w:num="1"/>
        </w:sectPr>
      </w:pPr>
    </w:p>
    <w:p>
      <w:pPr>
        <w:pStyle w:val="9"/>
        <w:spacing w:before="12"/>
        <w:rPr>
          <w:rFonts w:ascii="仿宋"/>
          <w:sz w:val="17"/>
        </w:rPr>
      </w:pPr>
    </w:p>
    <w:p>
      <w:pPr>
        <w:spacing w:before="70" w:line="364" w:lineRule="auto"/>
        <w:ind w:left="731" w:right="892" w:firstLine="0"/>
        <w:jc w:val="left"/>
        <w:rPr>
          <w:rFonts w:hint="eastAsia" w:ascii="仿宋" w:eastAsia="仿宋"/>
          <w:sz w:val="21"/>
        </w:rPr>
      </w:pPr>
      <w:r>
        <w:rPr>
          <w:rFonts w:hint="eastAsia" w:ascii="仿宋" w:eastAsia="仿宋"/>
          <w:w w:val="95"/>
          <w:sz w:val="21"/>
        </w:rPr>
        <w:t xml:space="preserve">落实发包人制定的施工现场治安防火工作相关规范，服从管理，对本责任区域内的治安稳定、防   </w:t>
      </w:r>
      <w:r>
        <w:rPr>
          <w:rFonts w:hint="eastAsia" w:ascii="仿宋" w:eastAsia="仿宋"/>
          <w:sz w:val="21"/>
        </w:rPr>
        <w:t>火安全，实施全面负责，确保不发生重大治安、刑事案件和火灾事故。</w:t>
      </w:r>
    </w:p>
    <w:p>
      <w:pPr>
        <w:pStyle w:val="13"/>
        <w:numPr>
          <w:ilvl w:val="0"/>
          <w:numId w:val="81"/>
        </w:numPr>
        <w:tabs>
          <w:tab w:val="left" w:pos="1467"/>
        </w:tabs>
        <w:spacing w:before="0" w:after="0" w:line="364" w:lineRule="auto"/>
        <w:ind w:left="731" w:right="788" w:firstLine="420"/>
        <w:jc w:val="left"/>
        <w:rPr>
          <w:rFonts w:hint="eastAsia" w:ascii="仿宋" w:hAnsi="仿宋" w:eastAsia="仿宋"/>
          <w:sz w:val="21"/>
        </w:rPr>
      </w:pPr>
      <w:r>
        <w:rPr>
          <w:rFonts w:hint="eastAsia" w:ascii="仿宋" w:hAnsi="仿宋" w:eastAsia="仿宋"/>
          <w:spacing w:val="-6"/>
          <w:sz w:val="21"/>
        </w:rPr>
        <w:t>承包人的治安防火工作，除接受其上级主管单位的领导外，还应主动接受上海城市轨道交</w:t>
      </w:r>
      <w:r>
        <w:rPr>
          <w:rFonts w:hint="eastAsia" w:ascii="仿宋" w:hAnsi="仿宋" w:eastAsia="仿宋"/>
          <w:spacing w:val="-12"/>
          <w:w w:val="95"/>
          <w:sz w:val="21"/>
        </w:rPr>
        <w:t xml:space="preserve">通公安分局和发包人的业务指导、督促、检查。对公安机关和发包人布置的“创建治安合格工地”   </w:t>
      </w:r>
      <w:r>
        <w:rPr>
          <w:rFonts w:hint="eastAsia" w:ascii="仿宋" w:hAnsi="仿宋" w:eastAsia="仿宋"/>
          <w:spacing w:val="-12"/>
          <w:sz w:val="21"/>
        </w:rPr>
        <w:t>等工作，要积极地贯彻执行，对公安部门和发包人在检查中查获的各类隐患问题，应在规定的期限内组织整改或采取相应的防范措施，确保安全。</w:t>
      </w:r>
    </w:p>
    <w:p>
      <w:pPr>
        <w:pStyle w:val="13"/>
        <w:numPr>
          <w:ilvl w:val="0"/>
          <w:numId w:val="81"/>
        </w:numPr>
        <w:tabs>
          <w:tab w:val="left" w:pos="1467"/>
        </w:tabs>
        <w:spacing w:before="0" w:after="0" w:line="364" w:lineRule="auto"/>
        <w:ind w:left="731" w:right="892" w:firstLine="420"/>
        <w:jc w:val="left"/>
        <w:rPr>
          <w:rFonts w:hint="eastAsia" w:ascii="仿宋" w:eastAsia="仿宋"/>
          <w:sz w:val="21"/>
        </w:rPr>
      </w:pPr>
      <w:r>
        <w:rPr>
          <w:rFonts w:hint="eastAsia" w:ascii="仿宋" w:eastAsia="仿宋"/>
          <w:spacing w:val="-5"/>
          <w:w w:val="95"/>
          <w:sz w:val="21"/>
        </w:rPr>
        <w:t xml:space="preserve">一旦工地上发生治安、刑事案件或火灾事故，承包人应在积极处置、保护现场的同时，立  </w:t>
      </w:r>
      <w:r>
        <w:rPr>
          <w:rFonts w:hint="eastAsia" w:ascii="仿宋" w:eastAsia="仿宋"/>
          <w:spacing w:val="-5"/>
          <w:sz w:val="21"/>
        </w:rPr>
        <w:t>即向公安部门和发包人报告，接受调查、处理。所造成</w:t>
      </w:r>
      <w:r>
        <w:rPr>
          <w:rFonts w:ascii="Times New Roman" w:eastAsia="Times New Roman"/>
          <w:spacing w:val="-5"/>
          <w:sz w:val="21"/>
        </w:rPr>
        <w:t>(</w:t>
      </w:r>
      <w:r>
        <w:rPr>
          <w:rFonts w:hint="eastAsia" w:ascii="仿宋" w:eastAsia="仿宋"/>
          <w:spacing w:val="-5"/>
          <w:sz w:val="21"/>
        </w:rPr>
        <w:t>包括对发包人</w:t>
      </w:r>
      <w:r>
        <w:rPr>
          <w:rFonts w:ascii="Times New Roman" w:eastAsia="Times New Roman"/>
          <w:spacing w:val="-5"/>
          <w:sz w:val="21"/>
        </w:rPr>
        <w:t>)</w:t>
      </w:r>
      <w:r>
        <w:rPr>
          <w:rFonts w:hint="eastAsia" w:ascii="仿宋" w:eastAsia="仿宋"/>
          <w:spacing w:val="-5"/>
          <w:sz w:val="21"/>
        </w:rPr>
        <w:t>的损失，由承包人承担。</w:t>
      </w:r>
    </w:p>
    <w:p>
      <w:pPr>
        <w:pStyle w:val="13"/>
        <w:numPr>
          <w:ilvl w:val="0"/>
          <w:numId w:val="81"/>
        </w:numPr>
        <w:tabs>
          <w:tab w:val="left" w:pos="1467"/>
        </w:tabs>
        <w:spacing w:before="0" w:after="0" w:line="364" w:lineRule="auto"/>
        <w:ind w:left="731" w:right="892" w:firstLine="420"/>
        <w:jc w:val="both"/>
        <w:rPr>
          <w:rFonts w:hint="eastAsia" w:ascii="仿宋" w:eastAsia="仿宋"/>
          <w:sz w:val="21"/>
        </w:rPr>
      </w:pPr>
      <w:r>
        <w:rPr>
          <w:rFonts w:hint="eastAsia" w:ascii="仿宋" w:eastAsia="仿宋"/>
          <w:spacing w:val="-3"/>
          <w:sz w:val="21"/>
        </w:rPr>
        <w:t>承包人对因违章违法行为所受的责任违约经济处理有异议的，可提出申诉，要求复议。</w:t>
      </w:r>
      <w:r>
        <w:rPr>
          <w:rFonts w:hint="eastAsia" w:ascii="仿宋" w:eastAsia="仿宋"/>
          <w:w w:val="95"/>
          <w:sz w:val="21"/>
        </w:rPr>
        <w:t xml:space="preserve">如发现发包人工作人员在工作中有滥用职权、营私舞弊、有意刁难等违法行为的，有权向发包人   </w:t>
      </w:r>
      <w:r>
        <w:rPr>
          <w:rFonts w:hint="eastAsia" w:ascii="仿宋" w:eastAsia="仿宋"/>
          <w:sz w:val="21"/>
        </w:rPr>
        <w:t>领导或有关机关检举揭发，要求处理。</w:t>
      </w:r>
    </w:p>
    <w:p>
      <w:pPr>
        <w:pStyle w:val="13"/>
        <w:numPr>
          <w:ilvl w:val="0"/>
          <w:numId w:val="81"/>
        </w:numPr>
        <w:tabs>
          <w:tab w:val="left" w:pos="1521"/>
        </w:tabs>
        <w:spacing w:before="0" w:after="0" w:line="367" w:lineRule="auto"/>
        <w:ind w:left="731" w:right="893" w:firstLine="420"/>
        <w:jc w:val="both"/>
        <w:rPr>
          <w:rFonts w:hint="eastAsia" w:ascii="仿宋" w:eastAsia="仿宋"/>
          <w:sz w:val="21"/>
        </w:rPr>
      </w:pPr>
      <w:r>
        <w:rPr>
          <w:rFonts w:hint="eastAsia" w:ascii="仿宋" w:eastAsia="仿宋"/>
          <w:sz w:val="21"/>
        </w:rPr>
        <w:t>承包人应该接受发包人安保部门的监督、检查和指导，积极落实发包方安保部门发出的整改指令。</w:t>
      </w:r>
    </w:p>
    <w:p>
      <w:pPr>
        <w:spacing w:before="0" w:line="264" w:lineRule="exact"/>
        <w:ind w:left="1151" w:right="0" w:firstLine="0"/>
        <w:jc w:val="left"/>
        <w:rPr>
          <w:rFonts w:hint="eastAsia" w:ascii="黑体" w:eastAsia="黑体"/>
          <w:sz w:val="21"/>
        </w:rPr>
      </w:pPr>
      <w:r>
        <w:rPr>
          <w:rFonts w:hint="eastAsia" w:ascii="黑体" w:eastAsia="黑体"/>
          <w:sz w:val="21"/>
        </w:rPr>
        <w:t>三、其他</w:t>
      </w:r>
    </w:p>
    <w:p>
      <w:pPr>
        <w:pStyle w:val="13"/>
        <w:numPr>
          <w:ilvl w:val="0"/>
          <w:numId w:val="82"/>
        </w:numPr>
        <w:tabs>
          <w:tab w:val="left" w:pos="1467"/>
        </w:tabs>
        <w:spacing w:before="133" w:after="0" w:line="364" w:lineRule="auto"/>
        <w:ind w:left="731" w:right="892" w:firstLine="420"/>
        <w:jc w:val="left"/>
        <w:rPr>
          <w:rFonts w:hint="eastAsia" w:ascii="仿宋" w:eastAsia="仿宋"/>
          <w:sz w:val="21"/>
        </w:rPr>
      </w:pPr>
      <w:r>
        <w:rPr>
          <w:rFonts w:hint="eastAsia" w:ascii="仿宋" w:eastAsia="仿宋"/>
          <w:spacing w:val="-5"/>
          <w:sz w:val="21"/>
        </w:rPr>
        <w:t>本协议中未涉及到的有关条款，甲乙双方可根据需要协商补充修改。如遇有与国家和本市的有关部门法规不符的应按国家和本市的有关规定执行。</w:t>
      </w:r>
    </w:p>
    <w:p>
      <w:pPr>
        <w:pStyle w:val="13"/>
        <w:numPr>
          <w:ilvl w:val="0"/>
          <w:numId w:val="82"/>
        </w:numPr>
        <w:tabs>
          <w:tab w:val="left" w:pos="1467"/>
        </w:tabs>
        <w:spacing w:before="0" w:after="0" w:line="364" w:lineRule="auto"/>
        <w:ind w:left="731" w:right="789" w:firstLine="420"/>
        <w:jc w:val="left"/>
        <w:rPr>
          <w:rFonts w:hint="eastAsia" w:ascii="仿宋" w:eastAsia="仿宋"/>
          <w:sz w:val="21"/>
        </w:rPr>
      </w:pPr>
      <w:r>
        <w:rPr>
          <w:rFonts w:hint="eastAsia" w:ascii="仿宋" w:eastAsia="仿宋"/>
          <w:w w:val="95"/>
          <w:sz w:val="21"/>
        </w:rPr>
        <w:t xml:space="preserve">本协议作为工程合同的附件在工程合同正式签约后生效，与工程合同具有同等法律效力。   </w:t>
      </w:r>
      <w:r>
        <w:rPr>
          <w:rFonts w:hint="eastAsia" w:ascii="仿宋" w:eastAsia="仿宋"/>
          <w:sz w:val="21"/>
        </w:rPr>
        <w:t>工程合同期满，本协议终止。</w:t>
      </w:r>
    </w:p>
    <w:p>
      <w:pPr>
        <w:pStyle w:val="9"/>
        <w:rPr>
          <w:rFonts w:ascii="仿宋"/>
          <w:sz w:val="20"/>
        </w:rPr>
      </w:pPr>
    </w:p>
    <w:p>
      <w:pPr>
        <w:pStyle w:val="9"/>
        <w:rPr>
          <w:rFonts w:ascii="仿宋"/>
          <w:sz w:val="20"/>
        </w:rPr>
      </w:pPr>
    </w:p>
    <w:p>
      <w:pPr>
        <w:pStyle w:val="9"/>
        <w:rPr>
          <w:rFonts w:ascii="仿宋"/>
          <w:sz w:val="20"/>
        </w:rPr>
      </w:pPr>
    </w:p>
    <w:p>
      <w:pPr>
        <w:pStyle w:val="9"/>
        <w:spacing w:before="9"/>
        <w:rPr>
          <w:rFonts w:ascii="仿宋"/>
          <w:sz w:val="24"/>
        </w:rPr>
      </w:pPr>
    </w:p>
    <w:p>
      <w:pPr>
        <w:spacing w:before="0"/>
        <w:ind w:left="731" w:right="0" w:firstLine="0"/>
        <w:jc w:val="left"/>
        <w:rPr>
          <w:rFonts w:hint="eastAsia" w:ascii="仿宋" w:eastAsia="仿宋"/>
          <w:sz w:val="21"/>
        </w:rPr>
      </w:pPr>
      <w:r>
        <w:rPr>
          <w:rFonts w:hint="eastAsia" w:ascii="仿宋" w:eastAsia="仿宋"/>
          <w:sz w:val="21"/>
        </w:rPr>
        <w:t>（本页无正文）</w:t>
      </w:r>
    </w:p>
    <w:p>
      <w:pPr>
        <w:pStyle w:val="9"/>
        <w:rPr>
          <w:rFonts w:ascii="仿宋"/>
          <w:sz w:val="20"/>
        </w:rPr>
      </w:pPr>
    </w:p>
    <w:p>
      <w:pPr>
        <w:pStyle w:val="9"/>
        <w:spacing w:before="2"/>
        <w:rPr>
          <w:rFonts w:ascii="仿宋"/>
          <w:sz w:val="19"/>
        </w:rPr>
      </w:pPr>
    </w:p>
    <w:p>
      <w:pPr>
        <w:tabs>
          <w:tab w:val="left" w:pos="3776"/>
          <w:tab w:val="left" w:pos="6785"/>
          <w:tab w:val="left" w:pos="6976"/>
        </w:tabs>
        <w:spacing w:before="0" w:line="364" w:lineRule="auto"/>
        <w:ind w:left="731" w:right="3468" w:firstLine="0"/>
        <w:jc w:val="left"/>
        <w:rPr>
          <w:rFonts w:ascii="Times New Roman" w:eastAsia="Times New Roman"/>
          <w:sz w:val="21"/>
        </w:rPr>
      </w:pPr>
      <w:r>
        <w:rPr>
          <w:rFonts w:hint="eastAsia" w:ascii="仿宋" w:eastAsia="仿宋"/>
          <w:spacing w:val="5"/>
          <w:w w:val="90"/>
          <w:sz w:val="21"/>
        </w:rPr>
        <w:t>发</w:t>
      </w:r>
      <w:r>
        <w:rPr>
          <w:rFonts w:hint="eastAsia" w:ascii="仿宋" w:eastAsia="仿宋"/>
          <w:spacing w:val="3"/>
          <w:w w:val="90"/>
          <w:sz w:val="21"/>
        </w:rPr>
        <w:t>包</w:t>
      </w:r>
      <w:r>
        <w:rPr>
          <w:rFonts w:hint="eastAsia" w:ascii="仿宋" w:eastAsia="仿宋"/>
          <w:spacing w:val="5"/>
          <w:w w:val="90"/>
          <w:sz w:val="21"/>
        </w:rPr>
        <w:t>人</w:t>
      </w:r>
      <w:r>
        <w:rPr>
          <w:rFonts w:ascii="Times New Roman" w:eastAsia="Times New Roman"/>
          <w:w w:val="90"/>
          <w:sz w:val="21"/>
        </w:rPr>
        <w:t>(</w:t>
      </w:r>
      <w:r>
        <w:rPr>
          <w:rFonts w:hint="eastAsia" w:ascii="仿宋" w:eastAsia="仿宋"/>
          <w:spacing w:val="5"/>
          <w:w w:val="90"/>
          <w:sz w:val="21"/>
        </w:rPr>
        <w:t>公</w:t>
      </w:r>
      <w:r>
        <w:rPr>
          <w:rFonts w:hint="eastAsia" w:ascii="仿宋" w:eastAsia="仿宋"/>
          <w:spacing w:val="3"/>
          <w:w w:val="90"/>
          <w:sz w:val="21"/>
        </w:rPr>
        <w:t>章</w:t>
      </w:r>
      <w:r>
        <w:rPr>
          <w:rFonts w:ascii="Times New Roman" w:eastAsia="Times New Roman"/>
          <w:spacing w:val="3"/>
          <w:w w:val="90"/>
          <w:sz w:val="21"/>
        </w:rPr>
        <w:t>)</w:t>
      </w:r>
      <w:r>
        <w:rPr>
          <w:rFonts w:hint="eastAsia" w:ascii="仿宋" w:eastAsia="仿宋"/>
          <w:spacing w:val="3"/>
          <w:w w:val="90"/>
          <w:sz w:val="21"/>
        </w:rPr>
        <w:t>：</w:t>
      </w:r>
      <w:r>
        <w:rPr>
          <w:rFonts w:hint="eastAsia" w:ascii="仿宋" w:eastAsia="仿宋"/>
          <w:w w:val="90"/>
          <w:sz w:val="21"/>
        </w:rPr>
        <w:tab/>
      </w:r>
      <w:r>
        <w:rPr>
          <w:rFonts w:hint="eastAsia" w:ascii="仿宋" w:eastAsia="仿宋"/>
          <w:spacing w:val="5"/>
          <w:w w:val="85"/>
          <w:sz w:val="21"/>
        </w:rPr>
        <w:t>承</w:t>
      </w:r>
      <w:r>
        <w:rPr>
          <w:rFonts w:hint="eastAsia" w:ascii="仿宋" w:eastAsia="仿宋"/>
          <w:spacing w:val="3"/>
          <w:w w:val="85"/>
          <w:sz w:val="21"/>
        </w:rPr>
        <w:t>包</w:t>
      </w:r>
      <w:r>
        <w:rPr>
          <w:rFonts w:hint="eastAsia" w:ascii="仿宋" w:eastAsia="仿宋"/>
          <w:spacing w:val="5"/>
          <w:w w:val="85"/>
          <w:sz w:val="21"/>
        </w:rPr>
        <w:t>人</w:t>
      </w:r>
      <w:r>
        <w:rPr>
          <w:rFonts w:ascii="Times New Roman" w:eastAsia="Times New Roman"/>
          <w:w w:val="85"/>
          <w:sz w:val="21"/>
        </w:rPr>
        <w:t>(</w:t>
      </w:r>
      <w:r>
        <w:rPr>
          <w:rFonts w:hint="eastAsia" w:ascii="仿宋" w:eastAsia="仿宋"/>
          <w:spacing w:val="5"/>
          <w:w w:val="85"/>
          <w:sz w:val="21"/>
        </w:rPr>
        <w:t>公</w:t>
      </w:r>
      <w:r>
        <w:rPr>
          <w:rFonts w:hint="eastAsia" w:ascii="仿宋" w:eastAsia="仿宋"/>
          <w:spacing w:val="3"/>
          <w:w w:val="85"/>
          <w:sz w:val="21"/>
        </w:rPr>
        <w:t>章</w:t>
      </w:r>
      <w:r>
        <w:rPr>
          <w:rFonts w:ascii="Times New Roman" w:eastAsia="Times New Roman"/>
          <w:spacing w:val="3"/>
          <w:w w:val="85"/>
          <w:sz w:val="21"/>
        </w:rPr>
        <w:t>)</w:t>
      </w:r>
      <w:r>
        <w:rPr>
          <w:rFonts w:hint="eastAsia" w:ascii="仿宋" w:eastAsia="仿宋"/>
          <w:spacing w:val="3"/>
          <w:w w:val="85"/>
          <w:sz w:val="21"/>
        </w:rPr>
        <w:t>：</w:t>
      </w:r>
      <w:r>
        <w:rPr>
          <w:rFonts w:hint="eastAsia" w:ascii="仿宋" w:eastAsia="仿宋"/>
          <w:spacing w:val="3"/>
          <w:w w:val="85"/>
          <w:sz w:val="21"/>
          <w:u w:val="single"/>
        </w:rPr>
        <w:tab/>
      </w:r>
      <w:r>
        <w:rPr>
          <w:rFonts w:hint="eastAsia" w:ascii="仿宋" w:eastAsia="仿宋"/>
          <w:w w:val="85"/>
          <w:sz w:val="21"/>
          <w:u w:val="single"/>
        </w:rPr>
        <w:t xml:space="preserve"> </w:t>
      </w:r>
      <w:r>
        <w:rPr>
          <w:rFonts w:hint="eastAsia" w:ascii="仿宋" w:eastAsia="仿宋"/>
          <w:sz w:val="21"/>
        </w:rPr>
        <w:t>地址：</w:t>
      </w:r>
      <w:r>
        <w:rPr>
          <w:rFonts w:hint="eastAsia" w:ascii="仿宋" w:eastAsia="仿宋"/>
          <w:spacing w:val="-3"/>
          <w:sz w:val="21"/>
          <w:u w:val="single"/>
        </w:rPr>
        <w:t xml:space="preserve"> </w:t>
      </w:r>
      <w:r>
        <w:rPr>
          <w:rFonts w:hint="eastAsia" w:ascii="仿宋" w:eastAsia="仿宋"/>
          <w:sz w:val="21"/>
        </w:rPr>
        <w:tab/>
      </w:r>
      <w:r>
        <w:rPr>
          <w:rFonts w:hint="eastAsia" w:ascii="仿宋" w:eastAsia="仿宋"/>
          <w:w w:val="95"/>
          <w:sz w:val="21"/>
        </w:rPr>
        <w:t>地址：</w:t>
      </w:r>
      <w:r>
        <w:rPr>
          <w:rFonts w:ascii="Times New Roman" w:eastAsia="Times New Roman"/>
          <w:w w:val="95"/>
          <w:sz w:val="21"/>
          <w:u w:val="single"/>
        </w:rPr>
        <w:t xml:space="preserve"> </w:t>
      </w:r>
      <w:r>
        <w:rPr>
          <w:rFonts w:ascii="Times New Roman" w:eastAsia="Times New Roman"/>
          <w:sz w:val="21"/>
          <w:u w:val="single"/>
        </w:rPr>
        <w:tab/>
      </w:r>
      <w:r>
        <w:rPr>
          <w:rFonts w:ascii="Times New Roman" w:eastAsia="Times New Roman"/>
          <w:sz w:val="21"/>
          <w:u w:val="single"/>
        </w:rPr>
        <w:tab/>
      </w:r>
    </w:p>
    <w:p>
      <w:pPr>
        <w:tabs>
          <w:tab w:val="left" w:pos="2516"/>
          <w:tab w:val="left" w:pos="3810"/>
          <w:tab w:val="left" w:pos="5927"/>
          <w:tab w:val="left" w:pos="7571"/>
          <w:tab w:val="left" w:pos="7675"/>
        </w:tabs>
        <w:spacing w:before="0" w:line="364" w:lineRule="auto"/>
        <w:ind w:left="731" w:right="2769" w:firstLine="0"/>
        <w:jc w:val="left"/>
        <w:rPr>
          <w:rFonts w:ascii="Times New Roman" w:eastAsia="Times New Roman"/>
          <w:sz w:val="21"/>
        </w:rPr>
      </w:pPr>
      <w:r>
        <w:rPr>
          <w:rFonts w:hint="eastAsia" w:ascii="仿宋" w:eastAsia="仿宋"/>
          <w:sz w:val="21"/>
        </w:rPr>
        <w:t>法定代表人</w:t>
      </w:r>
      <w:r>
        <w:rPr>
          <w:rFonts w:ascii="Times New Roman" w:eastAsia="Times New Roman"/>
          <w:sz w:val="21"/>
        </w:rPr>
        <w:t>(</w:t>
      </w:r>
      <w:r>
        <w:rPr>
          <w:rFonts w:hint="eastAsia" w:ascii="仿宋" w:eastAsia="仿宋"/>
          <w:sz w:val="21"/>
        </w:rPr>
        <w:t>签字</w:t>
      </w:r>
      <w:r>
        <w:rPr>
          <w:rFonts w:ascii="Times New Roman" w:eastAsia="Times New Roman"/>
          <w:sz w:val="21"/>
        </w:rPr>
        <w:t>)</w:t>
      </w:r>
      <w:r>
        <w:rPr>
          <w:rFonts w:hint="eastAsia" w:ascii="仿宋" w:eastAsia="仿宋"/>
          <w:sz w:val="21"/>
        </w:rPr>
        <w:t>：</w:t>
      </w:r>
      <w:r>
        <w:rPr>
          <w:rFonts w:hint="eastAsia" w:ascii="仿宋" w:eastAsia="仿宋"/>
          <w:sz w:val="21"/>
          <w:u w:val="single"/>
        </w:rPr>
        <w:t xml:space="preserve"> </w:t>
      </w:r>
      <w:r>
        <w:rPr>
          <w:rFonts w:hint="eastAsia" w:ascii="仿宋" w:eastAsia="仿宋"/>
          <w:sz w:val="21"/>
          <w:u w:val="single"/>
        </w:rPr>
        <w:tab/>
      </w:r>
      <w:r>
        <w:rPr>
          <w:rFonts w:hint="eastAsia" w:ascii="仿宋" w:eastAsia="仿宋"/>
          <w:w w:val="95"/>
          <w:sz w:val="21"/>
        </w:rPr>
        <w:t>法定代表人</w:t>
      </w:r>
      <w:r>
        <w:rPr>
          <w:rFonts w:ascii="Times New Roman" w:eastAsia="Times New Roman"/>
          <w:w w:val="95"/>
          <w:sz w:val="21"/>
        </w:rPr>
        <w:t>(</w:t>
      </w:r>
      <w:r>
        <w:rPr>
          <w:rFonts w:hint="eastAsia" w:ascii="仿宋" w:eastAsia="仿宋"/>
          <w:w w:val="95"/>
          <w:sz w:val="21"/>
        </w:rPr>
        <w:t>签字</w:t>
      </w:r>
      <w:r>
        <w:rPr>
          <w:rFonts w:ascii="Times New Roman" w:eastAsia="Times New Roman"/>
          <w:w w:val="95"/>
          <w:sz w:val="21"/>
        </w:rPr>
        <w:t>)</w:t>
      </w:r>
      <w:r>
        <w:rPr>
          <w:rFonts w:hint="eastAsia" w:ascii="仿宋" w:eastAsia="仿宋"/>
          <w:w w:val="95"/>
          <w:sz w:val="21"/>
        </w:rPr>
        <w:t>：</w:t>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sz w:val="21"/>
        </w:rPr>
        <w:t>委托代理人</w:t>
      </w:r>
      <w:r>
        <w:rPr>
          <w:rFonts w:ascii="Times New Roman" w:eastAsia="Times New Roman"/>
          <w:sz w:val="21"/>
        </w:rPr>
        <w:t>(</w:t>
      </w:r>
      <w:r>
        <w:rPr>
          <w:rFonts w:hint="eastAsia" w:ascii="仿宋" w:eastAsia="仿宋"/>
          <w:sz w:val="21"/>
        </w:rPr>
        <w:t>签字</w:t>
      </w:r>
      <w:r>
        <w:rPr>
          <w:rFonts w:ascii="Times New Roman" w:eastAsia="Times New Roman"/>
          <w:sz w:val="21"/>
        </w:rPr>
        <w:t>)</w:t>
      </w:r>
      <w:r>
        <w:rPr>
          <w:rFonts w:hint="eastAsia" w:ascii="仿宋" w:eastAsia="仿宋"/>
          <w:sz w:val="21"/>
        </w:rPr>
        <w:t>：</w:t>
      </w:r>
      <w:r>
        <w:rPr>
          <w:rFonts w:hint="eastAsia" w:ascii="仿宋" w:eastAsia="仿宋"/>
          <w:sz w:val="21"/>
          <w:u w:val="single"/>
        </w:rPr>
        <w:t xml:space="preserve"> </w:t>
      </w:r>
      <w:r>
        <w:rPr>
          <w:rFonts w:hint="eastAsia" w:ascii="仿宋" w:eastAsia="仿宋"/>
          <w:sz w:val="21"/>
          <w:u w:val="single"/>
        </w:rPr>
        <w:tab/>
      </w:r>
      <w:r>
        <w:rPr>
          <w:rFonts w:hint="eastAsia" w:ascii="仿宋" w:eastAsia="仿宋"/>
          <w:w w:val="95"/>
          <w:sz w:val="21"/>
        </w:rPr>
        <w:t>委托代理人</w:t>
      </w:r>
      <w:r>
        <w:rPr>
          <w:rFonts w:ascii="Times New Roman" w:eastAsia="Times New Roman"/>
          <w:w w:val="95"/>
          <w:sz w:val="21"/>
        </w:rPr>
        <w:t>(</w:t>
      </w:r>
      <w:r>
        <w:rPr>
          <w:rFonts w:hint="eastAsia" w:ascii="仿宋" w:eastAsia="仿宋"/>
          <w:w w:val="95"/>
          <w:sz w:val="21"/>
        </w:rPr>
        <w:t>签字</w:t>
      </w:r>
      <w:r>
        <w:rPr>
          <w:rFonts w:ascii="Times New Roman" w:eastAsia="Times New Roman"/>
          <w:w w:val="95"/>
          <w:sz w:val="21"/>
        </w:rPr>
        <w:t>)</w:t>
      </w:r>
      <w:r>
        <w:rPr>
          <w:rFonts w:hint="eastAsia" w:ascii="仿宋" w:eastAsia="仿宋"/>
          <w:w w:val="95"/>
          <w:sz w:val="21"/>
        </w:rPr>
        <w:t>：</w:t>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sz w:val="21"/>
        </w:rPr>
        <w:t>电话：</w:t>
      </w:r>
      <w:r>
        <w:rPr>
          <w:rFonts w:hint="eastAsia" w:ascii="仿宋" w:eastAsia="仿宋"/>
          <w:sz w:val="21"/>
          <w:u w:val="single"/>
        </w:rPr>
        <w:t xml:space="preserve"> </w:t>
      </w:r>
      <w:r>
        <w:rPr>
          <w:rFonts w:hint="eastAsia" w:ascii="仿宋" w:eastAsia="仿宋"/>
          <w:sz w:val="21"/>
          <w:u w:val="single"/>
        </w:rPr>
        <w:tab/>
      </w:r>
      <w:r>
        <w:rPr>
          <w:rFonts w:hint="eastAsia" w:ascii="仿宋" w:eastAsia="仿宋"/>
          <w:w w:val="95"/>
          <w:sz w:val="21"/>
        </w:rPr>
        <w:t>电话：</w:t>
      </w:r>
      <w:r>
        <w:rPr>
          <w:rFonts w:ascii="Times New Roman" w:eastAsia="Times New Roman"/>
          <w:w w:val="95"/>
          <w:sz w:val="21"/>
          <w:u w:val="single"/>
        </w:rPr>
        <w:t xml:space="preserve"> </w:t>
      </w:r>
      <w:r>
        <w:rPr>
          <w:rFonts w:ascii="Times New Roman" w:eastAsia="Times New Roman"/>
          <w:sz w:val="21"/>
          <w:u w:val="single"/>
        </w:rPr>
        <w:tab/>
      </w:r>
      <w:r>
        <w:rPr>
          <w:rFonts w:ascii="Times New Roman" w:eastAsia="Times New Roman"/>
          <w:sz w:val="21"/>
          <w:u w:val="single"/>
        </w:rPr>
        <w:tab/>
      </w:r>
    </w:p>
    <w:p>
      <w:pPr>
        <w:tabs>
          <w:tab w:val="left" w:pos="2619"/>
          <w:tab w:val="left" w:pos="6031"/>
        </w:tabs>
        <w:spacing w:before="0" w:line="269" w:lineRule="exact"/>
        <w:ind w:left="731" w:right="0" w:firstLine="0"/>
        <w:jc w:val="left"/>
        <w:rPr>
          <w:rFonts w:ascii="Times New Roman" w:eastAsia="Times New Roman"/>
          <w:sz w:val="21"/>
        </w:rPr>
      </w:pPr>
      <w:r>
        <w:rPr>
          <w:rFonts w:hint="eastAsia" w:ascii="仿宋" w:eastAsia="仿宋"/>
          <w:sz w:val="21"/>
        </w:rPr>
        <w:t>传真：</w:t>
      </w:r>
      <w:r>
        <w:rPr>
          <w:rFonts w:hint="eastAsia" w:ascii="仿宋" w:eastAsia="仿宋"/>
          <w:sz w:val="21"/>
          <w:u w:val="single"/>
        </w:rPr>
        <w:t xml:space="preserve"> </w:t>
      </w:r>
      <w:r>
        <w:rPr>
          <w:rFonts w:hint="eastAsia" w:ascii="仿宋" w:eastAsia="仿宋"/>
          <w:sz w:val="21"/>
          <w:u w:val="single"/>
        </w:rPr>
        <w:tab/>
      </w:r>
      <w:r>
        <w:rPr>
          <w:rFonts w:hint="eastAsia" w:ascii="仿宋" w:eastAsia="仿宋"/>
          <w:sz w:val="21"/>
        </w:rPr>
        <w:t>传真：</w:t>
      </w:r>
      <w:r>
        <w:rPr>
          <w:rFonts w:ascii="Times New Roman" w:eastAsia="Times New Roman"/>
          <w:sz w:val="21"/>
          <w:u w:val="single"/>
        </w:rPr>
        <w:t xml:space="preserve"> </w:t>
      </w:r>
      <w:r>
        <w:rPr>
          <w:rFonts w:ascii="Times New Roman" w:eastAsia="Times New Roman"/>
          <w:sz w:val="21"/>
          <w:u w:val="single"/>
        </w:rPr>
        <w:tab/>
      </w:r>
    </w:p>
    <w:p>
      <w:pPr>
        <w:tabs>
          <w:tab w:val="left" w:pos="3879"/>
          <w:tab w:val="left" w:pos="7082"/>
          <w:tab w:val="left" w:pos="7187"/>
        </w:tabs>
        <w:spacing w:before="137" w:line="364" w:lineRule="auto"/>
        <w:ind w:left="731" w:right="3257" w:firstLine="0"/>
        <w:jc w:val="left"/>
        <w:rPr>
          <w:rFonts w:ascii="Times New Roman" w:eastAsia="Times New Roman"/>
          <w:sz w:val="21"/>
        </w:rPr>
      </w:pPr>
      <w:r>
        <w:rPr>
          <w:rFonts w:hint="eastAsia" w:ascii="仿宋" w:eastAsia="仿宋"/>
          <w:sz w:val="21"/>
        </w:rPr>
        <w:t>开户银行：</w:t>
      </w:r>
      <w:r>
        <w:rPr>
          <w:rFonts w:hint="eastAsia" w:ascii="仿宋" w:eastAsia="仿宋"/>
          <w:sz w:val="21"/>
          <w:u w:val="single"/>
        </w:rPr>
        <w:tab/>
      </w:r>
      <w:r>
        <w:rPr>
          <w:rFonts w:hint="eastAsia" w:ascii="仿宋" w:eastAsia="仿宋"/>
          <w:w w:val="95"/>
          <w:sz w:val="21"/>
        </w:rPr>
        <w:t>开户银行：</w:t>
      </w:r>
      <w:r>
        <w:rPr>
          <w:rFonts w:hint="eastAsia" w:ascii="仿宋" w:eastAsia="仿宋"/>
          <w:w w:val="95"/>
          <w:sz w:val="21"/>
          <w:u w:val="single"/>
        </w:rPr>
        <w:tab/>
      </w:r>
      <w:r>
        <w:rPr>
          <w:rFonts w:hint="eastAsia" w:ascii="仿宋" w:eastAsia="仿宋"/>
          <w:w w:val="95"/>
          <w:sz w:val="21"/>
          <w:u w:val="single"/>
        </w:rPr>
        <w:tab/>
      </w:r>
      <w:r>
        <w:rPr>
          <w:rFonts w:hint="eastAsia" w:ascii="仿宋" w:eastAsia="仿宋"/>
          <w:w w:val="95"/>
          <w:sz w:val="21"/>
          <w:u w:val="single"/>
        </w:rPr>
        <w:t xml:space="preserve"> </w:t>
      </w:r>
      <w:r>
        <w:rPr>
          <w:rFonts w:hint="eastAsia" w:ascii="仿宋" w:eastAsia="仿宋"/>
          <w:sz w:val="21"/>
        </w:rPr>
        <w:t>账号：</w:t>
      </w:r>
      <w:r>
        <w:rPr>
          <w:rFonts w:ascii="Times New Roman" w:eastAsia="Times New Roman"/>
          <w:sz w:val="21"/>
          <w:u w:val="single"/>
        </w:rPr>
        <w:tab/>
      </w:r>
      <w:r>
        <w:rPr>
          <w:rFonts w:hint="eastAsia" w:ascii="仿宋" w:eastAsia="仿宋"/>
          <w:sz w:val="21"/>
        </w:rPr>
        <w:t>账号：</w:t>
      </w:r>
      <w:r>
        <w:rPr>
          <w:rFonts w:ascii="Times New Roman" w:eastAsia="Times New Roman"/>
          <w:sz w:val="21"/>
          <w:u w:val="single"/>
        </w:rPr>
        <w:t xml:space="preserve"> </w:t>
      </w:r>
      <w:r>
        <w:rPr>
          <w:rFonts w:ascii="Times New Roman" w:eastAsia="Times New Roman"/>
          <w:sz w:val="21"/>
          <w:u w:val="single"/>
        </w:rPr>
        <w:tab/>
      </w:r>
    </w:p>
    <w:p>
      <w:pPr>
        <w:tabs>
          <w:tab w:val="left" w:pos="3879"/>
          <w:tab w:val="left" w:pos="7082"/>
        </w:tabs>
        <w:spacing w:before="0" w:line="267" w:lineRule="exact"/>
        <w:ind w:left="731" w:right="0" w:firstLine="0"/>
        <w:jc w:val="left"/>
        <w:rPr>
          <w:rFonts w:ascii="Times New Roman" w:eastAsia="Times New Roman"/>
          <w:sz w:val="21"/>
        </w:rPr>
      </w:pPr>
      <w:r>
        <w:rPr>
          <w:rFonts w:hint="eastAsia" w:ascii="仿宋" w:eastAsia="仿宋"/>
          <w:sz w:val="21"/>
        </w:rPr>
        <w:t>邮政编码：</w:t>
      </w:r>
      <w:r>
        <w:rPr>
          <w:rFonts w:ascii="Times New Roman" w:eastAsia="Times New Roman"/>
          <w:sz w:val="21"/>
          <w:u w:val="single"/>
        </w:rPr>
        <w:tab/>
      </w:r>
      <w:r>
        <w:rPr>
          <w:rFonts w:hint="eastAsia" w:ascii="仿宋" w:eastAsia="仿宋"/>
          <w:w w:val="95"/>
          <w:sz w:val="21"/>
        </w:rPr>
        <w:t>邮政编码：</w:t>
      </w:r>
      <w:r>
        <w:rPr>
          <w:rFonts w:ascii="Times New Roman" w:eastAsia="Times New Roman"/>
          <w:w w:val="95"/>
          <w:sz w:val="21"/>
          <w:u w:val="single"/>
        </w:rPr>
        <w:t xml:space="preserve"> </w:t>
      </w:r>
      <w:r>
        <w:rPr>
          <w:rFonts w:ascii="Times New Roman" w:eastAsia="Times New Roman"/>
          <w:sz w:val="21"/>
          <w:u w:val="single"/>
        </w:rPr>
        <w:tab/>
      </w:r>
    </w:p>
    <w:p>
      <w:pPr>
        <w:spacing w:after="0" w:line="267" w:lineRule="exact"/>
        <w:jc w:val="left"/>
        <w:rPr>
          <w:rFonts w:ascii="Times New Roman" w:eastAsia="Times New Roman"/>
          <w:sz w:val="21"/>
        </w:rPr>
        <w:sectPr>
          <w:footerReference r:id="rId13" w:type="default"/>
          <w:pgSz w:w="11910" w:h="16840"/>
          <w:pgMar w:top="1100" w:right="660" w:bottom="1200" w:left="800" w:header="878" w:footer="1003" w:gutter="0"/>
          <w:pgNumType w:start="60"/>
          <w:cols w:space="720" w:num="1"/>
        </w:sect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2"/>
        <w:rPr>
          <w:rFonts w:ascii="Times New Roman"/>
          <w:sz w:val="17"/>
        </w:rPr>
      </w:pPr>
    </w:p>
    <w:p>
      <w:pPr>
        <w:pStyle w:val="2"/>
        <w:tabs>
          <w:tab w:val="left" w:pos="1444"/>
        </w:tabs>
        <w:ind w:right="159"/>
      </w:pPr>
      <w:bookmarkStart w:id="76" w:name="_bookmark15"/>
      <w:bookmarkEnd w:id="76"/>
      <w:bookmarkStart w:id="77" w:name="第五章  工程量清单"/>
      <w:bookmarkEnd w:id="77"/>
      <w:r>
        <w:t>第五章</w:t>
      </w:r>
      <w:r>
        <w:tab/>
      </w:r>
      <w:r>
        <w:t>工程量清单</w:t>
      </w:r>
    </w:p>
    <w:p>
      <w:pPr>
        <w:pStyle w:val="9"/>
        <w:spacing w:before="22" w:line="364" w:lineRule="auto"/>
        <w:ind w:left="7280" w:right="1850" w:firstLine="211"/>
      </w:pPr>
      <w:r>
        <w:t>报建编号： 标段号：</w:t>
      </w:r>
    </w:p>
    <w:p>
      <w:pPr>
        <w:pStyle w:val="9"/>
        <w:spacing w:before="4"/>
        <w:rPr>
          <w:sz w:val="27"/>
        </w:rPr>
      </w:pPr>
    </w:p>
    <w:p>
      <w:pPr>
        <w:pStyle w:val="9"/>
        <w:tabs>
          <w:tab w:val="left" w:pos="2750"/>
        </w:tabs>
        <w:spacing w:before="77"/>
        <w:ind w:right="161"/>
        <w:jc w:val="center"/>
      </w:pPr>
      <w:r>
        <w:rPr>
          <w:rFonts w:ascii="Times New Roman" w:eastAsia="Times New Roman"/>
          <w:w w:val="100"/>
          <w:u w:val="single"/>
        </w:rPr>
        <w:t xml:space="preserve"> </w:t>
      </w:r>
      <w:r>
        <w:rPr>
          <w:rFonts w:ascii="Times New Roman" w:eastAsia="Times New Roman"/>
          <w:u w:val="single"/>
        </w:rPr>
        <w:tab/>
      </w:r>
      <w:r>
        <w:rPr>
          <w:spacing w:val="-2"/>
        </w:rPr>
        <w:t>工 程</w:t>
      </w:r>
    </w:p>
    <w:p>
      <w:pPr>
        <w:pStyle w:val="9"/>
        <w:rPr>
          <w:sz w:val="24"/>
        </w:rPr>
      </w:pPr>
    </w:p>
    <w:p>
      <w:pPr>
        <w:pStyle w:val="9"/>
        <w:rPr>
          <w:sz w:val="24"/>
        </w:rPr>
      </w:pPr>
    </w:p>
    <w:p>
      <w:pPr>
        <w:pStyle w:val="9"/>
        <w:rPr>
          <w:sz w:val="24"/>
        </w:rPr>
      </w:pPr>
    </w:p>
    <w:p>
      <w:pPr>
        <w:pStyle w:val="9"/>
        <w:rPr>
          <w:sz w:val="24"/>
        </w:rPr>
      </w:pPr>
    </w:p>
    <w:p>
      <w:pPr>
        <w:pStyle w:val="9"/>
        <w:spacing w:before="200"/>
        <w:ind w:left="567" w:right="727"/>
        <w:jc w:val="center"/>
      </w:pPr>
      <w:r>
        <w:t>工 程 量 清 单</w:t>
      </w:r>
    </w:p>
    <w:p>
      <w:pPr>
        <w:pStyle w:val="9"/>
      </w:pPr>
    </w:p>
    <w:p>
      <w:pPr>
        <w:pStyle w:val="9"/>
      </w:pPr>
    </w:p>
    <w:p>
      <w:pPr>
        <w:pStyle w:val="9"/>
      </w:pPr>
    </w:p>
    <w:p>
      <w:pPr>
        <w:pStyle w:val="9"/>
        <w:spacing w:before="156"/>
        <w:ind w:left="5063"/>
      </w:pPr>
      <w:r>
        <w:t>工程造价咨询企业或</w:t>
      </w:r>
    </w:p>
    <w:p>
      <w:pPr>
        <w:pStyle w:val="9"/>
        <w:tabs>
          <w:tab w:val="left" w:pos="3133"/>
          <w:tab w:val="left" w:pos="4288"/>
          <w:tab w:val="left" w:pos="8195"/>
        </w:tabs>
        <w:spacing w:before="146"/>
        <w:ind w:right="1518"/>
        <w:jc w:val="right"/>
        <w:rPr>
          <w:rFonts w:ascii="Times New Roman" w:eastAsia="Times New Roman"/>
        </w:rPr>
      </w:pPr>
      <w:r>
        <w:t>招</w:t>
      </w:r>
      <w:r>
        <w:rPr>
          <w:spacing w:val="-3"/>
        </w:rPr>
        <w:t>标</w:t>
      </w:r>
      <w:r>
        <w:t>人：</w:t>
      </w:r>
      <w:r>
        <w:rPr>
          <w:u w:val="single"/>
        </w:rPr>
        <w:t xml:space="preserve"> </w:t>
      </w:r>
      <w:r>
        <w:rPr>
          <w:u w:val="single"/>
        </w:rPr>
        <w:tab/>
      </w:r>
      <w:r>
        <w:tab/>
      </w:r>
      <w:r>
        <w:rPr>
          <w:spacing w:val="-1"/>
        </w:rPr>
        <w:t>招</w:t>
      </w:r>
      <w:r>
        <w:rPr>
          <w:spacing w:val="-3"/>
        </w:rPr>
        <w:t>标</w:t>
      </w:r>
      <w:r>
        <w:rPr>
          <w:spacing w:val="-1"/>
        </w:rPr>
        <w:t>代理</w:t>
      </w:r>
      <w:r>
        <w:rPr>
          <w:spacing w:val="-3"/>
        </w:rPr>
        <w:t>机</w:t>
      </w:r>
      <w:r>
        <w:rPr>
          <w:spacing w:val="-1"/>
        </w:rPr>
        <w:t>构</w:t>
      </w:r>
      <w:r>
        <w:rPr>
          <w:rFonts w:ascii="Times New Roman" w:eastAsia="Times New Roman"/>
          <w:u w:val="single"/>
        </w:rPr>
        <w:t xml:space="preserve"> </w:t>
      </w:r>
      <w:r>
        <w:rPr>
          <w:rFonts w:ascii="Times New Roman" w:eastAsia="Times New Roman"/>
          <w:u w:val="single"/>
        </w:rPr>
        <w:tab/>
      </w:r>
    </w:p>
    <w:p>
      <w:pPr>
        <w:pStyle w:val="9"/>
        <w:tabs>
          <w:tab w:val="left" w:pos="4619"/>
        </w:tabs>
        <w:spacing w:before="147"/>
        <w:ind w:right="1571"/>
        <w:jc w:val="right"/>
      </w:pPr>
      <w:r>
        <w:t>（</w:t>
      </w:r>
      <w:r>
        <w:rPr>
          <w:spacing w:val="-3"/>
        </w:rPr>
        <w:t>单</w:t>
      </w:r>
      <w:r>
        <w:t>位公</w:t>
      </w:r>
      <w:r>
        <w:rPr>
          <w:spacing w:val="-3"/>
        </w:rPr>
        <w:t>章</w:t>
      </w:r>
      <w:r>
        <w:t>）</w:t>
      </w:r>
      <w:r>
        <w:tab/>
      </w:r>
      <w:r>
        <w:rPr>
          <w:spacing w:val="-1"/>
        </w:rPr>
        <w:t>（</w:t>
      </w:r>
      <w:r>
        <w:rPr>
          <w:spacing w:val="-3"/>
        </w:rPr>
        <w:t>单</w:t>
      </w:r>
      <w:r>
        <w:rPr>
          <w:spacing w:val="-1"/>
        </w:rPr>
        <w:t>位公</w:t>
      </w:r>
      <w:r>
        <w:rPr>
          <w:spacing w:val="-3"/>
        </w:rPr>
        <w:t>章</w:t>
      </w:r>
      <w:r>
        <w:t>）</w:t>
      </w:r>
    </w:p>
    <w:p>
      <w:pPr>
        <w:pStyle w:val="9"/>
      </w:pPr>
    </w:p>
    <w:p>
      <w:pPr>
        <w:pStyle w:val="9"/>
      </w:pPr>
    </w:p>
    <w:p>
      <w:pPr>
        <w:pStyle w:val="9"/>
      </w:pPr>
    </w:p>
    <w:p>
      <w:pPr>
        <w:pStyle w:val="9"/>
        <w:tabs>
          <w:tab w:val="left" w:pos="5019"/>
        </w:tabs>
        <w:spacing w:before="157"/>
        <w:ind w:left="731"/>
      </w:pPr>
      <w:r>
        <w:t>法</w:t>
      </w:r>
      <w:r>
        <w:rPr>
          <w:spacing w:val="-3"/>
        </w:rPr>
        <w:t>定</w:t>
      </w:r>
      <w:r>
        <w:t>代表人</w:t>
      </w:r>
      <w:r>
        <w:tab/>
      </w:r>
      <w:r>
        <w:t>法</w:t>
      </w:r>
      <w:r>
        <w:rPr>
          <w:spacing w:val="-3"/>
        </w:rPr>
        <w:t>定</w:t>
      </w:r>
      <w:r>
        <w:t>代表人</w:t>
      </w:r>
    </w:p>
    <w:p>
      <w:pPr>
        <w:pStyle w:val="9"/>
        <w:tabs>
          <w:tab w:val="left" w:pos="3754"/>
          <w:tab w:val="left" w:pos="5019"/>
          <w:tab w:val="left" w:pos="8266"/>
        </w:tabs>
        <w:spacing w:before="145"/>
        <w:ind w:left="731"/>
        <w:rPr>
          <w:rFonts w:ascii="Times New Roman" w:eastAsia="Times New Roman"/>
        </w:rPr>
      </w:pPr>
      <w:r>
        <w:t>或</w:t>
      </w:r>
      <w:r>
        <w:rPr>
          <w:spacing w:val="-3"/>
        </w:rPr>
        <w:t>其</w:t>
      </w:r>
      <w:r>
        <w:t>授权</w:t>
      </w:r>
      <w:r>
        <w:rPr>
          <w:spacing w:val="-3"/>
        </w:rPr>
        <w:t>人</w:t>
      </w:r>
      <w:r>
        <w:t>：</w:t>
      </w:r>
      <w:r>
        <w:rPr>
          <w:u w:val="single"/>
        </w:rPr>
        <w:t xml:space="preserve"> </w:t>
      </w:r>
      <w:r>
        <w:rPr>
          <w:u w:val="single"/>
        </w:rPr>
        <w:tab/>
      </w:r>
      <w:r>
        <w:tab/>
      </w:r>
      <w:r>
        <w:rPr>
          <w:spacing w:val="-1"/>
        </w:rPr>
        <w:t>或</w:t>
      </w:r>
      <w:r>
        <w:rPr>
          <w:spacing w:val="-3"/>
        </w:rPr>
        <w:t>其</w:t>
      </w:r>
      <w:r>
        <w:rPr>
          <w:spacing w:val="-1"/>
        </w:rPr>
        <w:t>授权</w:t>
      </w:r>
      <w:r>
        <w:rPr>
          <w:spacing w:val="-3"/>
        </w:rPr>
        <w:t>人</w:t>
      </w:r>
      <w:r>
        <w:rPr>
          <w:spacing w:val="-1"/>
        </w:rPr>
        <w:t>：</w:t>
      </w:r>
      <w:r>
        <w:rPr>
          <w:rFonts w:ascii="Times New Roman" w:eastAsia="Times New Roman"/>
          <w:u w:val="single"/>
        </w:rPr>
        <w:t xml:space="preserve"> </w:t>
      </w:r>
      <w:r>
        <w:rPr>
          <w:rFonts w:ascii="Times New Roman" w:eastAsia="Times New Roman"/>
          <w:u w:val="single"/>
        </w:rPr>
        <w:tab/>
      </w:r>
    </w:p>
    <w:p>
      <w:pPr>
        <w:pStyle w:val="9"/>
        <w:tabs>
          <w:tab w:val="left" w:pos="7551"/>
        </w:tabs>
        <w:spacing w:before="145"/>
        <w:ind w:left="2711"/>
      </w:pPr>
      <w:r>
        <w:t>（</w:t>
      </w:r>
      <w:r>
        <w:rPr>
          <w:spacing w:val="-3"/>
        </w:rPr>
        <w:t>签</w:t>
      </w:r>
      <w:r>
        <w:t>字或</w:t>
      </w:r>
      <w:r>
        <w:rPr>
          <w:spacing w:val="-3"/>
        </w:rPr>
        <w:t>盖</w:t>
      </w:r>
      <w:r>
        <w:t>章）</w:t>
      </w:r>
      <w:r>
        <w:tab/>
      </w:r>
      <w:r>
        <w:t>（</w:t>
      </w:r>
      <w:r>
        <w:rPr>
          <w:spacing w:val="-3"/>
        </w:rPr>
        <w:t>签</w:t>
      </w:r>
      <w:r>
        <w:t>字或</w:t>
      </w:r>
      <w:r>
        <w:rPr>
          <w:spacing w:val="-3"/>
        </w:rPr>
        <w:t>盖</w:t>
      </w:r>
      <w:r>
        <w:t>章）</w:t>
      </w:r>
    </w:p>
    <w:p>
      <w:pPr>
        <w:pStyle w:val="9"/>
      </w:pPr>
    </w:p>
    <w:p>
      <w:pPr>
        <w:pStyle w:val="9"/>
      </w:pPr>
    </w:p>
    <w:p>
      <w:pPr>
        <w:pStyle w:val="9"/>
      </w:pPr>
    </w:p>
    <w:p>
      <w:pPr>
        <w:pStyle w:val="9"/>
        <w:tabs>
          <w:tab w:val="left" w:pos="1170"/>
          <w:tab w:val="left" w:pos="1611"/>
          <w:tab w:val="left" w:pos="3974"/>
          <w:tab w:val="left" w:pos="5019"/>
          <w:tab w:val="left" w:pos="5461"/>
          <w:tab w:val="left" w:pos="5900"/>
          <w:tab w:val="left" w:pos="8266"/>
        </w:tabs>
        <w:spacing w:before="157"/>
        <w:ind w:left="731"/>
        <w:rPr>
          <w:rFonts w:ascii="Times New Roman" w:eastAsia="Times New Roman"/>
        </w:rPr>
      </w:pPr>
      <w:r>
        <w:t>编</w:t>
      </w:r>
      <w:r>
        <w:tab/>
      </w:r>
      <w:r>
        <w:t>制</w:t>
      </w:r>
      <w:r>
        <w:tab/>
      </w:r>
      <w:r>
        <w:t>人</w:t>
      </w:r>
      <w:r>
        <w:rPr>
          <w:spacing w:val="-3"/>
        </w:rPr>
        <w:t>：</w:t>
      </w:r>
      <w:r>
        <w:rPr>
          <w:spacing w:val="-3"/>
          <w:u w:val="single"/>
        </w:rPr>
        <w:t xml:space="preserve"> </w:t>
      </w:r>
      <w:r>
        <w:rPr>
          <w:spacing w:val="-3"/>
          <w:u w:val="single"/>
        </w:rPr>
        <w:tab/>
      </w:r>
      <w:r>
        <w:rPr>
          <w:spacing w:val="-3"/>
        </w:rPr>
        <w:tab/>
      </w:r>
      <w:r>
        <w:t>复</w:t>
      </w:r>
      <w:r>
        <w:tab/>
      </w:r>
      <w:r>
        <w:t>核</w:t>
      </w:r>
      <w:r>
        <w:tab/>
      </w:r>
      <w:r>
        <w:rPr>
          <w:spacing w:val="-1"/>
        </w:rPr>
        <w:t>人</w:t>
      </w:r>
      <w:r>
        <w:rPr>
          <w:spacing w:val="-3"/>
        </w:rPr>
        <w:t>：</w:t>
      </w:r>
      <w:r>
        <w:rPr>
          <w:rFonts w:ascii="Times New Roman" w:eastAsia="Times New Roman"/>
          <w:u w:val="single"/>
        </w:rPr>
        <w:t xml:space="preserve"> </w:t>
      </w:r>
      <w:r>
        <w:rPr>
          <w:rFonts w:ascii="Times New Roman" w:eastAsia="Times New Roman"/>
          <w:u w:val="single"/>
        </w:rPr>
        <w:tab/>
      </w:r>
    </w:p>
    <w:p>
      <w:pPr>
        <w:pStyle w:val="9"/>
        <w:tabs>
          <w:tab w:val="left" w:pos="5461"/>
        </w:tabs>
        <w:spacing w:before="148"/>
        <w:ind w:left="2490"/>
      </w:pPr>
      <w:r>
        <w:t>（</w:t>
      </w:r>
      <w:r>
        <w:rPr>
          <w:spacing w:val="-3"/>
        </w:rPr>
        <w:t>造</w:t>
      </w:r>
      <w:r>
        <w:t>价人</w:t>
      </w:r>
      <w:r>
        <w:rPr>
          <w:spacing w:val="-3"/>
        </w:rPr>
        <w:t>员</w:t>
      </w:r>
      <w:r>
        <w:t>签字）</w:t>
      </w:r>
      <w:r>
        <w:tab/>
      </w:r>
      <w:r>
        <w:t>（</w:t>
      </w:r>
      <w:r>
        <w:rPr>
          <w:spacing w:val="-3"/>
        </w:rPr>
        <w:t>造</w:t>
      </w:r>
      <w:r>
        <w:t>价工</w:t>
      </w:r>
      <w:r>
        <w:rPr>
          <w:spacing w:val="-3"/>
        </w:rPr>
        <w:t>程</w:t>
      </w:r>
      <w:r>
        <w:t>师签</w:t>
      </w:r>
      <w:r>
        <w:rPr>
          <w:spacing w:val="-3"/>
        </w:rPr>
        <w:t>字</w:t>
      </w:r>
      <w:r>
        <w:t>或盖</w:t>
      </w:r>
      <w:r>
        <w:rPr>
          <w:spacing w:val="-3"/>
        </w:rPr>
        <w:t>章</w:t>
      </w:r>
      <w:r>
        <w:t>并盖</w:t>
      </w:r>
      <w:r>
        <w:rPr>
          <w:spacing w:val="-3"/>
        </w:rPr>
        <w:t>专</w:t>
      </w:r>
      <w:r>
        <w:t>用章）</w:t>
      </w:r>
    </w:p>
    <w:p>
      <w:pPr>
        <w:pStyle w:val="9"/>
      </w:pPr>
    </w:p>
    <w:p>
      <w:pPr>
        <w:pStyle w:val="9"/>
      </w:pPr>
    </w:p>
    <w:p>
      <w:pPr>
        <w:pStyle w:val="9"/>
      </w:pPr>
    </w:p>
    <w:p>
      <w:pPr>
        <w:pStyle w:val="9"/>
      </w:pPr>
    </w:p>
    <w:p>
      <w:pPr>
        <w:pStyle w:val="9"/>
      </w:pPr>
    </w:p>
    <w:p>
      <w:pPr>
        <w:pStyle w:val="9"/>
      </w:pPr>
    </w:p>
    <w:p>
      <w:pPr>
        <w:pStyle w:val="9"/>
        <w:tabs>
          <w:tab w:val="left" w:pos="2379"/>
          <w:tab w:val="left" w:pos="3039"/>
          <w:tab w:val="left" w:pos="3481"/>
          <w:tab w:val="left" w:pos="4911"/>
          <w:tab w:val="left" w:pos="6560"/>
          <w:tab w:val="left" w:pos="7220"/>
          <w:tab w:val="left" w:pos="7770"/>
        </w:tabs>
        <w:spacing w:before="165"/>
        <w:ind w:left="731"/>
      </w:pPr>
      <w:r>
        <w:t>编</w:t>
      </w:r>
      <w:r>
        <w:rPr>
          <w:spacing w:val="-3"/>
        </w:rPr>
        <w:t>制</w:t>
      </w:r>
      <w:r>
        <w:t>时间：</w:t>
      </w:r>
      <w:r>
        <w:tab/>
      </w:r>
      <w:r>
        <w:t>年</w:t>
      </w:r>
      <w:r>
        <w:tab/>
      </w:r>
      <w:r>
        <w:t>月</w:t>
      </w:r>
      <w:r>
        <w:tab/>
      </w:r>
      <w:r>
        <w:t>日</w:t>
      </w:r>
      <w:r>
        <w:tab/>
      </w:r>
      <w:r>
        <w:t>复</w:t>
      </w:r>
      <w:r>
        <w:rPr>
          <w:spacing w:val="-3"/>
        </w:rPr>
        <w:t>核</w:t>
      </w:r>
      <w:r>
        <w:t>时间：</w:t>
      </w:r>
      <w:r>
        <w:tab/>
      </w:r>
      <w:r>
        <w:t>年</w:t>
      </w:r>
      <w:r>
        <w:tab/>
      </w:r>
      <w:r>
        <w:t>月</w:t>
      </w:r>
      <w:r>
        <w:tab/>
      </w:r>
      <w:r>
        <w:t>日</w:t>
      </w:r>
    </w:p>
    <w:p>
      <w:pPr>
        <w:spacing w:after="0"/>
        <w:sectPr>
          <w:pgSz w:w="11910" w:h="16840"/>
          <w:pgMar w:top="1100" w:right="660" w:bottom="1200" w:left="800" w:header="878" w:footer="1003" w:gutter="0"/>
          <w:cols w:space="720" w:num="1"/>
        </w:sectPr>
      </w:pPr>
    </w:p>
    <w:p>
      <w:pPr>
        <w:pStyle w:val="9"/>
        <w:spacing w:before="1"/>
        <w:rPr>
          <w:sz w:val="18"/>
        </w:rPr>
      </w:pPr>
    </w:p>
    <w:p>
      <w:pPr>
        <w:pStyle w:val="8"/>
        <w:numPr>
          <w:ilvl w:val="0"/>
          <w:numId w:val="83"/>
        </w:numPr>
        <w:tabs>
          <w:tab w:val="left" w:pos="956"/>
        </w:tabs>
        <w:spacing w:before="70" w:after="0" w:line="240" w:lineRule="auto"/>
        <w:ind w:left="955" w:right="0" w:hanging="225"/>
        <w:jc w:val="left"/>
      </w:pPr>
      <w:r>
        <w:t>工程量清单说明</w:t>
      </w:r>
    </w:p>
    <w:p>
      <w:pPr>
        <w:pStyle w:val="13"/>
        <w:numPr>
          <w:ilvl w:val="1"/>
          <w:numId w:val="83"/>
        </w:numPr>
        <w:tabs>
          <w:tab w:val="left" w:pos="1562"/>
        </w:tabs>
        <w:spacing w:before="145" w:after="0" w:line="364" w:lineRule="auto"/>
        <w:ind w:left="731" w:right="782" w:firstLine="444"/>
        <w:jc w:val="left"/>
        <w:rPr>
          <w:sz w:val="22"/>
        </w:rPr>
      </w:pPr>
      <w:r>
        <w:rPr>
          <w:sz w:val="22"/>
        </w:rPr>
        <w:t>本工程量清单是依据中华人民共和国国家标准《建设工程工程量清单计价规范》及</w:t>
      </w:r>
      <w:r>
        <w:rPr>
          <w:spacing w:val="-2"/>
          <w:sz w:val="22"/>
        </w:rPr>
        <w:t>其《</w:t>
      </w:r>
      <w:r>
        <w:rPr>
          <w:rFonts w:hint="eastAsia"/>
          <w:spacing w:val="-2"/>
          <w:sz w:val="22"/>
        </w:rPr>
        <w:t>山东省</w:t>
      </w:r>
      <w:r>
        <w:rPr>
          <w:spacing w:val="-2"/>
          <w:sz w:val="22"/>
        </w:rPr>
        <w:t>建设工程工程量清单计价应用规则》</w:t>
      </w:r>
      <w:r>
        <w:rPr>
          <w:sz w:val="22"/>
        </w:rPr>
        <w:t>（</w:t>
      </w:r>
      <w:r>
        <w:rPr>
          <w:spacing w:val="-3"/>
          <w:sz w:val="22"/>
        </w:rPr>
        <w:t>两者以下简称“计价规范”</w:t>
      </w:r>
      <w:r>
        <w:rPr>
          <w:sz w:val="22"/>
        </w:rPr>
        <w:t>）</w:t>
      </w:r>
      <w:r>
        <w:rPr>
          <w:spacing w:val="-1"/>
          <w:sz w:val="22"/>
        </w:rPr>
        <w:t>和招标文件</w:t>
      </w:r>
      <w:r>
        <w:rPr>
          <w:spacing w:val="-5"/>
          <w:sz w:val="22"/>
        </w:rPr>
        <w:t xml:space="preserve">中包括的图纸等编制。计价规范中规定的工程量计算规则中没有的子目，应在本章第 </w:t>
      </w:r>
      <w:r>
        <w:rPr>
          <w:sz w:val="22"/>
        </w:rPr>
        <w:t>1.4</w:t>
      </w:r>
      <w:r>
        <w:rPr>
          <w:spacing w:val="-27"/>
          <w:sz w:val="22"/>
        </w:rPr>
        <w:t xml:space="preserve"> 款</w:t>
      </w:r>
      <w:r>
        <w:rPr>
          <w:spacing w:val="-12"/>
          <w:sz w:val="22"/>
        </w:rPr>
        <w:t xml:space="preserve">约定；计价规范中规定的工程量计算规则中没有且本章第 </w:t>
      </w:r>
      <w:r>
        <w:rPr>
          <w:sz w:val="22"/>
        </w:rPr>
        <w:t>1.4</w:t>
      </w:r>
      <w:r>
        <w:rPr>
          <w:spacing w:val="-11"/>
          <w:sz w:val="22"/>
        </w:rPr>
        <w:t xml:space="preserve"> 款也未约定的，双方协商确定； </w:t>
      </w:r>
      <w:r>
        <w:rPr>
          <w:spacing w:val="-7"/>
          <w:sz w:val="22"/>
        </w:rPr>
        <w:t>协商不成的，可向本市工程造价管理部门咨询或按照有合同约束力的图纸所标示尺寸的理论</w:t>
      </w:r>
      <w:r>
        <w:rPr>
          <w:spacing w:val="-3"/>
          <w:sz w:val="22"/>
        </w:rPr>
        <w:t>净量计算。计量采用中华人民共和国法定的基本计量单位。</w:t>
      </w:r>
    </w:p>
    <w:p>
      <w:pPr>
        <w:pStyle w:val="13"/>
        <w:numPr>
          <w:ilvl w:val="1"/>
          <w:numId w:val="83"/>
        </w:numPr>
        <w:tabs>
          <w:tab w:val="left" w:pos="1562"/>
        </w:tabs>
        <w:spacing w:before="0" w:after="0" w:line="364" w:lineRule="auto"/>
        <w:ind w:left="731" w:right="892" w:firstLine="444"/>
        <w:jc w:val="left"/>
        <w:rPr>
          <w:sz w:val="22"/>
        </w:rPr>
      </w:pPr>
      <w:r>
        <w:rPr>
          <w:sz w:val="22"/>
        </w:rPr>
        <w:t>本工程量清单应与招标文件中的投标人须知、通用合同条款、专用合同条款、技术</w:t>
      </w:r>
      <w:r>
        <w:rPr>
          <w:spacing w:val="-3"/>
          <w:sz w:val="22"/>
        </w:rPr>
        <w:t>标准和要求及图纸等章节内容一起阅读和理解。</w:t>
      </w:r>
    </w:p>
    <w:p>
      <w:pPr>
        <w:pStyle w:val="13"/>
        <w:numPr>
          <w:ilvl w:val="1"/>
          <w:numId w:val="83"/>
        </w:numPr>
        <w:tabs>
          <w:tab w:val="left" w:pos="1562"/>
        </w:tabs>
        <w:spacing w:before="0" w:after="0" w:line="364" w:lineRule="auto"/>
        <w:ind w:left="731" w:right="892" w:firstLine="444"/>
        <w:jc w:val="both"/>
        <w:rPr>
          <w:sz w:val="22"/>
        </w:rPr>
      </w:pPr>
      <w:r>
        <w:rPr>
          <w:sz w:val="22"/>
        </w:rPr>
        <w:t>本工程量清单是投标报价的共同基础，竣工结算的工程量按合同约定确定。合同价</w:t>
      </w:r>
      <w:r>
        <w:rPr>
          <w:spacing w:val="-3"/>
          <w:sz w:val="22"/>
        </w:rPr>
        <w:t>格的确定以及价款支付应遵循合同条款(包括通用合同条款和专用合同条款)、技术标准和要求以及本章的有关约定。</w:t>
      </w:r>
    </w:p>
    <w:p>
      <w:pPr>
        <w:pStyle w:val="13"/>
        <w:numPr>
          <w:ilvl w:val="1"/>
          <w:numId w:val="83"/>
        </w:numPr>
        <w:tabs>
          <w:tab w:val="left" w:pos="1562"/>
        </w:tabs>
        <w:spacing w:before="0" w:after="0" w:line="364" w:lineRule="auto"/>
        <w:ind w:left="731" w:right="890" w:firstLine="444"/>
        <w:jc w:val="both"/>
        <w:rPr>
          <w:sz w:val="22"/>
        </w:rPr>
      </w:pPr>
      <w:r>
        <w:rPr>
          <w:spacing w:val="-8"/>
          <w:sz w:val="22"/>
        </w:rPr>
        <w:t xml:space="preserve">本条第 </w:t>
      </w:r>
      <w:r>
        <w:rPr>
          <w:sz w:val="22"/>
        </w:rPr>
        <w:t>1.1</w:t>
      </w:r>
      <w:r>
        <w:rPr>
          <w:spacing w:val="-6"/>
          <w:sz w:val="22"/>
        </w:rPr>
        <w:t xml:space="preserve"> 款中约定的计量和计价规则适用于合同履约过程中工程量计量与价款支</w:t>
      </w:r>
      <w:r>
        <w:rPr>
          <w:spacing w:val="-3"/>
          <w:sz w:val="22"/>
        </w:rPr>
        <w:t>付、工程变更、索赔和工程结算。</w:t>
      </w:r>
    </w:p>
    <w:p>
      <w:pPr>
        <w:pStyle w:val="13"/>
        <w:numPr>
          <w:ilvl w:val="1"/>
          <w:numId w:val="83"/>
        </w:numPr>
        <w:tabs>
          <w:tab w:val="left" w:pos="1516"/>
        </w:tabs>
        <w:spacing w:before="0" w:after="0" w:line="364" w:lineRule="auto"/>
        <w:ind w:left="731" w:right="803" w:firstLine="420"/>
        <w:jc w:val="both"/>
        <w:rPr>
          <w:b/>
          <w:sz w:val="22"/>
        </w:rPr>
      </w:pPr>
      <w:r>
        <w:rPr>
          <w:spacing w:val="-7"/>
          <w:sz w:val="22"/>
        </w:rPr>
        <w:t>本条与下述第</w:t>
      </w:r>
      <w:r>
        <w:rPr>
          <w:sz w:val="22"/>
        </w:rPr>
        <w:t>2</w:t>
      </w:r>
      <w:r>
        <w:rPr>
          <w:spacing w:val="-29"/>
          <w:sz w:val="22"/>
        </w:rPr>
        <w:t xml:space="preserve"> 条和第 </w:t>
      </w:r>
      <w:r>
        <w:rPr>
          <w:sz w:val="22"/>
        </w:rPr>
        <w:t>3</w:t>
      </w:r>
      <w:r>
        <w:rPr>
          <w:spacing w:val="-20"/>
          <w:sz w:val="22"/>
        </w:rPr>
        <w:t xml:space="preserve"> 条的说明内容是构成合同文件的已标价工程量清单的组成部分。</w:t>
      </w:r>
      <w:bookmarkStart w:id="78" w:name="2.投标报价说明"/>
      <w:bookmarkEnd w:id="78"/>
      <w:r>
        <w:rPr>
          <w:b/>
          <w:spacing w:val="-20"/>
          <w:sz w:val="22"/>
        </w:rPr>
        <w:t>2.投标报价说明</w:t>
      </w:r>
    </w:p>
    <w:p>
      <w:pPr>
        <w:pStyle w:val="13"/>
        <w:numPr>
          <w:ilvl w:val="1"/>
          <w:numId w:val="84"/>
        </w:numPr>
        <w:tabs>
          <w:tab w:val="left" w:pos="1560"/>
        </w:tabs>
        <w:spacing w:before="0" w:after="0" w:line="364" w:lineRule="auto"/>
        <w:ind w:left="1170" w:right="1843" w:firstLine="4"/>
        <w:jc w:val="left"/>
        <w:rPr>
          <w:sz w:val="22"/>
        </w:rPr>
      </w:pPr>
      <w:r>
        <w:rPr>
          <w:spacing w:val="-3"/>
          <w:sz w:val="22"/>
        </w:rPr>
        <w:t>投标报价应根据招标文件中的有关计价要求，并按照下列依据自主报价。(1)本招标文件；</w:t>
      </w:r>
    </w:p>
    <w:p>
      <w:pPr>
        <w:pStyle w:val="9"/>
        <w:spacing w:line="364" w:lineRule="auto"/>
        <w:ind w:left="1170" w:right="717"/>
      </w:pPr>
      <w:r>
        <w:rPr>
          <w:spacing w:val="-11"/>
        </w:rPr>
        <w:t>(2</w:t>
      </w:r>
      <w:r>
        <w:rPr>
          <w:spacing w:val="-9"/>
        </w:rPr>
        <w:t>)《建设工程工程量清单计价规范》及其《</w:t>
      </w:r>
      <w:r>
        <w:rPr>
          <w:rFonts w:hint="eastAsia"/>
          <w:spacing w:val="-9"/>
        </w:rPr>
        <w:t>山东省</w:t>
      </w:r>
      <w:r>
        <w:rPr>
          <w:spacing w:val="-9"/>
        </w:rPr>
        <w:t>建设工程工程量清单计价应用规则》； (3</w:t>
      </w:r>
      <w:r>
        <w:rPr>
          <w:spacing w:val="-5"/>
        </w:rPr>
        <w:t>)国家或本市建设主管部门颁发的计价办法；</w:t>
      </w:r>
    </w:p>
    <w:p>
      <w:pPr>
        <w:pStyle w:val="9"/>
        <w:spacing w:line="364" w:lineRule="auto"/>
        <w:ind w:left="1175" w:right="2765"/>
      </w:pPr>
      <w:r>
        <w:t>(4)企业定额，国家或本市建设主管部门颁发的计价标准（定额）； (5)补充招标文件；</w:t>
      </w:r>
    </w:p>
    <w:p>
      <w:pPr>
        <w:pStyle w:val="13"/>
        <w:numPr>
          <w:ilvl w:val="0"/>
          <w:numId w:val="85"/>
        </w:numPr>
        <w:tabs>
          <w:tab w:val="left" w:pos="1508"/>
        </w:tabs>
        <w:spacing w:before="0" w:after="0" w:line="240" w:lineRule="auto"/>
        <w:ind w:left="1507" w:right="0" w:hanging="333"/>
        <w:jc w:val="left"/>
        <w:rPr>
          <w:sz w:val="22"/>
        </w:rPr>
      </w:pPr>
      <w:r>
        <w:rPr>
          <w:spacing w:val="-3"/>
          <w:sz w:val="22"/>
        </w:rPr>
        <w:t>建设工程设计文件及相关资料；</w:t>
      </w:r>
    </w:p>
    <w:p>
      <w:pPr>
        <w:pStyle w:val="13"/>
        <w:numPr>
          <w:ilvl w:val="0"/>
          <w:numId w:val="85"/>
        </w:numPr>
        <w:tabs>
          <w:tab w:val="left" w:pos="1508"/>
        </w:tabs>
        <w:spacing w:before="136" w:after="0" w:line="364" w:lineRule="auto"/>
        <w:ind w:left="1175" w:right="2558" w:firstLine="0"/>
        <w:jc w:val="left"/>
        <w:rPr>
          <w:sz w:val="22"/>
        </w:rPr>
      </w:pPr>
      <w:r>
        <w:rPr>
          <w:spacing w:val="-3"/>
          <w:sz w:val="22"/>
        </w:rPr>
        <w:t>施工现场情况、工程特点及拟定的投标施工组织设计或施工方案； (8)与建设项目相关的标准、规定等技术资料；</w:t>
      </w:r>
    </w:p>
    <w:p>
      <w:pPr>
        <w:pStyle w:val="9"/>
        <w:spacing w:line="364" w:lineRule="auto"/>
        <w:ind w:left="1175" w:right="3439"/>
      </w:pPr>
      <w:r>
        <w:t>(9)市场价格信息或工程造价管理机构发布的工程造价信息； (10)其他的相关资料。</w:t>
      </w:r>
    </w:p>
    <w:p>
      <w:pPr>
        <w:pStyle w:val="13"/>
        <w:numPr>
          <w:ilvl w:val="1"/>
          <w:numId w:val="84"/>
        </w:numPr>
        <w:tabs>
          <w:tab w:val="left" w:pos="1560"/>
        </w:tabs>
        <w:spacing w:before="0" w:after="0" w:line="279" w:lineRule="exact"/>
        <w:ind w:left="1559" w:right="0" w:hanging="385"/>
        <w:jc w:val="left"/>
        <w:rPr>
          <w:sz w:val="22"/>
        </w:rPr>
      </w:pPr>
      <w:r>
        <w:rPr>
          <w:spacing w:val="-3"/>
          <w:sz w:val="22"/>
        </w:rPr>
        <w:t>工程量清单中的每一子目须填入单价或价格，且只允许有一个报价。</w:t>
      </w:r>
    </w:p>
    <w:p>
      <w:pPr>
        <w:pStyle w:val="13"/>
        <w:numPr>
          <w:ilvl w:val="1"/>
          <w:numId w:val="84"/>
        </w:numPr>
        <w:tabs>
          <w:tab w:val="left" w:pos="1562"/>
        </w:tabs>
        <w:spacing w:before="148" w:after="0" w:line="364" w:lineRule="auto"/>
        <w:ind w:left="731" w:right="892" w:firstLine="444"/>
        <w:jc w:val="left"/>
        <w:rPr>
          <w:sz w:val="22"/>
        </w:rPr>
      </w:pPr>
      <w:r>
        <w:rPr>
          <w:sz w:val="22"/>
        </w:rPr>
        <w:t>工程量清单中标价的单价或金额，应包括所需人工费、材料费、施工机械使用费、</w:t>
      </w:r>
      <w:r>
        <w:rPr>
          <w:spacing w:val="-3"/>
          <w:sz w:val="22"/>
        </w:rPr>
        <w:t>企业管理费和利润，以及合同约定的风险费用。</w:t>
      </w:r>
    </w:p>
    <w:p>
      <w:pPr>
        <w:spacing w:before="0" w:line="364" w:lineRule="auto"/>
        <w:ind w:left="731" w:right="892" w:firstLine="439"/>
        <w:jc w:val="left"/>
        <w:rPr>
          <w:sz w:val="22"/>
        </w:rPr>
      </w:pPr>
      <w:r>
        <w:rPr>
          <w:rFonts w:hint="eastAsia"/>
          <w:spacing w:val="-11"/>
          <w:sz w:val="22"/>
        </w:rPr>
        <w:t>青岛</w:t>
      </w:r>
      <w:r>
        <w:rPr>
          <w:spacing w:val="-11"/>
          <w:sz w:val="22"/>
        </w:rPr>
        <w:t>市建设工程施工费用计算按照</w:t>
      </w:r>
      <w:r>
        <w:rPr>
          <w:sz w:val="22"/>
        </w:rPr>
        <w:t>（</w:t>
      </w:r>
      <w:r>
        <w:rPr>
          <w:rFonts w:hint="eastAsia"/>
          <w:spacing w:val="-3"/>
          <w:sz w:val="22"/>
        </w:rPr>
        <w:t>济</w:t>
      </w:r>
      <w:r>
        <w:rPr>
          <w:spacing w:val="-3"/>
          <w:sz w:val="22"/>
        </w:rPr>
        <w:t>建</w:t>
      </w:r>
      <w:r>
        <w:rPr>
          <w:rFonts w:hint="eastAsia"/>
          <w:spacing w:val="-3"/>
          <w:sz w:val="22"/>
        </w:rPr>
        <w:t>建</w:t>
      </w:r>
      <w:r>
        <w:rPr>
          <w:spacing w:val="-3"/>
          <w:sz w:val="22"/>
        </w:rPr>
        <w:t>市管</w:t>
      </w:r>
      <w:r>
        <w:rPr>
          <w:sz w:val="22"/>
        </w:rPr>
        <w:t>[20</w:t>
      </w:r>
      <w:r>
        <w:rPr>
          <w:rFonts w:hint="eastAsia"/>
          <w:sz w:val="22"/>
          <w:lang w:val="en-US" w:eastAsia="zh-CN"/>
        </w:rPr>
        <w:t>20］106</w:t>
      </w:r>
      <w:r>
        <w:rPr>
          <w:spacing w:val="-20"/>
          <w:sz w:val="22"/>
        </w:rPr>
        <w:t xml:space="preserve"> 号文</w:t>
      </w:r>
      <w:r>
        <w:rPr>
          <w:sz w:val="22"/>
        </w:rPr>
        <w:t>）</w:t>
      </w:r>
      <w:r>
        <w:rPr>
          <w:spacing w:val="-2"/>
          <w:sz w:val="22"/>
        </w:rPr>
        <w:t>执行。</w:t>
      </w:r>
    </w:p>
    <w:p>
      <w:pPr>
        <w:spacing w:after="0" w:line="364" w:lineRule="auto"/>
        <w:jc w:val="left"/>
        <w:rPr>
          <w:sz w:val="22"/>
        </w:rPr>
        <w:sectPr>
          <w:pgSz w:w="11910" w:h="16840"/>
          <w:pgMar w:top="1100" w:right="660" w:bottom="1200" w:left="800" w:header="878" w:footer="1003" w:gutter="0"/>
          <w:cols w:space="720" w:num="1"/>
        </w:sectPr>
      </w:pPr>
    </w:p>
    <w:p>
      <w:pPr>
        <w:pStyle w:val="9"/>
        <w:spacing w:before="1"/>
        <w:rPr>
          <w:sz w:val="18"/>
        </w:rPr>
      </w:pPr>
    </w:p>
    <w:p>
      <w:pPr>
        <w:pStyle w:val="13"/>
        <w:numPr>
          <w:ilvl w:val="1"/>
          <w:numId w:val="84"/>
        </w:numPr>
        <w:tabs>
          <w:tab w:val="left" w:pos="1508"/>
        </w:tabs>
        <w:spacing w:before="70" w:after="0" w:line="364" w:lineRule="auto"/>
        <w:ind w:left="731" w:right="779" w:firstLine="444"/>
        <w:jc w:val="left"/>
        <w:rPr>
          <w:sz w:val="20"/>
        </w:rPr>
      </w:pPr>
      <w:r>
        <w:rPr>
          <w:spacing w:val="-13"/>
          <w:sz w:val="22"/>
        </w:rPr>
        <w:t>“投标报价汇总表”投标总价为分部分项工程量清单、措施项目清单、其他项目清单</w:t>
      </w:r>
      <w:r>
        <w:rPr>
          <w:spacing w:val="-9"/>
          <w:sz w:val="22"/>
        </w:rPr>
        <w:t>、规费和增值税的报价之和，并且“投标报价汇总表”中的投标总价应当与构成已标价工程</w:t>
      </w:r>
      <w:r>
        <w:rPr>
          <w:spacing w:val="-5"/>
          <w:sz w:val="22"/>
        </w:rPr>
        <w:t>量清单的分部分项工程费、措施项目费、其他项目费、规费、增值税的合计金额一致。</w:t>
      </w:r>
    </w:p>
    <w:p>
      <w:pPr>
        <w:pStyle w:val="13"/>
        <w:numPr>
          <w:ilvl w:val="1"/>
          <w:numId w:val="84"/>
        </w:numPr>
        <w:tabs>
          <w:tab w:val="left" w:pos="1560"/>
        </w:tabs>
        <w:spacing w:before="0" w:after="0" w:line="364" w:lineRule="auto"/>
        <w:ind w:left="731" w:right="776" w:firstLine="444"/>
        <w:jc w:val="left"/>
        <w:rPr>
          <w:sz w:val="22"/>
        </w:rPr>
      </w:pPr>
      <w:r>
        <w:rPr>
          <w:spacing w:val="-5"/>
          <w:sz w:val="22"/>
        </w:rPr>
        <w:t>本工程计价模式采用《建设工程工程量清单计价规范》</w:t>
      </w:r>
      <w:r>
        <w:rPr>
          <w:spacing w:val="-3"/>
          <w:sz w:val="22"/>
        </w:rPr>
        <w:t>（GB-50500-2013）（</w:t>
      </w:r>
      <w:r>
        <w:rPr>
          <w:spacing w:val="-2"/>
          <w:sz w:val="22"/>
        </w:rPr>
        <w:t>以下简</w:t>
      </w:r>
      <w:r>
        <w:rPr>
          <w:spacing w:val="-3"/>
          <w:sz w:val="22"/>
        </w:rPr>
        <w:t>称“计价规范”</w:t>
      </w:r>
      <w:r>
        <w:rPr>
          <w:sz w:val="22"/>
        </w:rPr>
        <w:t>）</w:t>
      </w:r>
      <w:r>
        <w:rPr>
          <w:spacing w:val="-3"/>
          <w:sz w:val="22"/>
        </w:rPr>
        <w:t>，按招标文件提供的工程量清单，采用综合单价法进行报价。综合单价是完成工程量清单中一个规定计量单位项目所需的费用，应包括人工费、材料费、施工机械使</w:t>
      </w:r>
      <w:r>
        <w:rPr>
          <w:spacing w:val="-9"/>
          <w:sz w:val="22"/>
        </w:rPr>
        <w:t>用费、企业管理费、维护、缺陷修复、材料检测</w:t>
      </w:r>
      <w:r>
        <w:rPr>
          <w:sz w:val="22"/>
        </w:rPr>
        <w:t>（</w:t>
      </w:r>
      <w:r>
        <w:rPr>
          <w:spacing w:val="-6"/>
          <w:sz w:val="22"/>
        </w:rPr>
        <w:t>包括常规材料、保温材料、电线电缆等</w:t>
      </w:r>
      <w:r>
        <w:rPr>
          <w:spacing w:val="-13"/>
          <w:sz w:val="22"/>
        </w:rPr>
        <w:t>）</w:t>
      </w:r>
      <w:r>
        <w:rPr>
          <w:sz w:val="22"/>
        </w:rPr>
        <w:t>、质检（</w:t>
      </w:r>
      <w:r>
        <w:rPr>
          <w:spacing w:val="-2"/>
          <w:sz w:val="22"/>
        </w:rPr>
        <w:t>自检</w:t>
      </w:r>
      <w:r>
        <w:rPr>
          <w:sz w:val="22"/>
        </w:rPr>
        <w:t>）</w:t>
      </w:r>
      <w:r>
        <w:rPr>
          <w:spacing w:val="-2"/>
          <w:sz w:val="22"/>
        </w:rPr>
        <w:t>、测试及投标人的期望利润等为完成该项目所需的一切费用</w:t>
      </w:r>
      <w:r>
        <w:rPr>
          <w:spacing w:val="-3"/>
          <w:sz w:val="22"/>
        </w:rPr>
        <w:t>（</w:t>
      </w:r>
      <w:r>
        <w:rPr>
          <w:sz w:val="22"/>
        </w:rPr>
        <w:t>规费和增值税除外）</w:t>
      </w:r>
      <w:r>
        <w:rPr>
          <w:spacing w:val="-3"/>
          <w:sz w:val="22"/>
        </w:rPr>
        <w:t>，并考虑招标文件中规定的或投标人为完成该规定计量单位项目可能承担的所有责任、义务及约定的风险因素。</w:t>
      </w:r>
    </w:p>
    <w:p>
      <w:pPr>
        <w:pStyle w:val="13"/>
        <w:numPr>
          <w:ilvl w:val="1"/>
          <w:numId w:val="84"/>
        </w:numPr>
        <w:tabs>
          <w:tab w:val="left" w:pos="1562"/>
        </w:tabs>
        <w:spacing w:before="0" w:after="0" w:line="364" w:lineRule="auto"/>
        <w:ind w:left="731" w:right="890" w:firstLine="444"/>
        <w:jc w:val="both"/>
        <w:rPr>
          <w:sz w:val="22"/>
        </w:rPr>
      </w:pPr>
      <w:r>
        <w:rPr>
          <w:sz w:val="22"/>
        </w:rPr>
        <w:t>投标单位应按招标单位提供的工程量清单结合招标图纸计算工程项目的综合单价和</w:t>
      </w:r>
      <w:r>
        <w:rPr>
          <w:spacing w:val="-3"/>
          <w:sz w:val="22"/>
        </w:rPr>
        <w:t>合价。工程量清单中的每一项均需计算填写综合单价和合价，投标单位没有填写综合单价和合价的项目将不予支付，并认为此项费用已包括在工程量清单的其他单价和合价中。</w:t>
      </w:r>
    </w:p>
    <w:p>
      <w:pPr>
        <w:pStyle w:val="13"/>
        <w:numPr>
          <w:ilvl w:val="1"/>
          <w:numId w:val="84"/>
        </w:numPr>
        <w:tabs>
          <w:tab w:val="left" w:pos="1562"/>
        </w:tabs>
        <w:spacing w:before="0" w:after="0" w:line="364" w:lineRule="auto"/>
        <w:ind w:left="731" w:right="890" w:firstLine="444"/>
        <w:jc w:val="both"/>
        <w:rPr>
          <w:sz w:val="22"/>
        </w:rPr>
      </w:pPr>
      <w:r>
        <w:rPr>
          <w:sz w:val="22"/>
        </w:rPr>
        <w:t>投标单位应根据施工图和《建设工程工程量清单计价规范》的工程量清单计算规则</w:t>
      </w:r>
      <w:r>
        <w:rPr>
          <w:spacing w:val="-3"/>
          <w:sz w:val="22"/>
        </w:rPr>
        <w:t>对工程量清单中提供之数量及项目进行复核，如有疑问的需按投标须知前附表澄清书面疑问约定的时间前提出，没有提出的视作对工程量清单的认同。此后，若投标单位认为仍需对工程量清单进行数量调整或进行项目增减，则投标单位一律在工程量清单的“调整偏差项”栏内自行进行调整。所有的调整项均应相应的明细表，而且若调整清单数量的，则所报综合单价必须与清单内的报价保持一致。</w:t>
      </w:r>
    </w:p>
    <w:p>
      <w:pPr>
        <w:pStyle w:val="13"/>
        <w:numPr>
          <w:ilvl w:val="1"/>
          <w:numId w:val="84"/>
        </w:numPr>
        <w:tabs>
          <w:tab w:val="left" w:pos="1562"/>
        </w:tabs>
        <w:spacing w:before="0" w:after="0" w:line="364" w:lineRule="auto"/>
        <w:ind w:left="731" w:right="890" w:firstLine="444"/>
        <w:jc w:val="both"/>
        <w:rPr>
          <w:sz w:val="22"/>
        </w:rPr>
      </w:pPr>
      <w:r>
        <w:rPr>
          <w:sz w:val="22"/>
        </w:rPr>
        <w:t>除本招标文件和合同另有约定外，合同综合单价闭口包干，并应综合考虑到现场条</w:t>
      </w:r>
      <w:r>
        <w:rPr>
          <w:spacing w:val="-3"/>
          <w:sz w:val="22"/>
        </w:rPr>
        <w:t>件、工期、人工、材料及机械价格波动、风险等一切因素，以及合同明示或暗示的所有的一般风险、责任和义务等。</w:t>
      </w:r>
    </w:p>
    <w:p>
      <w:pPr>
        <w:pStyle w:val="13"/>
        <w:numPr>
          <w:ilvl w:val="1"/>
          <w:numId w:val="84"/>
        </w:numPr>
        <w:tabs>
          <w:tab w:val="left" w:pos="1500"/>
        </w:tabs>
        <w:spacing w:before="0" w:after="0" w:line="364" w:lineRule="auto"/>
        <w:ind w:left="731" w:right="772" w:firstLine="412"/>
        <w:jc w:val="left"/>
        <w:rPr>
          <w:sz w:val="22"/>
        </w:rPr>
      </w:pPr>
      <w:r>
        <w:rPr>
          <w:spacing w:val="-19"/>
          <w:sz w:val="22"/>
        </w:rPr>
        <w:t>由中标人自行竞价采购材料、设备要求投标人在投标文件中完整列明所报材料、设备价格。</w:t>
      </w:r>
      <w:r>
        <w:rPr>
          <w:spacing w:val="-17"/>
          <w:sz w:val="22"/>
        </w:rPr>
        <w:t>以及对应的品牌、生产厂家、产地等资料。其供货单价为材料、设备到达工地现场的价格，材料设备到指定地点后的卸货、场内仓储、厂内驳运、保管、材料损耗、检验检测等费用应包括在综合单价内。除本招标文件、合同另有约定或政府有关文件规定外，工程所采用的材料价格，由投标人根据商场行情，综合自身单位采购能力，一次报价，不做调整。发包人保留更换主要材料设备品牌的权利，施工过程中若发包人一处更换品牌的，对此项主材价格引起的差价经投资监理审核发包人批准后按合同约定调整，组成综合单价的其他费用不再调整。</w:t>
      </w:r>
    </w:p>
    <w:p>
      <w:pPr>
        <w:pStyle w:val="13"/>
        <w:numPr>
          <w:ilvl w:val="1"/>
          <w:numId w:val="84"/>
        </w:numPr>
        <w:tabs>
          <w:tab w:val="left" w:pos="1670"/>
        </w:tabs>
        <w:spacing w:before="0" w:after="0" w:line="364" w:lineRule="auto"/>
        <w:ind w:left="731" w:right="890" w:firstLine="444"/>
        <w:jc w:val="both"/>
        <w:rPr>
          <w:sz w:val="22"/>
        </w:rPr>
      </w:pPr>
      <w:r>
        <w:rPr>
          <w:spacing w:val="-6"/>
          <w:sz w:val="22"/>
        </w:rPr>
        <w:t>对招标时工程量清单中提供暂定品牌供选择的材料、制品、设备，投标单位在投标</w:t>
      </w:r>
      <w:r>
        <w:rPr>
          <w:spacing w:val="-3"/>
          <w:sz w:val="22"/>
        </w:rPr>
        <w:t>时须在范围内选用暂定品牌并在投标文件中明确具体所选的品牌。中标后，如承包人提出品牌调换的必须报工程师审核并经发包人批准同意后方可调换，档次、标准、品质只能按相同或高者调整，价格原则上不予调整。发包人保留更换主要材料设备暂定品牌的权利，如发包</w:t>
      </w:r>
    </w:p>
    <w:p>
      <w:pPr>
        <w:spacing w:after="0" w:line="364" w:lineRule="auto"/>
        <w:jc w:val="both"/>
        <w:rPr>
          <w:sz w:val="22"/>
        </w:rPr>
        <w:sectPr>
          <w:pgSz w:w="11910" w:h="16840"/>
          <w:pgMar w:top="1100" w:right="660" w:bottom="1200" w:left="800" w:header="878" w:footer="1003" w:gutter="0"/>
          <w:cols w:space="720" w:num="1"/>
        </w:sectPr>
      </w:pPr>
    </w:p>
    <w:p>
      <w:pPr>
        <w:pStyle w:val="9"/>
        <w:spacing w:before="1"/>
        <w:rPr>
          <w:sz w:val="18"/>
        </w:rPr>
      </w:pPr>
    </w:p>
    <w:p>
      <w:pPr>
        <w:pStyle w:val="9"/>
        <w:spacing w:before="70" w:line="364" w:lineRule="auto"/>
        <w:ind w:left="731" w:right="890"/>
      </w:pPr>
      <w:r>
        <w:t>人提出要求中标单位更换品牌，经发包人审核批准后可对此项主材价格引起的主材耗损的价差按合同约定调整。</w:t>
      </w:r>
    </w:p>
    <w:p>
      <w:pPr>
        <w:pStyle w:val="13"/>
        <w:numPr>
          <w:ilvl w:val="1"/>
          <w:numId w:val="84"/>
        </w:numPr>
        <w:tabs>
          <w:tab w:val="left" w:pos="1670"/>
        </w:tabs>
        <w:spacing w:before="0" w:after="0" w:line="364" w:lineRule="auto"/>
        <w:ind w:left="731" w:right="782" w:firstLine="444"/>
        <w:jc w:val="left"/>
        <w:rPr>
          <w:sz w:val="22"/>
        </w:rPr>
      </w:pPr>
      <w:r>
        <w:rPr>
          <w:spacing w:val="-7"/>
          <w:sz w:val="22"/>
        </w:rPr>
        <w:t>目前尚未确定规格、型号的材料、设备，在工程量清单中提供材料暂估单价。此部</w:t>
      </w:r>
      <w:r>
        <w:rPr>
          <w:spacing w:val="-6"/>
          <w:sz w:val="22"/>
        </w:rPr>
        <w:t>分材料设备的采购办法按照合同附件暂估价材料设备采购管理办法执行。该暂估单价为材料、</w:t>
      </w:r>
      <w:r>
        <w:rPr>
          <w:spacing w:val="-5"/>
          <w:sz w:val="22"/>
        </w:rPr>
        <w:t>制品、设备到达工地场地的价格，到工地后的卸货、驳运、仓储、保管、损耗及检验检测、成品保护、管理费等费用应计入综合单价报价内，由中标人承担，因此各投标人在综合单价时还应考虑这些因素，今后发包人核准暂估价，结算时对此项主材价格及其引起的主材损耗</w:t>
      </w:r>
      <w:r>
        <w:rPr>
          <w:spacing w:val="-3"/>
          <w:sz w:val="22"/>
        </w:rPr>
        <w:t>的价差按合同约定调整。</w:t>
      </w:r>
    </w:p>
    <w:p>
      <w:pPr>
        <w:pStyle w:val="13"/>
        <w:numPr>
          <w:ilvl w:val="1"/>
          <w:numId w:val="84"/>
        </w:numPr>
        <w:tabs>
          <w:tab w:val="left" w:pos="1670"/>
        </w:tabs>
        <w:spacing w:before="0" w:after="0" w:line="364" w:lineRule="auto"/>
        <w:ind w:left="731" w:right="890" w:firstLine="444"/>
        <w:jc w:val="both"/>
        <w:rPr>
          <w:color w:val="auto"/>
          <w:sz w:val="22"/>
        </w:rPr>
      </w:pPr>
      <w:r>
        <w:rPr>
          <w:color w:val="auto"/>
          <w:spacing w:val="-4"/>
          <w:sz w:val="22"/>
        </w:rPr>
        <w:t>根据</w:t>
      </w:r>
      <w:r>
        <w:rPr>
          <w:rFonts w:hint="eastAsia"/>
          <w:color w:val="auto"/>
          <w:spacing w:val="-4"/>
          <w:sz w:val="22"/>
        </w:rPr>
        <w:t>青岛</w:t>
      </w:r>
      <w:r>
        <w:rPr>
          <w:color w:val="auto"/>
          <w:spacing w:val="-4"/>
          <w:sz w:val="22"/>
        </w:rPr>
        <w:t>建管</w:t>
      </w:r>
      <w:r>
        <w:rPr>
          <w:color w:val="auto"/>
          <w:spacing w:val="-3"/>
          <w:sz w:val="22"/>
        </w:rPr>
        <w:t>（20</w:t>
      </w:r>
      <w:r>
        <w:rPr>
          <w:rFonts w:hint="eastAsia"/>
          <w:color w:val="auto"/>
          <w:spacing w:val="-3"/>
          <w:sz w:val="22"/>
          <w:lang w:val="en-US" w:eastAsia="zh-CN"/>
        </w:rPr>
        <w:t>13</w:t>
      </w:r>
      <w:r>
        <w:rPr>
          <w:color w:val="auto"/>
          <w:spacing w:val="-3"/>
          <w:sz w:val="22"/>
        </w:rPr>
        <w:t>）</w:t>
      </w:r>
      <w:r>
        <w:rPr>
          <w:color w:val="auto"/>
          <w:spacing w:val="-26"/>
          <w:sz w:val="22"/>
        </w:rPr>
        <w:t xml:space="preserve">第 </w:t>
      </w:r>
      <w:r>
        <w:rPr>
          <w:rFonts w:hint="eastAsia"/>
          <w:color w:val="auto"/>
          <w:sz w:val="22"/>
          <w:lang w:val="en-US" w:eastAsia="zh-CN"/>
        </w:rPr>
        <w:t>11</w:t>
      </w:r>
      <w:r>
        <w:rPr>
          <w:color w:val="auto"/>
          <w:spacing w:val="-10"/>
          <w:sz w:val="22"/>
        </w:rPr>
        <w:t xml:space="preserve"> 号《关于进一步做好预拌</w:t>
      </w:r>
      <w:r>
        <w:rPr>
          <w:color w:val="auto"/>
          <w:sz w:val="22"/>
        </w:rPr>
        <w:t>（</w:t>
      </w:r>
      <w:r>
        <w:rPr>
          <w:color w:val="auto"/>
          <w:spacing w:val="-2"/>
          <w:sz w:val="22"/>
        </w:rPr>
        <w:t>商品</w:t>
      </w:r>
      <w:r>
        <w:rPr>
          <w:color w:val="auto"/>
          <w:spacing w:val="-10"/>
          <w:sz w:val="22"/>
        </w:rPr>
        <w:t>）</w:t>
      </w:r>
      <w:r>
        <w:rPr>
          <w:color w:val="auto"/>
          <w:spacing w:val="-3"/>
          <w:sz w:val="22"/>
        </w:rPr>
        <w:t>砂浆推广使用工作的通知》有关规定，本工程使用预拌</w:t>
      </w:r>
      <w:r>
        <w:rPr>
          <w:color w:val="auto"/>
          <w:sz w:val="22"/>
        </w:rPr>
        <w:t>（商品）</w:t>
      </w:r>
      <w:r>
        <w:rPr>
          <w:color w:val="auto"/>
          <w:spacing w:val="-2"/>
          <w:sz w:val="22"/>
        </w:rPr>
        <w:t>砂浆，投标人应参照市建筑建材业市场管理总</w:t>
      </w:r>
      <w:r>
        <w:rPr>
          <w:color w:val="auto"/>
          <w:spacing w:val="-3"/>
          <w:sz w:val="22"/>
        </w:rPr>
        <w:t>站发布的预拌</w:t>
      </w:r>
      <w:r>
        <w:rPr>
          <w:color w:val="auto"/>
          <w:sz w:val="22"/>
        </w:rPr>
        <w:t>（</w:t>
      </w:r>
      <w:r>
        <w:rPr>
          <w:color w:val="auto"/>
          <w:spacing w:val="-2"/>
          <w:sz w:val="22"/>
        </w:rPr>
        <w:t>商品</w:t>
      </w:r>
      <w:r>
        <w:rPr>
          <w:color w:val="auto"/>
          <w:sz w:val="22"/>
        </w:rPr>
        <w:t>）</w:t>
      </w:r>
      <w:r>
        <w:rPr>
          <w:color w:val="auto"/>
          <w:spacing w:val="-3"/>
          <w:sz w:val="22"/>
        </w:rPr>
        <w:t>砂浆指导价并结合市场情况和自身承受能力报价。</w:t>
      </w:r>
    </w:p>
    <w:p>
      <w:pPr>
        <w:pStyle w:val="13"/>
        <w:numPr>
          <w:ilvl w:val="1"/>
          <w:numId w:val="84"/>
        </w:numPr>
        <w:tabs>
          <w:tab w:val="left" w:pos="1670"/>
        </w:tabs>
        <w:spacing w:before="0" w:after="0" w:line="364" w:lineRule="auto"/>
        <w:ind w:left="731" w:right="779" w:firstLine="444"/>
        <w:jc w:val="left"/>
        <w:rPr>
          <w:sz w:val="22"/>
        </w:rPr>
      </w:pPr>
      <w:r>
        <w:rPr>
          <w:spacing w:val="-8"/>
          <w:sz w:val="22"/>
        </w:rPr>
        <w:t>根据建设部门有关规定用于建设工程的钢材、水泥、黄沙、石子、商品混凝土、预</w:t>
      </w:r>
      <w:r>
        <w:rPr>
          <w:spacing w:val="-6"/>
          <w:sz w:val="22"/>
        </w:rPr>
        <w:t>制混凝土构建、墙体材料和管道、门窗、防水材料等各类建筑材料的常规检查及其他工程施</w:t>
      </w:r>
      <w:r>
        <w:rPr>
          <w:spacing w:val="-7"/>
          <w:sz w:val="22"/>
        </w:rPr>
        <w:t xml:space="preserve">工建设过程中所需发生各类工程检测费用均需包含在投标总价中。中标后，按相关部门规定， </w:t>
      </w:r>
      <w:r>
        <w:rPr>
          <w:spacing w:val="-3"/>
          <w:sz w:val="22"/>
        </w:rPr>
        <w:t>有发包人/</w:t>
      </w:r>
      <w:r>
        <w:rPr>
          <w:spacing w:val="-7"/>
          <w:sz w:val="22"/>
        </w:rPr>
        <w:t>或联合体中标人与具体有相应资质和能力的检测机构</w:t>
      </w:r>
      <w:r>
        <w:rPr>
          <w:spacing w:val="-3"/>
          <w:sz w:val="22"/>
        </w:rPr>
        <w:t>（该机构须与本项目的设计单位、施工单位、监理单位无隶属关系或其他利害关系</w:t>
      </w:r>
      <w:r>
        <w:rPr>
          <w:sz w:val="22"/>
        </w:rPr>
        <w:t>）</w:t>
      </w:r>
      <w:r>
        <w:rPr>
          <w:spacing w:val="-1"/>
          <w:sz w:val="22"/>
        </w:rPr>
        <w:t>签定检测合同，检测费用已含在投标</w:t>
      </w:r>
      <w:r>
        <w:rPr>
          <w:spacing w:val="-3"/>
          <w:sz w:val="22"/>
        </w:rPr>
        <w:t>总价中，由中标人直接支付。</w:t>
      </w:r>
    </w:p>
    <w:p>
      <w:pPr>
        <w:pStyle w:val="13"/>
        <w:numPr>
          <w:ilvl w:val="1"/>
          <w:numId w:val="84"/>
        </w:numPr>
        <w:tabs>
          <w:tab w:val="left" w:pos="1670"/>
        </w:tabs>
        <w:spacing w:before="0" w:after="0" w:line="364" w:lineRule="auto"/>
        <w:ind w:left="731" w:right="890" w:firstLine="444"/>
        <w:jc w:val="both"/>
        <w:rPr>
          <w:sz w:val="22"/>
        </w:rPr>
      </w:pPr>
      <w:r>
        <w:rPr>
          <w:spacing w:val="-7"/>
          <w:sz w:val="22"/>
        </w:rPr>
        <w:t>在投标阶段，投标人不必填写本招标文件内之协议书，协议书将于发出中标通知书</w:t>
      </w:r>
      <w:r>
        <w:rPr>
          <w:spacing w:val="-3"/>
          <w:sz w:val="22"/>
        </w:rPr>
        <w:t>后由业主与承包商签署。但投标人须在投标阶段完全了解并同意本招标文件之内容。任何因罔顾上述条文而作出的索赔将不获考虑。</w:t>
      </w:r>
    </w:p>
    <w:p>
      <w:pPr>
        <w:pStyle w:val="13"/>
        <w:numPr>
          <w:ilvl w:val="1"/>
          <w:numId w:val="84"/>
        </w:numPr>
        <w:tabs>
          <w:tab w:val="left" w:pos="1670"/>
        </w:tabs>
        <w:spacing w:before="0" w:after="0" w:line="364" w:lineRule="auto"/>
        <w:ind w:left="731" w:right="890" w:firstLine="444"/>
        <w:jc w:val="both"/>
        <w:rPr>
          <w:sz w:val="22"/>
        </w:rPr>
      </w:pPr>
      <w:r>
        <w:rPr>
          <w:spacing w:val="-5"/>
          <w:sz w:val="22"/>
        </w:rPr>
        <w:t>投标单位应认真踏勘施工现场，熟悉施工现场的位置和周围环境</w:t>
      </w:r>
      <w:r>
        <w:rPr>
          <w:spacing w:val="-3"/>
          <w:sz w:val="22"/>
        </w:rPr>
        <w:t>（</w:t>
      </w:r>
      <w:r>
        <w:rPr>
          <w:spacing w:val="-6"/>
          <w:sz w:val="22"/>
        </w:rPr>
        <w:t>地形、地貌、水</w:t>
      </w:r>
      <w:r>
        <w:rPr>
          <w:spacing w:val="-3"/>
          <w:sz w:val="22"/>
        </w:rPr>
        <w:t>文地质、施工作业空间、交通道路等情况</w:t>
      </w:r>
      <w:r>
        <w:rPr>
          <w:sz w:val="22"/>
        </w:rPr>
        <w:t>）</w:t>
      </w:r>
      <w:r>
        <w:rPr>
          <w:spacing w:val="-2"/>
          <w:sz w:val="22"/>
        </w:rPr>
        <w:t>，了解施工中必须拆除或挖除的障碍物等，以便</w:t>
      </w:r>
      <w:r>
        <w:rPr>
          <w:spacing w:val="-3"/>
          <w:sz w:val="22"/>
        </w:rPr>
        <w:t>编制最佳的施工组织设计，并在投标中考虑一切可能会影响投标报价的因素，因上述情况在</w:t>
      </w:r>
      <w:r>
        <w:rPr>
          <w:spacing w:val="-7"/>
          <w:sz w:val="22"/>
        </w:rPr>
        <w:t>本工程施工中需发生的 费用列入投标总报价内，无论是否单独开列此类费用，招标人将一律</w:t>
      </w:r>
      <w:r>
        <w:rPr>
          <w:spacing w:val="-3"/>
          <w:sz w:val="22"/>
        </w:rPr>
        <w:t>视为一个有经验的承包商且已确认所有现存条件和预见到了可能发生的异常情况。中标后不得以不完全了解现场及周边情况及现有建筑物等情况为借口，向招标单位提出额外付款或延长竣工期限等要求，对此等要求招标单位将不作任何考虑。</w:t>
      </w:r>
    </w:p>
    <w:p>
      <w:pPr>
        <w:pStyle w:val="13"/>
        <w:numPr>
          <w:ilvl w:val="1"/>
          <w:numId w:val="84"/>
        </w:numPr>
        <w:tabs>
          <w:tab w:val="left" w:pos="1670"/>
        </w:tabs>
        <w:spacing w:before="0" w:after="0" w:line="364" w:lineRule="auto"/>
        <w:ind w:left="731" w:right="890" w:firstLine="444"/>
        <w:jc w:val="both"/>
        <w:rPr>
          <w:sz w:val="22"/>
        </w:rPr>
      </w:pPr>
      <w:r>
        <w:rPr>
          <w:spacing w:val="-5"/>
          <w:sz w:val="22"/>
        </w:rPr>
        <w:t>一旦投标单位提交的作出报价的工程量清单的报价为发包人接纳后，该工程量清单</w:t>
      </w:r>
      <w:r>
        <w:rPr>
          <w:spacing w:val="-3"/>
          <w:sz w:val="22"/>
        </w:rPr>
        <w:t>中的单价即被视为合同文件的一部分，作为计算工程变更及竣工决算的依据。同时它亦是发包人对各投标单位的报价进行评估的依据。</w:t>
      </w:r>
    </w:p>
    <w:p>
      <w:pPr>
        <w:pStyle w:val="13"/>
        <w:numPr>
          <w:ilvl w:val="1"/>
          <w:numId w:val="84"/>
        </w:numPr>
        <w:tabs>
          <w:tab w:val="left" w:pos="1670"/>
        </w:tabs>
        <w:spacing w:before="0" w:after="0" w:line="364" w:lineRule="auto"/>
        <w:ind w:left="731" w:right="782" w:firstLine="444"/>
        <w:jc w:val="both"/>
        <w:rPr>
          <w:sz w:val="22"/>
        </w:rPr>
      </w:pPr>
      <w:r>
        <w:rPr>
          <w:spacing w:val="-5"/>
          <w:sz w:val="22"/>
        </w:rPr>
        <w:t>投标单位必须根据工程清单投标单价、复合价及总价，投标书内的投标总价必须与</w:t>
      </w:r>
      <w:r>
        <w:rPr>
          <w:spacing w:val="-7"/>
          <w:sz w:val="22"/>
        </w:rPr>
        <w:t>上海市建设工程施工投标标书情况汇总表的总价相符、单价、复合价应填写至小数点后两位。</w:t>
      </w:r>
    </w:p>
    <w:p>
      <w:pPr>
        <w:pStyle w:val="13"/>
        <w:numPr>
          <w:ilvl w:val="1"/>
          <w:numId w:val="84"/>
        </w:numPr>
        <w:tabs>
          <w:tab w:val="left" w:pos="1670"/>
        </w:tabs>
        <w:spacing w:before="0" w:after="0" w:line="240" w:lineRule="auto"/>
        <w:ind w:left="1669" w:right="0" w:hanging="495"/>
        <w:jc w:val="both"/>
        <w:rPr>
          <w:sz w:val="22"/>
        </w:rPr>
      </w:pPr>
      <w:r>
        <w:rPr>
          <w:spacing w:val="-5"/>
          <w:sz w:val="22"/>
        </w:rPr>
        <w:t>若招标单位对投标文件发现有任何的错误或对有关标价存在疑问，可以书面向投标</w:t>
      </w:r>
    </w:p>
    <w:p>
      <w:pPr>
        <w:spacing w:after="0" w:line="240" w:lineRule="auto"/>
        <w:jc w:val="both"/>
        <w:rPr>
          <w:sz w:val="22"/>
        </w:rPr>
        <w:sectPr>
          <w:pgSz w:w="11910" w:h="16840"/>
          <w:pgMar w:top="1100" w:right="660" w:bottom="1200" w:left="800" w:header="878" w:footer="1003" w:gutter="0"/>
          <w:cols w:space="720" w:num="1"/>
        </w:sectPr>
      </w:pPr>
    </w:p>
    <w:p>
      <w:pPr>
        <w:pStyle w:val="9"/>
        <w:spacing w:before="1"/>
        <w:rPr>
          <w:sz w:val="18"/>
        </w:rPr>
      </w:pPr>
    </w:p>
    <w:p>
      <w:pPr>
        <w:pStyle w:val="9"/>
        <w:spacing w:before="70"/>
        <w:ind w:left="731"/>
      </w:pPr>
      <w:r>
        <w:t>单位提出询问。但此举并不表示要求投标单位改变投标报价。</w:t>
      </w:r>
    </w:p>
    <w:p>
      <w:pPr>
        <w:pStyle w:val="13"/>
        <w:numPr>
          <w:ilvl w:val="1"/>
          <w:numId w:val="84"/>
        </w:numPr>
        <w:tabs>
          <w:tab w:val="left" w:pos="1670"/>
        </w:tabs>
        <w:spacing w:before="145" w:after="0" w:line="364" w:lineRule="auto"/>
        <w:ind w:left="731" w:right="890" w:firstLine="444"/>
        <w:jc w:val="both"/>
        <w:rPr>
          <w:sz w:val="22"/>
        </w:rPr>
      </w:pPr>
      <w:r>
        <w:rPr>
          <w:spacing w:val="-5"/>
          <w:sz w:val="22"/>
        </w:rPr>
        <w:t>已标价工程量清单中投标人没有填入单价或价格的子目，其费用视为已分摊在工程</w:t>
      </w:r>
      <w:r>
        <w:rPr>
          <w:spacing w:val="-3"/>
          <w:sz w:val="22"/>
        </w:rPr>
        <w:t>量清单中其他已标价的相关子目的单价或价格之中。</w:t>
      </w:r>
    </w:p>
    <w:p>
      <w:pPr>
        <w:pStyle w:val="13"/>
        <w:numPr>
          <w:ilvl w:val="1"/>
          <w:numId w:val="84"/>
        </w:numPr>
        <w:tabs>
          <w:tab w:val="left" w:pos="1618"/>
        </w:tabs>
        <w:spacing w:before="0" w:after="0" w:line="364" w:lineRule="auto"/>
        <w:ind w:left="731" w:right="892" w:firstLine="444"/>
        <w:jc w:val="both"/>
        <w:rPr>
          <w:sz w:val="20"/>
        </w:rPr>
      </w:pPr>
      <w:r>
        <w:rPr>
          <w:spacing w:val="-3"/>
          <w:sz w:val="22"/>
        </w:rPr>
        <w:t>“投标报价汇总表”中的投标总价由分部分项工程费、措施项目费、其他项目费、规费和增值税组成，并且“投标报价汇总表”中的投标总价应当与构成已标价工程量清单的分部分项工程费、措施项目费、其他项目费、规费、增值税的合计金额一致。</w:t>
      </w:r>
    </w:p>
    <w:p>
      <w:pPr>
        <w:pStyle w:val="13"/>
        <w:numPr>
          <w:ilvl w:val="1"/>
          <w:numId w:val="84"/>
        </w:numPr>
        <w:tabs>
          <w:tab w:val="left" w:pos="1670"/>
        </w:tabs>
        <w:spacing w:before="0" w:after="0" w:line="364" w:lineRule="auto"/>
        <w:ind w:left="731" w:right="890" w:firstLine="444"/>
        <w:jc w:val="both"/>
        <w:rPr>
          <w:sz w:val="22"/>
        </w:rPr>
      </w:pPr>
      <w:r>
        <w:rPr>
          <w:spacing w:val="-5"/>
          <w:sz w:val="22"/>
        </w:rPr>
        <w:t>除招标文件有强制性规定以及不可竞争部分以外，投标报价由投标人自主确定，但</w:t>
      </w:r>
      <w:r>
        <w:rPr>
          <w:spacing w:val="-3"/>
          <w:sz w:val="22"/>
        </w:rPr>
        <w:t>不得低于其成本。</w:t>
      </w:r>
    </w:p>
    <w:p>
      <w:pPr>
        <w:pStyle w:val="13"/>
        <w:numPr>
          <w:ilvl w:val="1"/>
          <w:numId w:val="84"/>
        </w:numPr>
        <w:tabs>
          <w:tab w:val="left" w:pos="1670"/>
        </w:tabs>
        <w:spacing w:before="0" w:after="0" w:line="364" w:lineRule="auto"/>
        <w:ind w:left="731" w:right="887" w:firstLine="444"/>
        <w:jc w:val="both"/>
        <w:rPr>
          <w:sz w:val="22"/>
        </w:rPr>
      </w:pPr>
      <w:r>
        <w:rPr>
          <w:spacing w:val="-4"/>
          <w:sz w:val="22"/>
        </w:rPr>
        <w:t>工程量清单计价所涉及的生产咨询</w:t>
      </w:r>
      <w:r>
        <w:rPr>
          <w:sz w:val="22"/>
        </w:rPr>
        <w:t>（</w:t>
      </w:r>
      <w:r>
        <w:rPr>
          <w:spacing w:val="-7"/>
          <w:sz w:val="22"/>
        </w:rPr>
        <w:t>包括人工、材料、工程设备、临时设施、临时</w:t>
      </w:r>
      <w:r>
        <w:rPr>
          <w:spacing w:val="-6"/>
          <w:sz w:val="22"/>
        </w:rPr>
        <w:t>用水、临时用电等</w:t>
      </w:r>
      <w:r>
        <w:rPr>
          <w:spacing w:val="-22"/>
          <w:sz w:val="22"/>
        </w:rPr>
        <w:t>）</w:t>
      </w:r>
      <w:r>
        <w:rPr>
          <w:spacing w:val="-7"/>
          <w:sz w:val="22"/>
        </w:rPr>
        <w:t>的投标价格，应根据自身的信息渠道和采购 渠道，分析其市场价格水平</w:t>
      </w:r>
      <w:r>
        <w:rPr>
          <w:spacing w:val="-3"/>
          <w:sz w:val="22"/>
        </w:rPr>
        <w:t>并判断其整个施工周期内的变化趋势，体现投标人自身的管理水平、技术水平和综合实力。</w:t>
      </w:r>
    </w:p>
    <w:p>
      <w:pPr>
        <w:pStyle w:val="13"/>
        <w:numPr>
          <w:ilvl w:val="1"/>
          <w:numId w:val="84"/>
        </w:numPr>
        <w:tabs>
          <w:tab w:val="left" w:pos="1670"/>
        </w:tabs>
        <w:spacing w:before="0" w:after="0" w:line="364" w:lineRule="auto"/>
        <w:ind w:left="731" w:right="890" w:firstLine="444"/>
        <w:jc w:val="both"/>
        <w:rPr>
          <w:sz w:val="22"/>
        </w:rPr>
      </w:pPr>
      <w:r>
        <w:rPr>
          <w:spacing w:val="-6"/>
          <w:sz w:val="22"/>
        </w:rPr>
        <w:t>企业管理费包括城市维护建设税、教育费附加、地方教育费附加及河道管理费等附</w:t>
      </w:r>
      <w:r>
        <w:rPr>
          <w:spacing w:val="-3"/>
          <w:sz w:val="22"/>
        </w:rPr>
        <w:t>加税费。企业管理费应由投标人在保证不低于其成本的基础上做竞争考虑；利润由投标人根据自身情况和综合实力做竞争性考虑。</w:t>
      </w:r>
    </w:p>
    <w:p>
      <w:pPr>
        <w:pStyle w:val="13"/>
        <w:numPr>
          <w:ilvl w:val="1"/>
          <w:numId w:val="84"/>
        </w:numPr>
        <w:tabs>
          <w:tab w:val="left" w:pos="1725"/>
        </w:tabs>
        <w:spacing w:before="0" w:after="0" w:line="281" w:lineRule="exact"/>
        <w:ind w:left="1724" w:right="0" w:hanging="550"/>
        <w:jc w:val="both"/>
        <w:rPr>
          <w:sz w:val="22"/>
        </w:rPr>
      </w:pPr>
      <w:r>
        <w:rPr>
          <w:spacing w:val="-3"/>
          <w:sz w:val="22"/>
        </w:rPr>
        <w:t>分部分项工程项目按下列要求报价：</w:t>
      </w:r>
    </w:p>
    <w:p>
      <w:pPr>
        <w:pStyle w:val="13"/>
        <w:numPr>
          <w:ilvl w:val="2"/>
          <w:numId w:val="84"/>
        </w:numPr>
        <w:tabs>
          <w:tab w:val="left" w:pos="1891"/>
        </w:tabs>
        <w:spacing w:before="140" w:after="0" w:line="240" w:lineRule="auto"/>
        <w:ind w:left="1595" w:leftChars="0" w:right="0" w:hanging="716" w:firstLineChars="0"/>
        <w:jc w:val="both"/>
        <w:rPr>
          <w:sz w:val="22"/>
        </w:rPr>
      </w:pPr>
      <w:r>
        <w:rPr>
          <w:spacing w:val="-3"/>
          <w:sz w:val="22"/>
        </w:rPr>
        <w:t>分部分项工程量清单计价应依据计价规范中关于综合单价的组成内容确定报价。</w:t>
      </w:r>
    </w:p>
    <w:p>
      <w:pPr>
        <w:pStyle w:val="13"/>
        <w:numPr>
          <w:ilvl w:val="2"/>
          <w:numId w:val="84"/>
        </w:numPr>
        <w:tabs>
          <w:tab w:val="left" w:pos="1946"/>
        </w:tabs>
        <w:spacing w:before="148" w:after="0" w:line="364" w:lineRule="auto"/>
        <w:ind w:left="436" w:leftChars="0" w:right="890" w:firstLine="444" w:firstLineChars="0"/>
        <w:jc w:val="both"/>
        <w:rPr>
          <w:sz w:val="22"/>
        </w:rPr>
      </w:pPr>
      <w:r>
        <w:rPr>
          <w:spacing w:val="-9"/>
          <w:sz w:val="22"/>
        </w:rPr>
        <w:t>如果分部分项工程量清单中涉及“材料和工程设备暂估单价表”中列出的材料和</w:t>
      </w:r>
      <w:r>
        <w:rPr>
          <w:spacing w:val="-11"/>
          <w:sz w:val="22"/>
        </w:rPr>
        <w:t xml:space="preserve">工程设备，则按照本节第 </w:t>
      </w:r>
      <w:r>
        <w:rPr>
          <w:sz w:val="22"/>
        </w:rPr>
        <w:t>3.3.2</w:t>
      </w:r>
      <w:r>
        <w:rPr>
          <w:spacing w:val="-8"/>
          <w:sz w:val="22"/>
        </w:rPr>
        <w:t xml:space="preserve"> 项的报价原则，将该类材料和工程设备的暂估单价本身以及</w:t>
      </w:r>
      <w:r>
        <w:rPr>
          <w:spacing w:val="-3"/>
          <w:sz w:val="22"/>
        </w:rPr>
        <w:t>除对应的规费及增值税以外的费用计入分部分项工程量清单相应子目的综合单价。</w:t>
      </w:r>
    </w:p>
    <w:p>
      <w:pPr>
        <w:pStyle w:val="13"/>
        <w:numPr>
          <w:ilvl w:val="2"/>
          <w:numId w:val="84"/>
        </w:numPr>
        <w:tabs>
          <w:tab w:val="left" w:pos="1946"/>
        </w:tabs>
        <w:spacing w:before="0" w:after="0" w:line="364" w:lineRule="auto"/>
        <w:ind w:left="436" w:leftChars="0" w:right="890" w:firstLine="444" w:firstLineChars="0"/>
        <w:jc w:val="both"/>
        <w:rPr>
          <w:sz w:val="22"/>
        </w:rPr>
      </w:pPr>
      <w:r>
        <w:rPr>
          <w:spacing w:val="-5"/>
          <w:sz w:val="22"/>
        </w:rPr>
        <w:t>分部分项工程量清单中涉及发包人提供的材料</w:t>
      </w:r>
      <w:r>
        <w:rPr>
          <w:sz w:val="22"/>
        </w:rPr>
        <w:t>（</w:t>
      </w:r>
      <w:r>
        <w:rPr>
          <w:spacing w:val="-2"/>
          <w:sz w:val="22"/>
        </w:rPr>
        <w:t>设备</w:t>
      </w:r>
      <w:r>
        <w:rPr>
          <w:spacing w:val="-32"/>
          <w:sz w:val="22"/>
        </w:rPr>
        <w:t>）</w:t>
      </w:r>
      <w:r>
        <w:rPr>
          <w:spacing w:val="-6"/>
          <w:sz w:val="22"/>
        </w:rPr>
        <w:t>中列出的材料和设备，其</w:t>
      </w:r>
      <w:r>
        <w:rPr>
          <w:spacing w:val="-3"/>
          <w:sz w:val="22"/>
        </w:rPr>
        <w:t>供应至现场指定位置的采购供应价计入投标报价</w:t>
      </w:r>
      <w:r>
        <w:rPr>
          <w:sz w:val="22"/>
        </w:rPr>
        <w:t>（</w:t>
      </w:r>
      <w:r>
        <w:rPr>
          <w:spacing w:val="-3"/>
          <w:sz w:val="22"/>
        </w:rPr>
        <w:t>可以考虑简易计税方法计税）</w:t>
      </w:r>
      <w:r>
        <w:rPr>
          <w:sz w:val="22"/>
        </w:rPr>
        <w:t>。</w:t>
      </w:r>
    </w:p>
    <w:p>
      <w:pPr>
        <w:pStyle w:val="13"/>
        <w:numPr>
          <w:ilvl w:val="2"/>
          <w:numId w:val="84"/>
        </w:numPr>
        <w:tabs>
          <w:tab w:val="left" w:pos="1837"/>
        </w:tabs>
        <w:spacing w:before="0" w:after="0" w:line="364" w:lineRule="auto"/>
        <w:ind w:left="436" w:leftChars="0" w:right="782" w:firstLine="444" w:firstLineChars="0"/>
        <w:jc w:val="left"/>
        <w:rPr>
          <w:sz w:val="22"/>
        </w:rPr>
      </w:pPr>
      <w:r>
        <w:rPr>
          <w:spacing w:val="-6"/>
          <w:sz w:val="22"/>
        </w:rPr>
        <w:t>“分部分项工程量清单与计价表”所列各子目的综合单价组成中，各子目的人工 、材料和机械台班消耗量由投标人按照其自身情况做充分的、竞争性考虑。材料消耗量包括损耗量。主要分部分项项目</w:t>
      </w:r>
      <w:r>
        <w:rPr>
          <w:sz w:val="22"/>
        </w:rPr>
        <w:t>（</w:t>
      </w:r>
      <w:r>
        <w:rPr>
          <w:spacing w:val="-3"/>
          <w:sz w:val="22"/>
        </w:rPr>
        <w:t>工程量清单中勾选的项目</w:t>
      </w:r>
      <w:r>
        <w:rPr>
          <w:sz w:val="22"/>
        </w:rPr>
        <w:t>）</w:t>
      </w:r>
      <w:r>
        <w:rPr>
          <w:spacing w:val="-1"/>
          <w:sz w:val="22"/>
        </w:rPr>
        <w:t>，投标报价中必须给出详细的综合</w:t>
      </w:r>
      <w:r>
        <w:rPr>
          <w:spacing w:val="-3"/>
          <w:sz w:val="22"/>
        </w:rPr>
        <w:t>单价组价分析，且组价内容必须包含完整的项目工作内容。</w:t>
      </w:r>
    </w:p>
    <w:p>
      <w:pPr>
        <w:pStyle w:val="13"/>
        <w:numPr>
          <w:ilvl w:val="2"/>
          <w:numId w:val="84"/>
        </w:numPr>
        <w:tabs>
          <w:tab w:val="left" w:pos="1946"/>
        </w:tabs>
        <w:spacing w:before="0" w:after="0" w:line="364" w:lineRule="auto"/>
        <w:ind w:left="436" w:leftChars="0" w:right="890" w:firstLine="444" w:firstLineChars="0"/>
        <w:jc w:val="both"/>
        <w:rPr>
          <w:sz w:val="22"/>
        </w:rPr>
      </w:pPr>
      <w:r>
        <w:rPr>
          <w:spacing w:val="-9"/>
          <w:sz w:val="22"/>
        </w:rPr>
        <w:t>投标人在投标文件中提交的“主要材料和工程设备选用表”中所列的材料和工程</w:t>
      </w:r>
      <w:r>
        <w:rPr>
          <w:spacing w:val="-3"/>
          <w:sz w:val="22"/>
        </w:rPr>
        <w:t>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pStyle w:val="13"/>
        <w:numPr>
          <w:ilvl w:val="1"/>
          <w:numId w:val="84"/>
        </w:numPr>
        <w:tabs>
          <w:tab w:val="left" w:pos="1725"/>
        </w:tabs>
        <w:spacing w:before="0" w:after="0" w:line="278" w:lineRule="exact"/>
        <w:ind w:left="1724" w:right="0" w:hanging="550"/>
        <w:jc w:val="both"/>
        <w:rPr>
          <w:sz w:val="22"/>
        </w:rPr>
      </w:pPr>
      <w:r>
        <w:rPr>
          <w:spacing w:val="-3"/>
          <w:sz w:val="22"/>
        </w:rPr>
        <w:t>措施项目按下列要求报价：</w:t>
      </w:r>
    </w:p>
    <w:p>
      <w:pPr>
        <w:spacing w:after="0" w:line="278" w:lineRule="exact"/>
        <w:jc w:val="both"/>
        <w:rPr>
          <w:sz w:val="22"/>
        </w:rPr>
        <w:sectPr>
          <w:pgSz w:w="11910" w:h="16840"/>
          <w:pgMar w:top="1100" w:right="660" w:bottom="1200" w:left="800" w:header="878" w:footer="1003" w:gutter="0"/>
          <w:cols w:space="720" w:num="1"/>
        </w:sectPr>
      </w:pPr>
    </w:p>
    <w:p>
      <w:pPr>
        <w:pStyle w:val="9"/>
        <w:spacing w:before="1"/>
        <w:rPr>
          <w:sz w:val="18"/>
        </w:rPr>
      </w:pPr>
    </w:p>
    <w:p>
      <w:pPr>
        <w:pStyle w:val="13"/>
        <w:numPr>
          <w:ilvl w:val="2"/>
          <w:numId w:val="84"/>
        </w:numPr>
        <w:tabs>
          <w:tab w:val="left" w:pos="1891"/>
        </w:tabs>
        <w:spacing w:before="70" w:after="0" w:line="364" w:lineRule="auto"/>
        <w:ind w:left="436" w:leftChars="0" w:right="890" w:firstLine="444" w:firstLineChars="0"/>
        <w:jc w:val="both"/>
        <w:rPr>
          <w:sz w:val="22"/>
        </w:rPr>
      </w:pPr>
      <w:r>
        <w:rPr>
          <w:spacing w:val="-6"/>
          <w:sz w:val="22"/>
        </w:rPr>
        <w:t>措施项目清单主要是指发生于施工准备和施工过程中的技术、生活、安全、环境</w:t>
      </w:r>
      <w:r>
        <w:rPr>
          <w:spacing w:val="-3"/>
          <w:sz w:val="22"/>
        </w:rPr>
        <w:t>保护等方面的非工程实体的项目。投标单位应在对招标文件分析研究的基础上，根据施工图纸、施工现场条件、施工组织设计和有关施工现场管理的法律法规、标准规范来确定报价， 以便让招标单位对整个项目以及各种可能影响单价的因素有一个全面的考虑。</w:t>
      </w:r>
    </w:p>
    <w:p>
      <w:pPr>
        <w:pStyle w:val="13"/>
        <w:numPr>
          <w:ilvl w:val="2"/>
          <w:numId w:val="84"/>
        </w:numPr>
        <w:tabs>
          <w:tab w:val="left" w:pos="1896"/>
        </w:tabs>
        <w:spacing w:before="0" w:after="0" w:line="364" w:lineRule="auto"/>
        <w:ind w:left="436" w:leftChars="0" w:right="779" w:firstLine="444" w:firstLineChars="0"/>
        <w:jc w:val="left"/>
        <w:rPr>
          <w:sz w:val="22"/>
        </w:rPr>
      </w:pPr>
      <w:r>
        <w:rPr>
          <w:sz w:val="22"/>
        </w:rPr>
        <w:t>除本招标文件或合同另有约定外，措施项目清单中的各项内容为一项固定的费</w:t>
      </w:r>
      <w:r>
        <w:rPr>
          <w:spacing w:val="-3"/>
          <w:sz w:val="22"/>
        </w:rPr>
        <w:t>用。投标单位可以根据自身企业实力、经营管理水平、技术水平，结合本项目的特点、现场情况、招标文件提出的各项要求等结合招标单位发出的措施项目清单可增加其措施项目，自</w:t>
      </w:r>
      <w:r>
        <w:rPr>
          <w:spacing w:val="-11"/>
          <w:sz w:val="22"/>
        </w:rPr>
        <w:t xml:space="preserve">行投报所需计取的费用，一经中标，该费用视作已包含中标单位完成项目所需的全部措施费， </w:t>
      </w:r>
      <w:r>
        <w:rPr>
          <w:spacing w:val="-5"/>
          <w:sz w:val="22"/>
        </w:rPr>
        <w:t>不论实际情况与总承包单位的估计有多大出入，亦不论设计变更与是否包干使用不作调整。</w:t>
      </w:r>
    </w:p>
    <w:p>
      <w:pPr>
        <w:pStyle w:val="13"/>
        <w:numPr>
          <w:ilvl w:val="2"/>
          <w:numId w:val="84"/>
        </w:numPr>
        <w:tabs>
          <w:tab w:val="left" w:pos="1891"/>
        </w:tabs>
        <w:spacing w:before="0" w:after="0" w:line="364" w:lineRule="auto"/>
        <w:ind w:left="436" w:leftChars="0" w:right="892" w:firstLine="444" w:firstLineChars="0"/>
        <w:jc w:val="left"/>
        <w:rPr>
          <w:sz w:val="22"/>
        </w:rPr>
      </w:pPr>
      <w:r>
        <w:rPr>
          <w:spacing w:val="-5"/>
          <w:sz w:val="22"/>
        </w:rPr>
        <w:t>中标单位应为自身现场施工提供合理的现场临时办公用房及空调、照明、电力等</w:t>
      </w:r>
      <w:r>
        <w:rPr>
          <w:spacing w:val="-3"/>
          <w:sz w:val="22"/>
        </w:rPr>
        <w:t>基本设施，由此发生的费用已包含在措施项目清单内，闭口包干。</w:t>
      </w:r>
    </w:p>
    <w:p>
      <w:pPr>
        <w:pStyle w:val="13"/>
        <w:numPr>
          <w:ilvl w:val="2"/>
          <w:numId w:val="84"/>
        </w:numPr>
        <w:tabs>
          <w:tab w:val="left" w:pos="1891"/>
        </w:tabs>
        <w:spacing w:before="0" w:after="0" w:line="364" w:lineRule="auto"/>
        <w:ind w:left="436" w:leftChars="0" w:right="890" w:firstLine="444" w:firstLineChars="0"/>
        <w:jc w:val="both"/>
        <w:rPr>
          <w:sz w:val="22"/>
        </w:rPr>
      </w:pPr>
      <w:r>
        <w:rPr>
          <w:spacing w:val="-6"/>
          <w:sz w:val="22"/>
        </w:rPr>
        <w:t>本工程业主除红线范围内，不再提供任何施工用地，各投标单位必须自行安排施</w:t>
      </w:r>
      <w:r>
        <w:rPr>
          <w:spacing w:val="-3"/>
          <w:sz w:val="22"/>
        </w:rPr>
        <w:t>工材料的临时堆放、材料加工、仓库、食宿等施工及生活用地。中标人应在适当的区域内按品牌驻地搭建大临设施、办公用房，其费用包括临时场地租借费用包含在措施费用中，包干使用。如果临时设施考虑搭建在工程基地红线范围内，必须符合上海市有关规定，且中标单位进场搭设上述设施时必须要事先获得招标单位的批准同意，便于统一管理，因为管理不善引起政府职能部门罚款和停工整改，其相应发生的费用与损失由中标单位自行承担。</w:t>
      </w:r>
    </w:p>
    <w:p>
      <w:pPr>
        <w:pStyle w:val="13"/>
        <w:numPr>
          <w:ilvl w:val="2"/>
          <w:numId w:val="84"/>
        </w:numPr>
        <w:tabs>
          <w:tab w:val="left" w:pos="1891"/>
        </w:tabs>
        <w:spacing w:before="0" w:after="0" w:line="364" w:lineRule="auto"/>
        <w:ind w:left="436" w:leftChars="0" w:right="890" w:firstLine="444" w:firstLineChars="0"/>
        <w:jc w:val="both"/>
        <w:rPr>
          <w:sz w:val="22"/>
        </w:rPr>
      </w:pPr>
      <w:r>
        <w:rPr>
          <w:spacing w:val="-6"/>
          <w:sz w:val="22"/>
        </w:rPr>
        <w:t>措施费项目清单中未开列的，但投标单位任务确需发生的措施费用，则此费用计</w:t>
      </w:r>
      <w:r>
        <w:rPr>
          <w:spacing w:val="-3"/>
          <w:sz w:val="22"/>
        </w:rPr>
        <w:t>入措施项目清单内的“其他”。投标单位由于考虑不足而要求追加措施费用报价，招标单位将不予接受。</w:t>
      </w:r>
    </w:p>
    <w:p>
      <w:pPr>
        <w:pStyle w:val="13"/>
        <w:numPr>
          <w:ilvl w:val="2"/>
          <w:numId w:val="84"/>
        </w:numPr>
        <w:tabs>
          <w:tab w:val="left" w:pos="1891"/>
        </w:tabs>
        <w:spacing w:before="0" w:after="0" w:line="364" w:lineRule="auto"/>
        <w:ind w:left="436" w:leftChars="0" w:right="890" w:firstLine="444" w:firstLineChars="0"/>
        <w:jc w:val="both"/>
        <w:rPr>
          <w:sz w:val="22"/>
        </w:rPr>
      </w:pPr>
      <w:r>
        <w:rPr>
          <w:spacing w:val="-5"/>
          <w:sz w:val="22"/>
        </w:rPr>
        <w:t>措施项目清单计价应根据投标人的施工组织设计进行报价。可以计量工程量的措</w:t>
      </w:r>
      <w:r>
        <w:rPr>
          <w:spacing w:val="-3"/>
          <w:sz w:val="22"/>
        </w:rPr>
        <w:t>施项目，应按分部分项工程量清单的方式采用综合单价计价；其余的措施项目可以“项”为单位的方式计价。</w:t>
      </w:r>
    </w:p>
    <w:p>
      <w:pPr>
        <w:pStyle w:val="13"/>
        <w:numPr>
          <w:ilvl w:val="2"/>
          <w:numId w:val="84"/>
        </w:numPr>
        <w:tabs>
          <w:tab w:val="left" w:pos="1891"/>
        </w:tabs>
        <w:spacing w:before="0" w:after="0" w:line="364" w:lineRule="auto"/>
        <w:ind w:left="436" w:leftChars="0" w:right="779" w:firstLine="444" w:firstLineChars="0"/>
        <w:jc w:val="left"/>
        <w:rPr>
          <w:color w:val="auto"/>
          <w:spacing w:val="-6"/>
          <w:sz w:val="22"/>
        </w:rPr>
      </w:pPr>
      <w:r>
        <w:rPr>
          <w:color w:val="auto"/>
          <w:spacing w:val="-6"/>
          <w:sz w:val="22"/>
        </w:rPr>
        <w:t>措施项目清单中的安全防护、文明施工措施费应进行费用明细报价，其</w:t>
      </w:r>
      <w:r>
        <w:rPr>
          <w:rFonts w:hint="eastAsia"/>
          <w:color w:val="auto"/>
          <w:spacing w:val="-6"/>
          <w:sz w:val="22"/>
        </w:rPr>
        <w:t>符合规定类别、费率执行，不得擅自修改，一经发现作废标处理。</w:t>
      </w:r>
    </w:p>
    <w:p>
      <w:pPr>
        <w:pStyle w:val="13"/>
        <w:numPr>
          <w:ilvl w:val="2"/>
          <w:numId w:val="84"/>
        </w:numPr>
        <w:tabs>
          <w:tab w:val="left" w:pos="1948"/>
        </w:tabs>
        <w:spacing w:before="0" w:after="0" w:line="364" w:lineRule="auto"/>
        <w:ind w:left="496" w:leftChars="0" w:right="890" w:firstLine="441" w:firstLineChars="0"/>
        <w:jc w:val="both"/>
        <w:rPr>
          <w:sz w:val="22"/>
        </w:rPr>
      </w:pPr>
      <w:r>
        <w:rPr>
          <w:spacing w:val="-7"/>
          <w:sz w:val="22"/>
        </w:rPr>
        <w:t>招标人提供的措施项目清单中所列项目仅指一般的通用项目，投标人在报价时应充分、全面地阅读和理解招标文件的相关内容和约定，包括第七章“技术标准和要求”的相关约定，详实了解工程场地及其周围环境，充分考虑招标工程特点及拟定的施工方案和施工组织设计，对招标人给出的措施项目清单的内容进行细化或增减。重要措施项目报价应与施</w:t>
      </w:r>
      <w:r>
        <w:rPr>
          <w:spacing w:val="-3"/>
          <w:sz w:val="22"/>
        </w:rPr>
        <w:t>工组织设计相符，并开列措施项目费用的明细清单；</w:t>
      </w:r>
    </w:p>
    <w:p>
      <w:pPr>
        <w:pStyle w:val="13"/>
        <w:numPr>
          <w:ilvl w:val="2"/>
          <w:numId w:val="84"/>
        </w:numPr>
        <w:tabs>
          <w:tab w:val="left" w:pos="1837"/>
        </w:tabs>
        <w:spacing w:before="0" w:after="0" w:line="280" w:lineRule="exact"/>
        <w:ind w:left="1541" w:leftChars="0" w:right="0" w:hanging="662" w:firstLineChars="0"/>
        <w:jc w:val="left"/>
        <w:rPr>
          <w:sz w:val="22"/>
        </w:rPr>
      </w:pPr>
      <w:r>
        <w:rPr>
          <w:spacing w:val="-3"/>
          <w:sz w:val="22"/>
        </w:rPr>
        <w:t>“措施项目清单与计价表”中所填写的报价金额，应全面涵盖招标文件约定的投</w:t>
      </w:r>
    </w:p>
    <w:p>
      <w:pPr>
        <w:spacing w:after="0" w:line="280" w:lineRule="exact"/>
        <w:jc w:val="left"/>
        <w:rPr>
          <w:sz w:val="22"/>
        </w:rPr>
        <w:sectPr>
          <w:pgSz w:w="11910" w:h="16840"/>
          <w:pgMar w:top="1100" w:right="660" w:bottom="1200" w:left="800" w:header="878" w:footer="1003" w:gutter="0"/>
          <w:cols w:space="720" w:num="1"/>
        </w:sectPr>
      </w:pPr>
    </w:p>
    <w:p>
      <w:pPr>
        <w:pStyle w:val="9"/>
        <w:spacing w:before="1"/>
        <w:rPr>
          <w:sz w:val="18"/>
        </w:rPr>
      </w:pPr>
    </w:p>
    <w:p>
      <w:pPr>
        <w:pStyle w:val="9"/>
        <w:spacing w:before="70"/>
        <w:ind w:left="731"/>
      </w:pPr>
      <w:r>
        <w:t>标人中标后施工、竣工、交付本工程并维修其任何缺陷所需要履行的责任和义务的全部费用。</w:t>
      </w:r>
    </w:p>
    <w:p>
      <w:pPr>
        <w:pStyle w:val="13"/>
        <w:numPr>
          <w:ilvl w:val="2"/>
          <w:numId w:val="84"/>
        </w:numPr>
        <w:tabs>
          <w:tab w:val="left" w:pos="2001"/>
        </w:tabs>
        <w:spacing w:before="145" w:after="0" w:line="364" w:lineRule="auto"/>
        <w:ind w:left="436" w:leftChars="0" w:right="890" w:firstLine="444" w:firstLineChars="0"/>
        <w:jc w:val="both"/>
        <w:rPr>
          <w:sz w:val="22"/>
        </w:rPr>
      </w:pPr>
      <w:r>
        <w:rPr>
          <w:sz w:val="22"/>
        </w:rPr>
        <w:t>对于“措施项目清单与计价表”中所填写的报价金额，应按照“措施项目清单</w:t>
      </w:r>
      <w:r>
        <w:rPr>
          <w:spacing w:val="-3"/>
          <w:sz w:val="22"/>
        </w:rPr>
        <w:t>报价分析表”对措施项目报价的组成进行详细的列项和分析。</w:t>
      </w:r>
    </w:p>
    <w:p>
      <w:pPr>
        <w:pStyle w:val="13"/>
        <w:numPr>
          <w:ilvl w:val="1"/>
          <w:numId w:val="84"/>
        </w:numPr>
        <w:tabs>
          <w:tab w:val="left" w:pos="1670"/>
        </w:tabs>
        <w:spacing w:before="0" w:after="0" w:line="279" w:lineRule="exact"/>
        <w:ind w:left="1669" w:right="0" w:hanging="495"/>
        <w:jc w:val="both"/>
        <w:rPr>
          <w:sz w:val="22"/>
        </w:rPr>
      </w:pPr>
      <w:r>
        <w:rPr>
          <w:spacing w:val="-3"/>
          <w:sz w:val="22"/>
        </w:rPr>
        <w:t>其他项目清单费应按下列规定报价：</w:t>
      </w:r>
    </w:p>
    <w:p>
      <w:pPr>
        <w:pStyle w:val="13"/>
        <w:numPr>
          <w:ilvl w:val="2"/>
          <w:numId w:val="84"/>
        </w:numPr>
        <w:tabs>
          <w:tab w:val="left" w:pos="2001"/>
        </w:tabs>
        <w:spacing w:before="148" w:after="0" w:line="364" w:lineRule="auto"/>
        <w:ind w:left="436" w:leftChars="0" w:right="892" w:firstLine="554" w:firstLineChars="0"/>
        <w:jc w:val="both"/>
        <w:rPr>
          <w:sz w:val="22"/>
        </w:rPr>
      </w:pPr>
      <w:r>
        <w:rPr>
          <w:sz w:val="22"/>
        </w:rPr>
        <w:t>暂列金额按“暂列金额明细表”中列出的金额报价，此处的暂列金额是招标人</w:t>
      </w:r>
      <w:r>
        <w:rPr>
          <w:spacing w:val="-3"/>
          <w:sz w:val="22"/>
        </w:rPr>
        <w:t>在招标文件中统一给定的。</w:t>
      </w:r>
    </w:p>
    <w:p>
      <w:pPr>
        <w:pStyle w:val="13"/>
        <w:numPr>
          <w:ilvl w:val="2"/>
          <w:numId w:val="84"/>
        </w:numPr>
        <w:tabs>
          <w:tab w:val="left" w:pos="1891"/>
        </w:tabs>
        <w:spacing w:before="0" w:after="0" w:line="364" w:lineRule="auto"/>
        <w:ind w:left="436" w:leftChars="0" w:right="890" w:firstLine="444" w:firstLineChars="0"/>
        <w:jc w:val="both"/>
        <w:rPr>
          <w:sz w:val="22"/>
        </w:rPr>
      </w:pPr>
      <w:r>
        <w:rPr>
          <w:spacing w:val="-5"/>
          <w:sz w:val="22"/>
        </w:rPr>
        <w:t>暂估价分为材料和工程设备暂估单价和专业工程暂估价两类。其中的材料和工程</w:t>
      </w:r>
      <w:r>
        <w:rPr>
          <w:spacing w:val="-10"/>
          <w:sz w:val="22"/>
        </w:rPr>
        <w:t xml:space="preserve">设备暂估单价按本节第 </w:t>
      </w:r>
      <w:r>
        <w:rPr>
          <w:sz w:val="22"/>
        </w:rPr>
        <w:t>4.3.2</w:t>
      </w:r>
      <w:r>
        <w:rPr>
          <w:spacing w:val="-8"/>
          <w:sz w:val="22"/>
        </w:rPr>
        <w:t xml:space="preserve"> 项的报价原则进入分部分项工程量清单之综合单价，不在其他</w:t>
      </w:r>
      <w:r>
        <w:rPr>
          <w:spacing w:val="-14"/>
          <w:sz w:val="22"/>
        </w:rPr>
        <w:t xml:space="preserve">项目清单中汇总；专业工程暂估价直接按“专业工程暂估价表”中列出的金额和本节第 </w:t>
      </w:r>
      <w:r>
        <w:rPr>
          <w:sz w:val="22"/>
        </w:rPr>
        <w:t xml:space="preserve">4.3.3 </w:t>
      </w:r>
      <w:r>
        <w:rPr>
          <w:spacing w:val="-3"/>
          <w:sz w:val="22"/>
        </w:rPr>
        <w:t>项的报价原则计入其他项目清单报价。</w:t>
      </w:r>
    </w:p>
    <w:p>
      <w:pPr>
        <w:pStyle w:val="13"/>
        <w:numPr>
          <w:ilvl w:val="2"/>
          <w:numId w:val="84"/>
        </w:numPr>
        <w:tabs>
          <w:tab w:val="left" w:pos="1891"/>
        </w:tabs>
        <w:spacing w:before="0" w:after="0" w:line="364" w:lineRule="auto"/>
        <w:ind w:left="436" w:leftChars="0" w:right="890" w:firstLine="444" w:firstLineChars="0"/>
        <w:jc w:val="both"/>
        <w:rPr>
          <w:sz w:val="22"/>
        </w:rPr>
      </w:pPr>
      <w:r>
        <w:rPr>
          <w:spacing w:val="-7"/>
          <w:sz w:val="22"/>
        </w:rPr>
        <w:t>计日工按“计日工表”中列出的子目和估算数量，自主确定综合单价并计算计日</w:t>
      </w:r>
      <w:r>
        <w:rPr>
          <w:spacing w:val="-3"/>
          <w:sz w:val="22"/>
        </w:rPr>
        <w:t>工金额。计日工综合单价均不包括规费和增值税，其中：</w:t>
      </w:r>
    </w:p>
    <w:p>
      <w:pPr>
        <w:pStyle w:val="13"/>
        <w:numPr>
          <w:ilvl w:val="0"/>
          <w:numId w:val="86"/>
        </w:numPr>
        <w:tabs>
          <w:tab w:val="left" w:pos="1615"/>
        </w:tabs>
        <w:spacing w:before="0" w:after="0" w:line="364" w:lineRule="auto"/>
        <w:ind w:left="731" w:right="779" w:firstLine="444"/>
        <w:jc w:val="left"/>
        <w:rPr>
          <w:sz w:val="22"/>
        </w:rPr>
      </w:pPr>
      <w:r>
        <w:rPr>
          <w:spacing w:val="-3"/>
          <w:sz w:val="22"/>
        </w:rPr>
        <w:t>劳务单价应当包括工人工资、交通费用、各种补贴、劳动安全保护、个人应缴纳的</w:t>
      </w:r>
      <w:r>
        <w:rPr>
          <w:spacing w:val="-10"/>
          <w:sz w:val="22"/>
        </w:rPr>
        <w:t>社保费用、手提手动和电动工器具、施工场地内已经搭设的脚手架、水电和低值易耗品费用、</w:t>
      </w:r>
      <w:r>
        <w:rPr>
          <w:spacing w:val="-4"/>
          <w:sz w:val="22"/>
        </w:rPr>
        <w:t>现场管理费用、企业管理费和利润；</w:t>
      </w:r>
    </w:p>
    <w:p>
      <w:pPr>
        <w:pStyle w:val="13"/>
        <w:numPr>
          <w:ilvl w:val="0"/>
          <w:numId w:val="86"/>
        </w:numPr>
        <w:tabs>
          <w:tab w:val="left" w:pos="1508"/>
        </w:tabs>
        <w:spacing w:before="0" w:after="0" w:line="364" w:lineRule="auto"/>
        <w:ind w:left="731" w:right="890" w:firstLine="444"/>
        <w:jc w:val="left"/>
        <w:rPr>
          <w:sz w:val="22"/>
        </w:rPr>
      </w:pPr>
      <w:r>
        <w:rPr>
          <w:spacing w:val="-8"/>
          <w:sz w:val="22"/>
        </w:rPr>
        <w:t>材料价格包括材料运到现场的价格以及现场搬运、仓储、二次搬运、损耗、保险、企</w:t>
      </w:r>
      <w:r>
        <w:rPr>
          <w:spacing w:val="-3"/>
          <w:sz w:val="22"/>
        </w:rPr>
        <w:t>业管理费和利润；</w:t>
      </w:r>
    </w:p>
    <w:p>
      <w:pPr>
        <w:pStyle w:val="13"/>
        <w:numPr>
          <w:ilvl w:val="0"/>
          <w:numId w:val="86"/>
        </w:numPr>
        <w:tabs>
          <w:tab w:val="left" w:pos="1615"/>
        </w:tabs>
        <w:spacing w:before="0" w:after="0" w:line="364" w:lineRule="auto"/>
        <w:ind w:left="731" w:right="779" w:firstLine="444"/>
        <w:jc w:val="left"/>
        <w:rPr>
          <w:sz w:val="22"/>
        </w:rPr>
      </w:pPr>
      <w:r>
        <w:rPr>
          <w:spacing w:val="-3"/>
          <w:sz w:val="22"/>
        </w:rPr>
        <w:t>施工机械限于在施工场地(现场)的机械设备，其价格包括租赁或折旧、维修、维护</w:t>
      </w:r>
      <w:r>
        <w:rPr>
          <w:spacing w:val="-8"/>
          <w:sz w:val="22"/>
        </w:rPr>
        <w:t>和燃油等消耗品以及操作人员费用，包括承包人企业管理费和利润，但不包括规费和增值税。</w:t>
      </w:r>
      <w:r>
        <w:rPr>
          <w:spacing w:val="-3"/>
          <w:sz w:val="22"/>
        </w:rPr>
        <w:t>辅助人员按劳务价格另计。</w:t>
      </w:r>
    </w:p>
    <w:p>
      <w:pPr>
        <w:pStyle w:val="13"/>
        <w:numPr>
          <w:ilvl w:val="2"/>
          <w:numId w:val="84"/>
        </w:numPr>
        <w:tabs>
          <w:tab w:val="left" w:pos="1946"/>
        </w:tabs>
        <w:spacing w:before="0" w:after="0" w:line="364" w:lineRule="auto"/>
        <w:ind w:left="436" w:leftChars="0" w:right="890" w:firstLine="444" w:firstLineChars="0"/>
        <w:jc w:val="left"/>
        <w:rPr>
          <w:sz w:val="22"/>
        </w:rPr>
      </w:pPr>
      <w:r>
        <w:rPr>
          <w:spacing w:val="-8"/>
          <w:sz w:val="22"/>
        </w:rPr>
        <w:t>总承包服务费根据招标文件中列出的内容和要求，按“总承包服务费计价表”所</w:t>
      </w:r>
      <w:r>
        <w:rPr>
          <w:spacing w:val="-3"/>
          <w:sz w:val="22"/>
        </w:rPr>
        <w:t>列格式自主报价。</w:t>
      </w:r>
    </w:p>
    <w:p>
      <w:pPr>
        <w:pStyle w:val="13"/>
        <w:numPr>
          <w:ilvl w:val="1"/>
          <w:numId w:val="84"/>
        </w:numPr>
        <w:tabs>
          <w:tab w:val="left" w:pos="1670"/>
        </w:tabs>
        <w:spacing w:before="0" w:after="0" w:line="240" w:lineRule="auto"/>
        <w:ind w:left="1669" w:right="0" w:hanging="495"/>
        <w:jc w:val="left"/>
        <w:rPr>
          <w:sz w:val="22"/>
        </w:rPr>
      </w:pPr>
      <w:r>
        <w:rPr>
          <w:sz w:val="22"/>
        </w:rPr>
        <w:t>规费</w:t>
      </w:r>
      <w:r>
        <w:rPr>
          <w:rFonts w:hint="eastAsia"/>
          <w:sz w:val="22"/>
        </w:rPr>
        <w:t>；按青岛建管文件执行。</w:t>
      </w:r>
    </w:p>
    <w:p>
      <w:pPr>
        <w:pStyle w:val="9"/>
        <w:spacing w:before="1"/>
        <w:rPr>
          <w:sz w:val="18"/>
        </w:rPr>
      </w:pPr>
    </w:p>
    <w:p>
      <w:pPr>
        <w:pStyle w:val="13"/>
        <w:numPr>
          <w:ilvl w:val="1"/>
          <w:numId w:val="84"/>
        </w:numPr>
        <w:tabs>
          <w:tab w:val="left" w:pos="1836"/>
        </w:tabs>
        <w:spacing w:before="70" w:after="0" w:line="240" w:lineRule="auto"/>
        <w:ind w:left="1835" w:right="0" w:hanging="661"/>
        <w:jc w:val="both"/>
        <w:rPr>
          <w:sz w:val="22"/>
        </w:rPr>
      </w:pPr>
      <w:r>
        <w:rPr>
          <w:spacing w:val="-2"/>
          <w:sz w:val="22"/>
        </w:rPr>
        <w:t>增值税</w:t>
      </w:r>
    </w:p>
    <w:p>
      <w:pPr>
        <w:pStyle w:val="13"/>
        <w:numPr>
          <w:ilvl w:val="2"/>
          <w:numId w:val="84"/>
        </w:numPr>
        <w:tabs>
          <w:tab w:val="left" w:pos="1946"/>
        </w:tabs>
        <w:spacing w:before="145" w:after="0" w:line="364" w:lineRule="auto"/>
        <w:ind w:left="436" w:leftChars="0" w:right="890" w:firstLine="444" w:firstLineChars="0"/>
        <w:jc w:val="both"/>
        <w:rPr>
          <w:sz w:val="22"/>
        </w:rPr>
      </w:pPr>
      <w:r>
        <w:rPr>
          <w:spacing w:val="-8"/>
          <w:sz w:val="22"/>
        </w:rPr>
        <w:t>国家税法规定的应计入建设工程造价内的增值税，即为当期销项税额。当期销项</w:t>
      </w:r>
      <w:r>
        <w:rPr>
          <w:spacing w:val="-6"/>
          <w:sz w:val="22"/>
        </w:rPr>
        <w:t xml:space="preserve">税额=税前工程造价×增值税税率。增值税税率为 </w:t>
      </w:r>
      <w:r>
        <w:rPr>
          <w:sz w:val="22"/>
        </w:rPr>
        <w:t>9%。</w:t>
      </w:r>
    </w:p>
    <w:p>
      <w:pPr>
        <w:pStyle w:val="13"/>
        <w:numPr>
          <w:ilvl w:val="2"/>
          <w:numId w:val="84"/>
        </w:numPr>
        <w:tabs>
          <w:tab w:val="left" w:pos="1946"/>
        </w:tabs>
        <w:spacing w:before="0" w:after="0" w:line="364" w:lineRule="auto"/>
        <w:ind w:left="436" w:leftChars="0" w:right="800" w:firstLine="444" w:firstLineChars="0"/>
        <w:jc w:val="both"/>
        <w:rPr>
          <w:sz w:val="22"/>
        </w:rPr>
      </w:pPr>
      <w:r>
        <w:rPr>
          <w:spacing w:val="-3"/>
          <w:sz w:val="22"/>
        </w:rPr>
        <w:t>税前工程造价为人工费、材料费、工程设备费和施工机具使用费、企业管理费、利润和规费之和，各费用项目均以不包含增值税可抵扣进项税额的价格计算。</w:t>
      </w:r>
    </w:p>
    <w:p>
      <w:pPr>
        <w:pStyle w:val="13"/>
        <w:numPr>
          <w:ilvl w:val="1"/>
          <w:numId w:val="84"/>
        </w:numPr>
        <w:tabs>
          <w:tab w:val="left" w:pos="1629"/>
        </w:tabs>
        <w:spacing w:before="0" w:after="0" w:line="364" w:lineRule="auto"/>
        <w:ind w:left="731" w:right="892" w:firstLine="424"/>
        <w:jc w:val="both"/>
        <w:rPr>
          <w:sz w:val="21"/>
        </w:rPr>
      </w:pPr>
      <w:r>
        <w:rPr>
          <w:sz w:val="21"/>
        </w:rPr>
        <w:t>工程量清单计价所涉及的生产资源(包括各类人工、材料、工程设备、施工设备、临时</w:t>
      </w:r>
      <w:r>
        <w:rPr>
          <w:spacing w:val="-10"/>
          <w:w w:val="95"/>
          <w:sz w:val="21"/>
        </w:rPr>
        <w:t>设施、临时用水、临时用电等)的投标价格，应根据自身的信息渠道和采购渠道，分析其市场价格   水平并判断其整个施工周期内的变化趋势，体现投标人自身的管理水平、技术水平和综合实力。</w:t>
      </w:r>
    </w:p>
    <w:p>
      <w:pPr>
        <w:pStyle w:val="13"/>
        <w:numPr>
          <w:ilvl w:val="1"/>
          <w:numId w:val="84"/>
        </w:numPr>
        <w:tabs>
          <w:tab w:val="left" w:pos="1624"/>
        </w:tabs>
        <w:spacing w:before="0" w:after="0" w:line="364" w:lineRule="auto"/>
        <w:ind w:left="731" w:right="892" w:firstLine="420"/>
        <w:jc w:val="both"/>
        <w:rPr>
          <w:sz w:val="21"/>
        </w:rPr>
      </w:pPr>
      <w:r>
        <w:rPr>
          <w:spacing w:val="-4"/>
          <w:w w:val="95"/>
          <w:sz w:val="21"/>
        </w:rPr>
        <w:t xml:space="preserve">企业管理费包括城市维护建设税、教育费附加、地方教育费附加及河道管理费等附加税   费。企业管理费应由投标人在保证不低于其成本的基础上做竞争性考虑；利润由投标人根据自身   </w:t>
      </w:r>
      <w:r>
        <w:rPr>
          <w:spacing w:val="-4"/>
          <w:sz w:val="21"/>
        </w:rPr>
        <w:t>情况和综合实力做竞争性考虑。</w:t>
      </w:r>
    </w:p>
    <w:p>
      <w:pPr>
        <w:pStyle w:val="13"/>
        <w:numPr>
          <w:ilvl w:val="1"/>
          <w:numId w:val="84"/>
        </w:numPr>
        <w:tabs>
          <w:tab w:val="left" w:pos="1627"/>
        </w:tabs>
        <w:spacing w:before="0" w:after="0" w:line="364" w:lineRule="auto"/>
        <w:ind w:left="731" w:right="892" w:firstLine="424"/>
        <w:jc w:val="both"/>
        <w:rPr>
          <w:sz w:val="21"/>
        </w:rPr>
      </w:pPr>
      <w:r>
        <w:rPr>
          <w:spacing w:val="-2"/>
          <w:w w:val="95"/>
          <w:sz w:val="21"/>
        </w:rPr>
        <w:t xml:space="preserve">投标人在投标报价中应考虑招标文件中要求投标人承担的风险范围以及相关的费用。投  </w:t>
      </w:r>
      <w:r>
        <w:rPr>
          <w:spacing w:val="-2"/>
          <w:sz w:val="21"/>
        </w:rPr>
        <w:t>标总价除暂列金额、暂估价外均应按规自主确定报价，但不得低于其成本。</w:t>
      </w:r>
    </w:p>
    <w:p>
      <w:pPr>
        <w:pStyle w:val="13"/>
        <w:numPr>
          <w:ilvl w:val="1"/>
          <w:numId w:val="84"/>
        </w:numPr>
        <w:tabs>
          <w:tab w:val="left" w:pos="1627"/>
        </w:tabs>
        <w:spacing w:before="0" w:after="0" w:line="367" w:lineRule="auto"/>
        <w:ind w:left="731" w:right="892" w:firstLine="424"/>
        <w:jc w:val="both"/>
        <w:rPr>
          <w:sz w:val="21"/>
        </w:rPr>
      </w:pPr>
      <w:r>
        <w:rPr>
          <w:spacing w:val="-3"/>
          <w:sz w:val="21"/>
        </w:rPr>
        <w:t>投标总价为投标人在投标文件中提出的各项支付金额的总和，为实施、完成招标工程并修补缺陷以及履行招标文件中约定的风险范围内的所有责任和义务所发生的全部费用。</w:t>
      </w:r>
    </w:p>
    <w:p>
      <w:pPr>
        <w:pStyle w:val="13"/>
        <w:numPr>
          <w:ilvl w:val="1"/>
          <w:numId w:val="84"/>
        </w:numPr>
        <w:tabs>
          <w:tab w:val="left" w:pos="1680"/>
        </w:tabs>
        <w:spacing w:before="0" w:after="0" w:line="264" w:lineRule="exact"/>
        <w:ind w:left="1679" w:right="0" w:hanging="524"/>
        <w:jc w:val="both"/>
        <w:rPr>
          <w:sz w:val="21"/>
        </w:rPr>
      </w:pPr>
      <w:r>
        <w:rPr>
          <w:sz w:val="21"/>
        </w:rPr>
        <w:t>有关投标报价的其他说明.：</w:t>
      </w:r>
    </w:p>
    <w:p>
      <w:pPr>
        <w:pStyle w:val="13"/>
        <w:numPr>
          <w:ilvl w:val="0"/>
          <w:numId w:val="87"/>
        </w:numPr>
        <w:tabs>
          <w:tab w:val="left" w:pos="954"/>
        </w:tabs>
        <w:spacing w:before="134" w:after="0" w:line="240" w:lineRule="auto"/>
        <w:ind w:left="953" w:right="0" w:hanging="223"/>
        <w:jc w:val="left"/>
        <w:rPr>
          <w:sz w:val="22"/>
        </w:rPr>
      </w:pPr>
      <w:bookmarkStart w:id="79" w:name="3.结算原则"/>
      <w:bookmarkEnd w:id="79"/>
      <w:r>
        <w:rPr>
          <w:spacing w:val="-2"/>
          <w:sz w:val="22"/>
        </w:rPr>
        <w:t>结算原则</w:t>
      </w:r>
    </w:p>
    <w:p>
      <w:pPr>
        <w:pStyle w:val="13"/>
        <w:numPr>
          <w:ilvl w:val="1"/>
          <w:numId w:val="87"/>
        </w:numPr>
        <w:tabs>
          <w:tab w:val="left" w:pos="1540"/>
        </w:tabs>
        <w:spacing w:before="145" w:after="0" w:line="240" w:lineRule="auto"/>
        <w:ind w:left="1540" w:right="0" w:hanging="384"/>
        <w:jc w:val="left"/>
        <w:rPr>
          <w:sz w:val="22"/>
        </w:rPr>
      </w:pPr>
      <w:bookmarkStart w:id="80" w:name="3.1最终本工程的合同结算价款由发包人委托的审价单位审定。"/>
      <w:bookmarkEnd w:id="80"/>
      <w:r>
        <w:rPr>
          <w:spacing w:val="-3"/>
          <w:sz w:val="22"/>
        </w:rPr>
        <w:t>最终本工程的合同结算价款由发包人委托的审价单位审定。</w:t>
      </w:r>
    </w:p>
    <w:p>
      <w:pPr>
        <w:pStyle w:val="13"/>
        <w:numPr>
          <w:ilvl w:val="1"/>
          <w:numId w:val="87"/>
        </w:numPr>
        <w:tabs>
          <w:tab w:val="left" w:pos="1543"/>
        </w:tabs>
        <w:spacing w:before="145" w:after="0" w:line="364" w:lineRule="auto"/>
        <w:ind w:left="731" w:right="892" w:firstLine="424"/>
        <w:jc w:val="left"/>
        <w:rPr>
          <w:sz w:val="22"/>
        </w:rPr>
      </w:pPr>
      <w:bookmarkStart w:id="81" w:name="3.2除本招标文件和合同另有约定外，投标单位投报的综合单价闭口包干。承包人应综合"/>
      <w:bookmarkEnd w:id="81"/>
      <w:r>
        <w:rPr>
          <w:sz w:val="22"/>
        </w:rPr>
        <w:t>除本招标文件和合同另有约定外，投标单位投报的综合单价闭口包干。承包人应综</w:t>
      </w:r>
      <w:r>
        <w:rPr>
          <w:spacing w:val="-3"/>
          <w:sz w:val="22"/>
        </w:rPr>
        <w:t>合考虑到现场条件、人工、材料及机械价格波动、风险等一切因素。</w:t>
      </w:r>
    </w:p>
    <w:p>
      <w:pPr>
        <w:pStyle w:val="13"/>
        <w:numPr>
          <w:ilvl w:val="1"/>
          <w:numId w:val="87"/>
        </w:numPr>
        <w:tabs>
          <w:tab w:val="left" w:pos="1540"/>
        </w:tabs>
        <w:spacing w:before="0" w:after="0" w:line="364" w:lineRule="auto"/>
        <w:ind w:left="731" w:right="779" w:firstLine="424"/>
        <w:jc w:val="left"/>
        <w:rPr>
          <w:sz w:val="22"/>
        </w:rPr>
      </w:pPr>
      <w:bookmarkStart w:id="82" w:name="3.3由承包人自行报价的主要设备材料，实施过程中如发包人提出更换主要材料、制品、"/>
      <w:bookmarkEnd w:id="82"/>
      <w:r>
        <w:rPr>
          <w:spacing w:val="-5"/>
          <w:sz w:val="22"/>
        </w:rPr>
        <w:t>由承包人自行报价的主要设备材料，实施过程中如发包人提出更换主要材料、制品、设备的品牌的，结算时经发包人核准投资监理批价后可对此项主材价格及其引起的主材损耗</w:t>
      </w:r>
      <w:r>
        <w:rPr>
          <w:spacing w:val="-3"/>
          <w:sz w:val="22"/>
        </w:rPr>
        <w:t>按合同约定进行补差调整，其他费用不得调整。</w:t>
      </w:r>
    </w:p>
    <w:p>
      <w:pPr>
        <w:pStyle w:val="13"/>
        <w:numPr>
          <w:ilvl w:val="1"/>
          <w:numId w:val="87"/>
        </w:numPr>
        <w:tabs>
          <w:tab w:val="left" w:pos="1543"/>
        </w:tabs>
        <w:spacing w:before="0" w:after="0" w:line="364" w:lineRule="auto"/>
        <w:ind w:left="731" w:right="890" w:firstLine="424"/>
        <w:jc w:val="both"/>
        <w:rPr>
          <w:sz w:val="22"/>
        </w:rPr>
      </w:pPr>
      <w:bookmarkStart w:id="83" w:name="3.4对招标时提供暂定品牌供选择的材料、设备、实施过程中如投标单位提出对投标文件"/>
      <w:bookmarkEnd w:id="83"/>
      <w:r>
        <w:rPr>
          <w:sz w:val="22"/>
        </w:rPr>
        <w:t>对招标时提供暂定品牌供选择的材料、设备、实施过程中如投标单位提出对投标文</w:t>
      </w:r>
      <w:r>
        <w:rPr>
          <w:spacing w:val="-3"/>
          <w:sz w:val="22"/>
        </w:rPr>
        <w:t>件中所选用的品牌进行调换的，必须报发包人核批同意后方可调换，档次、标准、品质只能按相同或高者调整，价格原则上不予调整。如发包人提出要求中标单位调换品牌的，经发包人核准批价后可对此项主材价格的价差按合同约定进行调整，组成综合单价的其他费用不得</w:t>
      </w:r>
      <w:r>
        <w:rPr>
          <w:spacing w:val="-2"/>
          <w:sz w:val="22"/>
        </w:rPr>
        <w:t>调整。</w:t>
      </w:r>
    </w:p>
    <w:p>
      <w:pPr>
        <w:pStyle w:val="13"/>
        <w:numPr>
          <w:ilvl w:val="1"/>
          <w:numId w:val="87"/>
        </w:numPr>
        <w:tabs>
          <w:tab w:val="left" w:pos="1543"/>
        </w:tabs>
        <w:spacing w:before="0" w:after="0" w:line="364" w:lineRule="auto"/>
        <w:ind w:left="731" w:right="890" w:firstLine="424"/>
        <w:jc w:val="both"/>
        <w:rPr>
          <w:sz w:val="22"/>
        </w:rPr>
      </w:pPr>
      <w:bookmarkStart w:id="84" w:name="3.5对招标时提供材料暂估单价的子项，其综合单价结算时可按业主提供或核定的供货价"/>
      <w:bookmarkEnd w:id="84"/>
      <w:r>
        <w:rPr>
          <w:sz w:val="22"/>
        </w:rPr>
        <w:t>对招标时提供材料暂估单价的子项，其综合单价结算时可按业主提供或核定的供货</w:t>
      </w:r>
      <w:r>
        <w:rPr>
          <w:spacing w:val="-3"/>
          <w:sz w:val="22"/>
        </w:rPr>
        <w:t>价格调整，但该调整仅限于主材价格及其主材合理损耗的价差调整，组成综合单价的辅材价格、人工、机械、企业管理费、利润等其他费用不得调整。</w:t>
      </w:r>
    </w:p>
    <w:p>
      <w:pPr>
        <w:pStyle w:val="13"/>
        <w:numPr>
          <w:ilvl w:val="1"/>
          <w:numId w:val="87"/>
        </w:numPr>
        <w:tabs>
          <w:tab w:val="left" w:pos="1543"/>
        </w:tabs>
        <w:spacing w:before="0" w:after="0" w:line="364" w:lineRule="auto"/>
        <w:ind w:left="731" w:right="892" w:firstLine="424"/>
        <w:jc w:val="both"/>
        <w:rPr>
          <w:sz w:val="22"/>
        </w:rPr>
      </w:pPr>
      <w:bookmarkStart w:id="85" w:name="3.6措施项目清单中的各项内容除本招标文件或合同另有约定外是一项固定的费用，总价"/>
      <w:bookmarkEnd w:id="85"/>
      <w:r>
        <w:rPr>
          <w:sz w:val="22"/>
        </w:rPr>
        <w:t>措施项目清单中的各项内容除本招标文件或合同另有约定外是一项固定的费用，总</w:t>
      </w:r>
      <w:r>
        <w:rPr>
          <w:spacing w:val="-3"/>
          <w:sz w:val="22"/>
        </w:rPr>
        <w:t>价闭口包干。</w:t>
      </w:r>
    </w:p>
    <w:p>
      <w:pPr>
        <w:spacing w:after="0" w:line="364" w:lineRule="auto"/>
        <w:jc w:val="both"/>
        <w:rPr>
          <w:sz w:val="22"/>
        </w:rPr>
        <w:sectPr>
          <w:pgSz w:w="11910" w:h="16840"/>
          <w:pgMar w:top="1100" w:right="660" w:bottom="1200" w:left="800" w:header="878" w:footer="1003" w:gutter="0"/>
          <w:cols w:space="720" w:num="1"/>
        </w:sectPr>
      </w:pPr>
    </w:p>
    <w:p>
      <w:pPr>
        <w:pStyle w:val="9"/>
        <w:spacing w:before="1"/>
        <w:rPr>
          <w:sz w:val="18"/>
        </w:rPr>
      </w:pPr>
    </w:p>
    <w:p>
      <w:pPr>
        <w:pStyle w:val="13"/>
        <w:numPr>
          <w:ilvl w:val="1"/>
          <w:numId w:val="87"/>
        </w:numPr>
        <w:tabs>
          <w:tab w:val="left" w:pos="1540"/>
        </w:tabs>
        <w:spacing w:before="70" w:after="0" w:line="240" w:lineRule="auto"/>
        <w:ind w:left="1540" w:right="0" w:hanging="384"/>
        <w:jc w:val="both"/>
        <w:rPr>
          <w:sz w:val="22"/>
        </w:rPr>
      </w:pPr>
      <w:bookmarkStart w:id="86" w:name="3.7工程量清单中所有以“项”为单位的子目结算时不作调整。"/>
      <w:bookmarkEnd w:id="86"/>
      <w:r>
        <w:rPr>
          <w:spacing w:val="-3"/>
          <w:sz w:val="22"/>
        </w:rPr>
        <w:t>工程量清单中所有以“项”为单位的子目结算时不作调整。</w:t>
      </w:r>
    </w:p>
    <w:p>
      <w:pPr>
        <w:pStyle w:val="13"/>
        <w:numPr>
          <w:ilvl w:val="1"/>
          <w:numId w:val="87"/>
        </w:numPr>
        <w:tabs>
          <w:tab w:val="left" w:pos="1543"/>
        </w:tabs>
        <w:spacing w:before="145" w:after="0" w:line="364" w:lineRule="auto"/>
        <w:ind w:left="731" w:right="890" w:firstLine="424"/>
        <w:jc w:val="both"/>
        <w:rPr>
          <w:sz w:val="22"/>
        </w:rPr>
      </w:pPr>
      <w:bookmarkStart w:id="87" w:name="3.8本招标文件中暂列金额可按实调整。专业工程暂估价如发生，经协商后另行确定计价"/>
      <w:bookmarkEnd w:id="87"/>
      <w:r>
        <w:rPr>
          <w:sz w:val="22"/>
        </w:rPr>
        <w:t>本招标文件中暂列金额可按实调整。专业工程暂估价如发生，经协商后另行确定计</w:t>
      </w:r>
      <w:r>
        <w:rPr>
          <w:spacing w:val="-3"/>
          <w:sz w:val="22"/>
        </w:rPr>
        <w:t>价办法，按专业分包合同另行结算。零星工作项目今后按现场的签证进行结算，有关人工、材料及机械单价均按投标时相关的报价不再变动。</w:t>
      </w:r>
    </w:p>
    <w:p>
      <w:pPr>
        <w:pStyle w:val="13"/>
        <w:numPr>
          <w:ilvl w:val="1"/>
          <w:numId w:val="87"/>
        </w:numPr>
        <w:tabs>
          <w:tab w:val="left" w:pos="1543"/>
        </w:tabs>
        <w:spacing w:before="0" w:after="0" w:line="364" w:lineRule="auto"/>
        <w:ind w:left="731" w:right="892" w:firstLine="424"/>
        <w:jc w:val="both"/>
        <w:rPr>
          <w:sz w:val="22"/>
        </w:rPr>
      </w:pPr>
      <w:bookmarkStart w:id="88" w:name="3.9对于专业分包工程的总承包服务费结算时以实际发生专业分包工程的合同价为取费基"/>
      <w:bookmarkEnd w:id="88"/>
      <w:r>
        <w:rPr>
          <w:sz w:val="22"/>
        </w:rPr>
        <w:t>对于专业分包工程的总承包服务费结算时以实际发生专业分包工程的合同价为取费</w:t>
      </w:r>
      <w:r>
        <w:rPr>
          <w:spacing w:val="-3"/>
          <w:sz w:val="22"/>
        </w:rPr>
        <w:t>基数，与投标时投标费率的乘积为实际发生的专业分包工程的总承包服务费。</w:t>
      </w:r>
    </w:p>
    <w:p>
      <w:pPr>
        <w:pStyle w:val="13"/>
        <w:numPr>
          <w:ilvl w:val="1"/>
          <w:numId w:val="87"/>
        </w:numPr>
        <w:tabs>
          <w:tab w:val="left" w:pos="1600"/>
        </w:tabs>
        <w:spacing w:before="0" w:after="0" w:line="364" w:lineRule="auto"/>
        <w:ind w:left="731" w:right="878" w:firstLine="400"/>
        <w:jc w:val="both"/>
        <w:rPr>
          <w:sz w:val="22"/>
        </w:rPr>
      </w:pPr>
      <w:bookmarkStart w:id="89" w:name="3.10签订合同后，如因非中标人原因发生的设计变更等经建设单位批准可调整价格的内"/>
      <w:bookmarkEnd w:id="89"/>
      <w:r>
        <w:rPr>
          <w:spacing w:val="-13"/>
          <w:sz w:val="22"/>
        </w:rPr>
        <w:t>签订合同后，如因非中标人原因发生的设计变更等经建设单位批准可调整价格的内容， 子目与工程量清单表相同的或类似的，按投标的综合单价执行或参考执行。如变更后原工程量清单中无适用或类似的单价可参照的，则按下列约定由投标人参照投标时的价格水平重新组价，经</w:t>
      </w:r>
      <w:r>
        <w:rPr>
          <w:spacing w:val="-15"/>
          <w:sz w:val="22"/>
        </w:rPr>
        <w:t>双方协商，投资监理审核，最终由招标人审定后予以调整，具体由双方在合同中明确：</w:t>
      </w:r>
    </w:p>
    <w:p>
      <w:pPr>
        <w:pStyle w:val="13"/>
        <w:numPr>
          <w:ilvl w:val="0"/>
          <w:numId w:val="88"/>
        </w:numPr>
        <w:tabs>
          <w:tab w:val="left" w:pos="1707"/>
        </w:tabs>
        <w:spacing w:before="0" w:after="0" w:line="282" w:lineRule="exact"/>
        <w:ind w:left="1211" w:leftChars="0" w:right="0" w:hanging="551" w:firstLineChars="0"/>
        <w:jc w:val="left"/>
        <w:rPr>
          <w:sz w:val="22"/>
        </w:rPr>
      </w:pPr>
      <w:bookmarkStart w:id="90" w:name="（1）工程量计算规则按《建设工程工程量清单计价规范》（GB-50500-2013"/>
      <w:bookmarkEnd w:id="90"/>
      <w:r>
        <w:rPr>
          <w:spacing w:val="-3"/>
          <w:sz w:val="22"/>
        </w:rPr>
        <w:t>工程量计算规则按《建设工程工程量清单计价规范》</w:t>
      </w:r>
      <w:r>
        <w:rPr>
          <w:spacing w:val="-1"/>
          <w:sz w:val="22"/>
        </w:rPr>
        <w:t>（GB-50500-2013）；</w:t>
      </w:r>
    </w:p>
    <w:p>
      <w:pPr>
        <w:pStyle w:val="13"/>
        <w:numPr>
          <w:ilvl w:val="0"/>
          <w:numId w:val="88"/>
        </w:numPr>
        <w:tabs>
          <w:tab w:val="left" w:pos="1707"/>
        </w:tabs>
        <w:spacing w:before="142" w:after="0" w:line="240" w:lineRule="auto"/>
        <w:ind w:left="1211" w:leftChars="0" w:right="0" w:hanging="551" w:firstLineChars="0"/>
        <w:jc w:val="left"/>
        <w:rPr>
          <w:color w:val="auto"/>
        </w:rPr>
      </w:pPr>
      <w:bookmarkStart w:id="91" w:name="（2）人工、材料、机械的消耗量按《上海市建筑和装修工程预算定额（SH01-31-"/>
      <w:bookmarkEnd w:id="91"/>
      <w:r>
        <w:rPr>
          <w:color w:val="auto"/>
          <w:spacing w:val="-14"/>
          <w:sz w:val="22"/>
        </w:rPr>
        <w:t>人工、材料、机械的消耗量按《</w:t>
      </w:r>
      <w:bookmarkStart w:id="92" w:name="OLE_LINK3"/>
      <w:r>
        <w:rPr>
          <w:rFonts w:hint="eastAsia"/>
          <w:color w:val="auto"/>
          <w:spacing w:val="-14"/>
          <w:sz w:val="22"/>
        </w:rPr>
        <w:t>山东省</w:t>
      </w:r>
      <w:bookmarkEnd w:id="92"/>
      <w:r>
        <w:rPr>
          <w:color w:val="auto"/>
          <w:spacing w:val="-14"/>
          <w:sz w:val="22"/>
        </w:rPr>
        <w:t>建筑工程</w:t>
      </w:r>
      <w:r>
        <w:rPr>
          <w:rFonts w:hint="eastAsia"/>
          <w:color w:val="auto"/>
          <w:spacing w:val="-14"/>
          <w:sz w:val="22"/>
        </w:rPr>
        <w:t>消耗</w:t>
      </w:r>
      <w:r>
        <w:rPr>
          <w:color w:val="auto"/>
          <w:spacing w:val="-14"/>
          <w:sz w:val="22"/>
        </w:rPr>
        <w:t>定额</w:t>
      </w:r>
      <w:r>
        <w:rPr>
          <w:color w:val="auto"/>
          <w:spacing w:val="-56"/>
          <w:sz w:val="22"/>
        </w:rPr>
        <w:t>》、</w:t>
      </w:r>
      <w:r>
        <w:rPr>
          <w:color w:val="auto"/>
        </w:rPr>
        <w:t>《</w:t>
      </w:r>
      <w:r>
        <w:rPr>
          <w:rFonts w:hint="eastAsia"/>
          <w:color w:val="auto"/>
          <w:spacing w:val="-14"/>
          <w:sz w:val="22"/>
        </w:rPr>
        <w:t>山东省</w:t>
      </w:r>
      <w:r>
        <w:rPr>
          <w:color w:val="auto"/>
        </w:rPr>
        <w:t>安装工程</w:t>
      </w:r>
      <w:r>
        <w:rPr>
          <w:rFonts w:hint="eastAsia"/>
          <w:color w:val="auto"/>
        </w:rPr>
        <w:t>消耗</w:t>
      </w:r>
      <w:r>
        <w:rPr>
          <w:color w:val="auto"/>
        </w:rPr>
        <w:t>定额》；</w:t>
      </w:r>
    </w:p>
    <w:p>
      <w:pPr>
        <w:pStyle w:val="13"/>
        <w:numPr>
          <w:ilvl w:val="0"/>
          <w:numId w:val="88"/>
        </w:numPr>
        <w:tabs>
          <w:tab w:val="left" w:pos="1707"/>
        </w:tabs>
        <w:spacing w:before="148" w:after="0" w:line="364" w:lineRule="auto"/>
        <w:ind w:left="236" w:leftChars="0" w:right="892" w:firstLine="424" w:firstLineChars="0"/>
        <w:jc w:val="left"/>
        <w:rPr>
          <w:sz w:val="22"/>
        </w:rPr>
      </w:pPr>
      <w:bookmarkStart w:id="93" w:name="（3）人工、材料、机械单价，合同中有相同或类似的单价参照合同单价，无类似单价则参"/>
      <w:bookmarkEnd w:id="93"/>
      <w:r>
        <w:rPr>
          <w:spacing w:val="-9"/>
          <w:sz w:val="22"/>
        </w:rPr>
        <w:t>人工、材料、机械单价，合同中有相同或类似的单价参照合同单价，无类似单价则</w:t>
      </w:r>
      <w:r>
        <w:rPr>
          <w:spacing w:val="-3"/>
          <w:sz w:val="22"/>
        </w:rPr>
        <w:t>参照施工期间的市场平均价格，并报发包人核批；</w:t>
      </w:r>
    </w:p>
    <w:p>
      <w:pPr>
        <w:pStyle w:val="13"/>
        <w:numPr>
          <w:ilvl w:val="0"/>
          <w:numId w:val="88"/>
        </w:numPr>
        <w:tabs>
          <w:tab w:val="left" w:pos="1707"/>
        </w:tabs>
        <w:spacing w:before="0" w:after="0" w:line="364" w:lineRule="auto"/>
        <w:ind w:left="236" w:leftChars="0" w:right="4118" w:firstLine="424" w:firstLineChars="0"/>
        <w:jc w:val="left"/>
        <w:rPr>
          <w:sz w:val="22"/>
        </w:rPr>
      </w:pPr>
      <w:bookmarkStart w:id="94" w:name="（4）企业管理费、利润等按投标报价时的费率标准。"/>
      <w:bookmarkEnd w:id="94"/>
      <w:r>
        <w:rPr>
          <w:spacing w:val="-3"/>
          <w:sz w:val="22"/>
        </w:rPr>
        <w:t>企业管理费、利润等按投标报价时的费率标准。</w:t>
      </w:r>
      <w:bookmarkStart w:id="95" w:name="4.其他说明"/>
      <w:bookmarkEnd w:id="95"/>
      <w:r>
        <w:rPr>
          <w:spacing w:val="-3"/>
          <w:sz w:val="22"/>
        </w:rPr>
        <w:t>4.其他说明</w:t>
      </w:r>
    </w:p>
    <w:p>
      <w:pPr>
        <w:pStyle w:val="13"/>
        <w:numPr>
          <w:ilvl w:val="1"/>
          <w:numId w:val="89"/>
        </w:numPr>
        <w:tabs>
          <w:tab w:val="left" w:pos="1560"/>
        </w:tabs>
        <w:spacing w:before="0" w:after="0" w:line="240" w:lineRule="auto"/>
        <w:ind w:left="1559" w:right="0" w:hanging="385"/>
        <w:jc w:val="left"/>
        <w:rPr>
          <w:sz w:val="22"/>
        </w:rPr>
      </w:pPr>
      <w:r>
        <w:rPr>
          <w:spacing w:val="-2"/>
          <w:sz w:val="22"/>
        </w:rPr>
        <w:t>词语和定义</w:t>
      </w:r>
    </w:p>
    <w:p>
      <w:pPr>
        <w:pStyle w:val="13"/>
        <w:numPr>
          <w:ilvl w:val="2"/>
          <w:numId w:val="89"/>
        </w:numPr>
        <w:tabs>
          <w:tab w:val="left" w:pos="1780"/>
        </w:tabs>
        <w:spacing w:before="142" w:after="0" w:line="240" w:lineRule="auto"/>
        <w:ind w:left="1780" w:right="0" w:hanging="605"/>
        <w:jc w:val="left"/>
        <w:rPr>
          <w:sz w:val="22"/>
        </w:rPr>
      </w:pPr>
      <w:r>
        <w:rPr>
          <w:spacing w:val="-2"/>
          <w:sz w:val="22"/>
        </w:rPr>
        <w:t>工程量清单</w:t>
      </w:r>
    </w:p>
    <w:p>
      <w:pPr>
        <w:pStyle w:val="9"/>
        <w:spacing w:before="148" w:line="364" w:lineRule="auto"/>
        <w:ind w:left="731" w:right="890" w:firstLine="444"/>
      </w:pPr>
      <w:r>
        <w:t>是表现本工程分部分项工程项目、措施项目、其他项目、规费项目和增值税的名称和相应数量等的明细清单。</w:t>
      </w:r>
    </w:p>
    <w:p>
      <w:pPr>
        <w:pStyle w:val="13"/>
        <w:numPr>
          <w:ilvl w:val="2"/>
          <w:numId w:val="89"/>
        </w:numPr>
        <w:tabs>
          <w:tab w:val="left" w:pos="1836"/>
        </w:tabs>
        <w:spacing w:before="0" w:after="0" w:line="279" w:lineRule="exact"/>
        <w:ind w:left="1835" w:right="0" w:hanging="661"/>
        <w:jc w:val="left"/>
        <w:rPr>
          <w:sz w:val="22"/>
        </w:rPr>
      </w:pPr>
      <w:r>
        <w:rPr>
          <w:spacing w:val="-2"/>
          <w:sz w:val="22"/>
        </w:rPr>
        <w:t>总价子目</w:t>
      </w:r>
    </w:p>
    <w:p>
      <w:pPr>
        <w:pStyle w:val="9"/>
        <w:spacing w:before="148" w:line="364" w:lineRule="auto"/>
        <w:ind w:left="731" w:right="860" w:firstLine="420"/>
        <w:jc w:val="both"/>
      </w:pPr>
      <w:r>
        <w:rPr>
          <w:spacing w:val="-15"/>
        </w:rPr>
        <w:t xml:space="preserve">工程量清单中以总价计价，以“项”为计量单位，工程量为整数 </w:t>
      </w:r>
      <w:r>
        <w:t>1</w:t>
      </w:r>
      <w:r>
        <w:rPr>
          <w:spacing w:val="-17"/>
        </w:rPr>
        <w:t xml:space="preserve"> 的子目，除专用合同条款</w:t>
      </w:r>
      <w:r>
        <w:rPr>
          <w:spacing w:val="-13"/>
        </w:rPr>
        <w:t>另有约定外，总价固定包干。采用总价合同形式时，合同订立后，已标价工程量清单中的工程量</w:t>
      </w:r>
      <w:r>
        <w:rPr>
          <w:spacing w:val="-14"/>
        </w:rPr>
        <w:t>均没有合同约束力，所有子目均是总价子目，视同按项计量(合同条款第</w:t>
      </w:r>
      <w:r>
        <w:rPr>
          <w:spacing w:val="-3"/>
        </w:rPr>
        <w:t>15</w:t>
      </w:r>
      <w:r>
        <w:rPr>
          <w:spacing w:val="-17"/>
        </w:rPr>
        <w:t xml:space="preserve"> 条约定的变更除外)。</w:t>
      </w:r>
    </w:p>
    <w:p>
      <w:pPr>
        <w:pStyle w:val="13"/>
        <w:numPr>
          <w:ilvl w:val="2"/>
          <w:numId w:val="89"/>
        </w:numPr>
        <w:tabs>
          <w:tab w:val="left" w:pos="1836"/>
        </w:tabs>
        <w:spacing w:before="0" w:after="0" w:line="281" w:lineRule="exact"/>
        <w:ind w:left="1835" w:right="0" w:hanging="661"/>
        <w:jc w:val="both"/>
        <w:rPr>
          <w:sz w:val="22"/>
        </w:rPr>
      </w:pPr>
      <w:r>
        <w:rPr>
          <w:spacing w:val="-2"/>
          <w:sz w:val="22"/>
        </w:rPr>
        <w:t>单价子目</w:t>
      </w:r>
    </w:p>
    <w:p>
      <w:pPr>
        <w:pStyle w:val="9"/>
        <w:spacing w:before="145" w:line="364" w:lineRule="auto"/>
        <w:ind w:left="731" w:right="890" w:firstLine="444"/>
      </w:pPr>
      <w:r>
        <w:t>工程量清单中以单价计价，根据有合同约束力的图纸和工程量计算规则进行计量，以实际完成数量乘以相应单价进行结算的子目。</w:t>
      </w:r>
    </w:p>
    <w:p>
      <w:pPr>
        <w:pStyle w:val="13"/>
        <w:numPr>
          <w:ilvl w:val="2"/>
          <w:numId w:val="89"/>
        </w:numPr>
        <w:tabs>
          <w:tab w:val="left" w:pos="1836"/>
        </w:tabs>
        <w:spacing w:before="0" w:after="0" w:line="240" w:lineRule="auto"/>
        <w:ind w:left="1835" w:right="0" w:hanging="661"/>
        <w:jc w:val="left"/>
        <w:rPr>
          <w:sz w:val="22"/>
        </w:rPr>
      </w:pPr>
      <w:r>
        <w:rPr>
          <w:spacing w:val="-2"/>
          <w:sz w:val="22"/>
        </w:rPr>
        <w:t>子目编码</w:t>
      </w:r>
    </w:p>
    <w:p>
      <w:pPr>
        <w:pStyle w:val="9"/>
        <w:spacing w:before="145"/>
        <w:ind w:left="1175"/>
      </w:pPr>
      <w:r>
        <w:t>分部分项工程项目清单中所列的子目名称的数字标识和代码，子目编码与项目编码同义。</w:t>
      </w:r>
    </w:p>
    <w:p>
      <w:pPr>
        <w:pStyle w:val="13"/>
        <w:numPr>
          <w:ilvl w:val="2"/>
          <w:numId w:val="89"/>
        </w:numPr>
        <w:tabs>
          <w:tab w:val="left" w:pos="1836"/>
        </w:tabs>
        <w:spacing w:before="146" w:after="0" w:line="240" w:lineRule="auto"/>
        <w:ind w:left="1835" w:right="0" w:hanging="661"/>
        <w:jc w:val="left"/>
        <w:rPr>
          <w:sz w:val="22"/>
        </w:rPr>
      </w:pPr>
      <w:r>
        <w:rPr>
          <w:spacing w:val="-2"/>
          <w:sz w:val="22"/>
        </w:rPr>
        <w:t>子目特征</w:t>
      </w:r>
    </w:p>
    <w:p>
      <w:pPr>
        <w:pStyle w:val="9"/>
        <w:spacing w:before="147" w:line="364" w:lineRule="auto"/>
        <w:ind w:left="731" w:right="890" w:firstLine="444"/>
      </w:pPr>
      <w:r>
        <w:t>构成分部分项工程项目清单子目、措施项目的实质内容、决定其自身价值的本质特征， 子目特征与项目特征同义。</w:t>
      </w:r>
    </w:p>
    <w:p>
      <w:pPr>
        <w:spacing w:after="0" w:line="364" w:lineRule="auto"/>
        <w:sectPr>
          <w:pgSz w:w="11910" w:h="16840"/>
          <w:pgMar w:top="1100" w:right="660" w:bottom="1200" w:left="800" w:header="878" w:footer="1003" w:gutter="0"/>
          <w:cols w:space="720" w:num="1"/>
        </w:sectPr>
      </w:pPr>
    </w:p>
    <w:p>
      <w:pPr>
        <w:pStyle w:val="9"/>
        <w:spacing w:before="1"/>
        <w:rPr>
          <w:sz w:val="18"/>
        </w:rPr>
      </w:pPr>
    </w:p>
    <w:p>
      <w:pPr>
        <w:pStyle w:val="13"/>
        <w:numPr>
          <w:ilvl w:val="2"/>
          <w:numId w:val="89"/>
        </w:numPr>
        <w:tabs>
          <w:tab w:val="left" w:pos="1836"/>
        </w:tabs>
        <w:spacing w:before="70" w:after="0" w:line="240" w:lineRule="auto"/>
        <w:ind w:left="1835" w:right="0" w:hanging="661"/>
        <w:jc w:val="left"/>
        <w:rPr>
          <w:sz w:val="22"/>
        </w:rPr>
      </w:pPr>
      <w:r>
        <w:rPr>
          <w:sz w:val="22"/>
        </w:rPr>
        <w:t>规费</w:t>
      </w:r>
    </w:p>
    <w:p>
      <w:pPr>
        <w:pStyle w:val="9"/>
        <w:spacing w:before="145"/>
        <w:ind w:left="1151"/>
      </w:pPr>
      <w:r>
        <w:t>承包人根据省级政府或省级政府有关部门规定必须缴纳的，应计入建筑安装工程造价的费用。</w:t>
      </w:r>
    </w:p>
    <w:p>
      <w:pPr>
        <w:pStyle w:val="13"/>
        <w:numPr>
          <w:ilvl w:val="2"/>
          <w:numId w:val="89"/>
        </w:numPr>
        <w:tabs>
          <w:tab w:val="left" w:pos="1836"/>
        </w:tabs>
        <w:spacing w:before="146" w:after="0" w:line="240" w:lineRule="auto"/>
        <w:ind w:left="1835" w:right="0" w:hanging="661"/>
        <w:jc w:val="left"/>
        <w:rPr>
          <w:sz w:val="22"/>
        </w:rPr>
      </w:pPr>
      <w:r>
        <w:rPr>
          <w:spacing w:val="-2"/>
          <w:sz w:val="22"/>
        </w:rPr>
        <w:t>增值税</w:t>
      </w:r>
    </w:p>
    <w:p>
      <w:pPr>
        <w:pStyle w:val="9"/>
        <w:spacing w:before="145"/>
        <w:ind w:left="1151"/>
      </w:pPr>
      <w:r>
        <w:t>国家税法规定的应计入建设工程造价内的增值税，即为当期销项税额。增值税税率为</w:t>
      </w:r>
      <w:r>
        <w:rPr>
          <w:rFonts w:hint="eastAsia"/>
          <w:lang w:val="en-US" w:eastAsia="zh-CN"/>
        </w:rPr>
        <w:t>9</w:t>
      </w:r>
      <w:r>
        <w:t>%。</w:t>
      </w:r>
    </w:p>
    <w:p>
      <w:pPr>
        <w:pStyle w:val="13"/>
        <w:numPr>
          <w:ilvl w:val="2"/>
          <w:numId w:val="89"/>
        </w:numPr>
        <w:tabs>
          <w:tab w:val="left" w:pos="1836"/>
        </w:tabs>
        <w:spacing w:before="148" w:after="0" w:line="240" w:lineRule="auto"/>
        <w:ind w:left="1835" w:right="0" w:hanging="661"/>
        <w:jc w:val="left"/>
        <w:rPr>
          <w:sz w:val="22"/>
        </w:rPr>
      </w:pPr>
      <w:r>
        <w:rPr>
          <w:spacing w:val="-3"/>
          <w:sz w:val="22"/>
        </w:rPr>
        <w:t>总承包服务费</w:t>
      </w:r>
    </w:p>
    <w:p>
      <w:pPr>
        <w:pStyle w:val="9"/>
        <w:spacing w:before="145" w:line="364" w:lineRule="auto"/>
        <w:ind w:left="731" w:right="890" w:firstLine="444"/>
      </w:pPr>
      <w:r>
        <w:t>总承包人为配合协调发包人发包的专业工程以及发包人采购的材料和工程设备等进行管理、服务以及施工现场管理、竣工资料汇总整理等所需的费用。</w:t>
      </w:r>
    </w:p>
    <w:p>
      <w:pPr>
        <w:pStyle w:val="13"/>
        <w:numPr>
          <w:ilvl w:val="2"/>
          <w:numId w:val="89"/>
        </w:numPr>
        <w:tabs>
          <w:tab w:val="left" w:pos="1836"/>
        </w:tabs>
        <w:spacing w:before="0" w:after="0" w:line="240" w:lineRule="auto"/>
        <w:ind w:left="1835" w:right="0" w:hanging="661"/>
        <w:jc w:val="left"/>
        <w:rPr>
          <w:sz w:val="22"/>
        </w:rPr>
      </w:pPr>
      <w:r>
        <w:rPr>
          <w:spacing w:val="-2"/>
          <w:sz w:val="22"/>
        </w:rPr>
        <w:t>同义词语</w:t>
      </w:r>
    </w:p>
    <w:p>
      <w:pPr>
        <w:pStyle w:val="9"/>
        <w:spacing w:before="145" w:line="364" w:lineRule="auto"/>
        <w:ind w:left="731" w:right="892" w:firstLine="444"/>
      </w:pPr>
      <w:r>
        <w:t>本章中使用的词语“招标人”和“投标人”分别与合同条款中定义的“发包人”和“承包人”同义；就工程量清单而言，“子目”与“项目”同义。</w:t>
      </w:r>
    </w:p>
    <w:p>
      <w:pPr>
        <w:pStyle w:val="13"/>
        <w:numPr>
          <w:ilvl w:val="1"/>
          <w:numId w:val="89"/>
        </w:numPr>
        <w:tabs>
          <w:tab w:val="left" w:pos="1560"/>
        </w:tabs>
        <w:spacing w:before="0" w:after="0" w:line="240" w:lineRule="auto"/>
        <w:ind w:left="1559" w:right="0" w:hanging="385"/>
        <w:jc w:val="both"/>
        <w:rPr>
          <w:sz w:val="22"/>
        </w:rPr>
      </w:pPr>
      <w:r>
        <w:rPr>
          <w:spacing w:val="-3"/>
          <w:sz w:val="22"/>
        </w:rPr>
        <w:t>工程量差异调整</w:t>
      </w:r>
    </w:p>
    <w:p>
      <w:pPr>
        <w:pStyle w:val="13"/>
        <w:numPr>
          <w:ilvl w:val="2"/>
          <w:numId w:val="89"/>
        </w:numPr>
        <w:tabs>
          <w:tab w:val="left" w:pos="1783"/>
        </w:tabs>
        <w:spacing w:before="145" w:after="0" w:line="364" w:lineRule="auto"/>
        <w:ind w:left="731" w:right="890" w:firstLine="444"/>
        <w:jc w:val="both"/>
        <w:rPr>
          <w:sz w:val="22"/>
        </w:rPr>
      </w:pPr>
      <w:r>
        <w:rPr>
          <w:sz w:val="22"/>
        </w:rPr>
        <w:t>工程量清单中的工作内容分类、子目列项、特征描述、工作内容以及“分部分项</w:t>
      </w:r>
      <w:r>
        <w:rPr>
          <w:spacing w:val="-3"/>
          <w:sz w:val="22"/>
        </w:rPr>
        <w:t>工程量清单与计价表”中附带的工程量都不应理解为是对承包(招标)范围以及合同工作内容的唯一的、最终的或全部的定义。</w:t>
      </w:r>
    </w:p>
    <w:p>
      <w:pPr>
        <w:pStyle w:val="13"/>
        <w:numPr>
          <w:ilvl w:val="2"/>
          <w:numId w:val="89"/>
        </w:numPr>
        <w:tabs>
          <w:tab w:val="left" w:pos="1783"/>
        </w:tabs>
        <w:spacing w:before="0" w:after="0" w:line="364" w:lineRule="auto"/>
        <w:ind w:left="731" w:right="890" w:firstLine="444"/>
        <w:jc w:val="both"/>
        <w:rPr>
          <w:sz w:val="22"/>
        </w:rPr>
      </w:pPr>
      <w:r>
        <w:rPr>
          <w:sz w:val="22"/>
        </w:rPr>
        <w:t>投标人应对招标人提供的工程量清单进行认真细致的复核。这种复核包括对招标</w:t>
      </w:r>
      <w:r>
        <w:rPr>
          <w:spacing w:val="-3"/>
          <w:sz w:val="22"/>
        </w:rPr>
        <w:t>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pPr>
        <w:pStyle w:val="13"/>
        <w:numPr>
          <w:ilvl w:val="2"/>
          <w:numId w:val="89"/>
        </w:numPr>
        <w:tabs>
          <w:tab w:val="left" w:pos="1783"/>
        </w:tabs>
        <w:spacing w:before="0" w:after="0" w:line="364" w:lineRule="auto"/>
        <w:ind w:left="731" w:right="890" w:firstLine="444"/>
        <w:jc w:val="both"/>
        <w:rPr>
          <w:sz w:val="22"/>
        </w:rPr>
      </w:pPr>
      <w:r>
        <w:rPr>
          <w:spacing w:val="-2"/>
          <w:sz w:val="22"/>
        </w:rPr>
        <w:t xml:space="preserve">如果招标人在检查投标人根据上文第 </w:t>
      </w:r>
      <w:r>
        <w:rPr>
          <w:sz w:val="22"/>
        </w:rPr>
        <w:t>3.2.2</w:t>
      </w:r>
      <w:r>
        <w:rPr>
          <w:spacing w:val="-6"/>
          <w:sz w:val="22"/>
        </w:rPr>
        <w:t xml:space="preserve"> 项提交的工程量差异问题后认为没有</w:t>
      </w:r>
      <w:r>
        <w:rPr>
          <w:spacing w:val="-7"/>
          <w:sz w:val="22"/>
        </w:rPr>
        <w:t xml:space="preserve">必要对工程量清单进行补充和(或)修改，或者招标人根据上文第 </w:t>
      </w:r>
      <w:r>
        <w:rPr>
          <w:sz w:val="22"/>
        </w:rPr>
        <w:t>3.2.2</w:t>
      </w:r>
      <w:r>
        <w:rPr>
          <w:spacing w:val="-8"/>
          <w:sz w:val="22"/>
        </w:rPr>
        <w:t xml:space="preserve"> 项对工程量清单进行</w:t>
      </w:r>
      <w:r>
        <w:rPr>
          <w:spacing w:val="-3"/>
          <w:sz w:val="22"/>
        </w:rPr>
        <w:t>了补充和(或)修改，但投标人认为工程量清单中的工程量依然存在差异，则此类差异不再提交招标人答疑和修正，而是直接按招标人提供的工程量清单(包括招标人可能的补充和(或) 修改)进行投标报价（</w:t>
      </w:r>
      <w:r>
        <w:rPr>
          <w:sz w:val="22"/>
        </w:rPr>
        <w:t>适用总价合同）。投标人在按照工程量清单进行报价时，除按照本节</w:t>
      </w:r>
    </w:p>
    <w:p>
      <w:pPr>
        <w:pStyle w:val="9"/>
        <w:spacing w:line="364" w:lineRule="auto"/>
        <w:ind w:left="731" w:right="890"/>
        <w:jc w:val="both"/>
      </w:pPr>
      <w:r>
        <w:t>2.7.3</w:t>
      </w:r>
      <w:r>
        <w:rPr>
          <w:spacing w:val="-10"/>
        </w:rPr>
        <w:t xml:space="preserve"> 项要求对招标人提供的措施项目清单的内容进行细化或增减外，不得改变(包括对工程</w:t>
      </w:r>
      <w:r>
        <w:rPr>
          <w:spacing w:val="-3"/>
        </w:rPr>
        <w:t>量清单子目的子目名称、子目特征描述、工作内容、计量单位以及工程量的任何修改、增加</w:t>
      </w:r>
      <w:r>
        <w:rPr>
          <w:spacing w:val="-7"/>
        </w:rPr>
        <w:t>或减少)招标人提供的分部分项工程量清单和其他项目清单。即使按照图纸和招标范围的约定</w:t>
      </w:r>
      <w:r>
        <w:rPr>
          <w:spacing w:val="-3"/>
        </w:rPr>
        <w:t>并不存在的子目，只要在招标人提供的分部分项工程量清单中已经列明，投标人都需要对其报价，并纳入投标总价的计算。</w:t>
      </w:r>
    </w:p>
    <w:p>
      <w:pPr>
        <w:pStyle w:val="13"/>
        <w:numPr>
          <w:ilvl w:val="1"/>
          <w:numId w:val="89"/>
        </w:numPr>
        <w:tabs>
          <w:tab w:val="left" w:pos="1560"/>
        </w:tabs>
        <w:spacing w:before="0" w:after="0" w:line="280" w:lineRule="exact"/>
        <w:ind w:left="1559" w:right="0" w:hanging="385"/>
        <w:jc w:val="both"/>
        <w:rPr>
          <w:sz w:val="22"/>
        </w:rPr>
      </w:pPr>
      <w:r>
        <w:rPr>
          <w:spacing w:val="-3"/>
          <w:sz w:val="22"/>
        </w:rPr>
        <w:t>暂列金额和暂估价</w:t>
      </w:r>
    </w:p>
    <w:p>
      <w:pPr>
        <w:pStyle w:val="13"/>
        <w:numPr>
          <w:ilvl w:val="2"/>
          <w:numId w:val="89"/>
        </w:numPr>
        <w:tabs>
          <w:tab w:val="left" w:pos="1729"/>
        </w:tabs>
        <w:spacing w:before="139" w:after="0" w:line="240" w:lineRule="auto"/>
        <w:ind w:left="1728" w:right="0" w:hanging="554"/>
        <w:jc w:val="left"/>
        <w:rPr>
          <w:sz w:val="22"/>
        </w:rPr>
      </w:pPr>
      <w:r>
        <w:rPr>
          <w:spacing w:val="-3"/>
          <w:sz w:val="22"/>
        </w:rPr>
        <w:t>“暂列金额明细表”中所列暂列金额中已经包含与其对应的管理费、利润和规费，</w:t>
      </w:r>
    </w:p>
    <w:p>
      <w:pPr>
        <w:spacing w:after="0" w:line="240" w:lineRule="auto"/>
        <w:jc w:val="left"/>
        <w:rPr>
          <w:sz w:val="22"/>
        </w:rPr>
        <w:sectPr>
          <w:footerReference r:id="rId14" w:type="default"/>
          <w:pgSz w:w="11910" w:h="16840"/>
          <w:pgMar w:top="1100" w:right="660" w:bottom="1200" w:left="800" w:header="878" w:footer="1003" w:gutter="0"/>
          <w:pgNumType w:start="70"/>
          <w:cols w:space="720" w:num="1"/>
        </w:sectPr>
      </w:pPr>
    </w:p>
    <w:p>
      <w:pPr>
        <w:pStyle w:val="9"/>
        <w:spacing w:before="1"/>
        <w:rPr>
          <w:sz w:val="18"/>
        </w:rPr>
      </w:pPr>
    </w:p>
    <w:p>
      <w:pPr>
        <w:pStyle w:val="9"/>
        <w:spacing w:before="70" w:line="364" w:lineRule="auto"/>
        <w:ind w:left="731" w:right="890"/>
      </w:pPr>
      <w:r>
        <w:t>但不含增值税。投标人应按本招标文件规定将此类暂列金额直接纳入其他项目清单的投标价格并计取相应的增值税，不需要考虑除增值税以外的其他任何费用。</w:t>
      </w:r>
    </w:p>
    <w:p>
      <w:pPr>
        <w:pStyle w:val="13"/>
        <w:numPr>
          <w:ilvl w:val="2"/>
          <w:numId w:val="89"/>
        </w:numPr>
        <w:tabs>
          <w:tab w:val="left" w:pos="1729"/>
        </w:tabs>
        <w:spacing w:before="0" w:after="0" w:line="364" w:lineRule="auto"/>
        <w:ind w:left="731" w:right="890" w:firstLine="444"/>
        <w:jc w:val="both"/>
        <w:rPr>
          <w:sz w:val="22"/>
        </w:rPr>
      </w:pPr>
      <w:r>
        <w:rPr>
          <w:spacing w:val="-7"/>
          <w:sz w:val="22"/>
        </w:rPr>
        <w:t xml:space="preserve">“材料和工程设备暂估价表”中所列的材料和工程设备暂估价是此类材料、工程 </w:t>
      </w:r>
      <w:r>
        <w:rPr>
          <w:spacing w:val="-3"/>
          <w:sz w:val="22"/>
        </w:rPr>
        <w:t>设备本身运至施工现场内的工地地面价，不包括其本身所对应的管理费、利润、规费、增值税以及这些材料和工程设备的安装、安装所需要的辅助材料、安装损耗、驻厂监造以及发生在现场内的验收、存储、保管、开箱、二次倒运、从存放地点运至安装地点以及其他任何必要的辅助工作(以下简称“暂估价材料和工程设备的安装及辅助工作”)所发生的费用及其对应的管理费、利润、规费和增值税。除应按本招标文件规定将此类暂估价本身纳入分部分项工程量清单相应子目的综合单价以外，投标人还应将上述材料和工程设备的安装及辅助工作所发生的费用以及与此类费用有关的管理费和利润包含在分部分项工程量清单相应子目的综合单价中，并计取相应的规费和增值税。</w:t>
      </w:r>
    </w:p>
    <w:p>
      <w:pPr>
        <w:pStyle w:val="13"/>
        <w:numPr>
          <w:ilvl w:val="2"/>
          <w:numId w:val="89"/>
        </w:numPr>
        <w:tabs>
          <w:tab w:val="left" w:pos="1783"/>
        </w:tabs>
        <w:spacing w:before="0" w:after="0" w:line="364" w:lineRule="auto"/>
        <w:ind w:left="731" w:right="890" w:firstLine="444"/>
        <w:jc w:val="both"/>
        <w:rPr>
          <w:sz w:val="22"/>
        </w:rPr>
      </w:pPr>
      <w:r>
        <w:rPr>
          <w:sz w:val="22"/>
        </w:rPr>
        <w:t>专业工程暂估价表中所列的专业工程暂估价已经包含与其对应的管理费、利润和</w:t>
      </w:r>
      <w:r>
        <w:rPr>
          <w:spacing w:val="-3"/>
          <w:sz w:val="22"/>
        </w:rPr>
        <w:t>规费，但不含增值税。投标人应按本招标文件规定将此类暂估价直接纳入其他项目清单的投标价格并计取相应的增值税。除按本招标文件规定将此类暂估价纳入其他项目清单的投标价格并计取相应的增值税以外，投标人还需要根据招标文件规定的内容考虑相应的总承包服务费以及与总承包服务费有关的规费和增值税。</w:t>
      </w:r>
    </w:p>
    <w:p>
      <w:pPr>
        <w:pStyle w:val="13"/>
        <w:numPr>
          <w:ilvl w:val="1"/>
          <w:numId w:val="89"/>
        </w:numPr>
        <w:tabs>
          <w:tab w:val="left" w:pos="1560"/>
          <w:tab w:val="left" w:pos="4474"/>
        </w:tabs>
        <w:spacing w:before="0" w:after="0" w:line="364" w:lineRule="auto"/>
        <w:ind w:left="731" w:right="5970" w:firstLine="444"/>
        <w:jc w:val="left"/>
        <w:rPr>
          <w:sz w:val="22"/>
        </w:rPr>
      </w:pPr>
      <w:r>
        <w:rPr>
          <w:spacing w:val="-1"/>
          <w:sz w:val="22"/>
        </w:rPr>
        <w:t>其</w:t>
      </w:r>
      <w:r>
        <w:rPr>
          <w:spacing w:val="-3"/>
          <w:sz w:val="22"/>
        </w:rPr>
        <w:t>他</w:t>
      </w:r>
      <w:r>
        <w:rPr>
          <w:spacing w:val="-1"/>
          <w:sz w:val="22"/>
        </w:rPr>
        <w:t>补充</w:t>
      </w:r>
      <w:r>
        <w:rPr>
          <w:spacing w:val="-3"/>
          <w:sz w:val="22"/>
        </w:rPr>
        <w:t>说</w:t>
      </w:r>
      <w:r>
        <w:rPr>
          <w:spacing w:val="-1"/>
          <w:sz w:val="22"/>
        </w:rPr>
        <w:t>明</w:t>
      </w:r>
      <w:r>
        <w:rPr>
          <w:spacing w:val="-1"/>
          <w:sz w:val="22"/>
          <w:u w:val="single"/>
        </w:rPr>
        <w:tab/>
      </w:r>
      <w:bookmarkStart w:id="96" w:name="5.工程量清单与计价表"/>
      <w:bookmarkEnd w:id="96"/>
      <w:r>
        <w:rPr>
          <w:sz w:val="22"/>
        </w:rPr>
        <w:t xml:space="preserve"> 5.工</w:t>
      </w:r>
      <w:r>
        <w:rPr>
          <w:spacing w:val="-3"/>
          <w:sz w:val="22"/>
        </w:rPr>
        <w:t>程</w:t>
      </w:r>
      <w:r>
        <w:rPr>
          <w:sz w:val="22"/>
        </w:rPr>
        <w:t>量清</w:t>
      </w:r>
      <w:r>
        <w:rPr>
          <w:spacing w:val="-3"/>
          <w:sz w:val="22"/>
        </w:rPr>
        <w:t>单</w:t>
      </w:r>
      <w:r>
        <w:rPr>
          <w:sz w:val="22"/>
        </w:rPr>
        <w:t>与计</w:t>
      </w:r>
      <w:r>
        <w:rPr>
          <w:spacing w:val="-3"/>
          <w:sz w:val="22"/>
        </w:rPr>
        <w:t>价</w:t>
      </w:r>
      <w:r>
        <w:rPr>
          <w:sz w:val="22"/>
        </w:rPr>
        <w:t>表</w:t>
      </w:r>
    </w:p>
    <w:p>
      <w:pPr>
        <w:pStyle w:val="13"/>
        <w:numPr>
          <w:ilvl w:val="1"/>
          <w:numId w:val="90"/>
        </w:numPr>
        <w:tabs>
          <w:tab w:val="left" w:pos="1538"/>
        </w:tabs>
        <w:spacing w:before="0" w:after="0" w:line="279" w:lineRule="exact"/>
        <w:ind w:left="1537" w:right="0" w:hanging="385"/>
        <w:jc w:val="left"/>
        <w:rPr>
          <w:sz w:val="22"/>
        </w:rPr>
      </w:pPr>
      <w:r>
        <w:rPr>
          <w:spacing w:val="-3"/>
          <w:sz w:val="22"/>
        </w:rPr>
        <w:t>已标价工程量清单封面——投标总价及投标报价总说明</w:t>
      </w:r>
    </w:p>
    <w:p>
      <w:pPr>
        <w:pStyle w:val="13"/>
        <w:numPr>
          <w:ilvl w:val="1"/>
          <w:numId w:val="90"/>
        </w:numPr>
        <w:tabs>
          <w:tab w:val="left" w:pos="1538"/>
        </w:tabs>
        <w:spacing w:before="0" w:after="0" w:line="240" w:lineRule="auto"/>
        <w:ind w:left="1537" w:right="0" w:hanging="385"/>
        <w:jc w:val="left"/>
        <w:rPr>
          <w:sz w:val="22"/>
        </w:rPr>
      </w:pPr>
      <w:r>
        <w:rPr>
          <w:spacing w:val="-3"/>
          <w:sz w:val="22"/>
        </w:rPr>
        <w:t>建设工程投标报价汇总表</w:t>
      </w:r>
    </w:p>
    <w:p>
      <w:pPr>
        <w:pStyle w:val="13"/>
        <w:numPr>
          <w:ilvl w:val="1"/>
          <w:numId w:val="90"/>
        </w:numPr>
        <w:tabs>
          <w:tab w:val="left" w:pos="1538"/>
        </w:tabs>
        <w:spacing w:before="0" w:after="0" w:line="240" w:lineRule="auto"/>
        <w:ind w:left="1537" w:right="0" w:hanging="385"/>
        <w:jc w:val="left"/>
        <w:rPr>
          <w:sz w:val="22"/>
        </w:rPr>
      </w:pPr>
      <w:r>
        <w:rPr>
          <w:spacing w:val="-3"/>
          <w:sz w:val="22"/>
        </w:rPr>
        <w:t>分部分项工程量清单报价汇总表</w:t>
      </w:r>
    </w:p>
    <w:p>
      <w:pPr>
        <w:pStyle w:val="13"/>
        <w:numPr>
          <w:ilvl w:val="1"/>
          <w:numId w:val="90"/>
        </w:numPr>
        <w:tabs>
          <w:tab w:val="left" w:pos="1538"/>
        </w:tabs>
        <w:spacing w:before="3" w:after="0" w:line="240" w:lineRule="auto"/>
        <w:ind w:left="1537" w:right="0" w:hanging="385"/>
        <w:jc w:val="left"/>
        <w:rPr>
          <w:sz w:val="22"/>
        </w:rPr>
      </w:pPr>
      <w:r>
        <w:rPr>
          <w:spacing w:val="-3"/>
          <w:sz w:val="22"/>
        </w:rPr>
        <w:t>分部分项工程量清单与计价表</w:t>
      </w:r>
    </w:p>
    <w:p>
      <w:pPr>
        <w:pStyle w:val="13"/>
        <w:numPr>
          <w:ilvl w:val="1"/>
          <w:numId w:val="90"/>
        </w:numPr>
        <w:tabs>
          <w:tab w:val="left" w:pos="1538"/>
        </w:tabs>
        <w:spacing w:before="4" w:after="0" w:line="240" w:lineRule="auto"/>
        <w:ind w:left="1537" w:right="0" w:hanging="385"/>
        <w:jc w:val="left"/>
        <w:rPr>
          <w:sz w:val="22"/>
        </w:rPr>
      </w:pPr>
      <w:r>
        <w:rPr>
          <w:spacing w:val="-3"/>
          <w:sz w:val="22"/>
        </w:rPr>
        <w:t>措施项目清单与计价汇总表</w:t>
      </w:r>
    </w:p>
    <w:p>
      <w:pPr>
        <w:pStyle w:val="13"/>
        <w:numPr>
          <w:ilvl w:val="2"/>
          <w:numId w:val="90"/>
        </w:numPr>
        <w:tabs>
          <w:tab w:val="left" w:pos="1759"/>
        </w:tabs>
        <w:spacing w:before="3" w:after="0" w:line="240" w:lineRule="auto"/>
        <w:ind w:left="1758" w:right="0" w:hanging="606"/>
        <w:jc w:val="left"/>
        <w:rPr>
          <w:sz w:val="22"/>
        </w:rPr>
      </w:pPr>
      <w:r>
        <w:rPr>
          <w:spacing w:val="-3"/>
          <w:sz w:val="22"/>
        </w:rPr>
        <w:t>安全防护、文明施工措施清单与费用明细表</w:t>
      </w:r>
    </w:p>
    <w:p>
      <w:pPr>
        <w:pStyle w:val="13"/>
        <w:numPr>
          <w:ilvl w:val="2"/>
          <w:numId w:val="90"/>
        </w:numPr>
        <w:tabs>
          <w:tab w:val="left" w:pos="1759"/>
        </w:tabs>
        <w:spacing w:before="4" w:after="0" w:line="240" w:lineRule="auto"/>
        <w:ind w:left="1758" w:right="0" w:hanging="606"/>
        <w:jc w:val="left"/>
        <w:rPr>
          <w:sz w:val="22"/>
        </w:rPr>
      </w:pPr>
      <w:r>
        <w:rPr>
          <w:spacing w:val="-3"/>
          <w:sz w:val="22"/>
        </w:rPr>
        <w:t>其他措施项目清单与计价表</w:t>
      </w:r>
    </w:p>
    <w:p>
      <w:pPr>
        <w:pStyle w:val="13"/>
        <w:numPr>
          <w:ilvl w:val="2"/>
          <w:numId w:val="90"/>
        </w:numPr>
        <w:tabs>
          <w:tab w:val="left" w:pos="1759"/>
        </w:tabs>
        <w:spacing w:before="4" w:after="0" w:line="240" w:lineRule="auto"/>
        <w:ind w:left="1758" w:right="0" w:hanging="606"/>
        <w:jc w:val="left"/>
        <w:rPr>
          <w:sz w:val="22"/>
        </w:rPr>
      </w:pPr>
      <w:r>
        <w:rPr>
          <w:spacing w:val="-3"/>
          <w:sz w:val="22"/>
        </w:rPr>
        <w:t>单价措施项目清单与计价表</w:t>
      </w:r>
    </w:p>
    <w:p>
      <w:pPr>
        <w:pStyle w:val="13"/>
        <w:numPr>
          <w:ilvl w:val="1"/>
          <w:numId w:val="90"/>
        </w:numPr>
        <w:tabs>
          <w:tab w:val="left" w:pos="1538"/>
        </w:tabs>
        <w:spacing w:before="1" w:after="0" w:line="240" w:lineRule="auto"/>
        <w:ind w:left="1537" w:right="0" w:hanging="385"/>
        <w:jc w:val="left"/>
        <w:rPr>
          <w:sz w:val="22"/>
        </w:rPr>
      </w:pPr>
      <w:r>
        <w:rPr>
          <w:spacing w:val="-3"/>
          <w:sz w:val="22"/>
        </w:rPr>
        <w:t>其他项目清单与计价汇总表</w:t>
      </w:r>
    </w:p>
    <w:p>
      <w:pPr>
        <w:pStyle w:val="13"/>
        <w:numPr>
          <w:ilvl w:val="2"/>
          <w:numId w:val="90"/>
        </w:numPr>
        <w:tabs>
          <w:tab w:val="left" w:pos="1759"/>
        </w:tabs>
        <w:spacing w:before="4" w:after="0" w:line="240" w:lineRule="auto"/>
        <w:ind w:left="1758" w:right="0" w:hanging="606"/>
        <w:jc w:val="left"/>
        <w:rPr>
          <w:sz w:val="22"/>
        </w:rPr>
      </w:pPr>
      <w:r>
        <w:rPr>
          <w:spacing w:val="-3"/>
          <w:sz w:val="22"/>
        </w:rPr>
        <w:t>暂列金额明细表</w:t>
      </w:r>
    </w:p>
    <w:p>
      <w:pPr>
        <w:pStyle w:val="13"/>
        <w:numPr>
          <w:ilvl w:val="2"/>
          <w:numId w:val="90"/>
        </w:numPr>
        <w:tabs>
          <w:tab w:val="left" w:pos="1759"/>
        </w:tabs>
        <w:spacing w:before="4" w:after="0" w:line="240" w:lineRule="auto"/>
        <w:ind w:left="1758" w:right="0" w:hanging="606"/>
        <w:jc w:val="left"/>
        <w:rPr>
          <w:sz w:val="22"/>
        </w:rPr>
      </w:pPr>
      <w:r>
        <w:rPr>
          <w:spacing w:val="-3"/>
          <w:sz w:val="22"/>
        </w:rPr>
        <w:t>材料暂估单价表</w:t>
      </w:r>
    </w:p>
    <w:p>
      <w:pPr>
        <w:pStyle w:val="13"/>
        <w:numPr>
          <w:ilvl w:val="2"/>
          <w:numId w:val="90"/>
        </w:numPr>
        <w:tabs>
          <w:tab w:val="left" w:pos="1759"/>
        </w:tabs>
        <w:spacing w:before="3" w:after="0" w:line="240" w:lineRule="auto"/>
        <w:ind w:left="1758" w:right="0" w:hanging="606"/>
        <w:jc w:val="left"/>
        <w:rPr>
          <w:sz w:val="22"/>
        </w:rPr>
      </w:pPr>
      <w:r>
        <w:rPr>
          <w:spacing w:val="-3"/>
          <w:sz w:val="22"/>
        </w:rPr>
        <w:t>专业工程暂估价表</w:t>
      </w:r>
    </w:p>
    <w:p>
      <w:pPr>
        <w:pStyle w:val="13"/>
        <w:numPr>
          <w:ilvl w:val="2"/>
          <w:numId w:val="90"/>
        </w:numPr>
        <w:tabs>
          <w:tab w:val="left" w:pos="1759"/>
        </w:tabs>
        <w:spacing w:before="4" w:after="0" w:line="240" w:lineRule="auto"/>
        <w:ind w:left="1758" w:right="0" w:hanging="606"/>
        <w:jc w:val="left"/>
        <w:rPr>
          <w:sz w:val="22"/>
        </w:rPr>
      </w:pPr>
      <w:r>
        <w:rPr>
          <w:spacing w:val="-2"/>
          <w:sz w:val="22"/>
        </w:rPr>
        <w:t>计日工表</w:t>
      </w:r>
    </w:p>
    <w:p>
      <w:pPr>
        <w:pStyle w:val="13"/>
        <w:numPr>
          <w:ilvl w:val="2"/>
          <w:numId w:val="90"/>
        </w:numPr>
        <w:tabs>
          <w:tab w:val="left" w:pos="1759"/>
        </w:tabs>
        <w:spacing w:before="4" w:after="0" w:line="240" w:lineRule="auto"/>
        <w:ind w:left="1758" w:right="0" w:hanging="606"/>
        <w:jc w:val="left"/>
        <w:rPr>
          <w:sz w:val="22"/>
        </w:rPr>
      </w:pPr>
      <w:r>
        <w:rPr>
          <w:spacing w:val="-3"/>
          <w:sz w:val="22"/>
        </w:rPr>
        <w:t>总承包服务费计价表</w:t>
      </w:r>
    </w:p>
    <w:p>
      <w:pPr>
        <w:pStyle w:val="13"/>
        <w:numPr>
          <w:ilvl w:val="1"/>
          <w:numId w:val="90"/>
        </w:numPr>
        <w:tabs>
          <w:tab w:val="left" w:pos="1538"/>
        </w:tabs>
        <w:spacing w:before="4" w:after="0" w:line="240" w:lineRule="auto"/>
        <w:ind w:left="1537" w:right="0" w:hanging="385"/>
        <w:jc w:val="left"/>
        <w:rPr>
          <w:sz w:val="22"/>
        </w:rPr>
      </w:pPr>
      <w:r>
        <w:rPr>
          <w:spacing w:val="-3"/>
          <w:sz w:val="22"/>
        </w:rPr>
        <w:t>规费、增值税项目清单与计价表</w:t>
      </w:r>
    </w:p>
    <w:p>
      <w:pPr>
        <w:pStyle w:val="13"/>
        <w:numPr>
          <w:ilvl w:val="1"/>
          <w:numId w:val="90"/>
        </w:numPr>
        <w:tabs>
          <w:tab w:val="left" w:pos="1538"/>
        </w:tabs>
        <w:spacing w:before="3" w:after="0" w:line="240" w:lineRule="auto"/>
        <w:ind w:left="1537" w:right="0" w:hanging="385"/>
        <w:jc w:val="left"/>
        <w:rPr>
          <w:sz w:val="22"/>
        </w:rPr>
      </w:pPr>
      <w:r>
        <w:rPr>
          <w:spacing w:val="-3"/>
          <w:sz w:val="22"/>
        </w:rPr>
        <w:t>主要综合单价分析项目汇总表</w:t>
      </w:r>
    </w:p>
    <w:p>
      <w:pPr>
        <w:pStyle w:val="13"/>
        <w:numPr>
          <w:ilvl w:val="1"/>
          <w:numId w:val="90"/>
        </w:numPr>
        <w:tabs>
          <w:tab w:val="left" w:pos="1538"/>
        </w:tabs>
        <w:spacing w:before="4" w:after="0" w:line="240" w:lineRule="auto"/>
        <w:ind w:left="1537" w:right="0" w:hanging="385"/>
        <w:jc w:val="left"/>
        <w:rPr>
          <w:sz w:val="22"/>
        </w:rPr>
      </w:pPr>
      <w:r>
        <w:rPr>
          <w:spacing w:val="-2"/>
          <w:sz w:val="22"/>
        </w:rPr>
        <w:t>主要材料</w:t>
      </w:r>
      <w:r>
        <w:rPr>
          <w:spacing w:val="-3"/>
          <w:sz w:val="22"/>
        </w:rPr>
        <w:t>（</w:t>
      </w:r>
      <w:r>
        <w:rPr>
          <w:sz w:val="22"/>
        </w:rPr>
        <w:t>设备</w:t>
      </w:r>
      <w:r>
        <w:rPr>
          <w:spacing w:val="-3"/>
          <w:sz w:val="22"/>
        </w:rPr>
        <w:t>）</w:t>
      </w:r>
      <w:r>
        <w:rPr>
          <w:spacing w:val="-1"/>
          <w:sz w:val="22"/>
        </w:rPr>
        <w:t>数量与计价表</w:t>
      </w:r>
    </w:p>
    <w:p>
      <w:pPr>
        <w:pStyle w:val="13"/>
        <w:numPr>
          <w:ilvl w:val="1"/>
          <w:numId w:val="90"/>
        </w:numPr>
        <w:tabs>
          <w:tab w:val="left" w:pos="1648"/>
        </w:tabs>
        <w:spacing w:before="1" w:after="0" w:line="240" w:lineRule="auto"/>
        <w:ind w:left="1648" w:right="0" w:hanging="495"/>
        <w:jc w:val="left"/>
        <w:rPr>
          <w:sz w:val="22"/>
        </w:rPr>
      </w:pPr>
      <w:r>
        <w:rPr>
          <w:spacing w:val="-3"/>
          <w:sz w:val="22"/>
        </w:rPr>
        <w:t>工程量清单综合单价分析表</w:t>
      </w:r>
    </w:p>
    <w:p>
      <w:pPr>
        <w:spacing w:after="0" w:line="240" w:lineRule="auto"/>
        <w:jc w:val="left"/>
        <w:rPr>
          <w:sz w:val="22"/>
        </w:rPr>
        <w:sectPr>
          <w:pgSz w:w="11910" w:h="16840"/>
          <w:pgMar w:top="1100" w:right="660" w:bottom="1200" w:left="800" w:header="878" w:footer="1003" w:gutter="0"/>
          <w:cols w:space="720" w:num="1"/>
        </w:sectPr>
      </w:pPr>
    </w:p>
    <w:p>
      <w:pPr>
        <w:pStyle w:val="9"/>
        <w:rPr>
          <w:sz w:val="20"/>
        </w:rPr>
      </w:pPr>
    </w:p>
    <w:p>
      <w:pPr>
        <w:pStyle w:val="9"/>
        <w:rPr>
          <w:sz w:val="20"/>
        </w:rPr>
      </w:pPr>
    </w:p>
    <w:p>
      <w:pPr>
        <w:pStyle w:val="9"/>
        <w:spacing w:before="11"/>
        <w:rPr>
          <w:sz w:val="16"/>
        </w:rPr>
      </w:pPr>
    </w:p>
    <w:p>
      <w:pPr>
        <w:pStyle w:val="9"/>
        <w:spacing w:line="364" w:lineRule="auto"/>
        <w:ind w:left="7516" w:right="2011" w:firstLine="36"/>
        <w:jc w:val="right"/>
      </w:pPr>
      <w:r>
        <w:t>报建号： 标段号：</w:t>
      </w:r>
    </w:p>
    <w:p>
      <w:pPr>
        <w:pStyle w:val="9"/>
        <w:spacing w:before="11"/>
        <w:rPr>
          <w:sz w:val="27"/>
        </w:rPr>
      </w:pPr>
    </w:p>
    <w:p>
      <w:pPr>
        <w:pStyle w:val="8"/>
        <w:spacing w:before="70"/>
        <w:ind w:left="568" w:right="727"/>
        <w:jc w:val="center"/>
      </w:pPr>
      <w:r>
        <w:t>投 标 总 价</w:t>
      </w:r>
    </w:p>
    <w:p>
      <w:pPr>
        <w:pStyle w:val="9"/>
        <w:rPr>
          <w:b/>
        </w:rPr>
      </w:pPr>
    </w:p>
    <w:p>
      <w:pPr>
        <w:pStyle w:val="9"/>
        <w:rPr>
          <w:b/>
        </w:rPr>
      </w:pPr>
    </w:p>
    <w:p>
      <w:pPr>
        <w:pStyle w:val="9"/>
        <w:rPr>
          <w:b/>
        </w:rPr>
      </w:pPr>
    </w:p>
    <w:p>
      <w:pPr>
        <w:pStyle w:val="9"/>
        <w:tabs>
          <w:tab w:val="left" w:pos="1280"/>
          <w:tab w:val="left" w:pos="1719"/>
          <w:tab w:val="left" w:pos="7824"/>
        </w:tabs>
        <w:spacing w:before="157"/>
        <w:ind w:left="731"/>
        <w:rPr>
          <w:rFonts w:ascii="Times New Roman" w:eastAsia="Times New Roman"/>
        </w:rPr>
      </w:pPr>
      <w:r>
        <w:t>招</w:t>
      </w:r>
      <w:r>
        <w:tab/>
      </w:r>
      <w:r>
        <w:t>标</w:t>
      </w:r>
      <w:r>
        <w:tab/>
      </w:r>
      <w:r>
        <w:rPr>
          <w:spacing w:val="-1"/>
        </w:rPr>
        <w:t>人：</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spacing w:before="1"/>
        <w:rPr>
          <w:rFonts w:ascii="Times New Roman"/>
          <w:sz w:val="23"/>
        </w:rPr>
      </w:pPr>
    </w:p>
    <w:p>
      <w:pPr>
        <w:pStyle w:val="9"/>
        <w:tabs>
          <w:tab w:val="left" w:pos="7824"/>
          <w:tab w:val="left" w:pos="7934"/>
        </w:tabs>
        <w:spacing w:before="77" w:line="364" w:lineRule="auto"/>
        <w:ind w:left="731" w:right="2510"/>
        <w:rPr>
          <w:rFonts w:ascii="Times New Roman" w:eastAsia="Times New Roman"/>
        </w:rPr>
      </w:pPr>
      <w:r>
        <w:t>工 程 名</w:t>
      </w:r>
      <w:r>
        <w:rPr>
          <w:spacing w:val="-3"/>
        </w:rPr>
        <w:t xml:space="preserve"> </w:t>
      </w:r>
      <w:r>
        <w:t>称：</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2"/>
          <w:u w:val="single"/>
        </w:rPr>
        <w:t xml:space="preserve">                                                  </w:t>
      </w:r>
      <w:r>
        <w:rPr>
          <w:rFonts w:ascii="Times New Roman" w:eastAsia="Times New Roman"/>
          <w:spacing w:val="100"/>
          <w:u w:val="single"/>
        </w:rPr>
        <w:t xml:space="preserve"> </w:t>
      </w:r>
      <w:r>
        <w:rPr>
          <w:spacing w:val="-2"/>
        </w:rPr>
        <w:t>投</w:t>
      </w:r>
      <w:r>
        <w:rPr>
          <w:spacing w:val="-3"/>
        </w:rPr>
        <w:t>标</w:t>
      </w:r>
      <w:r>
        <w:rPr>
          <w:spacing w:val="-2"/>
        </w:rPr>
        <w:t>总</w:t>
      </w:r>
      <w:r>
        <w:rPr>
          <w:spacing w:val="-1"/>
        </w:rPr>
        <w:t>价</w:t>
      </w:r>
      <w:r>
        <w:rPr>
          <w:spacing w:val="-3"/>
        </w:rPr>
        <w:t>（</w:t>
      </w:r>
      <w:r>
        <w:rPr>
          <w:spacing w:val="-1"/>
        </w:rPr>
        <w:t>小写）：</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9"/>
        <w:tabs>
          <w:tab w:val="left" w:pos="7934"/>
        </w:tabs>
        <w:ind w:left="1612"/>
        <w:rPr>
          <w:rFonts w:ascii="Times New Roman" w:eastAsia="Times New Roman"/>
        </w:rPr>
      </w:pPr>
      <w:r>
        <w:rPr>
          <w:spacing w:val="-2"/>
        </w:rPr>
        <w:t>（</w:t>
      </w:r>
      <w:r>
        <w:rPr>
          <w:spacing w:val="-3"/>
        </w:rPr>
        <w:t>大</w:t>
      </w:r>
      <w:r>
        <w:rPr>
          <w:spacing w:val="-2"/>
        </w:rPr>
        <w:t>写</w:t>
      </w:r>
      <w:r>
        <w:rPr>
          <w:spacing w:val="-1"/>
        </w:rPr>
        <w:t>）：</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5"/>
        <w:rPr>
          <w:rFonts w:ascii="Times New Roman"/>
          <w:sz w:val="20"/>
        </w:rPr>
      </w:pPr>
    </w:p>
    <w:p>
      <w:pPr>
        <w:pStyle w:val="9"/>
        <w:tabs>
          <w:tab w:val="left" w:pos="1280"/>
          <w:tab w:val="left" w:pos="1719"/>
          <w:tab w:val="left" w:pos="7934"/>
        </w:tabs>
        <w:spacing w:before="77"/>
        <w:ind w:left="731"/>
        <w:rPr>
          <w:rFonts w:ascii="Times New Roman" w:eastAsia="Times New Roman"/>
        </w:rPr>
      </w:pPr>
      <w:r>
        <w:t>投</w:t>
      </w:r>
      <w:r>
        <w:tab/>
      </w:r>
      <w:r>
        <w:t>标</w:t>
      </w:r>
      <w:r>
        <w:tab/>
      </w:r>
      <w:r>
        <w:rPr>
          <w:spacing w:val="-1"/>
        </w:rPr>
        <w:t>人：</w:t>
      </w:r>
      <w:r>
        <w:rPr>
          <w:rFonts w:ascii="Times New Roman" w:eastAsia="Times New Roman"/>
          <w:u w:val="single"/>
        </w:rPr>
        <w:t xml:space="preserve"> </w:t>
      </w:r>
      <w:r>
        <w:rPr>
          <w:rFonts w:ascii="Times New Roman" w:eastAsia="Times New Roman"/>
          <w:u w:val="single"/>
        </w:rPr>
        <w:tab/>
      </w:r>
    </w:p>
    <w:p>
      <w:pPr>
        <w:pStyle w:val="9"/>
        <w:spacing w:before="145"/>
        <w:ind w:left="2212" w:right="727"/>
        <w:jc w:val="center"/>
      </w:pPr>
      <w:r>
        <w:t>（单位公章）</w:t>
      </w:r>
    </w:p>
    <w:p>
      <w:pPr>
        <w:pStyle w:val="9"/>
      </w:pPr>
    </w:p>
    <w:p>
      <w:pPr>
        <w:pStyle w:val="9"/>
      </w:pPr>
    </w:p>
    <w:p>
      <w:pPr>
        <w:pStyle w:val="9"/>
      </w:pPr>
    </w:p>
    <w:p>
      <w:pPr>
        <w:pStyle w:val="9"/>
      </w:pPr>
    </w:p>
    <w:p>
      <w:pPr>
        <w:pStyle w:val="9"/>
        <w:spacing w:before="10"/>
        <w:rPr>
          <w:sz w:val="23"/>
        </w:rPr>
      </w:pPr>
    </w:p>
    <w:p>
      <w:pPr>
        <w:pStyle w:val="9"/>
        <w:ind w:left="731"/>
      </w:pPr>
      <w:r>
        <w:t>法定代表人</w:t>
      </w:r>
    </w:p>
    <w:p>
      <w:pPr>
        <w:pStyle w:val="9"/>
        <w:tabs>
          <w:tab w:val="left" w:pos="7824"/>
        </w:tabs>
        <w:spacing w:before="145"/>
        <w:ind w:left="731"/>
        <w:rPr>
          <w:rFonts w:ascii="Times New Roman" w:eastAsia="Times New Roman"/>
        </w:rPr>
      </w:pPr>
      <w:r>
        <w:rPr>
          <w:spacing w:val="-1"/>
        </w:rPr>
        <w:t>或</w:t>
      </w:r>
      <w:r>
        <w:rPr>
          <w:spacing w:val="-3"/>
        </w:rPr>
        <w:t>委</w:t>
      </w:r>
      <w:r>
        <w:rPr>
          <w:spacing w:val="-1"/>
        </w:rPr>
        <w:t>托代</w:t>
      </w:r>
      <w:r>
        <w:rPr>
          <w:spacing w:val="-3"/>
        </w:rPr>
        <w:t>理</w:t>
      </w:r>
      <w:r>
        <w:rPr>
          <w:spacing w:val="-1"/>
        </w:rPr>
        <w:t>人：</w:t>
      </w:r>
      <w:r>
        <w:rPr>
          <w:rFonts w:ascii="Times New Roman" w:eastAsia="Times New Roman"/>
          <w:u w:val="single"/>
        </w:rPr>
        <w:t xml:space="preserve"> </w:t>
      </w:r>
      <w:r>
        <w:rPr>
          <w:rFonts w:ascii="Times New Roman" w:eastAsia="Times New Roman"/>
          <w:u w:val="single"/>
        </w:rPr>
        <w:tab/>
      </w:r>
    </w:p>
    <w:p>
      <w:pPr>
        <w:pStyle w:val="9"/>
        <w:spacing w:before="146"/>
        <w:ind w:left="4916"/>
      </w:pPr>
      <w:r>
        <w:t>（签字或盖章）</w:t>
      </w:r>
    </w:p>
    <w:p>
      <w:pPr>
        <w:pStyle w:val="9"/>
      </w:pPr>
    </w:p>
    <w:p>
      <w:pPr>
        <w:pStyle w:val="9"/>
      </w:pPr>
    </w:p>
    <w:p>
      <w:pPr>
        <w:pStyle w:val="9"/>
      </w:pPr>
    </w:p>
    <w:p>
      <w:pPr>
        <w:pStyle w:val="9"/>
      </w:pPr>
    </w:p>
    <w:p>
      <w:pPr>
        <w:pStyle w:val="9"/>
        <w:spacing w:before="9"/>
        <w:rPr>
          <w:sz w:val="23"/>
        </w:rPr>
      </w:pPr>
    </w:p>
    <w:p>
      <w:pPr>
        <w:pStyle w:val="9"/>
        <w:tabs>
          <w:tab w:val="left" w:pos="1170"/>
          <w:tab w:val="left" w:pos="1611"/>
          <w:tab w:val="left" w:pos="7824"/>
        </w:tabs>
        <w:ind w:left="731"/>
        <w:rPr>
          <w:rFonts w:ascii="Times New Roman" w:eastAsia="Times New Roman"/>
        </w:rPr>
      </w:pPr>
      <w:r>
        <w:t>编</w:t>
      </w:r>
      <w:r>
        <w:tab/>
      </w:r>
      <w:r>
        <w:t>制</w:t>
      </w:r>
      <w:r>
        <w:tab/>
      </w:r>
      <w:r>
        <w:rPr>
          <w:spacing w:val="-1"/>
        </w:rPr>
        <w:t>人</w:t>
      </w:r>
      <w:r>
        <w:rPr>
          <w:spacing w:val="-3"/>
        </w:rPr>
        <w:t>：</w:t>
      </w:r>
      <w:r>
        <w:rPr>
          <w:rFonts w:ascii="Times New Roman" w:eastAsia="Times New Roman"/>
          <w:u w:val="single"/>
        </w:rPr>
        <w:t xml:space="preserve"> </w:t>
      </w:r>
      <w:r>
        <w:rPr>
          <w:rFonts w:ascii="Times New Roman" w:eastAsia="Times New Roman"/>
          <w:u w:val="single"/>
        </w:rPr>
        <w:tab/>
      </w:r>
    </w:p>
    <w:p>
      <w:pPr>
        <w:pStyle w:val="9"/>
        <w:spacing w:before="145"/>
        <w:ind w:left="4912"/>
      </w:pPr>
      <w:r>
        <w:t>（造价人员签字）</w:t>
      </w:r>
    </w:p>
    <w:p>
      <w:pPr>
        <w:pStyle w:val="9"/>
      </w:pPr>
    </w:p>
    <w:p>
      <w:pPr>
        <w:pStyle w:val="9"/>
        <w:spacing w:before="11"/>
      </w:pPr>
    </w:p>
    <w:p>
      <w:pPr>
        <w:pStyle w:val="9"/>
        <w:tabs>
          <w:tab w:val="left" w:pos="2379"/>
          <w:tab w:val="left" w:pos="3039"/>
          <w:tab w:val="left" w:pos="3699"/>
        </w:tabs>
        <w:spacing w:before="1"/>
        <w:ind w:left="731"/>
      </w:pPr>
      <w:r>
        <w:t>编</w:t>
      </w:r>
      <w:r>
        <w:rPr>
          <w:spacing w:val="-3"/>
        </w:rPr>
        <w:t>制</w:t>
      </w:r>
      <w:r>
        <w:t>时间：</w:t>
      </w:r>
      <w:r>
        <w:tab/>
      </w:r>
      <w:r>
        <w:t>年</w:t>
      </w:r>
      <w:r>
        <w:tab/>
      </w:r>
      <w:r>
        <w:t>月</w:t>
      </w:r>
      <w:r>
        <w:tab/>
      </w:r>
      <w:r>
        <w:t>日</w:t>
      </w:r>
    </w:p>
    <w:p>
      <w:pPr>
        <w:spacing w:after="0"/>
        <w:sectPr>
          <w:pgSz w:w="11910" w:h="16840"/>
          <w:pgMar w:top="1100" w:right="660" w:bottom="1200" w:left="800" w:header="878" w:footer="1003" w:gutter="0"/>
          <w:cols w:space="720" w:num="1"/>
        </w:sectPr>
      </w:pPr>
    </w:p>
    <w:p>
      <w:pPr>
        <w:pStyle w:val="9"/>
        <w:rPr>
          <w:sz w:val="20"/>
        </w:rPr>
      </w:pPr>
    </w:p>
    <w:p>
      <w:pPr>
        <w:pStyle w:val="9"/>
        <w:rPr>
          <w:sz w:val="20"/>
        </w:rPr>
      </w:pPr>
    </w:p>
    <w:p>
      <w:pPr>
        <w:pStyle w:val="9"/>
        <w:spacing w:before="11"/>
        <w:rPr>
          <w:sz w:val="16"/>
        </w:rPr>
      </w:pPr>
    </w:p>
    <w:p>
      <w:pPr>
        <w:pStyle w:val="8"/>
        <w:ind w:left="573" w:right="727"/>
        <w:jc w:val="center"/>
      </w:pPr>
      <w:r>
        <w:t>投标报价总说明</w:t>
      </w:r>
    </w:p>
    <w:p>
      <w:pPr>
        <w:pStyle w:val="9"/>
        <w:spacing w:before="8"/>
        <w:rPr>
          <w:b/>
          <w:sz w:val="32"/>
        </w:rPr>
      </w:pPr>
    </w:p>
    <w:p>
      <w:pPr>
        <w:pStyle w:val="6"/>
        <w:ind w:left="573"/>
      </w:pPr>
      <w:r>
        <w:t>建设工程投标报价汇总表</w:t>
      </w:r>
    </w:p>
    <w:p>
      <w:pPr>
        <w:pStyle w:val="9"/>
        <w:tabs>
          <w:tab w:val="left" w:pos="4359"/>
          <w:tab w:val="left" w:pos="7110"/>
          <w:tab w:val="left" w:pos="7551"/>
          <w:tab w:val="left" w:pos="8319"/>
        </w:tabs>
        <w:spacing w:before="159"/>
        <w:ind w:left="951"/>
      </w:pPr>
      <w:r>
        <w:t>工</w:t>
      </w:r>
      <w:r>
        <w:rPr>
          <w:spacing w:val="-3"/>
        </w:rPr>
        <w:t>程</w:t>
      </w:r>
      <w:r>
        <w:t>名称：</w:t>
      </w:r>
      <w:r>
        <w:tab/>
      </w:r>
      <w:r>
        <w:t>标</w:t>
      </w:r>
      <w:r>
        <w:rPr>
          <w:spacing w:val="-3"/>
        </w:rPr>
        <w:t>段</w:t>
      </w:r>
      <w:r>
        <w:t>：</w:t>
      </w:r>
      <w:r>
        <w:tab/>
      </w:r>
      <w:r>
        <w:t>第</w:t>
      </w:r>
      <w:r>
        <w:tab/>
      </w:r>
      <w:r>
        <w:t>页</w:t>
      </w:r>
      <w:r>
        <w:rPr>
          <w:spacing w:val="-3"/>
        </w:rPr>
        <w:t xml:space="preserve"> </w:t>
      </w:r>
      <w:r>
        <w:t>共</w:t>
      </w:r>
      <w:r>
        <w:tab/>
      </w:r>
      <w:r>
        <w:t>页</w:t>
      </w:r>
    </w:p>
    <w:p>
      <w:pPr>
        <w:pStyle w:val="9"/>
        <w:spacing w:before="4" w:after="1"/>
        <w:rPr>
          <w:sz w:val="11"/>
        </w:rPr>
      </w:pPr>
    </w:p>
    <w:tbl>
      <w:tblPr>
        <w:tblW w:w="9030" w:type="dxa"/>
        <w:tblInd w:w="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4143"/>
        <w:gridCol w:w="1700"/>
        <w:gridCol w:w="2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956" w:type="dxa"/>
            <w:vAlign w:val="top"/>
          </w:tcPr>
          <w:p>
            <w:pPr>
              <w:pStyle w:val="14"/>
              <w:spacing w:before="10"/>
              <w:rPr>
                <w:sz w:val="16"/>
              </w:rPr>
            </w:pPr>
          </w:p>
          <w:p>
            <w:pPr>
              <w:pStyle w:val="14"/>
              <w:ind w:left="256"/>
              <w:rPr>
                <w:sz w:val="22"/>
              </w:rPr>
            </w:pPr>
            <w:r>
              <w:rPr>
                <w:sz w:val="22"/>
              </w:rPr>
              <w:t>序号</w:t>
            </w:r>
          </w:p>
        </w:tc>
        <w:tc>
          <w:tcPr>
            <w:tcW w:w="4143" w:type="dxa"/>
            <w:vAlign w:val="top"/>
          </w:tcPr>
          <w:p>
            <w:pPr>
              <w:pStyle w:val="14"/>
              <w:spacing w:before="10"/>
              <w:rPr>
                <w:sz w:val="16"/>
              </w:rPr>
            </w:pPr>
          </w:p>
          <w:p>
            <w:pPr>
              <w:pStyle w:val="14"/>
              <w:tabs>
                <w:tab w:val="left" w:pos="1741"/>
                <w:tab w:val="left" w:pos="2180"/>
                <w:tab w:val="left" w:pos="2619"/>
              </w:tabs>
              <w:ind w:left="1299"/>
              <w:rPr>
                <w:sz w:val="22"/>
              </w:rPr>
            </w:pPr>
            <w:r>
              <w:rPr>
                <w:sz w:val="22"/>
              </w:rPr>
              <w:t>汇</w:t>
            </w:r>
            <w:r>
              <w:rPr>
                <w:sz w:val="22"/>
              </w:rPr>
              <w:tab/>
            </w:r>
            <w:r>
              <w:rPr>
                <w:sz w:val="22"/>
              </w:rPr>
              <w:t>总</w:t>
            </w:r>
            <w:r>
              <w:rPr>
                <w:sz w:val="22"/>
              </w:rPr>
              <w:tab/>
            </w:r>
            <w:r>
              <w:rPr>
                <w:sz w:val="22"/>
              </w:rPr>
              <w:t>内</w:t>
            </w:r>
            <w:r>
              <w:rPr>
                <w:sz w:val="22"/>
              </w:rPr>
              <w:tab/>
            </w:r>
            <w:r>
              <w:rPr>
                <w:sz w:val="22"/>
              </w:rPr>
              <w:t>容</w:t>
            </w:r>
          </w:p>
        </w:tc>
        <w:tc>
          <w:tcPr>
            <w:tcW w:w="1700" w:type="dxa"/>
            <w:vAlign w:val="top"/>
          </w:tcPr>
          <w:p>
            <w:pPr>
              <w:pStyle w:val="14"/>
              <w:spacing w:before="10"/>
              <w:rPr>
                <w:sz w:val="16"/>
              </w:rPr>
            </w:pPr>
          </w:p>
          <w:p>
            <w:pPr>
              <w:pStyle w:val="14"/>
              <w:ind w:left="298"/>
              <w:rPr>
                <w:sz w:val="22"/>
              </w:rPr>
            </w:pPr>
            <w:r>
              <w:rPr>
                <w:sz w:val="22"/>
              </w:rPr>
              <w:t>金额（元）</w:t>
            </w:r>
          </w:p>
        </w:tc>
        <w:tc>
          <w:tcPr>
            <w:tcW w:w="2231" w:type="dxa"/>
            <w:vAlign w:val="top"/>
          </w:tcPr>
          <w:p>
            <w:pPr>
              <w:pStyle w:val="14"/>
              <w:spacing w:before="2"/>
              <w:ind w:left="216" w:right="205"/>
              <w:jc w:val="center"/>
              <w:rPr>
                <w:sz w:val="22"/>
              </w:rPr>
            </w:pPr>
            <w:r>
              <w:rPr>
                <w:sz w:val="22"/>
              </w:rPr>
              <w:t>其中：材料暂估价</w:t>
            </w:r>
          </w:p>
          <w:p>
            <w:pPr>
              <w:pStyle w:val="14"/>
              <w:spacing w:before="145"/>
              <w:ind w:left="214" w:right="205"/>
              <w:jc w:val="center"/>
              <w:rPr>
                <w:sz w:val="22"/>
              </w:rPr>
            </w:pPr>
            <w:r>
              <w:rPr>
                <w:sz w:val="22"/>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956" w:type="dxa"/>
            <w:vAlign w:val="top"/>
          </w:tcPr>
          <w:p>
            <w:pPr>
              <w:pStyle w:val="14"/>
              <w:spacing w:before="26"/>
              <w:ind w:left="9"/>
              <w:jc w:val="center"/>
              <w:rPr>
                <w:sz w:val="22"/>
              </w:rPr>
            </w:pPr>
            <w:r>
              <w:rPr>
                <w:w w:val="100"/>
                <w:sz w:val="22"/>
              </w:rPr>
              <w:t>1</w:t>
            </w:r>
          </w:p>
        </w:tc>
        <w:tc>
          <w:tcPr>
            <w:tcW w:w="4143" w:type="dxa"/>
            <w:vAlign w:val="top"/>
          </w:tcPr>
          <w:p>
            <w:pPr>
              <w:pStyle w:val="14"/>
              <w:spacing w:before="26"/>
              <w:ind w:left="107"/>
              <w:rPr>
                <w:sz w:val="22"/>
              </w:rPr>
            </w:pPr>
            <w:r>
              <w:rPr>
                <w:sz w:val="22"/>
              </w:rPr>
              <w:t>单体工程投标价格汇总</w:t>
            </w: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956" w:type="dxa"/>
            <w:vAlign w:val="top"/>
          </w:tcPr>
          <w:p>
            <w:pPr>
              <w:pStyle w:val="14"/>
              <w:spacing w:before="25"/>
              <w:ind w:left="311"/>
              <w:rPr>
                <w:sz w:val="22"/>
              </w:rPr>
            </w:pPr>
            <w:r>
              <w:rPr>
                <w:sz w:val="22"/>
              </w:rPr>
              <w:t>1.1</w:t>
            </w:r>
          </w:p>
        </w:tc>
        <w:tc>
          <w:tcPr>
            <w:tcW w:w="4143" w:type="dxa"/>
            <w:vAlign w:val="top"/>
          </w:tcPr>
          <w:p>
            <w:pPr>
              <w:pStyle w:val="14"/>
              <w:rPr>
                <w:rFonts w:ascii="Times New Roman"/>
                <w:sz w:val="20"/>
              </w:rPr>
            </w:pP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56" w:type="dxa"/>
            <w:vAlign w:val="top"/>
          </w:tcPr>
          <w:p>
            <w:pPr>
              <w:pStyle w:val="14"/>
              <w:spacing w:before="26"/>
              <w:ind w:left="311"/>
              <w:rPr>
                <w:sz w:val="22"/>
              </w:rPr>
            </w:pPr>
            <w:r>
              <w:rPr>
                <w:sz w:val="22"/>
              </w:rPr>
              <w:t>1.2</w:t>
            </w:r>
          </w:p>
        </w:tc>
        <w:tc>
          <w:tcPr>
            <w:tcW w:w="4143" w:type="dxa"/>
            <w:vAlign w:val="top"/>
          </w:tcPr>
          <w:p>
            <w:pPr>
              <w:pStyle w:val="14"/>
              <w:rPr>
                <w:rFonts w:ascii="Times New Roman"/>
                <w:sz w:val="20"/>
              </w:rPr>
            </w:pP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56" w:type="dxa"/>
            <w:vAlign w:val="top"/>
          </w:tcPr>
          <w:p>
            <w:pPr>
              <w:pStyle w:val="14"/>
              <w:spacing w:before="25"/>
              <w:ind w:left="311"/>
              <w:rPr>
                <w:sz w:val="22"/>
              </w:rPr>
            </w:pPr>
            <w:r>
              <w:rPr>
                <w:sz w:val="22"/>
              </w:rPr>
              <w:t>1.3</w:t>
            </w:r>
          </w:p>
        </w:tc>
        <w:tc>
          <w:tcPr>
            <w:tcW w:w="4143" w:type="dxa"/>
            <w:vAlign w:val="top"/>
          </w:tcPr>
          <w:p>
            <w:pPr>
              <w:pStyle w:val="14"/>
              <w:rPr>
                <w:rFonts w:ascii="Times New Roman"/>
                <w:sz w:val="20"/>
              </w:rPr>
            </w:pP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956" w:type="dxa"/>
            <w:vAlign w:val="top"/>
          </w:tcPr>
          <w:p>
            <w:pPr>
              <w:pStyle w:val="14"/>
              <w:spacing w:before="26"/>
              <w:ind w:left="311"/>
              <w:rPr>
                <w:sz w:val="22"/>
              </w:rPr>
            </w:pPr>
            <w:r>
              <w:rPr>
                <w:sz w:val="22"/>
              </w:rPr>
              <w:t>1.4</w:t>
            </w:r>
          </w:p>
        </w:tc>
        <w:tc>
          <w:tcPr>
            <w:tcW w:w="4143" w:type="dxa"/>
            <w:vAlign w:val="top"/>
          </w:tcPr>
          <w:p>
            <w:pPr>
              <w:pStyle w:val="14"/>
              <w:rPr>
                <w:rFonts w:ascii="Times New Roman"/>
                <w:sz w:val="20"/>
              </w:rPr>
            </w:pP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56" w:type="dxa"/>
            <w:vAlign w:val="top"/>
          </w:tcPr>
          <w:p>
            <w:pPr>
              <w:pStyle w:val="14"/>
              <w:spacing w:before="25"/>
              <w:ind w:left="311"/>
              <w:rPr>
                <w:sz w:val="22"/>
              </w:rPr>
            </w:pPr>
            <w:r>
              <w:rPr>
                <w:sz w:val="22"/>
              </w:rPr>
              <w:t>1.5</w:t>
            </w:r>
          </w:p>
        </w:tc>
        <w:tc>
          <w:tcPr>
            <w:tcW w:w="4143" w:type="dxa"/>
            <w:vAlign w:val="top"/>
          </w:tcPr>
          <w:p>
            <w:pPr>
              <w:pStyle w:val="14"/>
              <w:rPr>
                <w:rFonts w:ascii="Times New Roman"/>
                <w:sz w:val="20"/>
              </w:rPr>
            </w:pP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56" w:type="dxa"/>
            <w:vAlign w:val="top"/>
          </w:tcPr>
          <w:p>
            <w:pPr>
              <w:pStyle w:val="14"/>
              <w:rPr>
                <w:rFonts w:ascii="Times New Roman"/>
                <w:sz w:val="20"/>
              </w:rPr>
            </w:pPr>
          </w:p>
        </w:tc>
        <w:tc>
          <w:tcPr>
            <w:tcW w:w="4143" w:type="dxa"/>
            <w:vAlign w:val="top"/>
          </w:tcPr>
          <w:p>
            <w:pPr>
              <w:pStyle w:val="14"/>
              <w:rPr>
                <w:rFonts w:ascii="Times New Roman"/>
                <w:sz w:val="20"/>
              </w:rPr>
            </w:pP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56" w:type="dxa"/>
            <w:vAlign w:val="top"/>
          </w:tcPr>
          <w:p>
            <w:pPr>
              <w:pStyle w:val="14"/>
              <w:rPr>
                <w:rFonts w:ascii="Times New Roman"/>
                <w:sz w:val="20"/>
              </w:rPr>
            </w:pPr>
          </w:p>
        </w:tc>
        <w:tc>
          <w:tcPr>
            <w:tcW w:w="4143" w:type="dxa"/>
            <w:vAlign w:val="top"/>
          </w:tcPr>
          <w:p>
            <w:pPr>
              <w:pStyle w:val="14"/>
              <w:rPr>
                <w:rFonts w:ascii="Times New Roman"/>
                <w:sz w:val="20"/>
              </w:rPr>
            </w:pP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56" w:type="dxa"/>
            <w:vAlign w:val="top"/>
          </w:tcPr>
          <w:p>
            <w:pPr>
              <w:pStyle w:val="14"/>
              <w:spacing w:before="26"/>
              <w:ind w:left="9"/>
              <w:jc w:val="center"/>
              <w:rPr>
                <w:sz w:val="22"/>
              </w:rPr>
            </w:pPr>
            <w:r>
              <w:rPr>
                <w:w w:val="100"/>
                <w:sz w:val="22"/>
              </w:rPr>
              <w:t>2</w:t>
            </w:r>
          </w:p>
        </w:tc>
        <w:tc>
          <w:tcPr>
            <w:tcW w:w="4143" w:type="dxa"/>
            <w:vAlign w:val="top"/>
          </w:tcPr>
          <w:p>
            <w:pPr>
              <w:pStyle w:val="14"/>
              <w:spacing w:before="26"/>
              <w:ind w:left="107"/>
              <w:rPr>
                <w:sz w:val="22"/>
              </w:rPr>
            </w:pPr>
            <w:r>
              <w:rPr>
                <w:sz w:val="22"/>
              </w:rPr>
              <w:t>措施项目费</w:t>
            </w: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956" w:type="dxa"/>
            <w:vAlign w:val="top"/>
          </w:tcPr>
          <w:p>
            <w:pPr>
              <w:pStyle w:val="14"/>
              <w:spacing w:before="25"/>
              <w:ind w:left="311"/>
              <w:rPr>
                <w:sz w:val="22"/>
              </w:rPr>
            </w:pPr>
            <w:r>
              <w:rPr>
                <w:sz w:val="22"/>
              </w:rPr>
              <w:t>2.1</w:t>
            </w:r>
          </w:p>
        </w:tc>
        <w:tc>
          <w:tcPr>
            <w:tcW w:w="4143" w:type="dxa"/>
            <w:vAlign w:val="top"/>
          </w:tcPr>
          <w:p>
            <w:pPr>
              <w:pStyle w:val="14"/>
              <w:spacing w:before="25"/>
              <w:ind w:left="107"/>
              <w:rPr>
                <w:sz w:val="22"/>
              </w:rPr>
            </w:pPr>
            <w:r>
              <w:rPr>
                <w:sz w:val="22"/>
              </w:rPr>
              <w:t>总价措施费</w:t>
            </w: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56" w:type="dxa"/>
            <w:vAlign w:val="top"/>
          </w:tcPr>
          <w:p>
            <w:pPr>
              <w:pStyle w:val="14"/>
              <w:spacing w:before="26"/>
              <w:ind w:left="201"/>
              <w:rPr>
                <w:sz w:val="22"/>
              </w:rPr>
            </w:pPr>
            <w:r>
              <w:rPr>
                <w:sz w:val="22"/>
              </w:rPr>
              <w:t>2.1.1</w:t>
            </w:r>
          </w:p>
        </w:tc>
        <w:tc>
          <w:tcPr>
            <w:tcW w:w="4143" w:type="dxa"/>
            <w:vAlign w:val="top"/>
          </w:tcPr>
          <w:p>
            <w:pPr>
              <w:pStyle w:val="14"/>
              <w:spacing w:before="26"/>
              <w:ind w:left="107"/>
              <w:rPr>
                <w:sz w:val="22"/>
              </w:rPr>
            </w:pPr>
            <w:r>
              <w:rPr>
                <w:sz w:val="22"/>
              </w:rPr>
              <w:t>安全防护、文明施工费</w:t>
            </w: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56" w:type="dxa"/>
            <w:vAlign w:val="top"/>
          </w:tcPr>
          <w:p>
            <w:pPr>
              <w:pStyle w:val="14"/>
              <w:spacing w:before="25"/>
              <w:ind w:left="201"/>
              <w:rPr>
                <w:sz w:val="22"/>
              </w:rPr>
            </w:pPr>
            <w:r>
              <w:rPr>
                <w:sz w:val="22"/>
              </w:rPr>
              <w:t>2.1.2</w:t>
            </w:r>
          </w:p>
        </w:tc>
        <w:tc>
          <w:tcPr>
            <w:tcW w:w="4143" w:type="dxa"/>
            <w:vAlign w:val="top"/>
          </w:tcPr>
          <w:p>
            <w:pPr>
              <w:pStyle w:val="14"/>
              <w:spacing w:before="25"/>
              <w:ind w:left="433"/>
              <w:rPr>
                <w:sz w:val="22"/>
              </w:rPr>
            </w:pPr>
            <w:r>
              <w:rPr>
                <w:sz w:val="22"/>
              </w:rPr>
              <w:t>其他措施项目费</w:t>
            </w: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56" w:type="dxa"/>
            <w:vAlign w:val="top"/>
          </w:tcPr>
          <w:p>
            <w:pPr>
              <w:pStyle w:val="14"/>
              <w:spacing w:before="26"/>
              <w:ind w:left="311"/>
              <w:rPr>
                <w:sz w:val="22"/>
              </w:rPr>
            </w:pPr>
            <w:r>
              <w:rPr>
                <w:sz w:val="22"/>
              </w:rPr>
              <w:t>2.2</w:t>
            </w:r>
          </w:p>
        </w:tc>
        <w:tc>
          <w:tcPr>
            <w:tcW w:w="4143" w:type="dxa"/>
            <w:vAlign w:val="top"/>
          </w:tcPr>
          <w:p>
            <w:pPr>
              <w:pStyle w:val="14"/>
              <w:spacing w:before="26"/>
              <w:ind w:left="433"/>
              <w:rPr>
                <w:sz w:val="22"/>
              </w:rPr>
            </w:pPr>
            <w:r>
              <w:rPr>
                <w:sz w:val="22"/>
              </w:rPr>
              <w:t>单价措施费</w:t>
            </w: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956" w:type="dxa"/>
            <w:vAlign w:val="top"/>
          </w:tcPr>
          <w:p>
            <w:pPr>
              <w:pStyle w:val="14"/>
              <w:spacing w:before="25"/>
              <w:ind w:left="9"/>
              <w:jc w:val="center"/>
              <w:rPr>
                <w:sz w:val="22"/>
              </w:rPr>
            </w:pPr>
            <w:r>
              <w:rPr>
                <w:w w:val="100"/>
                <w:sz w:val="22"/>
              </w:rPr>
              <w:t>3</w:t>
            </w:r>
          </w:p>
        </w:tc>
        <w:tc>
          <w:tcPr>
            <w:tcW w:w="4143" w:type="dxa"/>
            <w:vAlign w:val="top"/>
          </w:tcPr>
          <w:p>
            <w:pPr>
              <w:pStyle w:val="14"/>
              <w:spacing w:before="25"/>
              <w:ind w:left="107"/>
              <w:rPr>
                <w:sz w:val="22"/>
              </w:rPr>
            </w:pPr>
            <w:r>
              <w:rPr>
                <w:sz w:val="22"/>
              </w:rPr>
              <w:t>其他项目费</w:t>
            </w: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56" w:type="dxa"/>
            <w:vAlign w:val="top"/>
          </w:tcPr>
          <w:p>
            <w:pPr>
              <w:pStyle w:val="14"/>
              <w:spacing w:before="26"/>
              <w:ind w:left="311"/>
              <w:rPr>
                <w:sz w:val="22"/>
              </w:rPr>
            </w:pPr>
            <w:r>
              <w:rPr>
                <w:sz w:val="22"/>
              </w:rPr>
              <w:t>3.1</w:t>
            </w:r>
          </w:p>
        </w:tc>
        <w:tc>
          <w:tcPr>
            <w:tcW w:w="4143" w:type="dxa"/>
            <w:vAlign w:val="top"/>
          </w:tcPr>
          <w:p>
            <w:pPr>
              <w:pStyle w:val="14"/>
              <w:spacing w:before="26"/>
              <w:ind w:left="433"/>
              <w:rPr>
                <w:sz w:val="22"/>
              </w:rPr>
            </w:pPr>
            <w:r>
              <w:rPr>
                <w:sz w:val="22"/>
              </w:rPr>
              <w:t>暂列金额</w:t>
            </w: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956" w:type="dxa"/>
            <w:vAlign w:val="top"/>
          </w:tcPr>
          <w:p>
            <w:pPr>
              <w:pStyle w:val="14"/>
              <w:spacing w:before="25"/>
              <w:ind w:left="311"/>
              <w:rPr>
                <w:sz w:val="22"/>
              </w:rPr>
            </w:pPr>
            <w:r>
              <w:rPr>
                <w:sz w:val="22"/>
              </w:rPr>
              <w:t>3.2</w:t>
            </w:r>
          </w:p>
        </w:tc>
        <w:tc>
          <w:tcPr>
            <w:tcW w:w="4143" w:type="dxa"/>
            <w:vAlign w:val="top"/>
          </w:tcPr>
          <w:p>
            <w:pPr>
              <w:pStyle w:val="14"/>
              <w:spacing w:before="25"/>
              <w:ind w:left="433"/>
              <w:rPr>
                <w:sz w:val="22"/>
              </w:rPr>
            </w:pPr>
            <w:r>
              <w:rPr>
                <w:sz w:val="22"/>
              </w:rPr>
              <w:t>专业工程暂估价</w:t>
            </w: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56" w:type="dxa"/>
            <w:vAlign w:val="top"/>
          </w:tcPr>
          <w:p>
            <w:pPr>
              <w:pStyle w:val="14"/>
              <w:spacing w:before="26"/>
              <w:ind w:left="311"/>
              <w:rPr>
                <w:sz w:val="22"/>
              </w:rPr>
            </w:pPr>
            <w:r>
              <w:rPr>
                <w:sz w:val="22"/>
              </w:rPr>
              <w:t>3.3</w:t>
            </w:r>
          </w:p>
        </w:tc>
        <w:tc>
          <w:tcPr>
            <w:tcW w:w="4143" w:type="dxa"/>
            <w:vAlign w:val="top"/>
          </w:tcPr>
          <w:p>
            <w:pPr>
              <w:pStyle w:val="14"/>
              <w:spacing w:before="26"/>
              <w:ind w:left="433"/>
              <w:rPr>
                <w:sz w:val="22"/>
              </w:rPr>
            </w:pPr>
            <w:r>
              <w:rPr>
                <w:sz w:val="22"/>
              </w:rPr>
              <w:t>计日工</w:t>
            </w: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956" w:type="dxa"/>
            <w:vAlign w:val="top"/>
          </w:tcPr>
          <w:p>
            <w:pPr>
              <w:pStyle w:val="14"/>
              <w:spacing w:before="25"/>
              <w:ind w:left="311"/>
              <w:rPr>
                <w:sz w:val="22"/>
              </w:rPr>
            </w:pPr>
            <w:r>
              <w:rPr>
                <w:sz w:val="22"/>
              </w:rPr>
              <w:t>3.4</w:t>
            </w:r>
          </w:p>
        </w:tc>
        <w:tc>
          <w:tcPr>
            <w:tcW w:w="4143" w:type="dxa"/>
            <w:vAlign w:val="top"/>
          </w:tcPr>
          <w:p>
            <w:pPr>
              <w:pStyle w:val="14"/>
              <w:spacing w:before="25"/>
              <w:ind w:left="433"/>
              <w:rPr>
                <w:sz w:val="22"/>
              </w:rPr>
            </w:pPr>
            <w:r>
              <w:rPr>
                <w:sz w:val="22"/>
              </w:rPr>
              <w:t>总承包服务费</w:t>
            </w: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956" w:type="dxa"/>
            <w:vAlign w:val="top"/>
          </w:tcPr>
          <w:p>
            <w:pPr>
              <w:pStyle w:val="14"/>
              <w:spacing w:before="26"/>
              <w:ind w:left="9"/>
              <w:jc w:val="center"/>
              <w:rPr>
                <w:sz w:val="22"/>
              </w:rPr>
            </w:pPr>
            <w:r>
              <w:rPr>
                <w:w w:val="100"/>
                <w:sz w:val="22"/>
              </w:rPr>
              <w:t>4</w:t>
            </w:r>
          </w:p>
        </w:tc>
        <w:tc>
          <w:tcPr>
            <w:tcW w:w="4143" w:type="dxa"/>
            <w:vAlign w:val="top"/>
          </w:tcPr>
          <w:p>
            <w:pPr>
              <w:pStyle w:val="14"/>
              <w:spacing w:before="26"/>
              <w:ind w:left="107"/>
              <w:rPr>
                <w:sz w:val="22"/>
              </w:rPr>
            </w:pPr>
            <w:r>
              <w:rPr>
                <w:sz w:val="22"/>
              </w:rPr>
              <w:t>规费</w:t>
            </w: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6" w:hRule="atLeast"/>
        </w:trPr>
        <w:tc>
          <w:tcPr>
            <w:tcW w:w="956" w:type="dxa"/>
            <w:vAlign w:val="top"/>
          </w:tcPr>
          <w:p>
            <w:pPr>
              <w:pStyle w:val="14"/>
              <w:spacing w:before="25"/>
              <w:ind w:left="9"/>
              <w:jc w:val="center"/>
              <w:rPr>
                <w:sz w:val="22"/>
              </w:rPr>
            </w:pPr>
            <w:r>
              <w:rPr>
                <w:w w:val="100"/>
                <w:sz w:val="22"/>
              </w:rPr>
              <w:t>5</w:t>
            </w:r>
          </w:p>
        </w:tc>
        <w:tc>
          <w:tcPr>
            <w:tcW w:w="4143" w:type="dxa"/>
            <w:vAlign w:val="top"/>
          </w:tcPr>
          <w:p>
            <w:pPr>
              <w:pStyle w:val="14"/>
              <w:spacing w:before="25"/>
              <w:ind w:left="107"/>
              <w:rPr>
                <w:sz w:val="22"/>
              </w:rPr>
            </w:pPr>
            <w:r>
              <w:rPr>
                <w:sz w:val="22"/>
              </w:rPr>
              <w:t>增值税</w:t>
            </w: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trPr>
        <w:tc>
          <w:tcPr>
            <w:tcW w:w="5099" w:type="dxa"/>
            <w:gridSpan w:val="2"/>
            <w:vAlign w:val="top"/>
          </w:tcPr>
          <w:p>
            <w:pPr>
              <w:pStyle w:val="14"/>
              <w:spacing w:before="26"/>
              <w:ind w:left="1758" w:right="1750"/>
              <w:jc w:val="center"/>
              <w:rPr>
                <w:sz w:val="22"/>
              </w:rPr>
            </w:pPr>
            <w:r>
              <w:rPr>
                <w:sz w:val="22"/>
              </w:rPr>
              <w:t>合计=1+2+3+4+5</w:t>
            </w:r>
          </w:p>
        </w:tc>
        <w:tc>
          <w:tcPr>
            <w:tcW w:w="1700" w:type="dxa"/>
            <w:vAlign w:val="top"/>
          </w:tcPr>
          <w:p>
            <w:pPr>
              <w:pStyle w:val="14"/>
              <w:rPr>
                <w:rFonts w:ascii="Times New Roman"/>
                <w:sz w:val="20"/>
              </w:rPr>
            </w:pPr>
          </w:p>
        </w:tc>
        <w:tc>
          <w:tcPr>
            <w:tcW w:w="2231" w:type="dxa"/>
            <w:vAlign w:val="top"/>
          </w:tcPr>
          <w:p>
            <w:pPr>
              <w:pStyle w:val="14"/>
              <w:rPr>
                <w:rFonts w:ascii="Times New Roman"/>
                <w:sz w:val="20"/>
              </w:rPr>
            </w:pPr>
          </w:p>
        </w:tc>
      </w:tr>
    </w:tbl>
    <w:p>
      <w:pPr>
        <w:spacing w:after="0"/>
        <w:rPr>
          <w:rFonts w:ascii="Times New Roman"/>
          <w:sz w:val="20"/>
        </w:rPr>
        <w:sectPr>
          <w:pgSz w:w="11910" w:h="16840"/>
          <w:pgMar w:top="1100" w:right="660" w:bottom="1200" w:left="800" w:header="878" w:footer="1003" w:gutter="0"/>
          <w:cols w:space="720" w:num="1"/>
        </w:sectPr>
      </w:pPr>
    </w:p>
    <w:p>
      <w:pPr>
        <w:pStyle w:val="9"/>
        <w:rPr>
          <w:sz w:val="20"/>
        </w:rPr>
      </w:pPr>
    </w:p>
    <w:p>
      <w:pPr>
        <w:pStyle w:val="9"/>
        <w:spacing w:before="8"/>
        <w:rPr>
          <w:sz w:val="19"/>
        </w:rPr>
      </w:pPr>
    </w:p>
    <w:p>
      <w:pPr>
        <w:pStyle w:val="6"/>
        <w:spacing w:before="67"/>
        <w:ind w:left="575"/>
      </w:pPr>
      <w:r>
        <w:t>分部分项工程量清单报价汇总表</w:t>
      </w:r>
    </w:p>
    <w:p>
      <w:pPr>
        <w:pStyle w:val="9"/>
        <w:rPr>
          <w:b/>
          <w:sz w:val="24"/>
        </w:rPr>
      </w:pPr>
    </w:p>
    <w:p>
      <w:pPr>
        <w:pStyle w:val="9"/>
        <w:spacing w:before="9"/>
        <w:rPr>
          <w:b/>
          <w:sz w:val="21"/>
        </w:rPr>
      </w:pPr>
    </w:p>
    <w:p>
      <w:pPr>
        <w:pStyle w:val="9"/>
        <w:tabs>
          <w:tab w:val="left" w:pos="6999"/>
        </w:tabs>
        <w:ind w:left="731"/>
      </w:pPr>
      <w:r>
        <w:t>工</w:t>
      </w:r>
      <w:r>
        <w:rPr>
          <w:spacing w:val="-3"/>
        </w:rPr>
        <w:t>程</w:t>
      </w:r>
      <w:r>
        <w:t>名称：</w:t>
      </w:r>
      <w:r>
        <w:tab/>
      </w:r>
      <w:r>
        <w:t>页</w:t>
      </w:r>
      <w:r>
        <w:rPr>
          <w:spacing w:val="-3"/>
        </w:rPr>
        <w:t>码</w:t>
      </w:r>
      <w:r>
        <w:t>：</w:t>
      </w:r>
    </w:p>
    <w:p>
      <w:pPr>
        <w:pStyle w:val="9"/>
        <w:spacing w:before="145"/>
        <w:ind w:left="731"/>
      </w:pPr>
      <w:r>
        <w:t>单体工程名称:</w:t>
      </w:r>
    </w:p>
    <w:p>
      <w:pPr>
        <w:pStyle w:val="9"/>
        <w:spacing w:before="5"/>
        <w:rPr>
          <w:sz w:val="11"/>
        </w:rPr>
      </w:pPr>
    </w:p>
    <w:tbl>
      <w:tblPr>
        <w:tblW w:w="8853"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3686"/>
        <w:gridCol w:w="1842"/>
        <w:gridCol w:w="2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42" w:hRule="atLeast"/>
        </w:trPr>
        <w:tc>
          <w:tcPr>
            <w:tcW w:w="1292" w:type="dxa"/>
            <w:vAlign w:val="top"/>
          </w:tcPr>
          <w:p>
            <w:pPr>
              <w:pStyle w:val="14"/>
              <w:rPr>
                <w:sz w:val="24"/>
              </w:rPr>
            </w:pPr>
          </w:p>
          <w:p>
            <w:pPr>
              <w:pStyle w:val="14"/>
              <w:spacing w:before="11"/>
              <w:rPr>
                <w:sz w:val="31"/>
              </w:rPr>
            </w:pPr>
          </w:p>
          <w:p>
            <w:pPr>
              <w:pStyle w:val="14"/>
              <w:spacing w:before="1"/>
              <w:ind w:left="404"/>
              <w:rPr>
                <w:b/>
                <w:sz w:val="24"/>
              </w:rPr>
            </w:pPr>
            <w:r>
              <w:rPr>
                <w:b/>
                <w:sz w:val="24"/>
              </w:rPr>
              <w:t>序号</w:t>
            </w:r>
          </w:p>
        </w:tc>
        <w:tc>
          <w:tcPr>
            <w:tcW w:w="3686" w:type="dxa"/>
            <w:vAlign w:val="top"/>
          </w:tcPr>
          <w:p>
            <w:pPr>
              <w:pStyle w:val="14"/>
              <w:rPr>
                <w:sz w:val="24"/>
              </w:rPr>
            </w:pPr>
          </w:p>
          <w:p>
            <w:pPr>
              <w:pStyle w:val="14"/>
              <w:spacing w:before="11"/>
              <w:rPr>
                <w:sz w:val="31"/>
              </w:rPr>
            </w:pPr>
          </w:p>
          <w:p>
            <w:pPr>
              <w:pStyle w:val="14"/>
              <w:spacing w:before="1"/>
              <w:ind w:left="1121"/>
              <w:rPr>
                <w:b/>
                <w:sz w:val="24"/>
              </w:rPr>
            </w:pPr>
            <w:r>
              <w:rPr>
                <w:b/>
                <w:sz w:val="24"/>
              </w:rPr>
              <w:t>分部工程名称</w:t>
            </w:r>
          </w:p>
        </w:tc>
        <w:tc>
          <w:tcPr>
            <w:tcW w:w="1842" w:type="dxa"/>
            <w:vAlign w:val="top"/>
          </w:tcPr>
          <w:p>
            <w:pPr>
              <w:pStyle w:val="14"/>
              <w:rPr>
                <w:sz w:val="26"/>
              </w:rPr>
            </w:pPr>
          </w:p>
          <w:p>
            <w:pPr>
              <w:pStyle w:val="14"/>
              <w:spacing w:before="11"/>
              <w:rPr>
                <w:sz w:val="29"/>
              </w:rPr>
            </w:pPr>
          </w:p>
          <w:p>
            <w:pPr>
              <w:pStyle w:val="14"/>
              <w:spacing w:before="1"/>
              <w:ind w:left="485"/>
              <w:rPr>
                <w:rFonts w:ascii="Calibri" w:eastAsia="Calibri"/>
                <w:b/>
                <w:sz w:val="24"/>
              </w:rPr>
            </w:pPr>
            <w:r>
              <w:rPr>
                <w:b/>
                <w:sz w:val="24"/>
              </w:rPr>
              <w:t>金额</w:t>
            </w:r>
            <w:r>
              <w:rPr>
                <w:rFonts w:ascii="Calibri" w:eastAsia="Calibri"/>
                <w:b/>
                <w:sz w:val="24"/>
              </w:rPr>
              <w:t>(</w:t>
            </w:r>
            <w:r>
              <w:rPr>
                <w:b/>
                <w:sz w:val="24"/>
              </w:rPr>
              <w:t>元</w:t>
            </w:r>
            <w:r>
              <w:rPr>
                <w:rFonts w:ascii="Calibri" w:eastAsia="Calibri"/>
                <w:b/>
                <w:sz w:val="24"/>
              </w:rPr>
              <w:t>)</w:t>
            </w:r>
          </w:p>
        </w:tc>
        <w:tc>
          <w:tcPr>
            <w:tcW w:w="2033" w:type="dxa"/>
            <w:vAlign w:val="top"/>
          </w:tcPr>
          <w:p>
            <w:pPr>
              <w:pStyle w:val="14"/>
              <w:rPr>
                <w:sz w:val="24"/>
              </w:rPr>
            </w:pPr>
          </w:p>
          <w:p>
            <w:pPr>
              <w:pStyle w:val="14"/>
              <w:spacing w:before="9"/>
              <w:rPr>
                <w:sz w:val="19"/>
              </w:rPr>
            </w:pPr>
          </w:p>
          <w:p>
            <w:pPr>
              <w:pStyle w:val="14"/>
              <w:ind w:left="34" w:right="20"/>
              <w:jc w:val="center"/>
              <w:rPr>
                <w:b/>
                <w:sz w:val="24"/>
              </w:rPr>
            </w:pPr>
            <w:r>
              <w:rPr>
                <w:b/>
                <w:sz w:val="24"/>
              </w:rPr>
              <w:t>其中：材料暂估价</w:t>
            </w:r>
          </w:p>
          <w:p>
            <w:pPr>
              <w:pStyle w:val="14"/>
              <w:spacing w:before="5"/>
              <w:ind w:left="29" w:right="20"/>
              <w:jc w:val="center"/>
              <w:rPr>
                <w:b/>
                <w:sz w:val="24"/>
              </w:rPr>
            </w:pPr>
            <w:r>
              <w:rPr>
                <w:b/>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5" w:hRule="atLeast"/>
        </w:trPr>
        <w:tc>
          <w:tcPr>
            <w:tcW w:w="1292" w:type="dxa"/>
            <w:vAlign w:val="top"/>
          </w:tcPr>
          <w:p>
            <w:pPr>
              <w:pStyle w:val="14"/>
              <w:rPr>
                <w:rFonts w:ascii="Times New Roman"/>
                <w:sz w:val="20"/>
              </w:rPr>
            </w:pPr>
          </w:p>
        </w:tc>
        <w:tc>
          <w:tcPr>
            <w:tcW w:w="3686" w:type="dxa"/>
            <w:vAlign w:val="top"/>
          </w:tcPr>
          <w:p>
            <w:pPr>
              <w:pStyle w:val="14"/>
              <w:rPr>
                <w:rFonts w:ascii="Times New Roman"/>
                <w:sz w:val="20"/>
              </w:rPr>
            </w:pPr>
          </w:p>
        </w:tc>
        <w:tc>
          <w:tcPr>
            <w:tcW w:w="1842" w:type="dxa"/>
            <w:vAlign w:val="top"/>
          </w:tcPr>
          <w:p>
            <w:pPr>
              <w:pStyle w:val="14"/>
              <w:rPr>
                <w:rFonts w:ascii="Times New Roman"/>
                <w:sz w:val="20"/>
              </w:rPr>
            </w:pPr>
          </w:p>
        </w:tc>
        <w:tc>
          <w:tcPr>
            <w:tcW w:w="203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6" w:hRule="atLeast"/>
        </w:trPr>
        <w:tc>
          <w:tcPr>
            <w:tcW w:w="1292" w:type="dxa"/>
            <w:vAlign w:val="top"/>
          </w:tcPr>
          <w:p>
            <w:pPr>
              <w:pStyle w:val="14"/>
              <w:rPr>
                <w:rFonts w:ascii="Times New Roman"/>
                <w:sz w:val="20"/>
              </w:rPr>
            </w:pPr>
          </w:p>
        </w:tc>
        <w:tc>
          <w:tcPr>
            <w:tcW w:w="3686" w:type="dxa"/>
            <w:vAlign w:val="top"/>
          </w:tcPr>
          <w:p>
            <w:pPr>
              <w:pStyle w:val="14"/>
              <w:rPr>
                <w:rFonts w:ascii="Times New Roman"/>
                <w:sz w:val="20"/>
              </w:rPr>
            </w:pPr>
          </w:p>
        </w:tc>
        <w:tc>
          <w:tcPr>
            <w:tcW w:w="1842" w:type="dxa"/>
            <w:vAlign w:val="top"/>
          </w:tcPr>
          <w:p>
            <w:pPr>
              <w:pStyle w:val="14"/>
              <w:rPr>
                <w:rFonts w:ascii="Times New Roman"/>
                <w:sz w:val="20"/>
              </w:rPr>
            </w:pPr>
          </w:p>
        </w:tc>
        <w:tc>
          <w:tcPr>
            <w:tcW w:w="203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6" w:hRule="atLeast"/>
        </w:trPr>
        <w:tc>
          <w:tcPr>
            <w:tcW w:w="1292" w:type="dxa"/>
            <w:vAlign w:val="top"/>
          </w:tcPr>
          <w:p>
            <w:pPr>
              <w:pStyle w:val="14"/>
              <w:rPr>
                <w:rFonts w:ascii="Times New Roman"/>
                <w:sz w:val="20"/>
              </w:rPr>
            </w:pPr>
          </w:p>
        </w:tc>
        <w:tc>
          <w:tcPr>
            <w:tcW w:w="3686" w:type="dxa"/>
            <w:vAlign w:val="top"/>
          </w:tcPr>
          <w:p>
            <w:pPr>
              <w:pStyle w:val="14"/>
              <w:rPr>
                <w:rFonts w:ascii="Times New Roman"/>
                <w:sz w:val="20"/>
              </w:rPr>
            </w:pPr>
          </w:p>
        </w:tc>
        <w:tc>
          <w:tcPr>
            <w:tcW w:w="1842" w:type="dxa"/>
            <w:vAlign w:val="top"/>
          </w:tcPr>
          <w:p>
            <w:pPr>
              <w:pStyle w:val="14"/>
              <w:rPr>
                <w:rFonts w:ascii="Times New Roman"/>
                <w:sz w:val="20"/>
              </w:rPr>
            </w:pPr>
          </w:p>
        </w:tc>
        <w:tc>
          <w:tcPr>
            <w:tcW w:w="203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5" w:hRule="atLeast"/>
        </w:trPr>
        <w:tc>
          <w:tcPr>
            <w:tcW w:w="1292" w:type="dxa"/>
            <w:vAlign w:val="top"/>
          </w:tcPr>
          <w:p>
            <w:pPr>
              <w:pStyle w:val="14"/>
              <w:rPr>
                <w:rFonts w:ascii="Times New Roman"/>
                <w:sz w:val="20"/>
              </w:rPr>
            </w:pPr>
          </w:p>
        </w:tc>
        <w:tc>
          <w:tcPr>
            <w:tcW w:w="3686" w:type="dxa"/>
            <w:vAlign w:val="top"/>
          </w:tcPr>
          <w:p>
            <w:pPr>
              <w:pStyle w:val="14"/>
              <w:rPr>
                <w:rFonts w:ascii="Times New Roman"/>
                <w:sz w:val="20"/>
              </w:rPr>
            </w:pPr>
          </w:p>
        </w:tc>
        <w:tc>
          <w:tcPr>
            <w:tcW w:w="1842" w:type="dxa"/>
            <w:vAlign w:val="top"/>
          </w:tcPr>
          <w:p>
            <w:pPr>
              <w:pStyle w:val="14"/>
              <w:rPr>
                <w:rFonts w:ascii="Times New Roman"/>
                <w:sz w:val="20"/>
              </w:rPr>
            </w:pPr>
          </w:p>
        </w:tc>
        <w:tc>
          <w:tcPr>
            <w:tcW w:w="203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6" w:hRule="atLeast"/>
        </w:trPr>
        <w:tc>
          <w:tcPr>
            <w:tcW w:w="1292" w:type="dxa"/>
            <w:vAlign w:val="top"/>
          </w:tcPr>
          <w:p>
            <w:pPr>
              <w:pStyle w:val="14"/>
              <w:rPr>
                <w:rFonts w:ascii="Times New Roman"/>
                <w:sz w:val="20"/>
              </w:rPr>
            </w:pPr>
          </w:p>
        </w:tc>
        <w:tc>
          <w:tcPr>
            <w:tcW w:w="3686" w:type="dxa"/>
            <w:vAlign w:val="top"/>
          </w:tcPr>
          <w:p>
            <w:pPr>
              <w:pStyle w:val="14"/>
              <w:rPr>
                <w:rFonts w:ascii="Times New Roman"/>
                <w:sz w:val="20"/>
              </w:rPr>
            </w:pPr>
          </w:p>
        </w:tc>
        <w:tc>
          <w:tcPr>
            <w:tcW w:w="1842" w:type="dxa"/>
            <w:vAlign w:val="top"/>
          </w:tcPr>
          <w:p>
            <w:pPr>
              <w:pStyle w:val="14"/>
              <w:rPr>
                <w:rFonts w:ascii="Times New Roman"/>
                <w:sz w:val="20"/>
              </w:rPr>
            </w:pPr>
          </w:p>
        </w:tc>
        <w:tc>
          <w:tcPr>
            <w:tcW w:w="203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6" w:hRule="atLeast"/>
        </w:trPr>
        <w:tc>
          <w:tcPr>
            <w:tcW w:w="1292" w:type="dxa"/>
            <w:vAlign w:val="top"/>
          </w:tcPr>
          <w:p>
            <w:pPr>
              <w:pStyle w:val="14"/>
              <w:rPr>
                <w:rFonts w:ascii="Times New Roman"/>
                <w:sz w:val="20"/>
              </w:rPr>
            </w:pPr>
          </w:p>
        </w:tc>
        <w:tc>
          <w:tcPr>
            <w:tcW w:w="3686" w:type="dxa"/>
            <w:vAlign w:val="top"/>
          </w:tcPr>
          <w:p>
            <w:pPr>
              <w:pStyle w:val="14"/>
              <w:rPr>
                <w:rFonts w:ascii="Times New Roman"/>
                <w:sz w:val="20"/>
              </w:rPr>
            </w:pPr>
          </w:p>
        </w:tc>
        <w:tc>
          <w:tcPr>
            <w:tcW w:w="1842" w:type="dxa"/>
            <w:vAlign w:val="top"/>
          </w:tcPr>
          <w:p>
            <w:pPr>
              <w:pStyle w:val="14"/>
              <w:rPr>
                <w:rFonts w:ascii="Times New Roman"/>
                <w:sz w:val="20"/>
              </w:rPr>
            </w:pPr>
          </w:p>
        </w:tc>
        <w:tc>
          <w:tcPr>
            <w:tcW w:w="203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292" w:type="dxa"/>
            <w:vAlign w:val="top"/>
          </w:tcPr>
          <w:p>
            <w:pPr>
              <w:pStyle w:val="14"/>
              <w:rPr>
                <w:rFonts w:ascii="Times New Roman"/>
                <w:sz w:val="20"/>
              </w:rPr>
            </w:pPr>
          </w:p>
        </w:tc>
        <w:tc>
          <w:tcPr>
            <w:tcW w:w="3686" w:type="dxa"/>
            <w:vAlign w:val="top"/>
          </w:tcPr>
          <w:p>
            <w:pPr>
              <w:pStyle w:val="14"/>
              <w:rPr>
                <w:rFonts w:ascii="Times New Roman"/>
                <w:sz w:val="20"/>
              </w:rPr>
            </w:pPr>
          </w:p>
        </w:tc>
        <w:tc>
          <w:tcPr>
            <w:tcW w:w="1842" w:type="dxa"/>
            <w:vAlign w:val="top"/>
          </w:tcPr>
          <w:p>
            <w:pPr>
              <w:pStyle w:val="14"/>
              <w:rPr>
                <w:rFonts w:ascii="Times New Roman"/>
                <w:sz w:val="20"/>
              </w:rPr>
            </w:pPr>
          </w:p>
        </w:tc>
        <w:tc>
          <w:tcPr>
            <w:tcW w:w="203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292" w:type="dxa"/>
            <w:vAlign w:val="top"/>
          </w:tcPr>
          <w:p>
            <w:pPr>
              <w:pStyle w:val="14"/>
              <w:rPr>
                <w:rFonts w:ascii="Times New Roman"/>
                <w:sz w:val="20"/>
              </w:rPr>
            </w:pPr>
          </w:p>
        </w:tc>
        <w:tc>
          <w:tcPr>
            <w:tcW w:w="3686" w:type="dxa"/>
            <w:vAlign w:val="top"/>
          </w:tcPr>
          <w:p>
            <w:pPr>
              <w:pStyle w:val="14"/>
              <w:rPr>
                <w:rFonts w:ascii="Times New Roman"/>
                <w:sz w:val="20"/>
              </w:rPr>
            </w:pPr>
          </w:p>
        </w:tc>
        <w:tc>
          <w:tcPr>
            <w:tcW w:w="1842" w:type="dxa"/>
            <w:vAlign w:val="top"/>
          </w:tcPr>
          <w:p>
            <w:pPr>
              <w:pStyle w:val="14"/>
              <w:rPr>
                <w:rFonts w:ascii="Times New Roman"/>
                <w:sz w:val="20"/>
              </w:rPr>
            </w:pPr>
          </w:p>
        </w:tc>
        <w:tc>
          <w:tcPr>
            <w:tcW w:w="203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292" w:type="dxa"/>
            <w:vAlign w:val="top"/>
          </w:tcPr>
          <w:p>
            <w:pPr>
              <w:pStyle w:val="14"/>
              <w:rPr>
                <w:rFonts w:ascii="Times New Roman"/>
                <w:sz w:val="20"/>
              </w:rPr>
            </w:pPr>
          </w:p>
        </w:tc>
        <w:tc>
          <w:tcPr>
            <w:tcW w:w="3686" w:type="dxa"/>
            <w:vAlign w:val="top"/>
          </w:tcPr>
          <w:p>
            <w:pPr>
              <w:pStyle w:val="14"/>
              <w:rPr>
                <w:rFonts w:ascii="Times New Roman"/>
                <w:sz w:val="20"/>
              </w:rPr>
            </w:pPr>
          </w:p>
        </w:tc>
        <w:tc>
          <w:tcPr>
            <w:tcW w:w="1842" w:type="dxa"/>
            <w:vAlign w:val="top"/>
          </w:tcPr>
          <w:p>
            <w:pPr>
              <w:pStyle w:val="14"/>
              <w:rPr>
                <w:rFonts w:ascii="Times New Roman"/>
                <w:sz w:val="20"/>
              </w:rPr>
            </w:pPr>
          </w:p>
        </w:tc>
        <w:tc>
          <w:tcPr>
            <w:tcW w:w="203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292" w:type="dxa"/>
            <w:vAlign w:val="top"/>
          </w:tcPr>
          <w:p>
            <w:pPr>
              <w:pStyle w:val="14"/>
              <w:rPr>
                <w:rFonts w:ascii="Times New Roman"/>
                <w:sz w:val="20"/>
              </w:rPr>
            </w:pPr>
          </w:p>
        </w:tc>
        <w:tc>
          <w:tcPr>
            <w:tcW w:w="3686" w:type="dxa"/>
            <w:vAlign w:val="top"/>
          </w:tcPr>
          <w:p>
            <w:pPr>
              <w:pStyle w:val="14"/>
              <w:rPr>
                <w:rFonts w:ascii="Times New Roman"/>
                <w:sz w:val="20"/>
              </w:rPr>
            </w:pPr>
          </w:p>
        </w:tc>
        <w:tc>
          <w:tcPr>
            <w:tcW w:w="1842" w:type="dxa"/>
            <w:vAlign w:val="top"/>
          </w:tcPr>
          <w:p>
            <w:pPr>
              <w:pStyle w:val="14"/>
              <w:rPr>
                <w:rFonts w:ascii="Times New Roman"/>
                <w:sz w:val="20"/>
              </w:rPr>
            </w:pPr>
          </w:p>
        </w:tc>
        <w:tc>
          <w:tcPr>
            <w:tcW w:w="203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4978" w:type="dxa"/>
            <w:gridSpan w:val="2"/>
            <w:vAlign w:val="top"/>
          </w:tcPr>
          <w:p>
            <w:pPr>
              <w:pStyle w:val="14"/>
              <w:spacing w:before="99"/>
              <w:ind w:left="2250" w:right="2238"/>
              <w:jc w:val="center"/>
              <w:rPr>
                <w:sz w:val="22"/>
              </w:rPr>
            </w:pPr>
            <w:r>
              <w:rPr>
                <w:sz w:val="22"/>
              </w:rPr>
              <w:t>合计</w:t>
            </w:r>
          </w:p>
        </w:tc>
        <w:tc>
          <w:tcPr>
            <w:tcW w:w="1842" w:type="dxa"/>
            <w:vAlign w:val="top"/>
          </w:tcPr>
          <w:p>
            <w:pPr>
              <w:pStyle w:val="14"/>
              <w:rPr>
                <w:rFonts w:ascii="Times New Roman"/>
                <w:sz w:val="20"/>
              </w:rPr>
            </w:pPr>
          </w:p>
        </w:tc>
        <w:tc>
          <w:tcPr>
            <w:tcW w:w="2033" w:type="dxa"/>
            <w:vAlign w:val="top"/>
          </w:tcPr>
          <w:p>
            <w:pPr>
              <w:pStyle w:val="14"/>
              <w:rPr>
                <w:rFonts w:ascii="Times New Roman"/>
                <w:sz w:val="20"/>
              </w:rPr>
            </w:pPr>
          </w:p>
        </w:tc>
      </w:tr>
    </w:tbl>
    <w:p>
      <w:pPr>
        <w:pStyle w:val="9"/>
        <w:spacing w:before="2"/>
        <w:ind w:left="731"/>
      </w:pPr>
      <w:r>
        <w:t>注:群体工程应以单体工程为单位,分开汇总,并填写单体工程名称。</w:t>
      </w:r>
    </w:p>
    <w:p>
      <w:pPr>
        <w:spacing w:after="0"/>
        <w:sectPr>
          <w:pgSz w:w="11910" w:h="16840"/>
          <w:pgMar w:top="1100" w:right="660" w:bottom="1200" w:left="800" w:header="878" w:footer="1003" w:gutter="0"/>
          <w:cols w:space="720" w:num="1"/>
        </w:sectPr>
      </w:pPr>
    </w:p>
    <w:p>
      <w:pPr>
        <w:pStyle w:val="9"/>
        <w:spacing w:before="1"/>
        <w:rPr>
          <w:sz w:val="18"/>
        </w:rPr>
      </w:pPr>
    </w:p>
    <w:p>
      <w:pPr>
        <w:pStyle w:val="8"/>
        <w:spacing w:before="70"/>
        <w:ind w:left="578" w:right="727"/>
        <w:jc w:val="center"/>
      </w:pPr>
      <w:r>
        <w:t>分部分项工程量清单与计价表</w:t>
      </w:r>
    </w:p>
    <w:p>
      <w:pPr>
        <w:pStyle w:val="9"/>
        <w:rPr>
          <w:b/>
        </w:rPr>
      </w:pPr>
    </w:p>
    <w:p>
      <w:pPr>
        <w:pStyle w:val="9"/>
        <w:spacing w:before="8"/>
        <w:rPr>
          <w:b/>
        </w:rPr>
      </w:pPr>
    </w:p>
    <w:p>
      <w:pPr>
        <w:pStyle w:val="9"/>
        <w:tabs>
          <w:tab w:val="left" w:pos="4316"/>
          <w:tab w:val="left" w:pos="8120"/>
          <w:tab w:val="left" w:pos="8562"/>
          <w:tab w:val="left" w:pos="9332"/>
        </w:tabs>
        <w:spacing w:before="1"/>
        <w:ind w:left="951"/>
      </w:pPr>
      <w:r>
        <w:t>工</w:t>
      </w:r>
      <w:r>
        <w:rPr>
          <w:spacing w:val="-3"/>
        </w:rPr>
        <w:t>程</w:t>
      </w:r>
      <w:r>
        <w:t>名</w:t>
      </w:r>
      <w:r>
        <w:rPr>
          <w:spacing w:val="-3"/>
        </w:rPr>
        <w:t>称</w:t>
      </w:r>
      <w:r>
        <w:t>：</w:t>
      </w:r>
      <w:r>
        <w:tab/>
      </w:r>
      <w:r>
        <w:t>标</w:t>
      </w:r>
      <w:r>
        <w:rPr>
          <w:spacing w:val="-3"/>
        </w:rPr>
        <w:t>段</w:t>
      </w:r>
      <w:r>
        <w:t>：</w:t>
      </w:r>
      <w:r>
        <w:tab/>
      </w:r>
      <w:r>
        <w:t>第</w:t>
      </w:r>
      <w:r>
        <w:tab/>
      </w:r>
      <w:r>
        <w:t>页</w:t>
      </w:r>
      <w:r>
        <w:rPr>
          <w:spacing w:val="-3"/>
        </w:rPr>
        <w:t xml:space="preserve"> </w:t>
      </w:r>
      <w:r>
        <w:t>共</w:t>
      </w:r>
      <w:r>
        <w:tab/>
      </w:r>
      <w:r>
        <w:t>页</w:t>
      </w:r>
    </w:p>
    <w:p>
      <w:pPr>
        <w:pStyle w:val="9"/>
        <w:spacing w:before="4"/>
        <w:rPr>
          <w:sz w:val="11"/>
        </w:rPr>
      </w:pPr>
    </w:p>
    <w:tbl>
      <w:tblPr>
        <w:tblW w:w="9240" w:type="dxa"/>
        <w:tblInd w:w="5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1350"/>
        <w:gridCol w:w="1155"/>
        <w:gridCol w:w="915"/>
        <w:gridCol w:w="684"/>
        <w:gridCol w:w="576"/>
        <w:gridCol w:w="720"/>
        <w:gridCol w:w="900"/>
        <w:gridCol w:w="900"/>
        <w:gridCol w:w="750"/>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0" w:hRule="atLeast"/>
        </w:trPr>
        <w:tc>
          <w:tcPr>
            <w:tcW w:w="540" w:type="dxa"/>
            <w:vMerge w:val="restart"/>
            <w:vAlign w:val="top"/>
          </w:tcPr>
          <w:p>
            <w:pPr>
              <w:pStyle w:val="14"/>
              <w:rPr>
                <w:sz w:val="22"/>
              </w:rPr>
            </w:pPr>
          </w:p>
          <w:p>
            <w:pPr>
              <w:pStyle w:val="14"/>
              <w:rPr>
                <w:sz w:val="24"/>
              </w:rPr>
            </w:pPr>
          </w:p>
          <w:p>
            <w:pPr>
              <w:pStyle w:val="14"/>
              <w:spacing w:line="364" w:lineRule="auto"/>
              <w:ind w:left="159" w:right="147"/>
              <w:rPr>
                <w:sz w:val="22"/>
              </w:rPr>
            </w:pPr>
            <w:r>
              <w:rPr>
                <w:sz w:val="22"/>
              </w:rPr>
              <w:t>序号</w:t>
            </w:r>
          </w:p>
        </w:tc>
        <w:tc>
          <w:tcPr>
            <w:tcW w:w="1350" w:type="dxa"/>
            <w:vMerge w:val="restart"/>
            <w:vAlign w:val="top"/>
          </w:tcPr>
          <w:p>
            <w:pPr>
              <w:pStyle w:val="14"/>
              <w:rPr>
                <w:sz w:val="22"/>
              </w:rPr>
            </w:pPr>
          </w:p>
          <w:p>
            <w:pPr>
              <w:pStyle w:val="14"/>
              <w:rPr>
                <w:sz w:val="22"/>
              </w:rPr>
            </w:pPr>
          </w:p>
          <w:p>
            <w:pPr>
              <w:pStyle w:val="14"/>
              <w:spacing w:before="11"/>
              <w:rPr>
                <w:sz w:val="18"/>
              </w:rPr>
            </w:pPr>
          </w:p>
          <w:p>
            <w:pPr>
              <w:pStyle w:val="14"/>
              <w:ind w:left="233"/>
              <w:rPr>
                <w:sz w:val="22"/>
              </w:rPr>
            </w:pPr>
            <w:r>
              <w:rPr>
                <w:sz w:val="22"/>
              </w:rPr>
              <w:t>项目编码</w:t>
            </w:r>
          </w:p>
        </w:tc>
        <w:tc>
          <w:tcPr>
            <w:tcW w:w="1155" w:type="dxa"/>
            <w:vMerge w:val="restart"/>
            <w:vAlign w:val="top"/>
          </w:tcPr>
          <w:p>
            <w:pPr>
              <w:pStyle w:val="14"/>
              <w:rPr>
                <w:sz w:val="22"/>
              </w:rPr>
            </w:pPr>
          </w:p>
          <w:p>
            <w:pPr>
              <w:pStyle w:val="14"/>
              <w:rPr>
                <w:sz w:val="22"/>
              </w:rPr>
            </w:pPr>
          </w:p>
          <w:p>
            <w:pPr>
              <w:pStyle w:val="14"/>
              <w:spacing w:before="11"/>
              <w:rPr>
                <w:sz w:val="18"/>
              </w:rPr>
            </w:pPr>
          </w:p>
          <w:p>
            <w:pPr>
              <w:pStyle w:val="14"/>
              <w:ind w:left="136"/>
              <w:rPr>
                <w:sz w:val="22"/>
              </w:rPr>
            </w:pPr>
            <w:r>
              <w:rPr>
                <w:sz w:val="22"/>
              </w:rPr>
              <w:t>项目名称</w:t>
            </w:r>
          </w:p>
        </w:tc>
        <w:tc>
          <w:tcPr>
            <w:tcW w:w="915" w:type="dxa"/>
            <w:vMerge w:val="restart"/>
            <w:vAlign w:val="top"/>
          </w:tcPr>
          <w:p>
            <w:pPr>
              <w:pStyle w:val="14"/>
              <w:spacing w:before="4"/>
              <w:rPr>
                <w:sz w:val="29"/>
              </w:rPr>
            </w:pPr>
          </w:p>
          <w:p>
            <w:pPr>
              <w:pStyle w:val="14"/>
              <w:spacing w:before="1" w:line="364" w:lineRule="auto"/>
              <w:ind w:left="126" w:right="116"/>
              <w:jc w:val="center"/>
              <w:rPr>
                <w:sz w:val="22"/>
              </w:rPr>
            </w:pPr>
            <w:r>
              <w:rPr>
                <w:sz w:val="22"/>
              </w:rPr>
              <w:t>项目特征 描述</w:t>
            </w:r>
          </w:p>
        </w:tc>
        <w:tc>
          <w:tcPr>
            <w:tcW w:w="684" w:type="dxa"/>
            <w:vMerge w:val="restart"/>
            <w:vAlign w:val="top"/>
          </w:tcPr>
          <w:p>
            <w:pPr>
              <w:pStyle w:val="14"/>
              <w:rPr>
                <w:sz w:val="22"/>
              </w:rPr>
            </w:pPr>
          </w:p>
          <w:p>
            <w:pPr>
              <w:pStyle w:val="14"/>
              <w:rPr>
                <w:sz w:val="24"/>
              </w:rPr>
            </w:pPr>
          </w:p>
          <w:p>
            <w:pPr>
              <w:pStyle w:val="14"/>
              <w:spacing w:line="364" w:lineRule="auto"/>
              <w:ind w:left="121" w:right="109"/>
              <w:rPr>
                <w:sz w:val="22"/>
              </w:rPr>
            </w:pPr>
            <w:r>
              <w:rPr>
                <w:sz w:val="22"/>
              </w:rPr>
              <w:t>工程内容</w:t>
            </w:r>
          </w:p>
        </w:tc>
        <w:tc>
          <w:tcPr>
            <w:tcW w:w="576" w:type="dxa"/>
            <w:vMerge w:val="restart"/>
            <w:vAlign w:val="top"/>
          </w:tcPr>
          <w:p>
            <w:pPr>
              <w:pStyle w:val="14"/>
              <w:spacing w:before="163" w:line="364" w:lineRule="auto"/>
              <w:ind w:left="178" w:right="164"/>
              <w:jc w:val="both"/>
              <w:rPr>
                <w:sz w:val="22"/>
              </w:rPr>
            </w:pPr>
            <w:r>
              <w:rPr>
                <w:sz w:val="22"/>
              </w:rPr>
              <w:t>计量单位</w:t>
            </w:r>
          </w:p>
        </w:tc>
        <w:tc>
          <w:tcPr>
            <w:tcW w:w="720" w:type="dxa"/>
            <w:vMerge w:val="restart"/>
            <w:vAlign w:val="top"/>
          </w:tcPr>
          <w:p>
            <w:pPr>
              <w:pStyle w:val="14"/>
              <w:rPr>
                <w:sz w:val="22"/>
              </w:rPr>
            </w:pPr>
          </w:p>
          <w:p>
            <w:pPr>
              <w:pStyle w:val="14"/>
              <w:rPr>
                <w:sz w:val="24"/>
              </w:rPr>
            </w:pPr>
          </w:p>
          <w:p>
            <w:pPr>
              <w:pStyle w:val="14"/>
              <w:spacing w:line="364" w:lineRule="auto"/>
              <w:ind w:left="250" w:right="125" w:hanging="111"/>
              <w:rPr>
                <w:sz w:val="22"/>
              </w:rPr>
            </w:pPr>
            <w:r>
              <w:rPr>
                <w:sz w:val="22"/>
              </w:rPr>
              <w:t>工程量</w:t>
            </w:r>
          </w:p>
        </w:tc>
        <w:tc>
          <w:tcPr>
            <w:tcW w:w="3300" w:type="dxa"/>
            <w:gridSpan w:val="4"/>
            <w:vAlign w:val="top"/>
          </w:tcPr>
          <w:p>
            <w:pPr>
              <w:pStyle w:val="14"/>
              <w:tabs>
                <w:tab w:val="left" w:pos="1594"/>
              </w:tabs>
              <w:spacing w:before="16"/>
              <w:ind w:left="824"/>
              <w:rPr>
                <w:sz w:val="22"/>
              </w:rPr>
            </w:pPr>
            <w:r>
              <w:rPr>
                <w:sz w:val="22"/>
              </w:rPr>
              <w:t>金</w:t>
            </w:r>
            <w:r>
              <w:rPr>
                <w:sz w:val="22"/>
              </w:rPr>
              <w:tab/>
            </w:r>
            <w:r>
              <w:rPr>
                <w:sz w:val="22"/>
              </w:rPr>
              <w:t>额</w:t>
            </w:r>
            <w:r>
              <w:rPr>
                <w:spacing w:val="-3"/>
                <w:sz w:val="22"/>
              </w:rPr>
              <w:t>（</w:t>
            </w:r>
            <w:r>
              <w:rPr>
                <w:sz w:val="22"/>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8" w:hRule="atLeast"/>
        </w:trPr>
        <w:tc>
          <w:tcPr>
            <w:tcW w:w="540" w:type="dxa"/>
            <w:vMerge w:val="continue"/>
            <w:tcBorders>
              <w:top w:val="nil"/>
            </w:tcBorders>
            <w:vAlign w:val="top"/>
          </w:tcPr>
          <w:p>
            <w:pPr>
              <w:rPr>
                <w:sz w:val="2"/>
                <w:szCs w:val="2"/>
              </w:rPr>
            </w:pPr>
          </w:p>
        </w:tc>
        <w:tc>
          <w:tcPr>
            <w:tcW w:w="1350" w:type="dxa"/>
            <w:vMerge w:val="continue"/>
            <w:tcBorders>
              <w:top w:val="nil"/>
            </w:tcBorders>
            <w:vAlign w:val="top"/>
          </w:tcPr>
          <w:p>
            <w:pPr>
              <w:rPr>
                <w:sz w:val="2"/>
                <w:szCs w:val="2"/>
              </w:rPr>
            </w:pPr>
          </w:p>
        </w:tc>
        <w:tc>
          <w:tcPr>
            <w:tcW w:w="1155" w:type="dxa"/>
            <w:vMerge w:val="continue"/>
            <w:tcBorders>
              <w:top w:val="nil"/>
            </w:tcBorders>
            <w:vAlign w:val="top"/>
          </w:tcPr>
          <w:p>
            <w:pPr>
              <w:rPr>
                <w:sz w:val="2"/>
                <w:szCs w:val="2"/>
              </w:rPr>
            </w:pPr>
          </w:p>
        </w:tc>
        <w:tc>
          <w:tcPr>
            <w:tcW w:w="915" w:type="dxa"/>
            <w:vMerge w:val="continue"/>
            <w:tcBorders>
              <w:top w:val="nil"/>
            </w:tcBorders>
            <w:vAlign w:val="top"/>
          </w:tcPr>
          <w:p>
            <w:pPr>
              <w:rPr>
                <w:sz w:val="2"/>
                <w:szCs w:val="2"/>
              </w:rPr>
            </w:pPr>
          </w:p>
        </w:tc>
        <w:tc>
          <w:tcPr>
            <w:tcW w:w="684" w:type="dxa"/>
            <w:vMerge w:val="continue"/>
            <w:tcBorders>
              <w:top w:val="nil"/>
            </w:tcBorders>
            <w:vAlign w:val="top"/>
          </w:tcPr>
          <w:p>
            <w:pPr>
              <w:rPr>
                <w:sz w:val="2"/>
                <w:szCs w:val="2"/>
              </w:rPr>
            </w:pPr>
          </w:p>
        </w:tc>
        <w:tc>
          <w:tcPr>
            <w:tcW w:w="576" w:type="dxa"/>
            <w:vMerge w:val="continue"/>
            <w:tcBorders>
              <w:top w:val="nil"/>
            </w:tcBorders>
            <w:vAlign w:val="top"/>
          </w:tcPr>
          <w:p>
            <w:pPr>
              <w:rPr>
                <w:sz w:val="2"/>
                <w:szCs w:val="2"/>
              </w:rPr>
            </w:pPr>
          </w:p>
        </w:tc>
        <w:tc>
          <w:tcPr>
            <w:tcW w:w="720" w:type="dxa"/>
            <w:vMerge w:val="continue"/>
            <w:tcBorders>
              <w:top w:val="nil"/>
            </w:tcBorders>
            <w:vAlign w:val="top"/>
          </w:tcPr>
          <w:p>
            <w:pPr>
              <w:rPr>
                <w:sz w:val="2"/>
                <w:szCs w:val="2"/>
              </w:rPr>
            </w:pPr>
          </w:p>
        </w:tc>
        <w:tc>
          <w:tcPr>
            <w:tcW w:w="900" w:type="dxa"/>
            <w:vMerge w:val="restart"/>
            <w:vAlign w:val="top"/>
          </w:tcPr>
          <w:p>
            <w:pPr>
              <w:pStyle w:val="14"/>
              <w:rPr>
                <w:sz w:val="20"/>
              </w:rPr>
            </w:pPr>
          </w:p>
          <w:p>
            <w:pPr>
              <w:pStyle w:val="14"/>
              <w:spacing w:before="138" w:line="364" w:lineRule="auto"/>
              <w:ind w:left="349" w:right="138" w:hanging="200"/>
              <w:rPr>
                <w:sz w:val="20"/>
              </w:rPr>
            </w:pPr>
            <w:r>
              <w:rPr>
                <w:sz w:val="20"/>
              </w:rPr>
              <w:t>综合单价</w:t>
            </w:r>
          </w:p>
        </w:tc>
        <w:tc>
          <w:tcPr>
            <w:tcW w:w="900" w:type="dxa"/>
            <w:vMerge w:val="restart"/>
            <w:vAlign w:val="top"/>
          </w:tcPr>
          <w:p>
            <w:pPr>
              <w:pStyle w:val="14"/>
              <w:rPr>
                <w:sz w:val="20"/>
              </w:rPr>
            </w:pPr>
          </w:p>
          <w:p>
            <w:pPr>
              <w:pStyle w:val="14"/>
              <w:spacing w:before="12"/>
              <w:rPr>
                <w:sz w:val="25"/>
              </w:rPr>
            </w:pPr>
          </w:p>
          <w:p>
            <w:pPr>
              <w:pStyle w:val="14"/>
              <w:ind w:left="250"/>
              <w:rPr>
                <w:sz w:val="20"/>
              </w:rPr>
            </w:pPr>
            <w:r>
              <w:rPr>
                <w:sz w:val="20"/>
              </w:rPr>
              <w:t>合价</w:t>
            </w:r>
          </w:p>
        </w:tc>
        <w:tc>
          <w:tcPr>
            <w:tcW w:w="1500" w:type="dxa"/>
            <w:gridSpan w:val="2"/>
            <w:vAlign w:val="top"/>
          </w:tcPr>
          <w:p>
            <w:pPr>
              <w:pStyle w:val="14"/>
              <w:ind w:left="529" w:right="520"/>
              <w:jc w:val="center"/>
              <w:rPr>
                <w:sz w:val="20"/>
              </w:rPr>
            </w:pPr>
            <w:r>
              <w:rPr>
                <w:sz w:val="20"/>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67" w:hRule="atLeast"/>
        </w:trPr>
        <w:tc>
          <w:tcPr>
            <w:tcW w:w="540" w:type="dxa"/>
            <w:vMerge w:val="continue"/>
            <w:tcBorders>
              <w:top w:val="nil"/>
            </w:tcBorders>
            <w:vAlign w:val="top"/>
          </w:tcPr>
          <w:p>
            <w:pPr>
              <w:rPr>
                <w:sz w:val="2"/>
                <w:szCs w:val="2"/>
              </w:rPr>
            </w:pPr>
          </w:p>
        </w:tc>
        <w:tc>
          <w:tcPr>
            <w:tcW w:w="1350" w:type="dxa"/>
            <w:vMerge w:val="continue"/>
            <w:tcBorders>
              <w:top w:val="nil"/>
            </w:tcBorders>
            <w:vAlign w:val="top"/>
          </w:tcPr>
          <w:p>
            <w:pPr>
              <w:rPr>
                <w:sz w:val="2"/>
                <w:szCs w:val="2"/>
              </w:rPr>
            </w:pPr>
          </w:p>
        </w:tc>
        <w:tc>
          <w:tcPr>
            <w:tcW w:w="1155" w:type="dxa"/>
            <w:vMerge w:val="continue"/>
            <w:tcBorders>
              <w:top w:val="nil"/>
            </w:tcBorders>
            <w:vAlign w:val="top"/>
          </w:tcPr>
          <w:p>
            <w:pPr>
              <w:rPr>
                <w:sz w:val="2"/>
                <w:szCs w:val="2"/>
              </w:rPr>
            </w:pPr>
          </w:p>
        </w:tc>
        <w:tc>
          <w:tcPr>
            <w:tcW w:w="915" w:type="dxa"/>
            <w:vMerge w:val="continue"/>
            <w:tcBorders>
              <w:top w:val="nil"/>
            </w:tcBorders>
            <w:vAlign w:val="top"/>
          </w:tcPr>
          <w:p>
            <w:pPr>
              <w:rPr>
                <w:sz w:val="2"/>
                <w:szCs w:val="2"/>
              </w:rPr>
            </w:pPr>
          </w:p>
        </w:tc>
        <w:tc>
          <w:tcPr>
            <w:tcW w:w="684" w:type="dxa"/>
            <w:vMerge w:val="continue"/>
            <w:tcBorders>
              <w:top w:val="nil"/>
            </w:tcBorders>
            <w:vAlign w:val="top"/>
          </w:tcPr>
          <w:p>
            <w:pPr>
              <w:rPr>
                <w:sz w:val="2"/>
                <w:szCs w:val="2"/>
              </w:rPr>
            </w:pPr>
          </w:p>
        </w:tc>
        <w:tc>
          <w:tcPr>
            <w:tcW w:w="576" w:type="dxa"/>
            <w:vMerge w:val="continue"/>
            <w:tcBorders>
              <w:top w:val="nil"/>
            </w:tcBorders>
            <w:vAlign w:val="top"/>
          </w:tcPr>
          <w:p>
            <w:pPr>
              <w:rPr>
                <w:sz w:val="2"/>
                <w:szCs w:val="2"/>
              </w:rPr>
            </w:pPr>
          </w:p>
        </w:tc>
        <w:tc>
          <w:tcPr>
            <w:tcW w:w="720" w:type="dxa"/>
            <w:vMerge w:val="continue"/>
            <w:tcBorders>
              <w:top w:val="nil"/>
            </w:tcBorders>
            <w:vAlign w:val="top"/>
          </w:tcPr>
          <w:p>
            <w:pPr>
              <w:rPr>
                <w:sz w:val="2"/>
                <w:szCs w:val="2"/>
              </w:rPr>
            </w:pPr>
          </w:p>
        </w:tc>
        <w:tc>
          <w:tcPr>
            <w:tcW w:w="900" w:type="dxa"/>
            <w:vMerge w:val="continue"/>
            <w:tcBorders>
              <w:top w:val="nil"/>
            </w:tcBorders>
            <w:vAlign w:val="top"/>
          </w:tcPr>
          <w:p>
            <w:pPr>
              <w:rPr>
                <w:sz w:val="2"/>
                <w:szCs w:val="2"/>
              </w:rPr>
            </w:pPr>
          </w:p>
        </w:tc>
        <w:tc>
          <w:tcPr>
            <w:tcW w:w="900" w:type="dxa"/>
            <w:vMerge w:val="continue"/>
            <w:tcBorders>
              <w:top w:val="nil"/>
            </w:tcBorders>
            <w:vAlign w:val="top"/>
          </w:tcPr>
          <w:p>
            <w:pPr>
              <w:rPr>
                <w:sz w:val="2"/>
                <w:szCs w:val="2"/>
              </w:rPr>
            </w:pPr>
          </w:p>
        </w:tc>
        <w:tc>
          <w:tcPr>
            <w:tcW w:w="750" w:type="dxa"/>
            <w:vAlign w:val="top"/>
          </w:tcPr>
          <w:p>
            <w:pPr>
              <w:pStyle w:val="14"/>
              <w:spacing w:before="2"/>
              <w:rPr>
                <w:sz w:val="15"/>
              </w:rPr>
            </w:pPr>
          </w:p>
          <w:p>
            <w:pPr>
              <w:pStyle w:val="14"/>
              <w:spacing w:line="364" w:lineRule="auto"/>
              <w:ind w:left="274" w:right="165" w:hanging="101"/>
              <w:rPr>
                <w:sz w:val="20"/>
              </w:rPr>
            </w:pPr>
            <w:r>
              <w:rPr>
                <w:sz w:val="20"/>
              </w:rPr>
              <w:t>人工费</w:t>
            </w:r>
          </w:p>
        </w:tc>
        <w:tc>
          <w:tcPr>
            <w:tcW w:w="750" w:type="dxa"/>
            <w:vAlign w:val="top"/>
          </w:tcPr>
          <w:p>
            <w:pPr>
              <w:pStyle w:val="14"/>
              <w:spacing w:line="364" w:lineRule="auto"/>
              <w:ind w:left="175" w:right="164"/>
              <w:jc w:val="center"/>
              <w:rPr>
                <w:sz w:val="20"/>
              </w:rPr>
            </w:pPr>
            <w:r>
              <w:rPr>
                <w:sz w:val="20"/>
              </w:rPr>
              <w:t>材料暂估</w:t>
            </w:r>
          </w:p>
          <w:p>
            <w:pPr>
              <w:pStyle w:val="14"/>
              <w:spacing w:before="1"/>
              <w:ind w:left="6"/>
              <w:jc w:val="center"/>
              <w:rPr>
                <w:sz w:val="20"/>
              </w:rPr>
            </w:pPr>
            <w:r>
              <w:rPr>
                <w:w w:val="99"/>
                <w:sz w:val="20"/>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40" w:type="dxa"/>
            <w:vAlign w:val="top"/>
          </w:tcPr>
          <w:p>
            <w:pPr>
              <w:pStyle w:val="14"/>
              <w:rPr>
                <w:rFonts w:ascii="Times New Roman"/>
                <w:sz w:val="20"/>
              </w:rPr>
            </w:pPr>
          </w:p>
        </w:tc>
        <w:tc>
          <w:tcPr>
            <w:tcW w:w="1350" w:type="dxa"/>
            <w:vAlign w:val="top"/>
          </w:tcPr>
          <w:p>
            <w:pPr>
              <w:pStyle w:val="14"/>
              <w:rPr>
                <w:rFonts w:ascii="Times New Roman"/>
                <w:sz w:val="20"/>
              </w:rPr>
            </w:pPr>
          </w:p>
        </w:tc>
        <w:tc>
          <w:tcPr>
            <w:tcW w:w="1155" w:type="dxa"/>
            <w:vAlign w:val="top"/>
          </w:tcPr>
          <w:p>
            <w:pPr>
              <w:pStyle w:val="14"/>
              <w:rPr>
                <w:rFonts w:ascii="Times New Roman"/>
                <w:sz w:val="20"/>
              </w:rPr>
            </w:pPr>
          </w:p>
        </w:tc>
        <w:tc>
          <w:tcPr>
            <w:tcW w:w="915" w:type="dxa"/>
            <w:vAlign w:val="top"/>
          </w:tcPr>
          <w:p>
            <w:pPr>
              <w:pStyle w:val="14"/>
              <w:rPr>
                <w:rFonts w:ascii="Times New Roman"/>
                <w:sz w:val="20"/>
              </w:rPr>
            </w:pPr>
          </w:p>
        </w:tc>
        <w:tc>
          <w:tcPr>
            <w:tcW w:w="684" w:type="dxa"/>
            <w:vAlign w:val="top"/>
          </w:tcPr>
          <w:p>
            <w:pPr>
              <w:pStyle w:val="14"/>
              <w:rPr>
                <w:rFonts w:ascii="Times New Roman"/>
                <w:sz w:val="20"/>
              </w:rPr>
            </w:pPr>
          </w:p>
        </w:tc>
        <w:tc>
          <w:tcPr>
            <w:tcW w:w="576" w:type="dxa"/>
            <w:vAlign w:val="top"/>
          </w:tcPr>
          <w:p>
            <w:pPr>
              <w:pStyle w:val="14"/>
              <w:rPr>
                <w:rFonts w:ascii="Times New Roman"/>
                <w:sz w:val="20"/>
              </w:rPr>
            </w:pPr>
          </w:p>
        </w:tc>
        <w:tc>
          <w:tcPr>
            <w:tcW w:w="72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750" w:type="dxa"/>
            <w:vAlign w:val="top"/>
          </w:tcPr>
          <w:p>
            <w:pPr>
              <w:pStyle w:val="14"/>
              <w:rPr>
                <w:rFonts w:ascii="Times New Roman"/>
                <w:sz w:val="20"/>
              </w:rPr>
            </w:pPr>
          </w:p>
        </w:tc>
        <w:tc>
          <w:tcPr>
            <w:tcW w:w="7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40" w:type="dxa"/>
            <w:vAlign w:val="top"/>
          </w:tcPr>
          <w:p>
            <w:pPr>
              <w:pStyle w:val="14"/>
              <w:rPr>
                <w:rFonts w:ascii="Times New Roman"/>
                <w:sz w:val="20"/>
              </w:rPr>
            </w:pPr>
          </w:p>
        </w:tc>
        <w:tc>
          <w:tcPr>
            <w:tcW w:w="1350" w:type="dxa"/>
            <w:vAlign w:val="top"/>
          </w:tcPr>
          <w:p>
            <w:pPr>
              <w:pStyle w:val="14"/>
              <w:rPr>
                <w:rFonts w:ascii="Times New Roman"/>
                <w:sz w:val="20"/>
              </w:rPr>
            </w:pPr>
          </w:p>
        </w:tc>
        <w:tc>
          <w:tcPr>
            <w:tcW w:w="1155" w:type="dxa"/>
            <w:vAlign w:val="top"/>
          </w:tcPr>
          <w:p>
            <w:pPr>
              <w:pStyle w:val="14"/>
              <w:rPr>
                <w:rFonts w:ascii="Times New Roman"/>
                <w:sz w:val="20"/>
              </w:rPr>
            </w:pPr>
          </w:p>
        </w:tc>
        <w:tc>
          <w:tcPr>
            <w:tcW w:w="915" w:type="dxa"/>
            <w:vAlign w:val="top"/>
          </w:tcPr>
          <w:p>
            <w:pPr>
              <w:pStyle w:val="14"/>
              <w:rPr>
                <w:rFonts w:ascii="Times New Roman"/>
                <w:sz w:val="20"/>
              </w:rPr>
            </w:pPr>
          </w:p>
        </w:tc>
        <w:tc>
          <w:tcPr>
            <w:tcW w:w="684" w:type="dxa"/>
            <w:vAlign w:val="top"/>
          </w:tcPr>
          <w:p>
            <w:pPr>
              <w:pStyle w:val="14"/>
              <w:rPr>
                <w:rFonts w:ascii="Times New Roman"/>
                <w:sz w:val="20"/>
              </w:rPr>
            </w:pPr>
          </w:p>
        </w:tc>
        <w:tc>
          <w:tcPr>
            <w:tcW w:w="576" w:type="dxa"/>
            <w:vAlign w:val="top"/>
          </w:tcPr>
          <w:p>
            <w:pPr>
              <w:pStyle w:val="14"/>
              <w:rPr>
                <w:rFonts w:ascii="Times New Roman"/>
                <w:sz w:val="20"/>
              </w:rPr>
            </w:pPr>
          </w:p>
        </w:tc>
        <w:tc>
          <w:tcPr>
            <w:tcW w:w="72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750" w:type="dxa"/>
            <w:vAlign w:val="top"/>
          </w:tcPr>
          <w:p>
            <w:pPr>
              <w:pStyle w:val="14"/>
              <w:rPr>
                <w:rFonts w:ascii="Times New Roman"/>
                <w:sz w:val="20"/>
              </w:rPr>
            </w:pPr>
          </w:p>
        </w:tc>
        <w:tc>
          <w:tcPr>
            <w:tcW w:w="7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40" w:type="dxa"/>
            <w:vAlign w:val="top"/>
          </w:tcPr>
          <w:p>
            <w:pPr>
              <w:pStyle w:val="14"/>
              <w:rPr>
                <w:rFonts w:ascii="Times New Roman"/>
                <w:sz w:val="20"/>
              </w:rPr>
            </w:pPr>
          </w:p>
        </w:tc>
        <w:tc>
          <w:tcPr>
            <w:tcW w:w="1350" w:type="dxa"/>
            <w:vAlign w:val="top"/>
          </w:tcPr>
          <w:p>
            <w:pPr>
              <w:pStyle w:val="14"/>
              <w:rPr>
                <w:rFonts w:ascii="Times New Roman"/>
                <w:sz w:val="20"/>
              </w:rPr>
            </w:pPr>
          </w:p>
        </w:tc>
        <w:tc>
          <w:tcPr>
            <w:tcW w:w="1155" w:type="dxa"/>
            <w:vAlign w:val="top"/>
          </w:tcPr>
          <w:p>
            <w:pPr>
              <w:pStyle w:val="14"/>
              <w:rPr>
                <w:rFonts w:ascii="Times New Roman"/>
                <w:sz w:val="20"/>
              </w:rPr>
            </w:pPr>
          </w:p>
        </w:tc>
        <w:tc>
          <w:tcPr>
            <w:tcW w:w="915" w:type="dxa"/>
            <w:vAlign w:val="top"/>
          </w:tcPr>
          <w:p>
            <w:pPr>
              <w:pStyle w:val="14"/>
              <w:rPr>
                <w:rFonts w:ascii="Times New Roman"/>
                <w:sz w:val="20"/>
              </w:rPr>
            </w:pPr>
          </w:p>
        </w:tc>
        <w:tc>
          <w:tcPr>
            <w:tcW w:w="684" w:type="dxa"/>
            <w:vAlign w:val="top"/>
          </w:tcPr>
          <w:p>
            <w:pPr>
              <w:pStyle w:val="14"/>
              <w:rPr>
                <w:rFonts w:ascii="Times New Roman"/>
                <w:sz w:val="20"/>
              </w:rPr>
            </w:pPr>
          </w:p>
        </w:tc>
        <w:tc>
          <w:tcPr>
            <w:tcW w:w="576" w:type="dxa"/>
            <w:vAlign w:val="top"/>
          </w:tcPr>
          <w:p>
            <w:pPr>
              <w:pStyle w:val="14"/>
              <w:rPr>
                <w:rFonts w:ascii="Times New Roman"/>
                <w:sz w:val="20"/>
              </w:rPr>
            </w:pPr>
          </w:p>
        </w:tc>
        <w:tc>
          <w:tcPr>
            <w:tcW w:w="72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750" w:type="dxa"/>
            <w:vAlign w:val="top"/>
          </w:tcPr>
          <w:p>
            <w:pPr>
              <w:pStyle w:val="14"/>
              <w:rPr>
                <w:rFonts w:ascii="Times New Roman"/>
                <w:sz w:val="20"/>
              </w:rPr>
            </w:pPr>
          </w:p>
        </w:tc>
        <w:tc>
          <w:tcPr>
            <w:tcW w:w="7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40" w:type="dxa"/>
            <w:vAlign w:val="top"/>
          </w:tcPr>
          <w:p>
            <w:pPr>
              <w:pStyle w:val="14"/>
              <w:rPr>
                <w:rFonts w:ascii="Times New Roman"/>
                <w:sz w:val="20"/>
              </w:rPr>
            </w:pPr>
          </w:p>
        </w:tc>
        <w:tc>
          <w:tcPr>
            <w:tcW w:w="1350" w:type="dxa"/>
            <w:vAlign w:val="top"/>
          </w:tcPr>
          <w:p>
            <w:pPr>
              <w:pStyle w:val="14"/>
              <w:rPr>
                <w:rFonts w:ascii="Times New Roman"/>
                <w:sz w:val="20"/>
              </w:rPr>
            </w:pPr>
          </w:p>
        </w:tc>
        <w:tc>
          <w:tcPr>
            <w:tcW w:w="1155" w:type="dxa"/>
            <w:vAlign w:val="top"/>
          </w:tcPr>
          <w:p>
            <w:pPr>
              <w:pStyle w:val="14"/>
              <w:rPr>
                <w:rFonts w:ascii="Times New Roman"/>
                <w:sz w:val="20"/>
              </w:rPr>
            </w:pPr>
          </w:p>
        </w:tc>
        <w:tc>
          <w:tcPr>
            <w:tcW w:w="915" w:type="dxa"/>
            <w:vAlign w:val="top"/>
          </w:tcPr>
          <w:p>
            <w:pPr>
              <w:pStyle w:val="14"/>
              <w:rPr>
                <w:rFonts w:ascii="Times New Roman"/>
                <w:sz w:val="20"/>
              </w:rPr>
            </w:pPr>
          </w:p>
        </w:tc>
        <w:tc>
          <w:tcPr>
            <w:tcW w:w="684" w:type="dxa"/>
            <w:vAlign w:val="top"/>
          </w:tcPr>
          <w:p>
            <w:pPr>
              <w:pStyle w:val="14"/>
              <w:rPr>
                <w:rFonts w:ascii="Times New Roman"/>
                <w:sz w:val="20"/>
              </w:rPr>
            </w:pPr>
          </w:p>
        </w:tc>
        <w:tc>
          <w:tcPr>
            <w:tcW w:w="576" w:type="dxa"/>
            <w:vAlign w:val="top"/>
          </w:tcPr>
          <w:p>
            <w:pPr>
              <w:pStyle w:val="14"/>
              <w:rPr>
                <w:rFonts w:ascii="Times New Roman"/>
                <w:sz w:val="20"/>
              </w:rPr>
            </w:pPr>
          </w:p>
        </w:tc>
        <w:tc>
          <w:tcPr>
            <w:tcW w:w="72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750" w:type="dxa"/>
            <w:vAlign w:val="top"/>
          </w:tcPr>
          <w:p>
            <w:pPr>
              <w:pStyle w:val="14"/>
              <w:rPr>
                <w:rFonts w:ascii="Times New Roman"/>
                <w:sz w:val="20"/>
              </w:rPr>
            </w:pPr>
          </w:p>
        </w:tc>
        <w:tc>
          <w:tcPr>
            <w:tcW w:w="7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40" w:type="dxa"/>
            <w:vAlign w:val="top"/>
          </w:tcPr>
          <w:p>
            <w:pPr>
              <w:pStyle w:val="14"/>
              <w:rPr>
                <w:rFonts w:ascii="Times New Roman"/>
                <w:sz w:val="20"/>
              </w:rPr>
            </w:pPr>
          </w:p>
        </w:tc>
        <w:tc>
          <w:tcPr>
            <w:tcW w:w="1350" w:type="dxa"/>
            <w:vAlign w:val="top"/>
          </w:tcPr>
          <w:p>
            <w:pPr>
              <w:pStyle w:val="14"/>
              <w:rPr>
                <w:rFonts w:ascii="Times New Roman"/>
                <w:sz w:val="20"/>
              </w:rPr>
            </w:pPr>
          </w:p>
        </w:tc>
        <w:tc>
          <w:tcPr>
            <w:tcW w:w="1155" w:type="dxa"/>
            <w:vAlign w:val="top"/>
          </w:tcPr>
          <w:p>
            <w:pPr>
              <w:pStyle w:val="14"/>
              <w:rPr>
                <w:rFonts w:ascii="Times New Roman"/>
                <w:sz w:val="20"/>
              </w:rPr>
            </w:pPr>
          </w:p>
        </w:tc>
        <w:tc>
          <w:tcPr>
            <w:tcW w:w="915" w:type="dxa"/>
            <w:vAlign w:val="top"/>
          </w:tcPr>
          <w:p>
            <w:pPr>
              <w:pStyle w:val="14"/>
              <w:rPr>
                <w:rFonts w:ascii="Times New Roman"/>
                <w:sz w:val="20"/>
              </w:rPr>
            </w:pPr>
          </w:p>
        </w:tc>
        <w:tc>
          <w:tcPr>
            <w:tcW w:w="684" w:type="dxa"/>
            <w:vAlign w:val="top"/>
          </w:tcPr>
          <w:p>
            <w:pPr>
              <w:pStyle w:val="14"/>
              <w:rPr>
                <w:rFonts w:ascii="Times New Roman"/>
                <w:sz w:val="20"/>
              </w:rPr>
            </w:pPr>
          </w:p>
        </w:tc>
        <w:tc>
          <w:tcPr>
            <w:tcW w:w="576" w:type="dxa"/>
            <w:vAlign w:val="top"/>
          </w:tcPr>
          <w:p>
            <w:pPr>
              <w:pStyle w:val="14"/>
              <w:rPr>
                <w:rFonts w:ascii="Times New Roman"/>
                <w:sz w:val="20"/>
              </w:rPr>
            </w:pPr>
          </w:p>
        </w:tc>
        <w:tc>
          <w:tcPr>
            <w:tcW w:w="72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750" w:type="dxa"/>
            <w:vAlign w:val="top"/>
          </w:tcPr>
          <w:p>
            <w:pPr>
              <w:pStyle w:val="14"/>
              <w:rPr>
                <w:rFonts w:ascii="Times New Roman"/>
                <w:sz w:val="20"/>
              </w:rPr>
            </w:pPr>
          </w:p>
        </w:tc>
        <w:tc>
          <w:tcPr>
            <w:tcW w:w="7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40" w:type="dxa"/>
            <w:vAlign w:val="top"/>
          </w:tcPr>
          <w:p>
            <w:pPr>
              <w:pStyle w:val="14"/>
              <w:rPr>
                <w:rFonts w:ascii="Times New Roman"/>
                <w:sz w:val="20"/>
              </w:rPr>
            </w:pPr>
          </w:p>
        </w:tc>
        <w:tc>
          <w:tcPr>
            <w:tcW w:w="1350" w:type="dxa"/>
            <w:vAlign w:val="top"/>
          </w:tcPr>
          <w:p>
            <w:pPr>
              <w:pStyle w:val="14"/>
              <w:rPr>
                <w:rFonts w:ascii="Times New Roman"/>
                <w:sz w:val="20"/>
              </w:rPr>
            </w:pPr>
          </w:p>
        </w:tc>
        <w:tc>
          <w:tcPr>
            <w:tcW w:w="1155" w:type="dxa"/>
            <w:vAlign w:val="top"/>
          </w:tcPr>
          <w:p>
            <w:pPr>
              <w:pStyle w:val="14"/>
              <w:rPr>
                <w:rFonts w:ascii="Times New Roman"/>
                <w:sz w:val="20"/>
              </w:rPr>
            </w:pPr>
          </w:p>
        </w:tc>
        <w:tc>
          <w:tcPr>
            <w:tcW w:w="915" w:type="dxa"/>
            <w:vAlign w:val="top"/>
          </w:tcPr>
          <w:p>
            <w:pPr>
              <w:pStyle w:val="14"/>
              <w:rPr>
                <w:rFonts w:ascii="Times New Roman"/>
                <w:sz w:val="20"/>
              </w:rPr>
            </w:pPr>
          </w:p>
        </w:tc>
        <w:tc>
          <w:tcPr>
            <w:tcW w:w="684" w:type="dxa"/>
            <w:vAlign w:val="top"/>
          </w:tcPr>
          <w:p>
            <w:pPr>
              <w:pStyle w:val="14"/>
              <w:rPr>
                <w:rFonts w:ascii="Times New Roman"/>
                <w:sz w:val="20"/>
              </w:rPr>
            </w:pPr>
          </w:p>
        </w:tc>
        <w:tc>
          <w:tcPr>
            <w:tcW w:w="576" w:type="dxa"/>
            <w:vAlign w:val="top"/>
          </w:tcPr>
          <w:p>
            <w:pPr>
              <w:pStyle w:val="14"/>
              <w:rPr>
                <w:rFonts w:ascii="Times New Roman"/>
                <w:sz w:val="20"/>
              </w:rPr>
            </w:pPr>
          </w:p>
        </w:tc>
        <w:tc>
          <w:tcPr>
            <w:tcW w:w="72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750" w:type="dxa"/>
            <w:vAlign w:val="top"/>
          </w:tcPr>
          <w:p>
            <w:pPr>
              <w:pStyle w:val="14"/>
              <w:rPr>
                <w:rFonts w:ascii="Times New Roman"/>
                <w:sz w:val="20"/>
              </w:rPr>
            </w:pPr>
          </w:p>
        </w:tc>
        <w:tc>
          <w:tcPr>
            <w:tcW w:w="7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40" w:type="dxa"/>
            <w:vAlign w:val="top"/>
          </w:tcPr>
          <w:p>
            <w:pPr>
              <w:pStyle w:val="14"/>
              <w:rPr>
                <w:rFonts w:ascii="Times New Roman"/>
                <w:sz w:val="20"/>
              </w:rPr>
            </w:pPr>
          </w:p>
        </w:tc>
        <w:tc>
          <w:tcPr>
            <w:tcW w:w="1350" w:type="dxa"/>
            <w:vAlign w:val="top"/>
          </w:tcPr>
          <w:p>
            <w:pPr>
              <w:pStyle w:val="14"/>
              <w:rPr>
                <w:rFonts w:ascii="Times New Roman"/>
                <w:sz w:val="20"/>
              </w:rPr>
            </w:pPr>
          </w:p>
        </w:tc>
        <w:tc>
          <w:tcPr>
            <w:tcW w:w="1155" w:type="dxa"/>
            <w:vAlign w:val="top"/>
          </w:tcPr>
          <w:p>
            <w:pPr>
              <w:pStyle w:val="14"/>
              <w:rPr>
                <w:rFonts w:ascii="Times New Roman"/>
                <w:sz w:val="20"/>
              </w:rPr>
            </w:pPr>
          </w:p>
        </w:tc>
        <w:tc>
          <w:tcPr>
            <w:tcW w:w="915" w:type="dxa"/>
            <w:vAlign w:val="top"/>
          </w:tcPr>
          <w:p>
            <w:pPr>
              <w:pStyle w:val="14"/>
              <w:rPr>
                <w:rFonts w:ascii="Times New Roman"/>
                <w:sz w:val="20"/>
              </w:rPr>
            </w:pPr>
          </w:p>
        </w:tc>
        <w:tc>
          <w:tcPr>
            <w:tcW w:w="684" w:type="dxa"/>
            <w:vAlign w:val="top"/>
          </w:tcPr>
          <w:p>
            <w:pPr>
              <w:pStyle w:val="14"/>
              <w:rPr>
                <w:rFonts w:ascii="Times New Roman"/>
                <w:sz w:val="20"/>
              </w:rPr>
            </w:pPr>
          </w:p>
        </w:tc>
        <w:tc>
          <w:tcPr>
            <w:tcW w:w="576" w:type="dxa"/>
            <w:vAlign w:val="top"/>
          </w:tcPr>
          <w:p>
            <w:pPr>
              <w:pStyle w:val="14"/>
              <w:rPr>
                <w:rFonts w:ascii="Times New Roman"/>
                <w:sz w:val="20"/>
              </w:rPr>
            </w:pPr>
          </w:p>
        </w:tc>
        <w:tc>
          <w:tcPr>
            <w:tcW w:w="72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750" w:type="dxa"/>
            <w:vAlign w:val="top"/>
          </w:tcPr>
          <w:p>
            <w:pPr>
              <w:pStyle w:val="14"/>
              <w:rPr>
                <w:rFonts w:ascii="Times New Roman"/>
                <w:sz w:val="20"/>
              </w:rPr>
            </w:pPr>
          </w:p>
        </w:tc>
        <w:tc>
          <w:tcPr>
            <w:tcW w:w="7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40" w:type="dxa"/>
            <w:vAlign w:val="top"/>
          </w:tcPr>
          <w:p>
            <w:pPr>
              <w:pStyle w:val="14"/>
              <w:rPr>
                <w:rFonts w:ascii="Times New Roman"/>
                <w:sz w:val="20"/>
              </w:rPr>
            </w:pPr>
          </w:p>
        </w:tc>
        <w:tc>
          <w:tcPr>
            <w:tcW w:w="1350" w:type="dxa"/>
            <w:vAlign w:val="top"/>
          </w:tcPr>
          <w:p>
            <w:pPr>
              <w:pStyle w:val="14"/>
              <w:rPr>
                <w:rFonts w:ascii="Times New Roman"/>
                <w:sz w:val="20"/>
              </w:rPr>
            </w:pPr>
          </w:p>
        </w:tc>
        <w:tc>
          <w:tcPr>
            <w:tcW w:w="1155" w:type="dxa"/>
            <w:vAlign w:val="top"/>
          </w:tcPr>
          <w:p>
            <w:pPr>
              <w:pStyle w:val="14"/>
              <w:rPr>
                <w:rFonts w:ascii="Times New Roman"/>
                <w:sz w:val="20"/>
              </w:rPr>
            </w:pPr>
          </w:p>
        </w:tc>
        <w:tc>
          <w:tcPr>
            <w:tcW w:w="915" w:type="dxa"/>
            <w:vAlign w:val="top"/>
          </w:tcPr>
          <w:p>
            <w:pPr>
              <w:pStyle w:val="14"/>
              <w:rPr>
                <w:rFonts w:ascii="Times New Roman"/>
                <w:sz w:val="20"/>
              </w:rPr>
            </w:pPr>
          </w:p>
        </w:tc>
        <w:tc>
          <w:tcPr>
            <w:tcW w:w="684" w:type="dxa"/>
            <w:vAlign w:val="top"/>
          </w:tcPr>
          <w:p>
            <w:pPr>
              <w:pStyle w:val="14"/>
              <w:rPr>
                <w:rFonts w:ascii="Times New Roman"/>
                <w:sz w:val="20"/>
              </w:rPr>
            </w:pPr>
          </w:p>
        </w:tc>
        <w:tc>
          <w:tcPr>
            <w:tcW w:w="576" w:type="dxa"/>
            <w:vAlign w:val="top"/>
          </w:tcPr>
          <w:p>
            <w:pPr>
              <w:pStyle w:val="14"/>
              <w:rPr>
                <w:rFonts w:ascii="Times New Roman"/>
                <w:sz w:val="20"/>
              </w:rPr>
            </w:pPr>
          </w:p>
        </w:tc>
        <w:tc>
          <w:tcPr>
            <w:tcW w:w="72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750" w:type="dxa"/>
            <w:vAlign w:val="top"/>
          </w:tcPr>
          <w:p>
            <w:pPr>
              <w:pStyle w:val="14"/>
              <w:rPr>
                <w:rFonts w:ascii="Times New Roman"/>
                <w:sz w:val="20"/>
              </w:rPr>
            </w:pPr>
          </w:p>
        </w:tc>
        <w:tc>
          <w:tcPr>
            <w:tcW w:w="7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40" w:type="dxa"/>
            <w:vAlign w:val="top"/>
          </w:tcPr>
          <w:p>
            <w:pPr>
              <w:pStyle w:val="14"/>
              <w:rPr>
                <w:rFonts w:ascii="Times New Roman"/>
                <w:sz w:val="20"/>
              </w:rPr>
            </w:pPr>
          </w:p>
        </w:tc>
        <w:tc>
          <w:tcPr>
            <w:tcW w:w="1350" w:type="dxa"/>
            <w:vAlign w:val="top"/>
          </w:tcPr>
          <w:p>
            <w:pPr>
              <w:pStyle w:val="14"/>
              <w:rPr>
                <w:rFonts w:ascii="Times New Roman"/>
                <w:sz w:val="20"/>
              </w:rPr>
            </w:pPr>
          </w:p>
        </w:tc>
        <w:tc>
          <w:tcPr>
            <w:tcW w:w="1155" w:type="dxa"/>
            <w:vAlign w:val="top"/>
          </w:tcPr>
          <w:p>
            <w:pPr>
              <w:pStyle w:val="14"/>
              <w:rPr>
                <w:rFonts w:ascii="Times New Roman"/>
                <w:sz w:val="20"/>
              </w:rPr>
            </w:pPr>
          </w:p>
        </w:tc>
        <w:tc>
          <w:tcPr>
            <w:tcW w:w="915" w:type="dxa"/>
            <w:vAlign w:val="top"/>
          </w:tcPr>
          <w:p>
            <w:pPr>
              <w:pStyle w:val="14"/>
              <w:rPr>
                <w:rFonts w:ascii="Times New Roman"/>
                <w:sz w:val="20"/>
              </w:rPr>
            </w:pPr>
          </w:p>
        </w:tc>
        <w:tc>
          <w:tcPr>
            <w:tcW w:w="684" w:type="dxa"/>
            <w:vAlign w:val="top"/>
          </w:tcPr>
          <w:p>
            <w:pPr>
              <w:pStyle w:val="14"/>
              <w:rPr>
                <w:rFonts w:ascii="Times New Roman"/>
                <w:sz w:val="20"/>
              </w:rPr>
            </w:pPr>
          </w:p>
        </w:tc>
        <w:tc>
          <w:tcPr>
            <w:tcW w:w="576" w:type="dxa"/>
            <w:vAlign w:val="top"/>
          </w:tcPr>
          <w:p>
            <w:pPr>
              <w:pStyle w:val="14"/>
              <w:rPr>
                <w:rFonts w:ascii="Times New Roman"/>
                <w:sz w:val="20"/>
              </w:rPr>
            </w:pPr>
          </w:p>
        </w:tc>
        <w:tc>
          <w:tcPr>
            <w:tcW w:w="72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750" w:type="dxa"/>
            <w:vAlign w:val="top"/>
          </w:tcPr>
          <w:p>
            <w:pPr>
              <w:pStyle w:val="14"/>
              <w:rPr>
                <w:rFonts w:ascii="Times New Roman"/>
                <w:sz w:val="20"/>
              </w:rPr>
            </w:pPr>
          </w:p>
        </w:tc>
        <w:tc>
          <w:tcPr>
            <w:tcW w:w="7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40" w:type="dxa"/>
            <w:vAlign w:val="top"/>
          </w:tcPr>
          <w:p>
            <w:pPr>
              <w:pStyle w:val="14"/>
              <w:rPr>
                <w:rFonts w:ascii="Times New Roman"/>
                <w:sz w:val="20"/>
              </w:rPr>
            </w:pPr>
          </w:p>
        </w:tc>
        <w:tc>
          <w:tcPr>
            <w:tcW w:w="1350" w:type="dxa"/>
            <w:vAlign w:val="top"/>
          </w:tcPr>
          <w:p>
            <w:pPr>
              <w:pStyle w:val="14"/>
              <w:rPr>
                <w:rFonts w:ascii="Times New Roman"/>
                <w:sz w:val="20"/>
              </w:rPr>
            </w:pPr>
          </w:p>
        </w:tc>
        <w:tc>
          <w:tcPr>
            <w:tcW w:w="1155" w:type="dxa"/>
            <w:vAlign w:val="top"/>
          </w:tcPr>
          <w:p>
            <w:pPr>
              <w:pStyle w:val="14"/>
              <w:rPr>
                <w:rFonts w:ascii="Times New Roman"/>
                <w:sz w:val="20"/>
              </w:rPr>
            </w:pPr>
          </w:p>
        </w:tc>
        <w:tc>
          <w:tcPr>
            <w:tcW w:w="915" w:type="dxa"/>
            <w:vAlign w:val="top"/>
          </w:tcPr>
          <w:p>
            <w:pPr>
              <w:pStyle w:val="14"/>
              <w:rPr>
                <w:rFonts w:ascii="Times New Roman"/>
                <w:sz w:val="20"/>
              </w:rPr>
            </w:pPr>
          </w:p>
        </w:tc>
        <w:tc>
          <w:tcPr>
            <w:tcW w:w="684" w:type="dxa"/>
            <w:vAlign w:val="top"/>
          </w:tcPr>
          <w:p>
            <w:pPr>
              <w:pStyle w:val="14"/>
              <w:rPr>
                <w:rFonts w:ascii="Times New Roman"/>
                <w:sz w:val="20"/>
              </w:rPr>
            </w:pPr>
          </w:p>
        </w:tc>
        <w:tc>
          <w:tcPr>
            <w:tcW w:w="576" w:type="dxa"/>
            <w:vAlign w:val="top"/>
          </w:tcPr>
          <w:p>
            <w:pPr>
              <w:pStyle w:val="14"/>
              <w:rPr>
                <w:rFonts w:ascii="Times New Roman"/>
                <w:sz w:val="20"/>
              </w:rPr>
            </w:pPr>
          </w:p>
        </w:tc>
        <w:tc>
          <w:tcPr>
            <w:tcW w:w="72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750" w:type="dxa"/>
            <w:vAlign w:val="top"/>
          </w:tcPr>
          <w:p>
            <w:pPr>
              <w:pStyle w:val="14"/>
              <w:rPr>
                <w:rFonts w:ascii="Times New Roman"/>
                <w:sz w:val="20"/>
              </w:rPr>
            </w:pPr>
          </w:p>
        </w:tc>
        <w:tc>
          <w:tcPr>
            <w:tcW w:w="7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40" w:type="dxa"/>
            <w:vAlign w:val="top"/>
          </w:tcPr>
          <w:p>
            <w:pPr>
              <w:pStyle w:val="14"/>
              <w:rPr>
                <w:rFonts w:ascii="Times New Roman"/>
                <w:sz w:val="20"/>
              </w:rPr>
            </w:pPr>
          </w:p>
        </w:tc>
        <w:tc>
          <w:tcPr>
            <w:tcW w:w="1350" w:type="dxa"/>
            <w:vAlign w:val="top"/>
          </w:tcPr>
          <w:p>
            <w:pPr>
              <w:pStyle w:val="14"/>
              <w:rPr>
                <w:rFonts w:ascii="Times New Roman"/>
                <w:sz w:val="20"/>
              </w:rPr>
            </w:pPr>
          </w:p>
        </w:tc>
        <w:tc>
          <w:tcPr>
            <w:tcW w:w="1155" w:type="dxa"/>
            <w:vAlign w:val="top"/>
          </w:tcPr>
          <w:p>
            <w:pPr>
              <w:pStyle w:val="14"/>
              <w:rPr>
                <w:rFonts w:ascii="Times New Roman"/>
                <w:sz w:val="20"/>
              </w:rPr>
            </w:pPr>
          </w:p>
        </w:tc>
        <w:tc>
          <w:tcPr>
            <w:tcW w:w="915" w:type="dxa"/>
            <w:vAlign w:val="top"/>
          </w:tcPr>
          <w:p>
            <w:pPr>
              <w:pStyle w:val="14"/>
              <w:rPr>
                <w:rFonts w:ascii="Times New Roman"/>
                <w:sz w:val="20"/>
              </w:rPr>
            </w:pPr>
          </w:p>
        </w:tc>
        <w:tc>
          <w:tcPr>
            <w:tcW w:w="684" w:type="dxa"/>
            <w:vAlign w:val="top"/>
          </w:tcPr>
          <w:p>
            <w:pPr>
              <w:pStyle w:val="14"/>
              <w:rPr>
                <w:rFonts w:ascii="Times New Roman"/>
                <w:sz w:val="20"/>
              </w:rPr>
            </w:pPr>
          </w:p>
        </w:tc>
        <w:tc>
          <w:tcPr>
            <w:tcW w:w="576" w:type="dxa"/>
            <w:vAlign w:val="top"/>
          </w:tcPr>
          <w:p>
            <w:pPr>
              <w:pStyle w:val="14"/>
              <w:rPr>
                <w:rFonts w:ascii="Times New Roman"/>
                <w:sz w:val="20"/>
              </w:rPr>
            </w:pPr>
          </w:p>
        </w:tc>
        <w:tc>
          <w:tcPr>
            <w:tcW w:w="72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750" w:type="dxa"/>
            <w:vAlign w:val="top"/>
          </w:tcPr>
          <w:p>
            <w:pPr>
              <w:pStyle w:val="14"/>
              <w:rPr>
                <w:rFonts w:ascii="Times New Roman"/>
                <w:sz w:val="20"/>
              </w:rPr>
            </w:pPr>
          </w:p>
        </w:tc>
        <w:tc>
          <w:tcPr>
            <w:tcW w:w="7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40" w:type="dxa"/>
            <w:vAlign w:val="top"/>
          </w:tcPr>
          <w:p>
            <w:pPr>
              <w:pStyle w:val="14"/>
              <w:rPr>
                <w:rFonts w:ascii="Times New Roman"/>
                <w:sz w:val="20"/>
              </w:rPr>
            </w:pPr>
          </w:p>
        </w:tc>
        <w:tc>
          <w:tcPr>
            <w:tcW w:w="1350" w:type="dxa"/>
            <w:vAlign w:val="top"/>
          </w:tcPr>
          <w:p>
            <w:pPr>
              <w:pStyle w:val="14"/>
              <w:rPr>
                <w:rFonts w:ascii="Times New Roman"/>
                <w:sz w:val="20"/>
              </w:rPr>
            </w:pPr>
          </w:p>
        </w:tc>
        <w:tc>
          <w:tcPr>
            <w:tcW w:w="1155" w:type="dxa"/>
            <w:vAlign w:val="top"/>
          </w:tcPr>
          <w:p>
            <w:pPr>
              <w:pStyle w:val="14"/>
              <w:rPr>
                <w:rFonts w:ascii="Times New Roman"/>
                <w:sz w:val="20"/>
              </w:rPr>
            </w:pPr>
          </w:p>
        </w:tc>
        <w:tc>
          <w:tcPr>
            <w:tcW w:w="915" w:type="dxa"/>
            <w:vAlign w:val="top"/>
          </w:tcPr>
          <w:p>
            <w:pPr>
              <w:pStyle w:val="14"/>
              <w:rPr>
                <w:rFonts w:ascii="Times New Roman"/>
                <w:sz w:val="20"/>
              </w:rPr>
            </w:pPr>
          </w:p>
        </w:tc>
        <w:tc>
          <w:tcPr>
            <w:tcW w:w="684" w:type="dxa"/>
            <w:vAlign w:val="top"/>
          </w:tcPr>
          <w:p>
            <w:pPr>
              <w:pStyle w:val="14"/>
              <w:rPr>
                <w:rFonts w:ascii="Times New Roman"/>
                <w:sz w:val="20"/>
              </w:rPr>
            </w:pPr>
          </w:p>
        </w:tc>
        <w:tc>
          <w:tcPr>
            <w:tcW w:w="576" w:type="dxa"/>
            <w:vAlign w:val="top"/>
          </w:tcPr>
          <w:p>
            <w:pPr>
              <w:pStyle w:val="14"/>
              <w:rPr>
                <w:rFonts w:ascii="Times New Roman"/>
                <w:sz w:val="20"/>
              </w:rPr>
            </w:pPr>
          </w:p>
        </w:tc>
        <w:tc>
          <w:tcPr>
            <w:tcW w:w="72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750" w:type="dxa"/>
            <w:vAlign w:val="top"/>
          </w:tcPr>
          <w:p>
            <w:pPr>
              <w:pStyle w:val="14"/>
              <w:rPr>
                <w:rFonts w:ascii="Times New Roman"/>
                <w:sz w:val="20"/>
              </w:rPr>
            </w:pPr>
          </w:p>
        </w:tc>
        <w:tc>
          <w:tcPr>
            <w:tcW w:w="7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40" w:type="dxa"/>
            <w:vAlign w:val="top"/>
          </w:tcPr>
          <w:p>
            <w:pPr>
              <w:pStyle w:val="14"/>
              <w:rPr>
                <w:rFonts w:ascii="Times New Roman"/>
                <w:sz w:val="20"/>
              </w:rPr>
            </w:pPr>
          </w:p>
        </w:tc>
        <w:tc>
          <w:tcPr>
            <w:tcW w:w="1350" w:type="dxa"/>
            <w:vAlign w:val="top"/>
          </w:tcPr>
          <w:p>
            <w:pPr>
              <w:pStyle w:val="14"/>
              <w:rPr>
                <w:rFonts w:ascii="Times New Roman"/>
                <w:sz w:val="20"/>
              </w:rPr>
            </w:pPr>
          </w:p>
        </w:tc>
        <w:tc>
          <w:tcPr>
            <w:tcW w:w="1155" w:type="dxa"/>
            <w:vAlign w:val="top"/>
          </w:tcPr>
          <w:p>
            <w:pPr>
              <w:pStyle w:val="14"/>
              <w:rPr>
                <w:rFonts w:ascii="Times New Roman"/>
                <w:sz w:val="20"/>
              </w:rPr>
            </w:pPr>
          </w:p>
        </w:tc>
        <w:tc>
          <w:tcPr>
            <w:tcW w:w="915" w:type="dxa"/>
            <w:vAlign w:val="top"/>
          </w:tcPr>
          <w:p>
            <w:pPr>
              <w:pStyle w:val="14"/>
              <w:rPr>
                <w:rFonts w:ascii="Times New Roman"/>
                <w:sz w:val="20"/>
              </w:rPr>
            </w:pPr>
          </w:p>
        </w:tc>
        <w:tc>
          <w:tcPr>
            <w:tcW w:w="684" w:type="dxa"/>
            <w:vAlign w:val="top"/>
          </w:tcPr>
          <w:p>
            <w:pPr>
              <w:pStyle w:val="14"/>
              <w:rPr>
                <w:rFonts w:ascii="Times New Roman"/>
                <w:sz w:val="20"/>
              </w:rPr>
            </w:pPr>
          </w:p>
        </w:tc>
        <w:tc>
          <w:tcPr>
            <w:tcW w:w="576" w:type="dxa"/>
            <w:vAlign w:val="top"/>
          </w:tcPr>
          <w:p>
            <w:pPr>
              <w:pStyle w:val="14"/>
              <w:rPr>
                <w:rFonts w:ascii="Times New Roman"/>
                <w:sz w:val="20"/>
              </w:rPr>
            </w:pPr>
          </w:p>
        </w:tc>
        <w:tc>
          <w:tcPr>
            <w:tcW w:w="72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750" w:type="dxa"/>
            <w:vAlign w:val="top"/>
          </w:tcPr>
          <w:p>
            <w:pPr>
              <w:pStyle w:val="14"/>
              <w:rPr>
                <w:rFonts w:ascii="Times New Roman"/>
                <w:sz w:val="20"/>
              </w:rPr>
            </w:pPr>
          </w:p>
        </w:tc>
        <w:tc>
          <w:tcPr>
            <w:tcW w:w="7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40" w:type="dxa"/>
            <w:vAlign w:val="top"/>
          </w:tcPr>
          <w:p>
            <w:pPr>
              <w:pStyle w:val="14"/>
              <w:rPr>
                <w:rFonts w:ascii="Times New Roman"/>
                <w:sz w:val="20"/>
              </w:rPr>
            </w:pPr>
          </w:p>
        </w:tc>
        <w:tc>
          <w:tcPr>
            <w:tcW w:w="1350" w:type="dxa"/>
            <w:vAlign w:val="top"/>
          </w:tcPr>
          <w:p>
            <w:pPr>
              <w:pStyle w:val="14"/>
              <w:rPr>
                <w:rFonts w:ascii="Times New Roman"/>
                <w:sz w:val="20"/>
              </w:rPr>
            </w:pPr>
          </w:p>
        </w:tc>
        <w:tc>
          <w:tcPr>
            <w:tcW w:w="1155" w:type="dxa"/>
            <w:vAlign w:val="top"/>
          </w:tcPr>
          <w:p>
            <w:pPr>
              <w:pStyle w:val="14"/>
              <w:rPr>
                <w:rFonts w:ascii="Times New Roman"/>
                <w:sz w:val="20"/>
              </w:rPr>
            </w:pPr>
          </w:p>
        </w:tc>
        <w:tc>
          <w:tcPr>
            <w:tcW w:w="915" w:type="dxa"/>
            <w:vAlign w:val="top"/>
          </w:tcPr>
          <w:p>
            <w:pPr>
              <w:pStyle w:val="14"/>
              <w:rPr>
                <w:rFonts w:ascii="Times New Roman"/>
                <w:sz w:val="20"/>
              </w:rPr>
            </w:pPr>
          </w:p>
        </w:tc>
        <w:tc>
          <w:tcPr>
            <w:tcW w:w="684" w:type="dxa"/>
            <w:vAlign w:val="top"/>
          </w:tcPr>
          <w:p>
            <w:pPr>
              <w:pStyle w:val="14"/>
              <w:rPr>
                <w:rFonts w:ascii="Times New Roman"/>
                <w:sz w:val="20"/>
              </w:rPr>
            </w:pPr>
          </w:p>
        </w:tc>
        <w:tc>
          <w:tcPr>
            <w:tcW w:w="576" w:type="dxa"/>
            <w:vAlign w:val="top"/>
          </w:tcPr>
          <w:p>
            <w:pPr>
              <w:pStyle w:val="14"/>
              <w:rPr>
                <w:rFonts w:ascii="Times New Roman"/>
                <w:sz w:val="20"/>
              </w:rPr>
            </w:pPr>
          </w:p>
        </w:tc>
        <w:tc>
          <w:tcPr>
            <w:tcW w:w="72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750" w:type="dxa"/>
            <w:vAlign w:val="top"/>
          </w:tcPr>
          <w:p>
            <w:pPr>
              <w:pStyle w:val="14"/>
              <w:rPr>
                <w:rFonts w:ascii="Times New Roman"/>
                <w:sz w:val="20"/>
              </w:rPr>
            </w:pPr>
          </w:p>
        </w:tc>
        <w:tc>
          <w:tcPr>
            <w:tcW w:w="7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40" w:type="dxa"/>
            <w:vAlign w:val="top"/>
          </w:tcPr>
          <w:p>
            <w:pPr>
              <w:pStyle w:val="14"/>
              <w:rPr>
                <w:rFonts w:ascii="Times New Roman"/>
                <w:sz w:val="20"/>
              </w:rPr>
            </w:pPr>
          </w:p>
        </w:tc>
        <w:tc>
          <w:tcPr>
            <w:tcW w:w="1350" w:type="dxa"/>
            <w:vAlign w:val="top"/>
          </w:tcPr>
          <w:p>
            <w:pPr>
              <w:pStyle w:val="14"/>
              <w:rPr>
                <w:rFonts w:ascii="Times New Roman"/>
                <w:sz w:val="20"/>
              </w:rPr>
            </w:pPr>
          </w:p>
        </w:tc>
        <w:tc>
          <w:tcPr>
            <w:tcW w:w="1155" w:type="dxa"/>
            <w:vAlign w:val="top"/>
          </w:tcPr>
          <w:p>
            <w:pPr>
              <w:pStyle w:val="14"/>
              <w:rPr>
                <w:rFonts w:ascii="Times New Roman"/>
                <w:sz w:val="20"/>
              </w:rPr>
            </w:pPr>
          </w:p>
        </w:tc>
        <w:tc>
          <w:tcPr>
            <w:tcW w:w="915" w:type="dxa"/>
            <w:vAlign w:val="top"/>
          </w:tcPr>
          <w:p>
            <w:pPr>
              <w:pStyle w:val="14"/>
              <w:rPr>
                <w:rFonts w:ascii="Times New Roman"/>
                <w:sz w:val="20"/>
              </w:rPr>
            </w:pPr>
          </w:p>
        </w:tc>
        <w:tc>
          <w:tcPr>
            <w:tcW w:w="684" w:type="dxa"/>
            <w:vAlign w:val="top"/>
          </w:tcPr>
          <w:p>
            <w:pPr>
              <w:pStyle w:val="14"/>
              <w:rPr>
                <w:rFonts w:ascii="Times New Roman"/>
                <w:sz w:val="20"/>
              </w:rPr>
            </w:pPr>
          </w:p>
        </w:tc>
        <w:tc>
          <w:tcPr>
            <w:tcW w:w="576" w:type="dxa"/>
            <w:vAlign w:val="top"/>
          </w:tcPr>
          <w:p>
            <w:pPr>
              <w:pStyle w:val="14"/>
              <w:rPr>
                <w:rFonts w:ascii="Times New Roman"/>
                <w:sz w:val="20"/>
              </w:rPr>
            </w:pPr>
          </w:p>
        </w:tc>
        <w:tc>
          <w:tcPr>
            <w:tcW w:w="72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750" w:type="dxa"/>
            <w:vAlign w:val="top"/>
          </w:tcPr>
          <w:p>
            <w:pPr>
              <w:pStyle w:val="14"/>
              <w:rPr>
                <w:rFonts w:ascii="Times New Roman"/>
                <w:sz w:val="20"/>
              </w:rPr>
            </w:pPr>
          </w:p>
        </w:tc>
        <w:tc>
          <w:tcPr>
            <w:tcW w:w="7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6840" w:type="dxa"/>
            <w:gridSpan w:val="8"/>
            <w:vAlign w:val="top"/>
          </w:tcPr>
          <w:p>
            <w:pPr>
              <w:pStyle w:val="14"/>
              <w:spacing w:before="44"/>
              <w:ind w:left="10"/>
              <w:jc w:val="center"/>
              <w:rPr>
                <w:sz w:val="22"/>
              </w:rPr>
            </w:pPr>
            <w:r>
              <w:rPr>
                <w:sz w:val="22"/>
              </w:rPr>
              <w:t>本页小计</w:t>
            </w:r>
          </w:p>
        </w:tc>
        <w:tc>
          <w:tcPr>
            <w:tcW w:w="900" w:type="dxa"/>
            <w:vAlign w:val="top"/>
          </w:tcPr>
          <w:p>
            <w:pPr>
              <w:pStyle w:val="14"/>
              <w:rPr>
                <w:rFonts w:ascii="Times New Roman"/>
                <w:sz w:val="20"/>
              </w:rPr>
            </w:pPr>
          </w:p>
        </w:tc>
        <w:tc>
          <w:tcPr>
            <w:tcW w:w="1500" w:type="dxa"/>
            <w:gridSpan w:val="2"/>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6840" w:type="dxa"/>
            <w:gridSpan w:val="8"/>
            <w:vAlign w:val="top"/>
          </w:tcPr>
          <w:p>
            <w:pPr>
              <w:pStyle w:val="14"/>
              <w:tabs>
                <w:tab w:val="left" w:pos="780"/>
              </w:tabs>
              <w:spacing w:before="42"/>
              <w:ind w:left="10"/>
              <w:jc w:val="center"/>
              <w:rPr>
                <w:sz w:val="22"/>
              </w:rPr>
            </w:pPr>
            <w:r>
              <w:rPr>
                <w:sz w:val="22"/>
              </w:rPr>
              <w:t>合</w:t>
            </w:r>
            <w:r>
              <w:rPr>
                <w:sz w:val="22"/>
              </w:rPr>
              <w:tab/>
            </w:r>
            <w:r>
              <w:rPr>
                <w:sz w:val="22"/>
              </w:rPr>
              <w:t>计</w:t>
            </w:r>
          </w:p>
        </w:tc>
        <w:tc>
          <w:tcPr>
            <w:tcW w:w="900" w:type="dxa"/>
            <w:vAlign w:val="top"/>
          </w:tcPr>
          <w:p>
            <w:pPr>
              <w:pStyle w:val="14"/>
              <w:rPr>
                <w:rFonts w:ascii="Times New Roman"/>
                <w:sz w:val="20"/>
              </w:rPr>
            </w:pPr>
          </w:p>
        </w:tc>
        <w:tc>
          <w:tcPr>
            <w:tcW w:w="1500" w:type="dxa"/>
            <w:gridSpan w:val="2"/>
            <w:vAlign w:val="top"/>
          </w:tcPr>
          <w:p>
            <w:pPr>
              <w:pStyle w:val="14"/>
              <w:rPr>
                <w:rFonts w:ascii="Times New Roman"/>
                <w:sz w:val="20"/>
              </w:rPr>
            </w:pPr>
          </w:p>
        </w:tc>
      </w:tr>
    </w:tbl>
    <w:p>
      <w:pPr>
        <w:pStyle w:val="9"/>
      </w:pPr>
    </w:p>
    <w:p>
      <w:pPr>
        <w:pStyle w:val="9"/>
        <w:spacing w:before="186"/>
        <w:ind w:left="731"/>
      </w:pPr>
      <w:bookmarkStart w:id="97" w:name="注：按照规费计算要求，须在表中填写人工费。 "/>
      <w:bookmarkEnd w:id="97"/>
      <w:r>
        <w:t>注：按照规费计算要求，须在表中填写人工费。</w:t>
      </w:r>
    </w:p>
    <w:p>
      <w:pPr>
        <w:spacing w:after="0"/>
        <w:sectPr>
          <w:pgSz w:w="11910" w:h="16840"/>
          <w:pgMar w:top="1100" w:right="660" w:bottom="1200" w:left="800" w:header="878" w:footer="1003" w:gutter="0"/>
          <w:cols w:space="720" w:num="1"/>
        </w:sectPr>
      </w:pPr>
    </w:p>
    <w:p>
      <w:pPr>
        <w:pStyle w:val="9"/>
        <w:rPr>
          <w:sz w:val="20"/>
        </w:rPr>
      </w:pPr>
    </w:p>
    <w:p>
      <w:pPr>
        <w:pStyle w:val="9"/>
        <w:rPr>
          <w:sz w:val="20"/>
        </w:rPr>
      </w:pPr>
    </w:p>
    <w:p>
      <w:pPr>
        <w:pStyle w:val="9"/>
        <w:rPr>
          <w:sz w:val="20"/>
        </w:rPr>
      </w:pPr>
    </w:p>
    <w:p>
      <w:pPr>
        <w:pStyle w:val="9"/>
        <w:spacing w:before="2"/>
        <w:rPr>
          <w:sz w:val="25"/>
        </w:rPr>
      </w:pPr>
    </w:p>
    <w:p>
      <w:pPr>
        <w:pStyle w:val="8"/>
        <w:spacing w:before="70"/>
        <w:ind w:left="573" w:right="727"/>
        <w:jc w:val="center"/>
      </w:pPr>
      <w:r>
        <w:t>措施项目清单与计价汇总表</w:t>
      </w:r>
    </w:p>
    <w:p>
      <w:pPr>
        <w:pStyle w:val="9"/>
        <w:rPr>
          <w:b/>
        </w:rPr>
      </w:pPr>
    </w:p>
    <w:p>
      <w:pPr>
        <w:pStyle w:val="9"/>
        <w:rPr>
          <w:b/>
        </w:rPr>
      </w:pPr>
    </w:p>
    <w:p>
      <w:pPr>
        <w:pStyle w:val="9"/>
        <w:tabs>
          <w:tab w:val="left" w:pos="3410"/>
          <w:tab w:val="left" w:pos="6489"/>
          <w:tab w:val="left" w:pos="6931"/>
          <w:tab w:val="left" w:pos="7701"/>
        </w:tabs>
        <w:spacing w:before="152"/>
        <w:ind w:right="180"/>
        <w:jc w:val="center"/>
      </w:pPr>
      <w:r>
        <w:t>工</w:t>
      </w:r>
      <w:r>
        <w:rPr>
          <w:spacing w:val="-3"/>
        </w:rPr>
        <w:t>程</w:t>
      </w:r>
      <w:r>
        <w:t>名称：</w:t>
      </w:r>
      <w:r>
        <w:tab/>
      </w:r>
      <w:r>
        <w:t>标</w:t>
      </w:r>
      <w:r>
        <w:rPr>
          <w:spacing w:val="-3"/>
        </w:rPr>
        <w:t>段</w:t>
      </w:r>
      <w:r>
        <w:t>：</w:t>
      </w:r>
      <w:r>
        <w:tab/>
      </w:r>
      <w:r>
        <w:t>第</w:t>
      </w:r>
      <w:r>
        <w:tab/>
      </w:r>
      <w:r>
        <w:t>页</w:t>
      </w:r>
      <w:r>
        <w:rPr>
          <w:spacing w:val="-3"/>
        </w:rPr>
        <w:t xml:space="preserve"> </w:t>
      </w:r>
      <w:r>
        <w:t>共</w:t>
      </w:r>
      <w:r>
        <w:tab/>
      </w:r>
      <w:r>
        <w:t>页</w:t>
      </w:r>
    </w:p>
    <w:p>
      <w:pPr>
        <w:pStyle w:val="9"/>
        <w:spacing w:before="5"/>
        <w:rPr>
          <w:sz w:val="11"/>
        </w:rPr>
      </w:pPr>
    </w:p>
    <w:tbl>
      <w:tblPr>
        <w:tblW w:w="9037" w:type="dxa"/>
        <w:tblInd w:w="6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92"/>
        <w:gridCol w:w="3738"/>
        <w:gridCol w:w="400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4" w:hRule="atLeast"/>
        </w:trPr>
        <w:tc>
          <w:tcPr>
            <w:tcW w:w="1292" w:type="dxa"/>
            <w:tcBorders>
              <w:bottom w:val="single" w:color="000000" w:sz="4" w:space="0"/>
              <w:right w:val="single" w:color="000000" w:sz="4" w:space="0"/>
            </w:tcBorders>
            <w:vAlign w:val="top"/>
          </w:tcPr>
          <w:p>
            <w:pPr>
              <w:pStyle w:val="14"/>
              <w:spacing w:before="8"/>
              <w:rPr>
                <w:sz w:val="18"/>
              </w:rPr>
            </w:pPr>
          </w:p>
          <w:p>
            <w:pPr>
              <w:pStyle w:val="14"/>
              <w:spacing w:before="1"/>
              <w:ind w:left="405" w:right="392"/>
              <w:jc w:val="center"/>
              <w:rPr>
                <w:sz w:val="22"/>
              </w:rPr>
            </w:pPr>
            <w:r>
              <w:rPr>
                <w:sz w:val="22"/>
              </w:rPr>
              <w:t>序号</w:t>
            </w:r>
          </w:p>
        </w:tc>
        <w:tc>
          <w:tcPr>
            <w:tcW w:w="3738" w:type="dxa"/>
            <w:tcBorders>
              <w:left w:val="single" w:color="000000" w:sz="4" w:space="0"/>
              <w:bottom w:val="single" w:color="000000" w:sz="4" w:space="0"/>
              <w:right w:val="single" w:color="000000" w:sz="4" w:space="0"/>
            </w:tcBorders>
            <w:vAlign w:val="top"/>
          </w:tcPr>
          <w:p>
            <w:pPr>
              <w:pStyle w:val="14"/>
              <w:spacing w:before="8"/>
              <w:rPr>
                <w:sz w:val="18"/>
              </w:rPr>
            </w:pPr>
          </w:p>
          <w:p>
            <w:pPr>
              <w:pStyle w:val="14"/>
              <w:spacing w:before="1"/>
              <w:ind w:left="1414" w:right="1393"/>
              <w:jc w:val="center"/>
              <w:rPr>
                <w:sz w:val="22"/>
              </w:rPr>
            </w:pPr>
            <w:r>
              <w:rPr>
                <w:sz w:val="22"/>
              </w:rPr>
              <w:t>项目名称</w:t>
            </w:r>
          </w:p>
        </w:tc>
        <w:tc>
          <w:tcPr>
            <w:tcW w:w="4007" w:type="dxa"/>
            <w:tcBorders>
              <w:left w:val="single" w:color="000000" w:sz="4" w:space="0"/>
              <w:bottom w:val="single" w:color="000000" w:sz="4" w:space="0"/>
            </w:tcBorders>
            <w:vAlign w:val="top"/>
          </w:tcPr>
          <w:p>
            <w:pPr>
              <w:pStyle w:val="14"/>
              <w:spacing w:before="8"/>
              <w:rPr>
                <w:sz w:val="18"/>
              </w:rPr>
            </w:pPr>
          </w:p>
          <w:p>
            <w:pPr>
              <w:pStyle w:val="14"/>
              <w:tabs>
                <w:tab w:val="left" w:pos="1788"/>
              </w:tabs>
              <w:spacing w:before="1"/>
              <w:ind w:left="1346"/>
              <w:rPr>
                <w:sz w:val="22"/>
              </w:rPr>
            </w:pPr>
            <w:r>
              <w:rPr>
                <w:sz w:val="22"/>
              </w:rPr>
              <w:t>金</w:t>
            </w:r>
            <w:r>
              <w:rPr>
                <w:sz w:val="22"/>
              </w:rPr>
              <w:tab/>
            </w:r>
            <w:r>
              <w:rPr>
                <w:sz w:val="22"/>
              </w:rPr>
              <w:t>额</w:t>
            </w:r>
            <w:r>
              <w:rPr>
                <w:spacing w:val="-3"/>
                <w:sz w:val="22"/>
              </w:rPr>
              <w:t>（</w:t>
            </w:r>
            <w:r>
              <w:rPr>
                <w:sz w:val="22"/>
              </w:rPr>
              <w:t>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4" w:hRule="atLeast"/>
        </w:trPr>
        <w:tc>
          <w:tcPr>
            <w:tcW w:w="1292" w:type="dxa"/>
            <w:tcBorders>
              <w:top w:val="single" w:color="000000" w:sz="4" w:space="0"/>
              <w:bottom w:val="single" w:color="000000" w:sz="4" w:space="0"/>
              <w:right w:val="single" w:color="000000" w:sz="4" w:space="0"/>
            </w:tcBorders>
            <w:vAlign w:val="top"/>
          </w:tcPr>
          <w:p>
            <w:pPr>
              <w:pStyle w:val="14"/>
              <w:spacing w:before="171"/>
              <w:ind w:left="13"/>
              <w:jc w:val="center"/>
              <w:rPr>
                <w:sz w:val="22"/>
              </w:rPr>
            </w:pPr>
            <w:r>
              <w:rPr>
                <w:w w:val="100"/>
                <w:sz w:val="22"/>
              </w:rPr>
              <w:t>1</w:t>
            </w:r>
          </w:p>
        </w:tc>
        <w:tc>
          <w:tcPr>
            <w:tcW w:w="3738" w:type="dxa"/>
            <w:tcBorders>
              <w:top w:val="single" w:color="000000" w:sz="4" w:space="0"/>
              <w:left w:val="single" w:color="000000" w:sz="4" w:space="0"/>
              <w:bottom w:val="single" w:color="000000" w:sz="4" w:space="0"/>
              <w:right w:val="single" w:color="000000" w:sz="4" w:space="0"/>
            </w:tcBorders>
            <w:vAlign w:val="top"/>
          </w:tcPr>
          <w:p>
            <w:pPr>
              <w:pStyle w:val="14"/>
              <w:spacing w:before="171"/>
              <w:ind w:left="112"/>
              <w:rPr>
                <w:sz w:val="22"/>
              </w:rPr>
            </w:pPr>
            <w:r>
              <w:rPr>
                <w:sz w:val="22"/>
              </w:rPr>
              <w:t>整体措施项目（总价措施费）</w:t>
            </w:r>
          </w:p>
        </w:tc>
        <w:tc>
          <w:tcPr>
            <w:tcW w:w="4007"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4" w:hRule="atLeast"/>
        </w:trPr>
        <w:tc>
          <w:tcPr>
            <w:tcW w:w="1292" w:type="dxa"/>
            <w:tcBorders>
              <w:top w:val="single" w:color="000000" w:sz="4" w:space="0"/>
              <w:bottom w:val="single" w:color="000000" w:sz="4" w:space="0"/>
              <w:right w:val="single" w:color="000000" w:sz="4" w:space="0"/>
            </w:tcBorders>
            <w:vAlign w:val="top"/>
          </w:tcPr>
          <w:p>
            <w:pPr>
              <w:pStyle w:val="14"/>
              <w:spacing w:before="170"/>
              <w:ind w:left="405" w:right="392"/>
              <w:jc w:val="center"/>
              <w:rPr>
                <w:sz w:val="22"/>
              </w:rPr>
            </w:pPr>
            <w:r>
              <w:rPr>
                <w:sz w:val="22"/>
              </w:rPr>
              <w:t>1.1</w:t>
            </w:r>
          </w:p>
        </w:tc>
        <w:tc>
          <w:tcPr>
            <w:tcW w:w="3738" w:type="dxa"/>
            <w:tcBorders>
              <w:top w:val="single" w:color="000000" w:sz="4" w:space="0"/>
              <w:left w:val="single" w:color="000000" w:sz="4" w:space="0"/>
              <w:bottom w:val="single" w:color="000000" w:sz="4" w:space="0"/>
              <w:right w:val="single" w:color="000000" w:sz="4" w:space="0"/>
            </w:tcBorders>
            <w:vAlign w:val="top"/>
          </w:tcPr>
          <w:p>
            <w:pPr>
              <w:pStyle w:val="14"/>
              <w:spacing w:before="170"/>
              <w:ind w:left="112"/>
              <w:rPr>
                <w:sz w:val="22"/>
              </w:rPr>
            </w:pPr>
            <w:r>
              <w:rPr>
                <w:sz w:val="22"/>
              </w:rPr>
              <w:t>安全防护、文明施工费</w:t>
            </w:r>
          </w:p>
        </w:tc>
        <w:tc>
          <w:tcPr>
            <w:tcW w:w="4007"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4" w:hRule="atLeast"/>
        </w:trPr>
        <w:tc>
          <w:tcPr>
            <w:tcW w:w="1292" w:type="dxa"/>
            <w:tcBorders>
              <w:top w:val="single" w:color="000000" w:sz="4" w:space="0"/>
              <w:bottom w:val="single" w:color="000000" w:sz="4" w:space="0"/>
              <w:right w:val="single" w:color="000000" w:sz="4" w:space="0"/>
            </w:tcBorders>
            <w:vAlign w:val="top"/>
          </w:tcPr>
          <w:p>
            <w:pPr>
              <w:pStyle w:val="14"/>
              <w:spacing w:before="170"/>
              <w:ind w:left="405" w:right="392"/>
              <w:jc w:val="center"/>
              <w:rPr>
                <w:sz w:val="22"/>
              </w:rPr>
            </w:pPr>
            <w:r>
              <w:rPr>
                <w:sz w:val="22"/>
              </w:rPr>
              <w:t>1.2</w:t>
            </w:r>
          </w:p>
        </w:tc>
        <w:tc>
          <w:tcPr>
            <w:tcW w:w="3738" w:type="dxa"/>
            <w:tcBorders>
              <w:top w:val="single" w:color="000000" w:sz="4" w:space="0"/>
              <w:left w:val="single" w:color="000000" w:sz="4" w:space="0"/>
              <w:bottom w:val="single" w:color="000000" w:sz="4" w:space="0"/>
              <w:right w:val="single" w:color="000000" w:sz="4" w:space="0"/>
            </w:tcBorders>
            <w:vAlign w:val="top"/>
          </w:tcPr>
          <w:p>
            <w:pPr>
              <w:pStyle w:val="14"/>
              <w:spacing w:before="170"/>
              <w:ind w:left="112"/>
              <w:rPr>
                <w:sz w:val="22"/>
              </w:rPr>
            </w:pPr>
            <w:r>
              <w:rPr>
                <w:sz w:val="22"/>
              </w:rPr>
              <w:t>其他措施项目费</w:t>
            </w:r>
          </w:p>
        </w:tc>
        <w:tc>
          <w:tcPr>
            <w:tcW w:w="4007"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3" w:hRule="atLeast"/>
        </w:trPr>
        <w:tc>
          <w:tcPr>
            <w:tcW w:w="1292" w:type="dxa"/>
            <w:tcBorders>
              <w:top w:val="single" w:color="000000" w:sz="4" w:space="0"/>
              <w:bottom w:val="single" w:color="000000" w:sz="4" w:space="0"/>
              <w:right w:val="single" w:color="000000" w:sz="4" w:space="0"/>
            </w:tcBorders>
            <w:vAlign w:val="top"/>
          </w:tcPr>
          <w:p>
            <w:pPr>
              <w:pStyle w:val="14"/>
              <w:spacing w:before="170"/>
              <w:ind w:left="13"/>
              <w:jc w:val="center"/>
              <w:rPr>
                <w:sz w:val="22"/>
              </w:rPr>
            </w:pPr>
            <w:r>
              <w:rPr>
                <w:w w:val="100"/>
                <w:sz w:val="22"/>
              </w:rPr>
              <w:t>2</w:t>
            </w:r>
          </w:p>
        </w:tc>
        <w:tc>
          <w:tcPr>
            <w:tcW w:w="3738" w:type="dxa"/>
            <w:tcBorders>
              <w:top w:val="single" w:color="000000" w:sz="4" w:space="0"/>
              <w:left w:val="single" w:color="000000" w:sz="4" w:space="0"/>
              <w:bottom w:val="single" w:color="000000" w:sz="4" w:space="0"/>
              <w:right w:val="single" w:color="000000" w:sz="4" w:space="0"/>
            </w:tcBorders>
            <w:vAlign w:val="top"/>
          </w:tcPr>
          <w:p>
            <w:pPr>
              <w:pStyle w:val="14"/>
              <w:spacing w:before="170"/>
              <w:ind w:left="112"/>
              <w:rPr>
                <w:sz w:val="22"/>
              </w:rPr>
            </w:pPr>
            <w:r>
              <w:rPr>
                <w:sz w:val="22"/>
              </w:rPr>
              <w:t>单项措施费（单价措施费）</w:t>
            </w:r>
          </w:p>
        </w:tc>
        <w:tc>
          <w:tcPr>
            <w:tcW w:w="4007"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3" w:hRule="atLeast"/>
        </w:trPr>
        <w:tc>
          <w:tcPr>
            <w:tcW w:w="5030" w:type="dxa"/>
            <w:gridSpan w:val="2"/>
            <w:tcBorders>
              <w:top w:val="single" w:color="000000" w:sz="4" w:space="0"/>
              <w:right w:val="single" w:color="000000" w:sz="4" w:space="0"/>
            </w:tcBorders>
            <w:vAlign w:val="top"/>
          </w:tcPr>
          <w:p>
            <w:pPr>
              <w:pStyle w:val="14"/>
              <w:spacing w:before="169"/>
              <w:ind w:left="2275" w:right="2260"/>
              <w:jc w:val="center"/>
              <w:rPr>
                <w:sz w:val="22"/>
              </w:rPr>
            </w:pPr>
            <w:r>
              <w:rPr>
                <w:sz w:val="22"/>
              </w:rPr>
              <w:t>合计</w:t>
            </w:r>
          </w:p>
        </w:tc>
        <w:tc>
          <w:tcPr>
            <w:tcW w:w="4007" w:type="dxa"/>
            <w:tcBorders>
              <w:top w:val="single" w:color="000000" w:sz="4" w:space="0"/>
              <w:left w:val="single" w:color="000000" w:sz="4" w:space="0"/>
            </w:tcBorders>
            <w:vAlign w:val="top"/>
          </w:tcPr>
          <w:p>
            <w:pPr>
              <w:pStyle w:val="14"/>
              <w:rPr>
                <w:rFonts w:ascii="Times New Roman"/>
                <w:sz w:val="20"/>
              </w:rPr>
            </w:pPr>
          </w:p>
        </w:tc>
      </w:tr>
    </w:tbl>
    <w:p>
      <w:pPr>
        <w:spacing w:after="0"/>
        <w:rPr>
          <w:rFonts w:ascii="Times New Roman"/>
          <w:sz w:val="20"/>
        </w:rPr>
        <w:sectPr>
          <w:pgSz w:w="11910" w:h="16840"/>
          <w:pgMar w:top="1100" w:right="660" w:bottom="1200" w:left="800" w:header="878" w:footer="1003" w:gutter="0"/>
          <w:cols w:space="720" w:num="1"/>
        </w:sectPr>
      </w:pPr>
    </w:p>
    <w:p>
      <w:pPr>
        <w:pStyle w:val="9"/>
        <w:spacing w:before="1"/>
        <w:rPr>
          <w:sz w:val="18"/>
        </w:rPr>
      </w:pPr>
    </w:p>
    <w:p>
      <w:pPr>
        <w:pStyle w:val="9"/>
        <w:spacing w:before="8"/>
        <w:rPr>
          <w:b/>
        </w:rPr>
      </w:pPr>
    </w:p>
    <w:p>
      <w:pPr>
        <w:pStyle w:val="9"/>
        <w:spacing w:before="4"/>
        <w:rPr>
          <w:sz w:val="11"/>
        </w:rPr>
      </w:pPr>
    </w:p>
    <w:p>
      <w:pPr>
        <w:spacing w:after="0" w:line="263" w:lineRule="exact"/>
        <w:jc w:val="center"/>
        <w:rPr>
          <w:sz w:val="22"/>
        </w:rPr>
        <w:sectPr>
          <w:pgSz w:w="11910" w:h="16840"/>
          <w:pgMar w:top="1100" w:right="660" w:bottom="1200" w:left="800" w:header="878" w:footer="1003" w:gutter="0"/>
          <w:cols w:space="720" w:num="1"/>
        </w:sectPr>
      </w:pPr>
    </w:p>
    <w:p>
      <w:pPr>
        <w:spacing w:after="0"/>
        <w:rPr>
          <w:rFonts w:ascii="Times New Roman"/>
          <w:sz w:val="20"/>
        </w:rPr>
        <w:sectPr>
          <w:pgSz w:w="11910" w:h="16840"/>
          <w:pgMar w:top="1100" w:right="660" w:bottom="1200" w:left="800" w:header="878" w:footer="1003" w:gutter="0"/>
          <w:cols w:space="720" w:num="1"/>
        </w:sectPr>
      </w:pPr>
    </w:p>
    <w:p>
      <w:pPr>
        <w:pStyle w:val="9"/>
        <w:spacing w:before="70"/>
        <w:ind w:right="727" w:firstLine="3300" w:firstLineChars="1500"/>
        <w:jc w:val="both"/>
      </w:pPr>
      <w:r>
        <w:t>其他措施项目清单与计价表</w:t>
      </w:r>
    </w:p>
    <w:p>
      <w:pPr>
        <w:pStyle w:val="9"/>
      </w:pPr>
    </w:p>
    <w:p>
      <w:pPr>
        <w:pStyle w:val="9"/>
      </w:pPr>
    </w:p>
    <w:p>
      <w:pPr>
        <w:pStyle w:val="9"/>
        <w:tabs>
          <w:tab w:val="left" w:pos="4580"/>
          <w:tab w:val="left" w:pos="7441"/>
          <w:tab w:val="left" w:pos="7880"/>
          <w:tab w:val="left" w:pos="8651"/>
        </w:tabs>
        <w:spacing w:before="153"/>
        <w:ind w:left="1170"/>
      </w:pPr>
      <w:r>
        <w:t>工</w:t>
      </w:r>
      <w:r>
        <w:rPr>
          <w:spacing w:val="-3"/>
        </w:rPr>
        <w:t>程</w:t>
      </w:r>
      <w:r>
        <w:t>名称：</w:t>
      </w:r>
      <w:r>
        <w:tab/>
      </w:r>
      <w:r>
        <w:t>标</w:t>
      </w:r>
      <w:r>
        <w:rPr>
          <w:spacing w:val="-3"/>
        </w:rPr>
        <w:t>段</w:t>
      </w:r>
      <w:r>
        <w:t>：</w:t>
      </w:r>
      <w:r>
        <w:tab/>
      </w:r>
      <w:r>
        <w:t>第</w:t>
      </w:r>
      <w:r>
        <w:tab/>
      </w:r>
      <w:r>
        <w:t>页 共</w:t>
      </w:r>
      <w:r>
        <w:tab/>
      </w:r>
      <w:r>
        <w:t>页</w:t>
      </w:r>
    </w:p>
    <w:p>
      <w:pPr>
        <w:pStyle w:val="9"/>
        <w:spacing w:before="3"/>
        <w:rPr>
          <w:sz w:val="11"/>
        </w:rPr>
      </w:pPr>
    </w:p>
    <w:tbl>
      <w:tblPr>
        <w:tblW w:w="9037" w:type="dxa"/>
        <w:tblInd w:w="6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31"/>
        <w:gridCol w:w="1128"/>
        <w:gridCol w:w="2848"/>
        <w:gridCol w:w="2671"/>
        <w:gridCol w:w="155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4" w:hRule="atLeast"/>
        </w:trPr>
        <w:tc>
          <w:tcPr>
            <w:tcW w:w="831" w:type="dxa"/>
            <w:tcBorders>
              <w:bottom w:val="single" w:color="000000" w:sz="4" w:space="0"/>
              <w:right w:val="single" w:color="000000" w:sz="4" w:space="0"/>
            </w:tcBorders>
            <w:vAlign w:val="top"/>
          </w:tcPr>
          <w:p>
            <w:pPr>
              <w:pStyle w:val="14"/>
              <w:spacing w:before="9"/>
              <w:rPr>
                <w:sz w:val="18"/>
              </w:rPr>
            </w:pPr>
          </w:p>
          <w:p>
            <w:pPr>
              <w:pStyle w:val="14"/>
              <w:ind w:left="175" w:right="161"/>
              <w:jc w:val="center"/>
              <w:rPr>
                <w:sz w:val="22"/>
              </w:rPr>
            </w:pPr>
            <w:r>
              <w:rPr>
                <w:sz w:val="22"/>
              </w:rPr>
              <w:t>序号</w:t>
            </w:r>
          </w:p>
        </w:tc>
        <w:tc>
          <w:tcPr>
            <w:tcW w:w="1128" w:type="dxa"/>
            <w:tcBorders>
              <w:left w:val="single" w:color="000000" w:sz="4" w:space="0"/>
              <w:bottom w:val="single" w:color="000000" w:sz="4" w:space="0"/>
              <w:right w:val="single" w:color="000000" w:sz="4" w:space="0"/>
            </w:tcBorders>
            <w:vAlign w:val="top"/>
          </w:tcPr>
          <w:p>
            <w:pPr>
              <w:pStyle w:val="14"/>
              <w:spacing w:before="9"/>
              <w:rPr>
                <w:sz w:val="18"/>
              </w:rPr>
            </w:pPr>
          </w:p>
          <w:p>
            <w:pPr>
              <w:pStyle w:val="14"/>
              <w:ind w:left="109" w:right="89"/>
              <w:jc w:val="center"/>
              <w:rPr>
                <w:sz w:val="22"/>
              </w:rPr>
            </w:pPr>
            <w:r>
              <w:rPr>
                <w:sz w:val="22"/>
              </w:rPr>
              <w:t>项目编码</w:t>
            </w:r>
          </w:p>
        </w:tc>
        <w:tc>
          <w:tcPr>
            <w:tcW w:w="2848" w:type="dxa"/>
            <w:tcBorders>
              <w:left w:val="single" w:color="000000" w:sz="4" w:space="0"/>
              <w:bottom w:val="single" w:color="000000" w:sz="4" w:space="0"/>
              <w:right w:val="single" w:color="000000" w:sz="4" w:space="0"/>
            </w:tcBorders>
            <w:vAlign w:val="top"/>
          </w:tcPr>
          <w:p>
            <w:pPr>
              <w:pStyle w:val="14"/>
              <w:spacing w:before="9"/>
              <w:rPr>
                <w:sz w:val="18"/>
              </w:rPr>
            </w:pPr>
          </w:p>
          <w:p>
            <w:pPr>
              <w:pStyle w:val="14"/>
              <w:ind w:left="418" w:right="399"/>
              <w:jc w:val="center"/>
              <w:rPr>
                <w:sz w:val="22"/>
              </w:rPr>
            </w:pPr>
            <w:r>
              <w:rPr>
                <w:sz w:val="22"/>
              </w:rPr>
              <w:t>项目名称</w:t>
            </w:r>
          </w:p>
        </w:tc>
        <w:tc>
          <w:tcPr>
            <w:tcW w:w="2671" w:type="dxa"/>
            <w:tcBorders>
              <w:left w:val="single" w:color="000000" w:sz="4" w:space="0"/>
              <w:bottom w:val="single" w:color="000000" w:sz="4" w:space="0"/>
              <w:right w:val="single" w:color="000000" w:sz="4" w:space="0"/>
            </w:tcBorders>
            <w:vAlign w:val="top"/>
          </w:tcPr>
          <w:p>
            <w:pPr>
              <w:pStyle w:val="14"/>
              <w:spacing w:before="96" w:line="242" w:lineRule="auto"/>
              <w:ind w:left="1229" w:right="107" w:hanging="1100"/>
              <w:rPr>
                <w:sz w:val="22"/>
              </w:rPr>
            </w:pPr>
            <w:r>
              <w:rPr>
                <w:sz w:val="22"/>
              </w:rPr>
              <w:t>工作内容、说明及包含范围</w:t>
            </w:r>
          </w:p>
        </w:tc>
        <w:tc>
          <w:tcPr>
            <w:tcW w:w="1559" w:type="dxa"/>
            <w:tcBorders>
              <w:left w:val="single" w:color="000000" w:sz="4" w:space="0"/>
              <w:bottom w:val="single" w:color="000000" w:sz="4" w:space="0"/>
            </w:tcBorders>
            <w:vAlign w:val="top"/>
          </w:tcPr>
          <w:p>
            <w:pPr>
              <w:pStyle w:val="14"/>
              <w:spacing w:before="9"/>
              <w:rPr>
                <w:sz w:val="18"/>
              </w:rPr>
            </w:pPr>
          </w:p>
          <w:p>
            <w:pPr>
              <w:pStyle w:val="14"/>
              <w:tabs>
                <w:tab w:val="left" w:pos="564"/>
              </w:tabs>
              <w:ind w:left="122"/>
              <w:rPr>
                <w:sz w:val="22"/>
              </w:rPr>
            </w:pPr>
            <w:r>
              <w:rPr>
                <w:sz w:val="22"/>
              </w:rPr>
              <w:t>金</w:t>
            </w:r>
            <w:r>
              <w:rPr>
                <w:sz w:val="22"/>
              </w:rPr>
              <w:tab/>
            </w:r>
            <w:r>
              <w:rPr>
                <w:sz w:val="22"/>
              </w:rPr>
              <w:t>额</w:t>
            </w:r>
            <w:r>
              <w:rPr>
                <w:spacing w:val="-3"/>
                <w:sz w:val="22"/>
              </w:rPr>
              <w:t>（</w:t>
            </w:r>
            <w:r>
              <w:rPr>
                <w:sz w:val="22"/>
              </w:rPr>
              <w:t>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5" w:hRule="atLeast"/>
        </w:trPr>
        <w:tc>
          <w:tcPr>
            <w:tcW w:w="831" w:type="dxa"/>
            <w:tcBorders>
              <w:top w:val="single" w:color="000000" w:sz="4" w:space="0"/>
              <w:bottom w:val="single" w:color="000000" w:sz="4" w:space="0"/>
              <w:right w:val="single" w:color="000000" w:sz="4" w:space="0"/>
            </w:tcBorders>
            <w:vAlign w:val="top"/>
          </w:tcPr>
          <w:p>
            <w:pPr>
              <w:pStyle w:val="14"/>
              <w:spacing w:before="80"/>
              <w:ind w:left="14"/>
              <w:jc w:val="center"/>
              <w:rPr>
                <w:sz w:val="22"/>
              </w:rPr>
            </w:pPr>
            <w:r>
              <w:rPr>
                <w:w w:val="100"/>
                <w:sz w:val="22"/>
              </w:rPr>
              <w:t>1</w:t>
            </w:r>
          </w:p>
        </w:tc>
        <w:tc>
          <w:tcPr>
            <w:tcW w:w="112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2848" w:type="dxa"/>
            <w:tcBorders>
              <w:top w:val="single" w:color="000000" w:sz="4" w:space="0"/>
              <w:left w:val="single" w:color="000000" w:sz="4" w:space="0"/>
              <w:bottom w:val="single" w:color="000000" w:sz="4" w:space="0"/>
              <w:right w:val="single" w:color="000000" w:sz="4" w:space="0"/>
            </w:tcBorders>
            <w:vAlign w:val="top"/>
          </w:tcPr>
          <w:p>
            <w:pPr>
              <w:pStyle w:val="14"/>
              <w:spacing w:before="80"/>
              <w:ind w:left="418" w:right="399"/>
              <w:jc w:val="center"/>
              <w:rPr>
                <w:sz w:val="22"/>
              </w:rPr>
            </w:pPr>
            <w:r>
              <w:rPr>
                <w:sz w:val="22"/>
              </w:rPr>
              <w:t>夜间施工费</w:t>
            </w:r>
          </w:p>
        </w:tc>
        <w:tc>
          <w:tcPr>
            <w:tcW w:w="2671"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55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65" w:hRule="atLeast"/>
        </w:trPr>
        <w:tc>
          <w:tcPr>
            <w:tcW w:w="831" w:type="dxa"/>
            <w:tcBorders>
              <w:top w:val="single" w:color="000000" w:sz="4" w:space="0"/>
              <w:bottom w:val="single" w:color="000000" w:sz="4" w:space="0"/>
              <w:right w:val="single" w:color="000000" w:sz="4" w:space="0"/>
            </w:tcBorders>
            <w:vAlign w:val="top"/>
          </w:tcPr>
          <w:p>
            <w:pPr>
              <w:pStyle w:val="14"/>
              <w:spacing w:before="91"/>
              <w:ind w:left="14"/>
              <w:jc w:val="center"/>
              <w:rPr>
                <w:sz w:val="22"/>
              </w:rPr>
            </w:pPr>
            <w:r>
              <w:rPr>
                <w:w w:val="100"/>
                <w:sz w:val="22"/>
              </w:rPr>
              <w:t>2</w:t>
            </w:r>
          </w:p>
        </w:tc>
        <w:tc>
          <w:tcPr>
            <w:tcW w:w="112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2848" w:type="dxa"/>
            <w:tcBorders>
              <w:top w:val="single" w:color="000000" w:sz="4" w:space="0"/>
              <w:left w:val="single" w:color="000000" w:sz="4" w:space="0"/>
              <w:bottom w:val="single" w:color="000000" w:sz="4" w:space="0"/>
              <w:right w:val="single" w:color="000000" w:sz="4" w:space="0"/>
            </w:tcBorders>
            <w:vAlign w:val="top"/>
          </w:tcPr>
          <w:p>
            <w:pPr>
              <w:pStyle w:val="14"/>
              <w:spacing w:before="91"/>
              <w:ind w:left="418" w:right="397"/>
              <w:jc w:val="center"/>
              <w:rPr>
                <w:sz w:val="22"/>
              </w:rPr>
            </w:pPr>
            <w:r>
              <w:rPr>
                <w:sz w:val="22"/>
              </w:rPr>
              <w:t>非夜间施工照明费</w:t>
            </w:r>
          </w:p>
        </w:tc>
        <w:tc>
          <w:tcPr>
            <w:tcW w:w="2671"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55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3" w:hRule="atLeast"/>
        </w:trPr>
        <w:tc>
          <w:tcPr>
            <w:tcW w:w="831" w:type="dxa"/>
            <w:tcBorders>
              <w:top w:val="single" w:color="000000" w:sz="4" w:space="0"/>
              <w:bottom w:val="single" w:color="000000" w:sz="4" w:space="0"/>
              <w:right w:val="single" w:color="000000" w:sz="4" w:space="0"/>
            </w:tcBorders>
            <w:vAlign w:val="top"/>
          </w:tcPr>
          <w:p>
            <w:pPr>
              <w:pStyle w:val="14"/>
              <w:spacing w:before="79"/>
              <w:ind w:left="14"/>
              <w:jc w:val="center"/>
              <w:rPr>
                <w:sz w:val="22"/>
              </w:rPr>
            </w:pPr>
            <w:r>
              <w:rPr>
                <w:w w:val="100"/>
                <w:sz w:val="22"/>
              </w:rPr>
              <w:t>3</w:t>
            </w:r>
          </w:p>
        </w:tc>
        <w:tc>
          <w:tcPr>
            <w:tcW w:w="112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2848" w:type="dxa"/>
            <w:tcBorders>
              <w:top w:val="single" w:color="000000" w:sz="4" w:space="0"/>
              <w:left w:val="single" w:color="000000" w:sz="4" w:space="0"/>
              <w:bottom w:val="single" w:color="000000" w:sz="4" w:space="0"/>
              <w:right w:val="single" w:color="000000" w:sz="4" w:space="0"/>
            </w:tcBorders>
            <w:vAlign w:val="top"/>
          </w:tcPr>
          <w:p>
            <w:pPr>
              <w:pStyle w:val="14"/>
              <w:spacing w:before="79"/>
              <w:ind w:left="418" w:right="399"/>
              <w:jc w:val="center"/>
              <w:rPr>
                <w:sz w:val="22"/>
              </w:rPr>
            </w:pPr>
            <w:r>
              <w:rPr>
                <w:sz w:val="22"/>
              </w:rPr>
              <w:t>二次搬运费</w:t>
            </w:r>
          </w:p>
        </w:tc>
        <w:tc>
          <w:tcPr>
            <w:tcW w:w="2671"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55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29" w:hRule="atLeast"/>
        </w:trPr>
        <w:tc>
          <w:tcPr>
            <w:tcW w:w="831" w:type="dxa"/>
            <w:tcBorders>
              <w:top w:val="single" w:color="000000" w:sz="4" w:space="0"/>
              <w:bottom w:val="single" w:color="000000" w:sz="4" w:space="0"/>
              <w:right w:val="single" w:color="000000" w:sz="4" w:space="0"/>
            </w:tcBorders>
            <w:vAlign w:val="top"/>
          </w:tcPr>
          <w:p>
            <w:pPr>
              <w:pStyle w:val="14"/>
              <w:spacing w:before="123"/>
              <w:ind w:left="14"/>
              <w:jc w:val="center"/>
              <w:rPr>
                <w:sz w:val="22"/>
              </w:rPr>
            </w:pPr>
            <w:r>
              <w:rPr>
                <w:w w:val="100"/>
                <w:sz w:val="22"/>
              </w:rPr>
              <w:t>4</w:t>
            </w:r>
          </w:p>
        </w:tc>
        <w:tc>
          <w:tcPr>
            <w:tcW w:w="112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2848" w:type="dxa"/>
            <w:tcBorders>
              <w:top w:val="single" w:color="000000" w:sz="4" w:space="0"/>
              <w:left w:val="single" w:color="000000" w:sz="4" w:space="0"/>
              <w:bottom w:val="single" w:color="000000" w:sz="4" w:space="0"/>
              <w:right w:val="single" w:color="000000" w:sz="4" w:space="0"/>
            </w:tcBorders>
            <w:vAlign w:val="top"/>
          </w:tcPr>
          <w:p>
            <w:pPr>
              <w:pStyle w:val="14"/>
              <w:spacing w:before="123"/>
              <w:ind w:left="418" w:right="399"/>
              <w:jc w:val="center"/>
              <w:rPr>
                <w:sz w:val="22"/>
              </w:rPr>
            </w:pPr>
            <w:r>
              <w:rPr>
                <w:sz w:val="22"/>
              </w:rPr>
              <w:t>冬雨季施工</w:t>
            </w:r>
          </w:p>
        </w:tc>
        <w:tc>
          <w:tcPr>
            <w:tcW w:w="2671"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55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70" w:hRule="atLeast"/>
        </w:trPr>
        <w:tc>
          <w:tcPr>
            <w:tcW w:w="831" w:type="dxa"/>
            <w:tcBorders>
              <w:top w:val="single" w:color="000000" w:sz="4" w:space="0"/>
              <w:bottom w:val="single" w:color="000000" w:sz="4" w:space="0"/>
              <w:right w:val="single" w:color="000000" w:sz="4" w:space="0"/>
            </w:tcBorders>
            <w:vAlign w:val="top"/>
          </w:tcPr>
          <w:p>
            <w:pPr>
              <w:pStyle w:val="14"/>
              <w:spacing w:before="143"/>
              <w:ind w:left="14"/>
              <w:jc w:val="center"/>
              <w:rPr>
                <w:sz w:val="22"/>
              </w:rPr>
            </w:pPr>
            <w:r>
              <w:rPr>
                <w:w w:val="100"/>
                <w:sz w:val="22"/>
              </w:rPr>
              <w:t>5</w:t>
            </w:r>
          </w:p>
        </w:tc>
        <w:tc>
          <w:tcPr>
            <w:tcW w:w="112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2848" w:type="dxa"/>
            <w:tcBorders>
              <w:top w:val="single" w:color="000000" w:sz="4" w:space="0"/>
              <w:left w:val="single" w:color="000000" w:sz="4" w:space="0"/>
              <w:bottom w:val="single" w:color="000000" w:sz="4" w:space="0"/>
              <w:right w:val="single" w:color="000000" w:sz="4" w:space="0"/>
            </w:tcBorders>
            <w:vAlign w:val="top"/>
          </w:tcPr>
          <w:p>
            <w:pPr>
              <w:pStyle w:val="14"/>
              <w:spacing w:before="1" w:line="280" w:lineRule="atLeast"/>
              <w:ind w:left="767" w:right="48" w:hanging="656"/>
              <w:rPr>
                <w:sz w:val="22"/>
              </w:rPr>
            </w:pPr>
            <w:r>
              <w:rPr>
                <w:sz w:val="22"/>
              </w:rPr>
              <w:t>地上、地下设施、建筑物的临时保护设施</w:t>
            </w:r>
          </w:p>
        </w:tc>
        <w:tc>
          <w:tcPr>
            <w:tcW w:w="2671"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55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6" w:hRule="atLeast"/>
        </w:trPr>
        <w:tc>
          <w:tcPr>
            <w:tcW w:w="831" w:type="dxa"/>
            <w:tcBorders>
              <w:top w:val="single" w:color="000000" w:sz="4" w:space="0"/>
              <w:bottom w:val="single" w:color="000000" w:sz="4" w:space="0"/>
              <w:right w:val="single" w:color="000000" w:sz="4" w:space="0"/>
            </w:tcBorders>
            <w:vAlign w:val="top"/>
          </w:tcPr>
          <w:p>
            <w:pPr>
              <w:pStyle w:val="14"/>
              <w:spacing w:before="161"/>
              <w:ind w:left="14"/>
              <w:jc w:val="center"/>
              <w:rPr>
                <w:sz w:val="22"/>
              </w:rPr>
            </w:pPr>
            <w:r>
              <w:rPr>
                <w:w w:val="100"/>
                <w:sz w:val="22"/>
              </w:rPr>
              <w:t>6</w:t>
            </w:r>
          </w:p>
        </w:tc>
        <w:tc>
          <w:tcPr>
            <w:tcW w:w="112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2848" w:type="dxa"/>
            <w:tcBorders>
              <w:top w:val="single" w:color="000000" w:sz="4" w:space="0"/>
              <w:left w:val="single" w:color="000000" w:sz="4" w:space="0"/>
              <w:bottom w:val="single" w:color="000000" w:sz="4" w:space="0"/>
              <w:right w:val="single" w:color="000000" w:sz="4" w:space="0"/>
            </w:tcBorders>
            <w:vAlign w:val="top"/>
          </w:tcPr>
          <w:p>
            <w:pPr>
              <w:pStyle w:val="14"/>
              <w:spacing w:before="161"/>
              <w:ind w:left="418" w:right="399"/>
              <w:jc w:val="center"/>
              <w:rPr>
                <w:sz w:val="22"/>
              </w:rPr>
            </w:pPr>
            <w:r>
              <w:rPr>
                <w:sz w:val="22"/>
              </w:rPr>
              <w:t>已完工程及设备保护</w:t>
            </w:r>
          </w:p>
        </w:tc>
        <w:tc>
          <w:tcPr>
            <w:tcW w:w="2671"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55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50" w:hRule="atLeast"/>
        </w:trPr>
        <w:tc>
          <w:tcPr>
            <w:tcW w:w="831" w:type="dxa"/>
            <w:tcBorders>
              <w:top w:val="single" w:color="000000" w:sz="4" w:space="0"/>
              <w:bottom w:val="single" w:color="000000" w:sz="4" w:space="0"/>
              <w:right w:val="single" w:color="000000" w:sz="4" w:space="0"/>
            </w:tcBorders>
            <w:vAlign w:val="top"/>
          </w:tcPr>
          <w:p>
            <w:pPr>
              <w:pStyle w:val="14"/>
              <w:spacing w:before="4"/>
              <w:rPr>
                <w:sz w:val="18"/>
              </w:rPr>
            </w:pPr>
          </w:p>
          <w:p>
            <w:pPr>
              <w:pStyle w:val="14"/>
              <w:ind w:left="14"/>
              <w:jc w:val="center"/>
              <w:rPr>
                <w:sz w:val="22"/>
              </w:rPr>
            </w:pPr>
            <w:r>
              <w:rPr>
                <w:w w:val="100"/>
                <w:sz w:val="22"/>
              </w:rPr>
              <w:t>7</w:t>
            </w:r>
          </w:p>
        </w:tc>
        <w:tc>
          <w:tcPr>
            <w:tcW w:w="112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2848" w:type="dxa"/>
            <w:tcBorders>
              <w:top w:val="single" w:color="000000" w:sz="4" w:space="0"/>
              <w:left w:val="single" w:color="000000" w:sz="4" w:space="0"/>
              <w:bottom w:val="single" w:color="000000" w:sz="4" w:space="0"/>
              <w:right w:val="single" w:color="000000" w:sz="4" w:space="0"/>
            </w:tcBorders>
            <w:vAlign w:val="top"/>
          </w:tcPr>
          <w:p>
            <w:pPr>
              <w:pStyle w:val="14"/>
              <w:spacing w:before="4"/>
              <w:rPr>
                <w:sz w:val="18"/>
              </w:rPr>
            </w:pPr>
          </w:p>
          <w:p>
            <w:pPr>
              <w:pStyle w:val="14"/>
              <w:ind w:left="418" w:right="399"/>
              <w:jc w:val="center"/>
              <w:rPr>
                <w:sz w:val="22"/>
              </w:rPr>
            </w:pPr>
            <w:r>
              <w:rPr>
                <w:sz w:val="22"/>
              </w:rPr>
              <w:t>消防检测</w:t>
            </w:r>
          </w:p>
        </w:tc>
        <w:tc>
          <w:tcPr>
            <w:tcW w:w="2671"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55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50" w:hRule="atLeast"/>
        </w:trPr>
        <w:tc>
          <w:tcPr>
            <w:tcW w:w="831" w:type="dxa"/>
            <w:tcBorders>
              <w:top w:val="single" w:color="000000" w:sz="4" w:space="0"/>
              <w:bottom w:val="single" w:color="000000" w:sz="4" w:space="0"/>
              <w:right w:val="single" w:color="000000" w:sz="4" w:space="0"/>
            </w:tcBorders>
            <w:vAlign w:val="top"/>
          </w:tcPr>
          <w:p>
            <w:pPr>
              <w:pStyle w:val="14"/>
              <w:spacing w:before="2"/>
              <w:rPr>
                <w:sz w:val="18"/>
              </w:rPr>
            </w:pPr>
          </w:p>
          <w:p>
            <w:pPr>
              <w:pStyle w:val="14"/>
              <w:spacing w:before="1"/>
              <w:ind w:left="14"/>
              <w:jc w:val="center"/>
              <w:rPr>
                <w:sz w:val="22"/>
              </w:rPr>
            </w:pPr>
            <w:r>
              <w:rPr>
                <w:w w:val="100"/>
                <w:sz w:val="22"/>
              </w:rPr>
              <w:t>8</w:t>
            </w:r>
          </w:p>
        </w:tc>
        <w:tc>
          <w:tcPr>
            <w:tcW w:w="112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2848" w:type="dxa"/>
            <w:tcBorders>
              <w:top w:val="single" w:color="000000" w:sz="4" w:space="0"/>
              <w:left w:val="single" w:color="000000" w:sz="4" w:space="0"/>
              <w:bottom w:val="single" w:color="000000" w:sz="4" w:space="0"/>
              <w:right w:val="single" w:color="000000" w:sz="4" w:space="0"/>
            </w:tcBorders>
            <w:vAlign w:val="top"/>
          </w:tcPr>
          <w:p>
            <w:pPr>
              <w:pStyle w:val="14"/>
              <w:spacing w:before="2"/>
              <w:rPr>
                <w:sz w:val="18"/>
              </w:rPr>
            </w:pPr>
          </w:p>
          <w:p>
            <w:pPr>
              <w:pStyle w:val="14"/>
              <w:spacing w:before="1"/>
              <w:ind w:left="418" w:right="399"/>
              <w:jc w:val="center"/>
              <w:rPr>
                <w:sz w:val="22"/>
              </w:rPr>
            </w:pPr>
            <w:r>
              <w:rPr>
                <w:sz w:val="22"/>
              </w:rPr>
              <w:t>环境检测</w:t>
            </w:r>
          </w:p>
        </w:tc>
        <w:tc>
          <w:tcPr>
            <w:tcW w:w="2671"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55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50" w:hRule="atLeast"/>
        </w:trPr>
        <w:tc>
          <w:tcPr>
            <w:tcW w:w="831" w:type="dxa"/>
            <w:tcBorders>
              <w:top w:val="single" w:color="000000" w:sz="4" w:space="0"/>
              <w:bottom w:val="single" w:color="000000" w:sz="4" w:space="0"/>
              <w:right w:val="single" w:color="000000" w:sz="4" w:space="0"/>
            </w:tcBorders>
            <w:vAlign w:val="top"/>
          </w:tcPr>
          <w:p>
            <w:pPr>
              <w:pStyle w:val="14"/>
              <w:spacing w:before="3"/>
              <w:rPr>
                <w:sz w:val="18"/>
              </w:rPr>
            </w:pPr>
          </w:p>
          <w:p>
            <w:pPr>
              <w:pStyle w:val="14"/>
              <w:ind w:left="14"/>
              <w:jc w:val="center"/>
              <w:rPr>
                <w:sz w:val="22"/>
              </w:rPr>
            </w:pPr>
            <w:r>
              <w:rPr>
                <w:w w:val="100"/>
                <w:sz w:val="22"/>
              </w:rPr>
              <w:t>9</w:t>
            </w:r>
          </w:p>
        </w:tc>
        <w:tc>
          <w:tcPr>
            <w:tcW w:w="112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2848" w:type="dxa"/>
            <w:tcBorders>
              <w:top w:val="single" w:color="000000" w:sz="4" w:space="0"/>
              <w:left w:val="single" w:color="000000" w:sz="4" w:space="0"/>
              <w:bottom w:val="single" w:color="000000" w:sz="4" w:space="0"/>
              <w:right w:val="single" w:color="000000" w:sz="4" w:space="0"/>
            </w:tcBorders>
            <w:vAlign w:val="top"/>
          </w:tcPr>
          <w:p>
            <w:pPr>
              <w:pStyle w:val="14"/>
              <w:spacing w:before="3"/>
              <w:rPr>
                <w:sz w:val="18"/>
              </w:rPr>
            </w:pPr>
          </w:p>
          <w:p>
            <w:pPr>
              <w:pStyle w:val="14"/>
              <w:ind w:left="418" w:right="397"/>
              <w:jc w:val="center"/>
              <w:rPr>
                <w:sz w:val="22"/>
              </w:rPr>
            </w:pPr>
            <w:r>
              <w:rPr>
                <w:sz w:val="22"/>
              </w:rPr>
              <w:t>其它</w:t>
            </w:r>
          </w:p>
        </w:tc>
        <w:tc>
          <w:tcPr>
            <w:tcW w:w="2671"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55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50" w:hRule="atLeast"/>
        </w:trPr>
        <w:tc>
          <w:tcPr>
            <w:tcW w:w="831" w:type="dxa"/>
            <w:tcBorders>
              <w:top w:val="single" w:color="000000" w:sz="4" w:space="0"/>
              <w:bottom w:val="single" w:color="000000" w:sz="4" w:space="0"/>
              <w:right w:val="single" w:color="000000" w:sz="4" w:space="0"/>
            </w:tcBorders>
            <w:vAlign w:val="top"/>
          </w:tcPr>
          <w:p>
            <w:pPr>
              <w:pStyle w:val="14"/>
              <w:rPr>
                <w:rFonts w:ascii="Times New Roman"/>
                <w:sz w:val="20"/>
              </w:rPr>
            </w:pPr>
          </w:p>
        </w:tc>
        <w:tc>
          <w:tcPr>
            <w:tcW w:w="1128" w:type="dxa"/>
            <w:tcBorders>
              <w:top w:val="single" w:color="000000" w:sz="4" w:space="0"/>
              <w:left w:val="single" w:color="000000" w:sz="4" w:space="0"/>
              <w:bottom w:val="single" w:color="000000" w:sz="4" w:space="0"/>
              <w:right w:val="single" w:color="000000" w:sz="4" w:space="0"/>
            </w:tcBorders>
            <w:vAlign w:val="top"/>
          </w:tcPr>
          <w:p>
            <w:pPr>
              <w:pStyle w:val="14"/>
              <w:spacing w:before="4"/>
              <w:rPr>
                <w:sz w:val="18"/>
              </w:rPr>
            </w:pPr>
          </w:p>
          <w:p>
            <w:pPr>
              <w:pStyle w:val="14"/>
              <w:ind w:left="18"/>
              <w:jc w:val="center"/>
              <w:rPr>
                <w:sz w:val="22"/>
              </w:rPr>
            </w:pPr>
            <w:r>
              <w:rPr>
                <w:w w:val="100"/>
                <w:sz w:val="22"/>
              </w:rPr>
              <w:t>…</w:t>
            </w:r>
          </w:p>
        </w:tc>
        <w:tc>
          <w:tcPr>
            <w:tcW w:w="284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2671"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55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9" w:hRule="atLeast"/>
        </w:trPr>
        <w:tc>
          <w:tcPr>
            <w:tcW w:w="7478" w:type="dxa"/>
            <w:gridSpan w:val="4"/>
            <w:tcBorders>
              <w:top w:val="single" w:color="000000" w:sz="4" w:space="0"/>
              <w:right w:val="single" w:color="000000" w:sz="4" w:space="0"/>
            </w:tcBorders>
            <w:vAlign w:val="top"/>
          </w:tcPr>
          <w:p>
            <w:pPr>
              <w:pStyle w:val="14"/>
              <w:spacing w:before="2"/>
              <w:rPr>
                <w:sz w:val="18"/>
              </w:rPr>
            </w:pPr>
          </w:p>
          <w:p>
            <w:pPr>
              <w:pStyle w:val="14"/>
              <w:tabs>
                <w:tab w:val="left" w:pos="783"/>
              </w:tabs>
              <w:spacing w:before="1"/>
              <w:ind w:left="15"/>
              <w:jc w:val="center"/>
              <w:rPr>
                <w:sz w:val="22"/>
              </w:rPr>
            </w:pPr>
            <w:r>
              <w:rPr>
                <w:sz w:val="22"/>
              </w:rPr>
              <w:t>合</w:t>
            </w:r>
            <w:r>
              <w:rPr>
                <w:sz w:val="22"/>
              </w:rPr>
              <w:tab/>
            </w:r>
            <w:r>
              <w:rPr>
                <w:sz w:val="22"/>
              </w:rPr>
              <w:t>计</w:t>
            </w:r>
          </w:p>
        </w:tc>
        <w:tc>
          <w:tcPr>
            <w:tcW w:w="1559" w:type="dxa"/>
            <w:tcBorders>
              <w:top w:val="single" w:color="000000" w:sz="4" w:space="0"/>
              <w:left w:val="single" w:color="000000" w:sz="4" w:space="0"/>
            </w:tcBorders>
            <w:vAlign w:val="top"/>
          </w:tcPr>
          <w:p>
            <w:pPr>
              <w:pStyle w:val="14"/>
              <w:rPr>
                <w:rFonts w:ascii="Times New Roman"/>
                <w:sz w:val="20"/>
              </w:rPr>
            </w:pPr>
          </w:p>
        </w:tc>
      </w:tr>
    </w:tbl>
    <w:p>
      <w:pPr>
        <w:pStyle w:val="9"/>
        <w:spacing w:before="1"/>
        <w:ind w:left="1170"/>
      </w:pPr>
      <w:r>
        <w:t>注：1. 最高投标限价根据工程造价管理部门的有关规定编制；</w:t>
      </w:r>
    </w:p>
    <w:p>
      <w:pPr>
        <w:pStyle w:val="13"/>
        <w:numPr>
          <w:ilvl w:val="0"/>
          <w:numId w:val="91"/>
        </w:numPr>
        <w:tabs>
          <w:tab w:val="left" w:pos="1941"/>
        </w:tabs>
        <w:spacing w:before="148" w:after="0" w:line="240" w:lineRule="auto"/>
        <w:ind w:left="1940" w:right="0" w:hanging="329"/>
        <w:jc w:val="left"/>
        <w:rPr>
          <w:sz w:val="22"/>
        </w:rPr>
      </w:pPr>
      <w:r>
        <w:rPr>
          <w:spacing w:val="-3"/>
          <w:sz w:val="22"/>
        </w:rPr>
        <w:t>投标报价根据拟建工程实际情况报价；</w:t>
      </w:r>
    </w:p>
    <w:p>
      <w:pPr>
        <w:pStyle w:val="13"/>
        <w:numPr>
          <w:ilvl w:val="0"/>
          <w:numId w:val="91"/>
        </w:numPr>
        <w:tabs>
          <w:tab w:val="left" w:pos="1941"/>
        </w:tabs>
        <w:spacing w:before="146" w:after="0" w:line="240" w:lineRule="auto"/>
        <w:ind w:left="1940" w:right="0" w:hanging="329"/>
        <w:jc w:val="left"/>
        <w:rPr>
          <w:sz w:val="22"/>
        </w:rPr>
      </w:pPr>
      <w:r>
        <w:rPr>
          <w:spacing w:val="-3"/>
          <w:sz w:val="22"/>
        </w:rPr>
        <w:t>措施项目费用应考虑企业管理费、利润和规费因素。</w:t>
      </w:r>
    </w:p>
    <w:p>
      <w:pPr>
        <w:spacing w:after="0" w:line="240" w:lineRule="auto"/>
        <w:jc w:val="left"/>
        <w:rPr>
          <w:sz w:val="22"/>
        </w:rPr>
        <w:sectPr>
          <w:pgSz w:w="11910" w:h="16840"/>
          <w:pgMar w:top="1100" w:right="660" w:bottom="1200" w:left="800" w:header="878" w:footer="1003" w:gutter="0"/>
          <w:cols w:space="720" w:num="1"/>
        </w:sectPr>
      </w:pPr>
    </w:p>
    <w:p>
      <w:pPr>
        <w:pStyle w:val="9"/>
        <w:spacing w:before="1"/>
        <w:rPr>
          <w:sz w:val="18"/>
        </w:rPr>
      </w:pPr>
    </w:p>
    <w:p>
      <w:pPr>
        <w:pStyle w:val="9"/>
        <w:spacing w:before="70"/>
        <w:ind w:left="564" w:right="727"/>
        <w:jc w:val="center"/>
      </w:pPr>
      <w:r>
        <w:t>单价措施项目清单与计价表</w:t>
      </w:r>
    </w:p>
    <w:p>
      <w:pPr>
        <w:pStyle w:val="9"/>
      </w:pPr>
    </w:p>
    <w:p>
      <w:pPr>
        <w:pStyle w:val="9"/>
      </w:pPr>
    </w:p>
    <w:p>
      <w:pPr>
        <w:pStyle w:val="9"/>
        <w:spacing w:before="7"/>
        <w:rPr>
          <w:sz w:val="28"/>
        </w:rPr>
      </w:pPr>
    </w:p>
    <w:p>
      <w:pPr>
        <w:pStyle w:val="9"/>
        <w:tabs>
          <w:tab w:val="left" w:pos="3446"/>
          <w:tab w:val="left" w:pos="6525"/>
          <w:tab w:val="left" w:pos="6966"/>
          <w:tab w:val="left" w:pos="7734"/>
        </w:tabs>
        <w:ind w:left="35"/>
        <w:jc w:val="center"/>
      </w:pPr>
      <w:r>
        <w:t>工</w:t>
      </w:r>
      <w:r>
        <w:rPr>
          <w:spacing w:val="-3"/>
        </w:rPr>
        <w:t>程</w:t>
      </w:r>
      <w:r>
        <w:t>名称：</w:t>
      </w:r>
      <w:r>
        <w:tab/>
      </w:r>
      <w:r>
        <w:t>标</w:t>
      </w:r>
      <w:r>
        <w:rPr>
          <w:spacing w:val="-3"/>
        </w:rPr>
        <w:t>段</w:t>
      </w:r>
      <w:r>
        <w:t>：</w:t>
      </w:r>
      <w:r>
        <w:tab/>
      </w:r>
      <w:r>
        <w:t>第</w:t>
      </w:r>
      <w:r>
        <w:tab/>
      </w:r>
      <w:r>
        <w:t>页</w:t>
      </w:r>
      <w:r>
        <w:rPr>
          <w:spacing w:val="-3"/>
        </w:rPr>
        <w:t xml:space="preserve"> </w:t>
      </w:r>
      <w:r>
        <w:t>共</w:t>
      </w:r>
      <w:r>
        <w:tab/>
      </w:r>
      <w:r>
        <w:t>页</w:t>
      </w:r>
    </w:p>
    <w:p>
      <w:pPr>
        <w:pStyle w:val="9"/>
        <w:spacing w:before="4"/>
        <w:rPr>
          <w:sz w:val="11"/>
        </w:rPr>
      </w:pPr>
    </w:p>
    <w:tbl>
      <w:tblPr>
        <w:tblW w:w="9037" w:type="dxa"/>
        <w:tblInd w:w="6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7"/>
        <w:gridCol w:w="723"/>
        <w:gridCol w:w="723"/>
        <w:gridCol w:w="1206"/>
        <w:gridCol w:w="916"/>
        <w:gridCol w:w="1137"/>
        <w:gridCol w:w="868"/>
        <w:gridCol w:w="1010"/>
        <w:gridCol w:w="868"/>
        <w:gridCol w:w="100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6" w:hRule="atLeast"/>
        </w:trPr>
        <w:tc>
          <w:tcPr>
            <w:tcW w:w="577" w:type="dxa"/>
            <w:vMerge w:val="restart"/>
            <w:tcBorders>
              <w:bottom w:val="single" w:color="000000" w:sz="4" w:space="0"/>
              <w:right w:val="single" w:color="000000" w:sz="4" w:space="0"/>
            </w:tcBorders>
            <w:vAlign w:val="top"/>
          </w:tcPr>
          <w:p>
            <w:pPr>
              <w:pStyle w:val="14"/>
              <w:spacing w:before="153" w:line="242" w:lineRule="auto"/>
              <w:ind w:left="177" w:right="161"/>
              <w:rPr>
                <w:sz w:val="22"/>
              </w:rPr>
            </w:pPr>
            <w:r>
              <w:rPr>
                <w:sz w:val="22"/>
              </w:rPr>
              <w:t>序号</w:t>
            </w:r>
          </w:p>
        </w:tc>
        <w:tc>
          <w:tcPr>
            <w:tcW w:w="723" w:type="dxa"/>
            <w:vMerge w:val="restart"/>
            <w:tcBorders>
              <w:left w:val="single" w:color="000000" w:sz="4" w:space="0"/>
              <w:bottom w:val="single" w:color="000000" w:sz="4" w:space="0"/>
              <w:right w:val="single" w:color="000000" w:sz="4" w:space="0"/>
            </w:tcBorders>
            <w:vAlign w:val="top"/>
          </w:tcPr>
          <w:p>
            <w:pPr>
              <w:pStyle w:val="14"/>
              <w:spacing w:before="153" w:line="242" w:lineRule="auto"/>
              <w:ind w:left="145" w:right="123"/>
              <w:rPr>
                <w:sz w:val="22"/>
              </w:rPr>
            </w:pPr>
            <w:r>
              <w:rPr>
                <w:sz w:val="22"/>
              </w:rPr>
              <w:t>项目编码</w:t>
            </w:r>
          </w:p>
        </w:tc>
        <w:tc>
          <w:tcPr>
            <w:tcW w:w="723" w:type="dxa"/>
            <w:vMerge w:val="restart"/>
            <w:tcBorders>
              <w:left w:val="single" w:color="000000" w:sz="4" w:space="0"/>
              <w:bottom w:val="single" w:color="000000" w:sz="4" w:space="0"/>
              <w:right w:val="single" w:color="000000" w:sz="4" w:space="0"/>
            </w:tcBorders>
            <w:vAlign w:val="top"/>
          </w:tcPr>
          <w:p>
            <w:pPr>
              <w:pStyle w:val="14"/>
              <w:spacing w:before="153" w:line="242" w:lineRule="auto"/>
              <w:ind w:left="144" w:right="124"/>
              <w:rPr>
                <w:sz w:val="22"/>
              </w:rPr>
            </w:pPr>
            <w:r>
              <w:rPr>
                <w:sz w:val="22"/>
              </w:rPr>
              <w:t>项目名称</w:t>
            </w:r>
          </w:p>
        </w:tc>
        <w:tc>
          <w:tcPr>
            <w:tcW w:w="1206" w:type="dxa"/>
            <w:vMerge w:val="restart"/>
            <w:tcBorders>
              <w:left w:val="single" w:color="000000" w:sz="4" w:space="0"/>
              <w:bottom w:val="single" w:color="000000" w:sz="4" w:space="0"/>
              <w:right w:val="single" w:color="000000" w:sz="4" w:space="0"/>
            </w:tcBorders>
            <w:vAlign w:val="top"/>
          </w:tcPr>
          <w:p>
            <w:pPr>
              <w:pStyle w:val="14"/>
              <w:spacing w:before="153" w:line="242" w:lineRule="auto"/>
              <w:ind w:left="168" w:right="144" w:firstLine="218"/>
              <w:rPr>
                <w:sz w:val="22"/>
              </w:rPr>
            </w:pPr>
            <w:r>
              <w:rPr>
                <w:sz w:val="22"/>
              </w:rPr>
              <w:t>项 目 特征描述</w:t>
            </w:r>
          </w:p>
        </w:tc>
        <w:tc>
          <w:tcPr>
            <w:tcW w:w="916" w:type="dxa"/>
            <w:vMerge w:val="restart"/>
            <w:tcBorders>
              <w:left w:val="single" w:color="000000" w:sz="4" w:space="0"/>
              <w:bottom w:val="single" w:color="000000" w:sz="4" w:space="0"/>
              <w:right w:val="single" w:color="000000" w:sz="4" w:space="0"/>
            </w:tcBorders>
            <w:vAlign w:val="top"/>
          </w:tcPr>
          <w:p>
            <w:pPr>
              <w:pStyle w:val="14"/>
              <w:spacing w:before="153" w:line="242" w:lineRule="auto"/>
              <w:ind w:left="241" w:right="220"/>
              <w:rPr>
                <w:sz w:val="22"/>
              </w:rPr>
            </w:pPr>
            <w:r>
              <w:rPr>
                <w:sz w:val="22"/>
              </w:rPr>
              <w:t>工程内容</w:t>
            </w:r>
          </w:p>
        </w:tc>
        <w:tc>
          <w:tcPr>
            <w:tcW w:w="1137" w:type="dxa"/>
            <w:vMerge w:val="restart"/>
            <w:tcBorders>
              <w:left w:val="single" w:color="000000" w:sz="4" w:space="0"/>
              <w:bottom w:val="single" w:color="000000" w:sz="4" w:space="0"/>
              <w:right w:val="single" w:color="000000" w:sz="4" w:space="0"/>
            </w:tcBorders>
            <w:vAlign w:val="top"/>
          </w:tcPr>
          <w:p>
            <w:pPr>
              <w:pStyle w:val="14"/>
              <w:rPr>
                <w:sz w:val="23"/>
              </w:rPr>
            </w:pPr>
          </w:p>
          <w:p>
            <w:pPr>
              <w:pStyle w:val="14"/>
              <w:ind w:left="131"/>
              <w:rPr>
                <w:sz w:val="22"/>
              </w:rPr>
            </w:pPr>
            <w:r>
              <w:rPr>
                <w:sz w:val="22"/>
              </w:rPr>
              <w:t>计量单位</w:t>
            </w:r>
          </w:p>
        </w:tc>
        <w:tc>
          <w:tcPr>
            <w:tcW w:w="868" w:type="dxa"/>
            <w:vMerge w:val="restart"/>
            <w:tcBorders>
              <w:left w:val="single" w:color="000000" w:sz="4" w:space="0"/>
              <w:bottom w:val="single" w:color="000000" w:sz="4" w:space="0"/>
              <w:right w:val="single" w:color="000000" w:sz="4" w:space="0"/>
            </w:tcBorders>
            <w:vAlign w:val="top"/>
          </w:tcPr>
          <w:p>
            <w:pPr>
              <w:pStyle w:val="14"/>
              <w:spacing w:before="153" w:line="242" w:lineRule="auto"/>
              <w:ind w:left="329" w:right="195" w:hanging="111"/>
              <w:rPr>
                <w:sz w:val="22"/>
              </w:rPr>
            </w:pPr>
            <w:r>
              <w:rPr>
                <w:sz w:val="22"/>
              </w:rPr>
              <w:t>工程量</w:t>
            </w:r>
          </w:p>
        </w:tc>
        <w:tc>
          <w:tcPr>
            <w:tcW w:w="2887" w:type="dxa"/>
            <w:gridSpan w:val="3"/>
            <w:tcBorders>
              <w:left w:val="single" w:color="000000" w:sz="4" w:space="0"/>
              <w:bottom w:val="single" w:color="000000" w:sz="4" w:space="0"/>
            </w:tcBorders>
            <w:vAlign w:val="top"/>
          </w:tcPr>
          <w:p>
            <w:pPr>
              <w:pStyle w:val="14"/>
              <w:tabs>
                <w:tab w:val="left" w:pos="1393"/>
              </w:tabs>
              <w:spacing w:before="2" w:line="264" w:lineRule="exact"/>
              <w:ind w:left="622"/>
              <w:rPr>
                <w:sz w:val="22"/>
              </w:rPr>
            </w:pPr>
            <w:r>
              <w:rPr>
                <w:sz w:val="22"/>
              </w:rPr>
              <w:t>金</w:t>
            </w:r>
            <w:r>
              <w:rPr>
                <w:sz w:val="22"/>
              </w:rPr>
              <w:tab/>
            </w:r>
            <w:r>
              <w:rPr>
                <w:sz w:val="22"/>
              </w:rPr>
              <w:t>额</w:t>
            </w:r>
            <w:r>
              <w:rPr>
                <w:spacing w:val="-3"/>
                <w:sz w:val="22"/>
              </w:rPr>
              <w:t>（</w:t>
            </w:r>
            <w:r>
              <w:rPr>
                <w:sz w:val="22"/>
              </w:rPr>
              <w:t>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5" w:hRule="atLeast"/>
        </w:trPr>
        <w:tc>
          <w:tcPr>
            <w:tcW w:w="577" w:type="dxa"/>
            <w:vMerge w:val="continue"/>
            <w:tcBorders>
              <w:top w:val="nil"/>
              <w:bottom w:val="single" w:color="000000" w:sz="4" w:space="0"/>
              <w:right w:val="single" w:color="000000" w:sz="4" w:space="0"/>
            </w:tcBorders>
            <w:vAlign w:val="top"/>
          </w:tcPr>
          <w:p>
            <w:pPr>
              <w:rPr>
                <w:sz w:val="2"/>
                <w:szCs w:val="2"/>
              </w:rPr>
            </w:pPr>
          </w:p>
        </w:tc>
        <w:tc>
          <w:tcPr>
            <w:tcW w:w="723" w:type="dxa"/>
            <w:vMerge w:val="continue"/>
            <w:tcBorders>
              <w:top w:val="nil"/>
              <w:left w:val="single" w:color="000000" w:sz="4" w:space="0"/>
              <w:bottom w:val="single" w:color="000000" w:sz="4" w:space="0"/>
              <w:right w:val="single" w:color="000000" w:sz="4" w:space="0"/>
            </w:tcBorders>
            <w:vAlign w:val="top"/>
          </w:tcPr>
          <w:p>
            <w:pPr>
              <w:rPr>
                <w:sz w:val="2"/>
                <w:szCs w:val="2"/>
              </w:rPr>
            </w:pPr>
          </w:p>
        </w:tc>
        <w:tc>
          <w:tcPr>
            <w:tcW w:w="723" w:type="dxa"/>
            <w:vMerge w:val="continue"/>
            <w:tcBorders>
              <w:top w:val="nil"/>
              <w:left w:val="single" w:color="000000" w:sz="4" w:space="0"/>
              <w:bottom w:val="single" w:color="000000" w:sz="4" w:space="0"/>
              <w:right w:val="single" w:color="000000" w:sz="4" w:space="0"/>
            </w:tcBorders>
            <w:vAlign w:val="top"/>
          </w:tcPr>
          <w:p>
            <w:pPr>
              <w:rPr>
                <w:sz w:val="2"/>
                <w:szCs w:val="2"/>
              </w:rPr>
            </w:pPr>
          </w:p>
        </w:tc>
        <w:tc>
          <w:tcPr>
            <w:tcW w:w="1206" w:type="dxa"/>
            <w:vMerge w:val="continue"/>
            <w:tcBorders>
              <w:top w:val="nil"/>
              <w:left w:val="single" w:color="000000" w:sz="4" w:space="0"/>
              <w:bottom w:val="single" w:color="000000" w:sz="4" w:space="0"/>
              <w:right w:val="single" w:color="000000" w:sz="4" w:space="0"/>
            </w:tcBorders>
            <w:vAlign w:val="top"/>
          </w:tcPr>
          <w:p>
            <w:pPr>
              <w:rPr>
                <w:sz w:val="2"/>
                <w:szCs w:val="2"/>
              </w:rPr>
            </w:pPr>
          </w:p>
        </w:tc>
        <w:tc>
          <w:tcPr>
            <w:tcW w:w="916" w:type="dxa"/>
            <w:vMerge w:val="continue"/>
            <w:tcBorders>
              <w:top w:val="nil"/>
              <w:left w:val="single" w:color="000000" w:sz="4" w:space="0"/>
              <w:bottom w:val="single" w:color="000000" w:sz="4" w:space="0"/>
              <w:right w:val="single" w:color="000000" w:sz="4" w:space="0"/>
            </w:tcBorders>
            <w:vAlign w:val="top"/>
          </w:tcPr>
          <w:p>
            <w:pPr>
              <w:rPr>
                <w:sz w:val="2"/>
                <w:szCs w:val="2"/>
              </w:rPr>
            </w:pPr>
          </w:p>
        </w:tc>
        <w:tc>
          <w:tcPr>
            <w:tcW w:w="1137" w:type="dxa"/>
            <w:vMerge w:val="continue"/>
            <w:tcBorders>
              <w:top w:val="nil"/>
              <w:left w:val="single" w:color="000000" w:sz="4" w:space="0"/>
              <w:bottom w:val="single" w:color="000000" w:sz="4" w:space="0"/>
              <w:right w:val="single" w:color="000000" w:sz="4" w:space="0"/>
            </w:tcBorders>
            <w:vAlign w:val="top"/>
          </w:tcPr>
          <w:p>
            <w:pPr>
              <w:rPr>
                <w:sz w:val="2"/>
                <w:szCs w:val="2"/>
              </w:rPr>
            </w:pPr>
          </w:p>
        </w:tc>
        <w:tc>
          <w:tcPr>
            <w:tcW w:w="868" w:type="dxa"/>
            <w:vMerge w:val="continue"/>
            <w:tcBorders>
              <w:top w:val="nil"/>
              <w:left w:val="single" w:color="000000" w:sz="4" w:space="0"/>
              <w:bottom w:val="single" w:color="000000" w:sz="4" w:space="0"/>
              <w:right w:val="single" w:color="000000" w:sz="4" w:space="0"/>
            </w:tcBorders>
            <w:vAlign w:val="top"/>
          </w:tcPr>
          <w:p>
            <w:pPr>
              <w:rPr>
                <w:sz w:val="2"/>
                <w:szCs w:val="2"/>
              </w:rPr>
            </w:pPr>
          </w:p>
        </w:tc>
        <w:tc>
          <w:tcPr>
            <w:tcW w:w="1010" w:type="dxa"/>
            <w:vMerge w:val="restart"/>
            <w:tcBorders>
              <w:top w:val="single" w:color="000000" w:sz="4" w:space="0"/>
              <w:left w:val="single" w:color="000000" w:sz="4" w:space="0"/>
              <w:bottom w:val="single" w:color="000000" w:sz="4" w:space="0"/>
              <w:right w:val="single" w:color="000000" w:sz="4" w:space="0"/>
            </w:tcBorders>
            <w:vAlign w:val="top"/>
          </w:tcPr>
          <w:p>
            <w:pPr>
              <w:pStyle w:val="14"/>
              <w:spacing w:before="6" w:line="280" w:lineRule="atLeast"/>
              <w:ind w:left="399" w:right="159" w:hanging="221"/>
              <w:rPr>
                <w:sz w:val="22"/>
              </w:rPr>
            </w:pPr>
            <w:r>
              <w:rPr>
                <w:sz w:val="22"/>
              </w:rPr>
              <w:t>综合单价</w:t>
            </w:r>
          </w:p>
        </w:tc>
        <w:tc>
          <w:tcPr>
            <w:tcW w:w="868" w:type="dxa"/>
            <w:vMerge w:val="restart"/>
            <w:tcBorders>
              <w:top w:val="single" w:color="000000" w:sz="4" w:space="0"/>
              <w:left w:val="single" w:color="000000" w:sz="4" w:space="0"/>
              <w:bottom w:val="single" w:color="000000" w:sz="4" w:space="0"/>
              <w:right w:val="single" w:color="000000" w:sz="4" w:space="0"/>
            </w:tcBorders>
            <w:vAlign w:val="top"/>
          </w:tcPr>
          <w:p>
            <w:pPr>
              <w:pStyle w:val="14"/>
              <w:spacing w:before="147"/>
              <w:ind w:left="217"/>
              <w:rPr>
                <w:sz w:val="22"/>
              </w:rPr>
            </w:pPr>
            <w:r>
              <w:rPr>
                <w:sz w:val="22"/>
              </w:rPr>
              <w:t>合价</w:t>
            </w:r>
          </w:p>
        </w:tc>
        <w:tc>
          <w:tcPr>
            <w:tcW w:w="1009" w:type="dxa"/>
            <w:tcBorders>
              <w:top w:val="single" w:color="000000" w:sz="4" w:space="0"/>
              <w:left w:val="single" w:color="000000" w:sz="4" w:space="0"/>
              <w:bottom w:val="single" w:color="000000" w:sz="4" w:space="0"/>
            </w:tcBorders>
            <w:vAlign w:val="top"/>
          </w:tcPr>
          <w:p>
            <w:pPr>
              <w:pStyle w:val="14"/>
              <w:spacing w:before="1" w:line="264" w:lineRule="exact"/>
              <w:ind w:left="157" w:right="134"/>
              <w:jc w:val="center"/>
              <w:rPr>
                <w:sz w:val="22"/>
              </w:rPr>
            </w:pPr>
            <w:r>
              <w:rPr>
                <w:sz w:val="22"/>
              </w:rPr>
              <w:t>其中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5" w:hRule="atLeast"/>
        </w:trPr>
        <w:tc>
          <w:tcPr>
            <w:tcW w:w="577" w:type="dxa"/>
            <w:vMerge w:val="continue"/>
            <w:tcBorders>
              <w:top w:val="nil"/>
              <w:bottom w:val="single" w:color="000000" w:sz="4" w:space="0"/>
              <w:right w:val="single" w:color="000000" w:sz="4" w:space="0"/>
            </w:tcBorders>
            <w:vAlign w:val="top"/>
          </w:tcPr>
          <w:p>
            <w:pPr>
              <w:rPr>
                <w:sz w:val="2"/>
                <w:szCs w:val="2"/>
              </w:rPr>
            </w:pPr>
          </w:p>
        </w:tc>
        <w:tc>
          <w:tcPr>
            <w:tcW w:w="723" w:type="dxa"/>
            <w:vMerge w:val="continue"/>
            <w:tcBorders>
              <w:top w:val="nil"/>
              <w:left w:val="single" w:color="000000" w:sz="4" w:space="0"/>
              <w:bottom w:val="single" w:color="000000" w:sz="4" w:space="0"/>
              <w:right w:val="single" w:color="000000" w:sz="4" w:space="0"/>
            </w:tcBorders>
            <w:vAlign w:val="top"/>
          </w:tcPr>
          <w:p>
            <w:pPr>
              <w:rPr>
                <w:sz w:val="2"/>
                <w:szCs w:val="2"/>
              </w:rPr>
            </w:pPr>
          </w:p>
        </w:tc>
        <w:tc>
          <w:tcPr>
            <w:tcW w:w="723" w:type="dxa"/>
            <w:vMerge w:val="continue"/>
            <w:tcBorders>
              <w:top w:val="nil"/>
              <w:left w:val="single" w:color="000000" w:sz="4" w:space="0"/>
              <w:bottom w:val="single" w:color="000000" w:sz="4" w:space="0"/>
              <w:right w:val="single" w:color="000000" w:sz="4" w:space="0"/>
            </w:tcBorders>
            <w:vAlign w:val="top"/>
          </w:tcPr>
          <w:p>
            <w:pPr>
              <w:rPr>
                <w:sz w:val="2"/>
                <w:szCs w:val="2"/>
              </w:rPr>
            </w:pPr>
          </w:p>
        </w:tc>
        <w:tc>
          <w:tcPr>
            <w:tcW w:w="1206" w:type="dxa"/>
            <w:vMerge w:val="continue"/>
            <w:tcBorders>
              <w:top w:val="nil"/>
              <w:left w:val="single" w:color="000000" w:sz="4" w:space="0"/>
              <w:bottom w:val="single" w:color="000000" w:sz="4" w:space="0"/>
              <w:right w:val="single" w:color="000000" w:sz="4" w:space="0"/>
            </w:tcBorders>
            <w:vAlign w:val="top"/>
          </w:tcPr>
          <w:p>
            <w:pPr>
              <w:rPr>
                <w:sz w:val="2"/>
                <w:szCs w:val="2"/>
              </w:rPr>
            </w:pPr>
          </w:p>
        </w:tc>
        <w:tc>
          <w:tcPr>
            <w:tcW w:w="916" w:type="dxa"/>
            <w:vMerge w:val="continue"/>
            <w:tcBorders>
              <w:top w:val="nil"/>
              <w:left w:val="single" w:color="000000" w:sz="4" w:space="0"/>
              <w:bottom w:val="single" w:color="000000" w:sz="4" w:space="0"/>
              <w:right w:val="single" w:color="000000" w:sz="4" w:space="0"/>
            </w:tcBorders>
            <w:vAlign w:val="top"/>
          </w:tcPr>
          <w:p>
            <w:pPr>
              <w:rPr>
                <w:sz w:val="2"/>
                <w:szCs w:val="2"/>
              </w:rPr>
            </w:pPr>
          </w:p>
        </w:tc>
        <w:tc>
          <w:tcPr>
            <w:tcW w:w="1137" w:type="dxa"/>
            <w:vMerge w:val="continue"/>
            <w:tcBorders>
              <w:top w:val="nil"/>
              <w:left w:val="single" w:color="000000" w:sz="4" w:space="0"/>
              <w:bottom w:val="single" w:color="000000" w:sz="4" w:space="0"/>
              <w:right w:val="single" w:color="000000" w:sz="4" w:space="0"/>
            </w:tcBorders>
            <w:vAlign w:val="top"/>
          </w:tcPr>
          <w:p>
            <w:pPr>
              <w:rPr>
                <w:sz w:val="2"/>
                <w:szCs w:val="2"/>
              </w:rPr>
            </w:pPr>
          </w:p>
        </w:tc>
        <w:tc>
          <w:tcPr>
            <w:tcW w:w="868" w:type="dxa"/>
            <w:vMerge w:val="continue"/>
            <w:tcBorders>
              <w:top w:val="nil"/>
              <w:left w:val="single" w:color="000000" w:sz="4" w:space="0"/>
              <w:bottom w:val="single" w:color="000000" w:sz="4" w:space="0"/>
              <w:right w:val="single" w:color="000000" w:sz="4" w:space="0"/>
            </w:tcBorders>
            <w:vAlign w:val="top"/>
          </w:tcPr>
          <w:p>
            <w:pPr>
              <w:rPr>
                <w:sz w:val="2"/>
                <w:szCs w:val="2"/>
              </w:rPr>
            </w:pPr>
          </w:p>
        </w:tc>
        <w:tc>
          <w:tcPr>
            <w:tcW w:w="1010" w:type="dxa"/>
            <w:vMerge w:val="continue"/>
            <w:tcBorders>
              <w:top w:val="nil"/>
              <w:left w:val="single" w:color="000000" w:sz="4" w:space="0"/>
              <w:bottom w:val="single" w:color="000000" w:sz="4" w:space="0"/>
              <w:right w:val="single" w:color="000000" w:sz="4" w:space="0"/>
            </w:tcBorders>
            <w:vAlign w:val="top"/>
          </w:tcPr>
          <w:p>
            <w:pPr>
              <w:rPr>
                <w:sz w:val="2"/>
                <w:szCs w:val="2"/>
              </w:rPr>
            </w:pPr>
          </w:p>
        </w:tc>
        <w:tc>
          <w:tcPr>
            <w:tcW w:w="868" w:type="dxa"/>
            <w:vMerge w:val="continue"/>
            <w:tcBorders>
              <w:top w:val="nil"/>
              <w:left w:val="single" w:color="000000" w:sz="4" w:space="0"/>
              <w:bottom w:val="single" w:color="000000" w:sz="4" w:space="0"/>
              <w:right w:val="single" w:color="000000" w:sz="4" w:space="0"/>
            </w:tcBorders>
            <w:vAlign w:val="top"/>
          </w:tcPr>
          <w:p>
            <w:pPr>
              <w:rPr>
                <w:sz w:val="2"/>
                <w:szCs w:val="2"/>
              </w:rPr>
            </w:pPr>
          </w:p>
        </w:tc>
        <w:tc>
          <w:tcPr>
            <w:tcW w:w="1009" w:type="dxa"/>
            <w:tcBorders>
              <w:top w:val="single" w:color="000000" w:sz="4" w:space="0"/>
              <w:left w:val="single" w:color="000000" w:sz="4" w:space="0"/>
              <w:bottom w:val="single" w:color="000000" w:sz="4" w:space="0"/>
            </w:tcBorders>
            <w:vAlign w:val="top"/>
          </w:tcPr>
          <w:p>
            <w:pPr>
              <w:pStyle w:val="14"/>
              <w:spacing w:before="1" w:line="263" w:lineRule="exact"/>
              <w:ind w:left="157" w:right="136"/>
              <w:jc w:val="center"/>
              <w:rPr>
                <w:sz w:val="22"/>
              </w:rPr>
            </w:pPr>
            <w:r>
              <w:rPr>
                <w:sz w:val="22"/>
              </w:rPr>
              <w:t>人工费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0" w:hRule="atLeast"/>
        </w:trPr>
        <w:tc>
          <w:tcPr>
            <w:tcW w:w="577" w:type="dxa"/>
            <w:tcBorders>
              <w:top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20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91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137"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10"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0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0" w:hRule="atLeast"/>
        </w:trPr>
        <w:tc>
          <w:tcPr>
            <w:tcW w:w="577" w:type="dxa"/>
            <w:tcBorders>
              <w:top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20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91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137"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10"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0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0" w:hRule="atLeast"/>
        </w:trPr>
        <w:tc>
          <w:tcPr>
            <w:tcW w:w="577" w:type="dxa"/>
            <w:tcBorders>
              <w:top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20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91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137"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10"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0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0" w:hRule="atLeast"/>
        </w:trPr>
        <w:tc>
          <w:tcPr>
            <w:tcW w:w="577" w:type="dxa"/>
            <w:tcBorders>
              <w:top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20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91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137"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10"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0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0" w:hRule="atLeast"/>
        </w:trPr>
        <w:tc>
          <w:tcPr>
            <w:tcW w:w="577" w:type="dxa"/>
            <w:tcBorders>
              <w:top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20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91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137"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10"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0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0" w:hRule="atLeast"/>
        </w:trPr>
        <w:tc>
          <w:tcPr>
            <w:tcW w:w="577" w:type="dxa"/>
            <w:tcBorders>
              <w:top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20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91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137"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10"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0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0" w:hRule="atLeast"/>
        </w:trPr>
        <w:tc>
          <w:tcPr>
            <w:tcW w:w="577" w:type="dxa"/>
            <w:tcBorders>
              <w:top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20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91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137"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10"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0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0" w:hRule="atLeast"/>
        </w:trPr>
        <w:tc>
          <w:tcPr>
            <w:tcW w:w="577" w:type="dxa"/>
            <w:tcBorders>
              <w:top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20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91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137"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10"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0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0" w:hRule="atLeast"/>
        </w:trPr>
        <w:tc>
          <w:tcPr>
            <w:tcW w:w="577" w:type="dxa"/>
            <w:tcBorders>
              <w:top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20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91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137"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10"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0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0" w:hRule="atLeast"/>
        </w:trPr>
        <w:tc>
          <w:tcPr>
            <w:tcW w:w="577" w:type="dxa"/>
            <w:tcBorders>
              <w:top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20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91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137"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10"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0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0" w:hRule="atLeast"/>
        </w:trPr>
        <w:tc>
          <w:tcPr>
            <w:tcW w:w="577" w:type="dxa"/>
            <w:tcBorders>
              <w:top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20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91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137"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10"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0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0" w:hRule="atLeast"/>
        </w:trPr>
        <w:tc>
          <w:tcPr>
            <w:tcW w:w="577" w:type="dxa"/>
            <w:tcBorders>
              <w:top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723"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20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916"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137"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10"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0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0" w:hRule="atLeast"/>
        </w:trPr>
        <w:tc>
          <w:tcPr>
            <w:tcW w:w="7160" w:type="dxa"/>
            <w:gridSpan w:val="8"/>
            <w:tcBorders>
              <w:top w:val="single" w:color="000000" w:sz="4" w:space="0"/>
              <w:bottom w:val="single" w:color="000000" w:sz="4" w:space="0"/>
              <w:right w:val="single" w:color="000000" w:sz="4" w:space="0"/>
            </w:tcBorders>
            <w:vAlign w:val="top"/>
          </w:tcPr>
          <w:p>
            <w:pPr>
              <w:pStyle w:val="14"/>
              <w:spacing w:before="114"/>
              <w:ind w:left="13"/>
              <w:jc w:val="center"/>
              <w:rPr>
                <w:sz w:val="22"/>
              </w:rPr>
            </w:pPr>
            <w:r>
              <w:rPr>
                <w:sz w:val="22"/>
              </w:rPr>
              <w:t>本页小计</w:t>
            </w:r>
          </w:p>
        </w:tc>
        <w:tc>
          <w:tcPr>
            <w:tcW w:w="868" w:type="dxa"/>
            <w:tcBorders>
              <w:top w:val="single" w:color="000000" w:sz="4" w:space="0"/>
              <w:left w:val="single" w:color="000000" w:sz="4" w:space="0"/>
              <w:bottom w:val="single" w:color="000000" w:sz="4" w:space="0"/>
              <w:right w:val="single" w:color="000000" w:sz="4" w:space="0"/>
            </w:tcBorders>
            <w:vAlign w:val="top"/>
          </w:tcPr>
          <w:p>
            <w:pPr>
              <w:pStyle w:val="14"/>
              <w:rPr>
                <w:rFonts w:ascii="Times New Roman"/>
                <w:sz w:val="20"/>
              </w:rPr>
            </w:pPr>
          </w:p>
        </w:tc>
        <w:tc>
          <w:tcPr>
            <w:tcW w:w="1009" w:type="dxa"/>
            <w:tcBorders>
              <w:top w:val="single" w:color="000000" w:sz="4" w:space="0"/>
              <w:left w:val="single" w:color="000000" w:sz="4" w:space="0"/>
              <w:bottom w:val="single" w:color="000000" w:sz="4" w:space="0"/>
            </w:tcBorders>
            <w:vAlign w:val="top"/>
          </w:tcPr>
          <w:p>
            <w:pPr>
              <w:pStyle w:val="14"/>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8" w:hRule="atLeast"/>
        </w:trPr>
        <w:tc>
          <w:tcPr>
            <w:tcW w:w="7160" w:type="dxa"/>
            <w:gridSpan w:val="8"/>
            <w:tcBorders>
              <w:top w:val="single" w:color="000000" w:sz="4" w:space="0"/>
              <w:right w:val="single" w:color="000000" w:sz="4" w:space="0"/>
            </w:tcBorders>
            <w:vAlign w:val="top"/>
          </w:tcPr>
          <w:p>
            <w:pPr>
              <w:pStyle w:val="14"/>
              <w:tabs>
                <w:tab w:val="left" w:pos="784"/>
              </w:tabs>
              <w:spacing w:before="153"/>
              <w:ind w:left="13"/>
              <w:jc w:val="center"/>
              <w:rPr>
                <w:sz w:val="22"/>
              </w:rPr>
            </w:pPr>
            <w:r>
              <w:rPr>
                <w:sz w:val="22"/>
              </w:rPr>
              <w:t>合</w:t>
            </w:r>
            <w:r>
              <w:rPr>
                <w:sz w:val="22"/>
              </w:rPr>
              <w:tab/>
            </w:r>
            <w:r>
              <w:rPr>
                <w:sz w:val="22"/>
              </w:rPr>
              <w:t>计</w:t>
            </w:r>
          </w:p>
        </w:tc>
        <w:tc>
          <w:tcPr>
            <w:tcW w:w="868" w:type="dxa"/>
            <w:tcBorders>
              <w:top w:val="single" w:color="000000" w:sz="4" w:space="0"/>
              <w:left w:val="single" w:color="000000" w:sz="4" w:space="0"/>
              <w:right w:val="single" w:color="000000" w:sz="4" w:space="0"/>
            </w:tcBorders>
            <w:vAlign w:val="top"/>
          </w:tcPr>
          <w:p>
            <w:pPr>
              <w:pStyle w:val="14"/>
              <w:rPr>
                <w:rFonts w:ascii="Times New Roman"/>
                <w:sz w:val="20"/>
              </w:rPr>
            </w:pPr>
          </w:p>
        </w:tc>
        <w:tc>
          <w:tcPr>
            <w:tcW w:w="1009" w:type="dxa"/>
            <w:tcBorders>
              <w:top w:val="single" w:color="000000" w:sz="4" w:space="0"/>
              <w:left w:val="single" w:color="000000" w:sz="4" w:space="0"/>
            </w:tcBorders>
            <w:vAlign w:val="top"/>
          </w:tcPr>
          <w:p>
            <w:pPr>
              <w:pStyle w:val="14"/>
              <w:rPr>
                <w:rFonts w:ascii="Times New Roman"/>
                <w:sz w:val="20"/>
              </w:rPr>
            </w:pPr>
          </w:p>
        </w:tc>
      </w:tr>
    </w:tbl>
    <w:p>
      <w:pPr>
        <w:pStyle w:val="9"/>
        <w:spacing w:before="4" w:line="364" w:lineRule="auto"/>
        <w:ind w:left="1170" w:right="779" w:hanging="440"/>
      </w:pPr>
      <w:r>
        <w:rPr>
          <w:spacing w:val="-12"/>
        </w:rPr>
        <w:t xml:space="preserve">注：按照规费计算要求，须在表中填写人工费；招标人需以书面形式打印综合单价分析表的， </w:t>
      </w:r>
      <w:r>
        <w:rPr>
          <w:spacing w:val="-5"/>
        </w:rPr>
        <w:t>请在备注栏内打√。</w:t>
      </w:r>
    </w:p>
    <w:p>
      <w:pPr>
        <w:spacing w:after="0" w:line="364" w:lineRule="auto"/>
        <w:sectPr>
          <w:footerReference r:id="rId15" w:type="default"/>
          <w:pgSz w:w="11910" w:h="16840"/>
          <w:pgMar w:top="1100" w:right="660" w:bottom="1200" w:left="800" w:header="878" w:footer="1003" w:gutter="0"/>
          <w:pgNumType w:start="80"/>
          <w:cols w:space="720" w:num="1"/>
        </w:sectPr>
      </w:pPr>
    </w:p>
    <w:p>
      <w:pPr>
        <w:pStyle w:val="9"/>
        <w:spacing w:before="1"/>
        <w:rPr>
          <w:sz w:val="18"/>
        </w:rPr>
      </w:pPr>
    </w:p>
    <w:p>
      <w:pPr>
        <w:pStyle w:val="9"/>
        <w:spacing w:before="70"/>
        <w:ind w:left="564" w:right="727"/>
        <w:jc w:val="center"/>
      </w:pPr>
      <w:r>
        <w:t>其他项目清单与计价汇总表</w:t>
      </w:r>
    </w:p>
    <w:p>
      <w:pPr>
        <w:pStyle w:val="9"/>
      </w:pPr>
    </w:p>
    <w:p>
      <w:pPr>
        <w:pStyle w:val="9"/>
      </w:pPr>
    </w:p>
    <w:p>
      <w:pPr>
        <w:pStyle w:val="9"/>
        <w:spacing w:before="12"/>
      </w:pPr>
    </w:p>
    <w:p>
      <w:pPr>
        <w:pStyle w:val="9"/>
        <w:tabs>
          <w:tab w:val="left" w:pos="4470"/>
          <w:tab w:val="left" w:pos="7770"/>
          <w:tab w:val="left" w:pos="8211"/>
          <w:tab w:val="left" w:pos="8979"/>
        </w:tabs>
        <w:ind w:left="951"/>
      </w:pPr>
      <w:r>
        <w:t>工</w:t>
      </w:r>
      <w:r>
        <w:rPr>
          <w:spacing w:val="-3"/>
        </w:rPr>
        <w:t>程</w:t>
      </w:r>
      <w:r>
        <w:t>名称：</w:t>
      </w:r>
      <w:r>
        <w:tab/>
      </w:r>
      <w:r>
        <w:t>标</w:t>
      </w:r>
      <w:r>
        <w:rPr>
          <w:spacing w:val="-3"/>
        </w:rPr>
        <w:t>段</w:t>
      </w:r>
      <w:r>
        <w:t>：</w:t>
      </w:r>
      <w:r>
        <w:tab/>
      </w:r>
      <w:r>
        <w:t>第</w:t>
      </w:r>
      <w:r>
        <w:tab/>
      </w:r>
      <w:r>
        <w:t>页</w:t>
      </w:r>
      <w:r>
        <w:rPr>
          <w:spacing w:val="-3"/>
        </w:rPr>
        <w:t xml:space="preserve"> </w:t>
      </w:r>
      <w:r>
        <w:t>共</w:t>
      </w:r>
      <w:r>
        <w:tab/>
      </w:r>
      <w:r>
        <w:t>页</w:t>
      </w:r>
    </w:p>
    <w:p>
      <w:pPr>
        <w:pStyle w:val="9"/>
        <w:spacing w:before="6"/>
      </w:pPr>
    </w:p>
    <w:tbl>
      <w:tblPr>
        <w:tblW w:w="9135" w:type="dxa"/>
        <w:tblInd w:w="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3255"/>
        <w:gridCol w:w="1260"/>
        <w:gridCol w:w="1575"/>
        <w:gridCol w:w="2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trPr>
        <w:tc>
          <w:tcPr>
            <w:tcW w:w="840" w:type="dxa"/>
            <w:vAlign w:val="top"/>
          </w:tcPr>
          <w:p>
            <w:pPr>
              <w:pStyle w:val="14"/>
              <w:spacing w:before="3"/>
              <w:rPr>
                <w:sz w:val="27"/>
              </w:rPr>
            </w:pPr>
          </w:p>
          <w:p>
            <w:pPr>
              <w:pStyle w:val="14"/>
              <w:ind w:left="179" w:right="169"/>
              <w:jc w:val="center"/>
              <w:rPr>
                <w:sz w:val="22"/>
              </w:rPr>
            </w:pPr>
            <w:r>
              <w:rPr>
                <w:sz w:val="22"/>
              </w:rPr>
              <w:t>序号</w:t>
            </w:r>
          </w:p>
        </w:tc>
        <w:tc>
          <w:tcPr>
            <w:tcW w:w="3255" w:type="dxa"/>
            <w:vAlign w:val="top"/>
          </w:tcPr>
          <w:p>
            <w:pPr>
              <w:pStyle w:val="14"/>
              <w:spacing w:before="3"/>
              <w:rPr>
                <w:sz w:val="27"/>
              </w:rPr>
            </w:pPr>
          </w:p>
          <w:p>
            <w:pPr>
              <w:pStyle w:val="14"/>
              <w:ind w:right="1176"/>
              <w:jc w:val="right"/>
              <w:rPr>
                <w:sz w:val="22"/>
              </w:rPr>
            </w:pPr>
            <w:r>
              <w:rPr>
                <w:sz w:val="22"/>
              </w:rPr>
              <w:t>项目名称</w:t>
            </w:r>
          </w:p>
        </w:tc>
        <w:tc>
          <w:tcPr>
            <w:tcW w:w="1260" w:type="dxa"/>
            <w:vAlign w:val="top"/>
          </w:tcPr>
          <w:p>
            <w:pPr>
              <w:pStyle w:val="14"/>
              <w:spacing w:before="3"/>
              <w:rPr>
                <w:sz w:val="27"/>
              </w:rPr>
            </w:pPr>
          </w:p>
          <w:p>
            <w:pPr>
              <w:pStyle w:val="14"/>
              <w:ind w:left="188"/>
              <w:rPr>
                <w:sz w:val="22"/>
              </w:rPr>
            </w:pPr>
            <w:r>
              <w:rPr>
                <w:sz w:val="22"/>
              </w:rPr>
              <w:t>计量单位</w:t>
            </w:r>
          </w:p>
        </w:tc>
        <w:tc>
          <w:tcPr>
            <w:tcW w:w="1575" w:type="dxa"/>
            <w:vAlign w:val="top"/>
          </w:tcPr>
          <w:p>
            <w:pPr>
              <w:pStyle w:val="14"/>
              <w:spacing w:before="3"/>
              <w:rPr>
                <w:sz w:val="27"/>
              </w:rPr>
            </w:pPr>
          </w:p>
          <w:p>
            <w:pPr>
              <w:pStyle w:val="14"/>
              <w:tabs>
                <w:tab w:val="left" w:pos="447"/>
              </w:tabs>
              <w:ind w:left="8"/>
              <w:jc w:val="center"/>
              <w:rPr>
                <w:sz w:val="22"/>
              </w:rPr>
            </w:pPr>
            <w:r>
              <w:rPr>
                <w:sz w:val="22"/>
              </w:rPr>
              <w:t>金</w:t>
            </w:r>
            <w:r>
              <w:rPr>
                <w:sz w:val="22"/>
              </w:rPr>
              <w:tab/>
            </w:r>
            <w:r>
              <w:rPr>
                <w:sz w:val="22"/>
              </w:rPr>
              <w:t>额</w:t>
            </w:r>
            <w:r>
              <w:rPr>
                <w:spacing w:val="-3"/>
                <w:sz w:val="22"/>
              </w:rPr>
              <w:t>（</w:t>
            </w:r>
            <w:r>
              <w:rPr>
                <w:sz w:val="22"/>
              </w:rPr>
              <w:t>元）</w:t>
            </w:r>
          </w:p>
        </w:tc>
        <w:tc>
          <w:tcPr>
            <w:tcW w:w="2205" w:type="dxa"/>
            <w:vAlign w:val="top"/>
          </w:tcPr>
          <w:p>
            <w:pPr>
              <w:pStyle w:val="14"/>
              <w:spacing w:before="3"/>
              <w:rPr>
                <w:sz w:val="27"/>
              </w:rPr>
            </w:pPr>
          </w:p>
          <w:p>
            <w:pPr>
              <w:pStyle w:val="14"/>
              <w:ind w:left="862" w:right="852"/>
              <w:jc w:val="center"/>
              <w:rPr>
                <w:sz w:val="22"/>
              </w:rPr>
            </w:pPr>
            <w:r>
              <w:rPr>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trPr>
        <w:tc>
          <w:tcPr>
            <w:tcW w:w="840" w:type="dxa"/>
            <w:vAlign w:val="top"/>
          </w:tcPr>
          <w:p>
            <w:pPr>
              <w:pStyle w:val="14"/>
              <w:spacing w:before="2"/>
              <w:rPr>
                <w:sz w:val="18"/>
              </w:rPr>
            </w:pPr>
          </w:p>
          <w:p>
            <w:pPr>
              <w:pStyle w:val="14"/>
              <w:ind w:left="10"/>
              <w:jc w:val="center"/>
              <w:rPr>
                <w:sz w:val="22"/>
              </w:rPr>
            </w:pPr>
            <w:r>
              <w:rPr>
                <w:w w:val="100"/>
                <w:sz w:val="22"/>
              </w:rPr>
              <w:t>1</w:t>
            </w:r>
          </w:p>
        </w:tc>
        <w:tc>
          <w:tcPr>
            <w:tcW w:w="3255" w:type="dxa"/>
            <w:vAlign w:val="top"/>
          </w:tcPr>
          <w:p>
            <w:pPr>
              <w:pStyle w:val="14"/>
              <w:spacing w:before="2"/>
              <w:rPr>
                <w:sz w:val="18"/>
              </w:rPr>
            </w:pPr>
          </w:p>
          <w:p>
            <w:pPr>
              <w:pStyle w:val="14"/>
              <w:ind w:left="107"/>
              <w:rPr>
                <w:sz w:val="22"/>
              </w:rPr>
            </w:pPr>
            <w:r>
              <w:rPr>
                <w:sz w:val="22"/>
              </w:rPr>
              <w:t>暂列金额</w:t>
            </w:r>
          </w:p>
        </w:tc>
        <w:tc>
          <w:tcPr>
            <w:tcW w:w="1260" w:type="dxa"/>
            <w:vAlign w:val="top"/>
          </w:tcPr>
          <w:p>
            <w:pPr>
              <w:pStyle w:val="14"/>
              <w:rPr>
                <w:rFonts w:ascii="Times New Roman"/>
                <w:sz w:val="20"/>
              </w:rPr>
            </w:pPr>
          </w:p>
        </w:tc>
        <w:tc>
          <w:tcPr>
            <w:tcW w:w="1575" w:type="dxa"/>
            <w:vAlign w:val="top"/>
          </w:tcPr>
          <w:p>
            <w:pPr>
              <w:pStyle w:val="14"/>
              <w:rPr>
                <w:rFonts w:ascii="Times New Roman"/>
                <w:sz w:val="20"/>
              </w:rPr>
            </w:pPr>
          </w:p>
        </w:tc>
        <w:tc>
          <w:tcPr>
            <w:tcW w:w="2205" w:type="dxa"/>
            <w:vAlign w:val="top"/>
          </w:tcPr>
          <w:p>
            <w:pPr>
              <w:pStyle w:val="14"/>
              <w:tabs>
                <w:tab w:val="left" w:pos="1701"/>
              </w:tabs>
              <w:spacing w:before="91"/>
              <w:ind w:left="658" w:right="491" w:firstLine="2"/>
              <w:rPr>
                <w:rFonts w:ascii="Times New Roman" w:eastAsia="Times New Roman"/>
                <w:sz w:val="22"/>
              </w:rPr>
            </w:pPr>
            <w:r>
              <w:rPr>
                <w:sz w:val="22"/>
              </w:rPr>
              <w:t>明</w:t>
            </w:r>
            <w:r>
              <w:rPr>
                <w:spacing w:val="-3"/>
                <w:sz w:val="22"/>
              </w:rPr>
              <w:t>细</w:t>
            </w:r>
            <w:r>
              <w:rPr>
                <w:sz w:val="22"/>
              </w:rPr>
              <w:t>详见</w:t>
            </w:r>
            <w:r>
              <w:rPr>
                <w:spacing w:val="-3"/>
                <w:sz w:val="22"/>
              </w:rPr>
              <w:t>表</w:t>
            </w:r>
            <w:r>
              <w:rPr>
                <w:rFonts w:ascii="Times New Roman" w:eastAsia="Times New Roman"/>
                <w:sz w:val="22"/>
                <w:u w:val="single"/>
              </w:rPr>
              <w:t xml:space="preserve"> </w:t>
            </w:r>
            <w:r>
              <w:rPr>
                <w:rFonts w:ascii="Times New Roman" w:eastAsia="Times New Roman"/>
                <w:sz w:val="22"/>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trPr>
        <w:tc>
          <w:tcPr>
            <w:tcW w:w="840" w:type="dxa"/>
            <w:vAlign w:val="top"/>
          </w:tcPr>
          <w:p>
            <w:pPr>
              <w:pStyle w:val="14"/>
              <w:spacing w:before="2"/>
              <w:rPr>
                <w:sz w:val="18"/>
              </w:rPr>
            </w:pPr>
          </w:p>
          <w:p>
            <w:pPr>
              <w:pStyle w:val="14"/>
              <w:spacing w:before="1"/>
              <w:ind w:left="10"/>
              <w:jc w:val="center"/>
              <w:rPr>
                <w:sz w:val="22"/>
              </w:rPr>
            </w:pPr>
            <w:r>
              <w:rPr>
                <w:w w:val="100"/>
                <w:sz w:val="22"/>
              </w:rPr>
              <w:t>2</w:t>
            </w:r>
          </w:p>
        </w:tc>
        <w:tc>
          <w:tcPr>
            <w:tcW w:w="3255" w:type="dxa"/>
            <w:vAlign w:val="top"/>
          </w:tcPr>
          <w:p>
            <w:pPr>
              <w:pStyle w:val="14"/>
              <w:spacing w:before="2"/>
              <w:rPr>
                <w:sz w:val="18"/>
              </w:rPr>
            </w:pPr>
          </w:p>
          <w:p>
            <w:pPr>
              <w:pStyle w:val="14"/>
              <w:spacing w:before="1"/>
              <w:ind w:left="107"/>
              <w:rPr>
                <w:sz w:val="22"/>
              </w:rPr>
            </w:pPr>
            <w:r>
              <w:rPr>
                <w:sz w:val="22"/>
              </w:rPr>
              <w:t>暂估价</w:t>
            </w:r>
          </w:p>
        </w:tc>
        <w:tc>
          <w:tcPr>
            <w:tcW w:w="1260" w:type="dxa"/>
            <w:vAlign w:val="top"/>
          </w:tcPr>
          <w:p>
            <w:pPr>
              <w:pStyle w:val="14"/>
              <w:rPr>
                <w:rFonts w:ascii="Times New Roman"/>
                <w:sz w:val="20"/>
              </w:rPr>
            </w:pPr>
          </w:p>
        </w:tc>
        <w:tc>
          <w:tcPr>
            <w:tcW w:w="1575" w:type="dxa"/>
            <w:vAlign w:val="top"/>
          </w:tcPr>
          <w:p>
            <w:pPr>
              <w:pStyle w:val="14"/>
              <w:rPr>
                <w:rFonts w:ascii="Times New Roman"/>
                <w:sz w:val="20"/>
              </w:rPr>
            </w:pPr>
          </w:p>
        </w:tc>
        <w:tc>
          <w:tcPr>
            <w:tcW w:w="220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trPr>
        <w:tc>
          <w:tcPr>
            <w:tcW w:w="840" w:type="dxa"/>
            <w:vAlign w:val="top"/>
          </w:tcPr>
          <w:p>
            <w:pPr>
              <w:pStyle w:val="14"/>
              <w:spacing w:before="1"/>
              <w:rPr>
                <w:sz w:val="18"/>
              </w:rPr>
            </w:pPr>
          </w:p>
          <w:p>
            <w:pPr>
              <w:pStyle w:val="14"/>
              <w:ind w:left="179" w:right="169"/>
              <w:jc w:val="center"/>
              <w:rPr>
                <w:sz w:val="22"/>
              </w:rPr>
            </w:pPr>
            <w:r>
              <w:rPr>
                <w:sz w:val="22"/>
              </w:rPr>
              <w:t>2.1</w:t>
            </w:r>
          </w:p>
        </w:tc>
        <w:tc>
          <w:tcPr>
            <w:tcW w:w="3255" w:type="dxa"/>
            <w:vAlign w:val="top"/>
          </w:tcPr>
          <w:p>
            <w:pPr>
              <w:pStyle w:val="14"/>
              <w:spacing w:before="1"/>
              <w:rPr>
                <w:sz w:val="18"/>
              </w:rPr>
            </w:pPr>
          </w:p>
          <w:p>
            <w:pPr>
              <w:pStyle w:val="14"/>
              <w:ind w:left="544"/>
              <w:rPr>
                <w:sz w:val="22"/>
              </w:rPr>
            </w:pPr>
            <w:r>
              <w:rPr>
                <w:sz w:val="22"/>
              </w:rPr>
              <w:t>材料暂估价</w:t>
            </w:r>
          </w:p>
        </w:tc>
        <w:tc>
          <w:tcPr>
            <w:tcW w:w="1260" w:type="dxa"/>
            <w:vAlign w:val="top"/>
          </w:tcPr>
          <w:p>
            <w:pPr>
              <w:pStyle w:val="14"/>
              <w:rPr>
                <w:rFonts w:ascii="Times New Roman"/>
                <w:sz w:val="20"/>
              </w:rPr>
            </w:pPr>
          </w:p>
        </w:tc>
        <w:tc>
          <w:tcPr>
            <w:tcW w:w="1575" w:type="dxa"/>
            <w:vAlign w:val="top"/>
          </w:tcPr>
          <w:p>
            <w:pPr>
              <w:pStyle w:val="14"/>
              <w:spacing w:before="1"/>
              <w:rPr>
                <w:sz w:val="18"/>
              </w:rPr>
            </w:pPr>
          </w:p>
          <w:p>
            <w:pPr>
              <w:pStyle w:val="14"/>
              <w:ind w:left="8"/>
              <w:jc w:val="center"/>
              <w:rPr>
                <w:sz w:val="22"/>
              </w:rPr>
            </w:pPr>
            <w:r>
              <w:rPr>
                <w:w w:val="100"/>
                <w:sz w:val="22"/>
              </w:rPr>
              <w:t>—</w:t>
            </w:r>
          </w:p>
        </w:tc>
        <w:tc>
          <w:tcPr>
            <w:tcW w:w="2205" w:type="dxa"/>
            <w:vAlign w:val="top"/>
          </w:tcPr>
          <w:p>
            <w:pPr>
              <w:pStyle w:val="14"/>
              <w:tabs>
                <w:tab w:val="left" w:pos="1701"/>
              </w:tabs>
              <w:spacing w:before="90" w:line="242" w:lineRule="auto"/>
              <w:ind w:left="658" w:right="491" w:firstLine="2"/>
              <w:rPr>
                <w:rFonts w:ascii="Times New Roman" w:eastAsia="Times New Roman"/>
                <w:sz w:val="22"/>
              </w:rPr>
            </w:pPr>
            <w:r>
              <w:rPr>
                <w:sz w:val="22"/>
              </w:rPr>
              <w:t>明</w:t>
            </w:r>
            <w:r>
              <w:rPr>
                <w:spacing w:val="-3"/>
                <w:sz w:val="22"/>
              </w:rPr>
              <w:t>细</w:t>
            </w:r>
            <w:r>
              <w:rPr>
                <w:sz w:val="22"/>
              </w:rPr>
              <w:t>详见</w:t>
            </w:r>
            <w:r>
              <w:rPr>
                <w:spacing w:val="-3"/>
                <w:sz w:val="22"/>
              </w:rPr>
              <w:t>表</w:t>
            </w:r>
            <w:r>
              <w:rPr>
                <w:rFonts w:ascii="Times New Roman" w:eastAsia="Times New Roman"/>
                <w:sz w:val="22"/>
                <w:u w:val="single"/>
              </w:rPr>
              <w:t xml:space="preserve"> </w:t>
            </w:r>
            <w:r>
              <w:rPr>
                <w:rFonts w:ascii="Times New Roman" w:eastAsia="Times New Roman"/>
                <w:sz w:val="22"/>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trPr>
        <w:tc>
          <w:tcPr>
            <w:tcW w:w="840" w:type="dxa"/>
            <w:vAlign w:val="top"/>
          </w:tcPr>
          <w:p>
            <w:pPr>
              <w:pStyle w:val="14"/>
              <w:spacing w:before="2"/>
              <w:rPr>
                <w:sz w:val="18"/>
              </w:rPr>
            </w:pPr>
          </w:p>
          <w:p>
            <w:pPr>
              <w:pStyle w:val="14"/>
              <w:ind w:left="179" w:right="169"/>
              <w:jc w:val="center"/>
              <w:rPr>
                <w:sz w:val="22"/>
              </w:rPr>
            </w:pPr>
            <w:r>
              <w:rPr>
                <w:sz w:val="22"/>
              </w:rPr>
              <w:t>2.2</w:t>
            </w:r>
          </w:p>
        </w:tc>
        <w:tc>
          <w:tcPr>
            <w:tcW w:w="3255" w:type="dxa"/>
            <w:vAlign w:val="top"/>
          </w:tcPr>
          <w:p>
            <w:pPr>
              <w:pStyle w:val="14"/>
              <w:spacing w:before="2"/>
              <w:rPr>
                <w:sz w:val="18"/>
              </w:rPr>
            </w:pPr>
          </w:p>
          <w:p>
            <w:pPr>
              <w:pStyle w:val="14"/>
              <w:ind w:right="1157"/>
              <w:jc w:val="right"/>
              <w:rPr>
                <w:sz w:val="22"/>
              </w:rPr>
            </w:pPr>
            <w:r>
              <w:rPr>
                <w:sz w:val="22"/>
              </w:rPr>
              <w:t>专业工程暂估价</w:t>
            </w:r>
          </w:p>
        </w:tc>
        <w:tc>
          <w:tcPr>
            <w:tcW w:w="1260" w:type="dxa"/>
            <w:vAlign w:val="top"/>
          </w:tcPr>
          <w:p>
            <w:pPr>
              <w:pStyle w:val="14"/>
              <w:rPr>
                <w:rFonts w:ascii="Times New Roman"/>
                <w:sz w:val="20"/>
              </w:rPr>
            </w:pPr>
          </w:p>
        </w:tc>
        <w:tc>
          <w:tcPr>
            <w:tcW w:w="1575" w:type="dxa"/>
            <w:vAlign w:val="top"/>
          </w:tcPr>
          <w:p>
            <w:pPr>
              <w:pStyle w:val="14"/>
              <w:rPr>
                <w:rFonts w:ascii="Times New Roman"/>
                <w:sz w:val="20"/>
              </w:rPr>
            </w:pPr>
          </w:p>
        </w:tc>
        <w:tc>
          <w:tcPr>
            <w:tcW w:w="2205" w:type="dxa"/>
            <w:vAlign w:val="top"/>
          </w:tcPr>
          <w:p>
            <w:pPr>
              <w:pStyle w:val="14"/>
              <w:tabs>
                <w:tab w:val="left" w:pos="1701"/>
              </w:tabs>
              <w:spacing w:before="91"/>
              <w:ind w:left="658" w:right="491" w:firstLine="2"/>
              <w:rPr>
                <w:rFonts w:ascii="Times New Roman" w:eastAsia="Times New Roman"/>
                <w:sz w:val="22"/>
              </w:rPr>
            </w:pPr>
            <w:r>
              <w:rPr>
                <w:sz w:val="22"/>
              </w:rPr>
              <w:t>明</w:t>
            </w:r>
            <w:r>
              <w:rPr>
                <w:spacing w:val="-3"/>
                <w:sz w:val="22"/>
              </w:rPr>
              <w:t>细</w:t>
            </w:r>
            <w:r>
              <w:rPr>
                <w:sz w:val="22"/>
              </w:rPr>
              <w:t>详见</w:t>
            </w:r>
            <w:r>
              <w:rPr>
                <w:spacing w:val="-3"/>
                <w:sz w:val="22"/>
              </w:rPr>
              <w:t>表</w:t>
            </w:r>
            <w:r>
              <w:rPr>
                <w:rFonts w:ascii="Times New Roman" w:eastAsia="Times New Roman"/>
                <w:sz w:val="22"/>
                <w:u w:val="single"/>
              </w:rPr>
              <w:t xml:space="preserve"> </w:t>
            </w:r>
            <w:r>
              <w:rPr>
                <w:rFonts w:ascii="Times New Roman" w:eastAsia="Times New Roman"/>
                <w:sz w:val="22"/>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trPr>
        <w:tc>
          <w:tcPr>
            <w:tcW w:w="840" w:type="dxa"/>
            <w:vAlign w:val="top"/>
          </w:tcPr>
          <w:p>
            <w:pPr>
              <w:pStyle w:val="14"/>
              <w:spacing w:before="2"/>
              <w:rPr>
                <w:sz w:val="18"/>
              </w:rPr>
            </w:pPr>
          </w:p>
          <w:p>
            <w:pPr>
              <w:pStyle w:val="14"/>
              <w:spacing w:before="1"/>
              <w:ind w:left="10"/>
              <w:jc w:val="center"/>
              <w:rPr>
                <w:sz w:val="22"/>
              </w:rPr>
            </w:pPr>
            <w:r>
              <w:rPr>
                <w:w w:val="100"/>
                <w:sz w:val="22"/>
              </w:rPr>
              <w:t>3</w:t>
            </w:r>
          </w:p>
        </w:tc>
        <w:tc>
          <w:tcPr>
            <w:tcW w:w="3255" w:type="dxa"/>
            <w:vAlign w:val="top"/>
          </w:tcPr>
          <w:p>
            <w:pPr>
              <w:pStyle w:val="14"/>
              <w:spacing w:before="2"/>
              <w:rPr>
                <w:sz w:val="18"/>
              </w:rPr>
            </w:pPr>
          </w:p>
          <w:p>
            <w:pPr>
              <w:pStyle w:val="14"/>
              <w:spacing w:before="1"/>
              <w:ind w:left="107"/>
              <w:rPr>
                <w:sz w:val="22"/>
              </w:rPr>
            </w:pPr>
            <w:r>
              <w:rPr>
                <w:sz w:val="22"/>
              </w:rPr>
              <w:t>计日工</w:t>
            </w:r>
          </w:p>
        </w:tc>
        <w:tc>
          <w:tcPr>
            <w:tcW w:w="1260" w:type="dxa"/>
            <w:vAlign w:val="top"/>
          </w:tcPr>
          <w:p>
            <w:pPr>
              <w:pStyle w:val="14"/>
              <w:rPr>
                <w:rFonts w:ascii="Times New Roman"/>
                <w:sz w:val="20"/>
              </w:rPr>
            </w:pPr>
          </w:p>
        </w:tc>
        <w:tc>
          <w:tcPr>
            <w:tcW w:w="1575" w:type="dxa"/>
            <w:vAlign w:val="top"/>
          </w:tcPr>
          <w:p>
            <w:pPr>
              <w:pStyle w:val="14"/>
              <w:rPr>
                <w:rFonts w:ascii="Times New Roman"/>
                <w:sz w:val="20"/>
              </w:rPr>
            </w:pPr>
          </w:p>
        </w:tc>
        <w:tc>
          <w:tcPr>
            <w:tcW w:w="2205" w:type="dxa"/>
            <w:vAlign w:val="top"/>
          </w:tcPr>
          <w:p>
            <w:pPr>
              <w:pStyle w:val="14"/>
              <w:tabs>
                <w:tab w:val="left" w:pos="1701"/>
              </w:tabs>
              <w:spacing w:before="89" w:line="242" w:lineRule="auto"/>
              <w:ind w:left="658" w:right="491" w:firstLine="2"/>
              <w:rPr>
                <w:rFonts w:ascii="Times New Roman" w:eastAsia="Times New Roman"/>
                <w:sz w:val="22"/>
              </w:rPr>
            </w:pPr>
            <w:r>
              <w:rPr>
                <w:sz w:val="22"/>
              </w:rPr>
              <w:t>明</w:t>
            </w:r>
            <w:r>
              <w:rPr>
                <w:spacing w:val="-3"/>
                <w:sz w:val="22"/>
              </w:rPr>
              <w:t>细</w:t>
            </w:r>
            <w:r>
              <w:rPr>
                <w:sz w:val="22"/>
              </w:rPr>
              <w:t>详见</w:t>
            </w:r>
            <w:r>
              <w:rPr>
                <w:spacing w:val="-3"/>
                <w:sz w:val="22"/>
              </w:rPr>
              <w:t>表</w:t>
            </w:r>
            <w:r>
              <w:rPr>
                <w:rFonts w:ascii="Times New Roman" w:eastAsia="Times New Roman"/>
                <w:sz w:val="22"/>
                <w:u w:val="single"/>
              </w:rPr>
              <w:t xml:space="preserve"> </w:t>
            </w:r>
            <w:r>
              <w:rPr>
                <w:rFonts w:ascii="Times New Roman" w:eastAsia="Times New Roman"/>
                <w:sz w:val="22"/>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trPr>
        <w:tc>
          <w:tcPr>
            <w:tcW w:w="840" w:type="dxa"/>
            <w:vAlign w:val="top"/>
          </w:tcPr>
          <w:p>
            <w:pPr>
              <w:pStyle w:val="14"/>
              <w:spacing w:before="1"/>
              <w:rPr>
                <w:sz w:val="18"/>
              </w:rPr>
            </w:pPr>
          </w:p>
          <w:p>
            <w:pPr>
              <w:pStyle w:val="14"/>
              <w:ind w:left="10"/>
              <w:jc w:val="center"/>
              <w:rPr>
                <w:sz w:val="22"/>
              </w:rPr>
            </w:pPr>
            <w:r>
              <w:rPr>
                <w:w w:val="100"/>
                <w:sz w:val="22"/>
              </w:rPr>
              <w:t>4</w:t>
            </w:r>
          </w:p>
        </w:tc>
        <w:tc>
          <w:tcPr>
            <w:tcW w:w="3255" w:type="dxa"/>
            <w:vAlign w:val="top"/>
          </w:tcPr>
          <w:p>
            <w:pPr>
              <w:pStyle w:val="14"/>
              <w:spacing w:before="1"/>
              <w:rPr>
                <w:sz w:val="18"/>
              </w:rPr>
            </w:pPr>
          </w:p>
          <w:p>
            <w:pPr>
              <w:pStyle w:val="14"/>
              <w:ind w:left="107"/>
              <w:rPr>
                <w:sz w:val="22"/>
              </w:rPr>
            </w:pPr>
            <w:r>
              <w:rPr>
                <w:sz w:val="22"/>
              </w:rPr>
              <w:t>总承包服务费</w:t>
            </w:r>
          </w:p>
        </w:tc>
        <w:tc>
          <w:tcPr>
            <w:tcW w:w="1260" w:type="dxa"/>
            <w:vAlign w:val="top"/>
          </w:tcPr>
          <w:p>
            <w:pPr>
              <w:pStyle w:val="14"/>
              <w:rPr>
                <w:rFonts w:ascii="Times New Roman"/>
                <w:sz w:val="20"/>
              </w:rPr>
            </w:pPr>
          </w:p>
        </w:tc>
        <w:tc>
          <w:tcPr>
            <w:tcW w:w="1575" w:type="dxa"/>
            <w:vAlign w:val="top"/>
          </w:tcPr>
          <w:p>
            <w:pPr>
              <w:pStyle w:val="14"/>
              <w:rPr>
                <w:rFonts w:ascii="Times New Roman"/>
                <w:sz w:val="20"/>
              </w:rPr>
            </w:pPr>
          </w:p>
        </w:tc>
        <w:tc>
          <w:tcPr>
            <w:tcW w:w="2205" w:type="dxa"/>
            <w:vAlign w:val="top"/>
          </w:tcPr>
          <w:p>
            <w:pPr>
              <w:pStyle w:val="14"/>
              <w:tabs>
                <w:tab w:val="left" w:pos="1701"/>
              </w:tabs>
              <w:spacing w:before="90" w:line="242" w:lineRule="auto"/>
              <w:ind w:left="658" w:right="491" w:firstLine="2"/>
              <w:rPr>
                <w:rFonts w:ascii="Times New Roman" w:eastAsia="Times New Roman"/>
                <w:sz w:val="22"/>
              </w:rPr>
            </w:pPr>
            <w:r>
              <w:rPr>
                <w:sz w:val="22"/>
              </w:rPr>
              <w:t>明</w:t>
            </w:r>
            <w:r>
              <w:rPr>
                <w:spacing w:val="-3"/>
                <w:sz w:val="22"/>
              </w:rPr>
              <w:t>细</w:t>
            </w:r>
            <w:r>
              <w:rPr>
                <w:sz w:val="22"/>
              </w:rPr>
              <w:t>详见</w:t>
            </w:r>
            <w:r>
              <w:rPr>
                <w:spacing w:val="-3"/>
                <w:sz w:val="22"/>
              </w:rPr>
              <w:t>表</w:t>
            </w:r>
            <w:r>
              <w:rPr>
                <w:rFonts w:ascii="Times New Roman" w:eastAsia="Times New Roman"/>
                <w:sz w:val="22"/>
                <w:u w:val="single"/>
              </w:rPr>
              <w:t xml:space="preserve"> </w:t>
            </w:r>
            <w:r>
              <w:rPr>
                <w:rFonts w:ascii="Times New Roman" w:eastAsia="Times New Roman"/>
                <w:sz w:val="22"/>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trPr>
        <w:tc>
          <w:tcPr>
            <w:tcW w:w="840" w:type="dxa"/>
            <w:vAlign w:val="top"/>
          </w:tcPr>
          <w:p>
            <w:pPr>
              <w:pStyle w:val="14"/>
              <w:rPr>
                <w:rFonts w:ascii="Times New Roman"/>
                <w:sz w:val="20"/>
              </w:rPr>
            </w:pPr>
          </w:p>
        </w:tc>
        <w:tc>
          <w:tcPr>
            <w:tcW w:w="3255" w:type="dxa"/>
            <w:vAlign w:val="top"/>
          </w:tcPr>
          <w:p>
            <w:pPr>
              <w:pStyle w:val="14"/>
              <w:rPr>
                <w:rFonts w:ascii="Times New Roman"/>
                <w:sz w:val="20"/>
              </w:rPr>
            </w:pPr>
          </w:p>
        </w:tc>
        <w:tc>
          <w:tcPr>
            <w:tcW w:w="1260" w:type="dxa"/>
            <w:vAlign w:val="top"/>
          </w:tcPr>
          <w:p>
            <w:pPr>
              <w:pStyle w:val="14"/>
              <w:rPr>
                <w:rFonts w:ascii="Times New Roman"/>
                <w:sz w:val="20"/>
              </w:rPr>
            </w:pPr>
          </w:p>
        </w:tc>
        <w:tc>
          <w:tcPr>
            <w:tcW w:w="1575" w:type="dxa"/>
            <w:vAlign w:val="top"/>
          </w:tcPr>
          <w:p>
            <w:pPr>
              <w:pStyle w:val="14"/>
              <w:rPr>
                <w:rFonts w:ascii="Times New Roman"/>
                <w:sz w:val="20"/>
              </w:rPr>
            </w:pPr>
          </w:p>
        </w:tc>
        <w:tc>
          <w:tcPr>
            <w:tcW w:w="220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trPr>
        <w:tc>
          <w:tcPr>
            <w:tcW w:w="840" w:type="dxa"/>
            <w:vAlign w:val="top"/>
          </w:tcPr>
          <w:p>
            <w:pPr>
              <w:pStyle w:val="14"/>
              <w:rPr>
                <w:rFonts w:ascii="Times New Roman"/>
                <w:sz w:val="20"/>
              </w:rPr>
            </w:pPr>
          </w:p>
        </w:tc>
        <w:tc>
          <w:tcPr>
            <w:tcW w:w="3255" w:type="dxa"/>
            <w:vAlign w:val="top"/>
          </w:tcPr>
          <w:p>
            <w:pPr>
              <w:pStyle w:val="14"/>
              <w:rPr>
                <w:rFonts w:ascii="Times New Roman"/>
                <w:sz w:val="20"/>
              </w:rPr>
            </w:pPr>
          </w:p>
        </w:tc>
        <w:tc>
          <w:tcPr>
            <w:tcW w:w="1260" w:type="dxa"/>
            <w:vAlign w:val="top"/>
          </w:tcPr>
          <w:p>
            <w:pPr>
              <w:pStyle w:val="14"/>
              <w:rPr>
                <w:rFonts w:ascii="Times New Roman"/>
                <w:sz w:val="20"/>
              </w:rPr>
            </w:pPr>
          </w:p>
        </w:tc>
        <w:tc>
          <w:tcPr>
            <w:tcW w:w="1575" w:type="dxa"/>
            <w:vAlign w:val="top"/>
          </w:tcPr>
          <w:p>
            <w:pPr>
              <w:pStyle w:val="14"/>
              <w:rPr>
                <w:rFonts w:ascii="Times New Roman"/>
                <w:sz w:val="20"/>
              </w:rPr>
            </w:pPr>
          </w:p>
        </w:tc>
        <w:tc>
          <w:tcPr>
            <w:tcW w:w="220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trPr>
        <w:tc>
          <w:tcPr>
            <w:tcW w:w="840" w:type="dxa"/>
            <w:vAlign w:val="top"/>
          </w:tcPr>
          <w:p>
            <w:pPr>
              <w:pStyle w:val="14"/>
              <w:rPr>
                <w:rFonts w:ascii="Times New Roman"/>
                <w:sz w:val="20"/>
              </w:rPr>
            </w:pPr>
          </w:p>
        </w:tc>
        <w:tc>
          <w:tcPr>
            <w:tcW w:w="3255" w:type="dxa"/>
            <w:vAlign w:val="top"/>
          </w:tcPr>
          <w:p>
            <w:pPr>
              <w:pStyle w:val="14"/>
              <w:rPr>
                <w:rFonts w:ascii="Times New Roman"/>
                <w:sz w:val="20"/>
              </w:rPr>
            </w:pPr>
          </w:p>
        </w:tc>
        <w:tc>
          <w:tcPr>
            <w:tcW w:w="1260" w:type="dxa"/>
            <w:vAlign w:val="top"/>
          </w:tcPr>
          <w:p>
            <w:pPr>
              <w:pStyle w:val="14"/>
              <w:rPr>
                <w:rFonts w:ascii="Times New Roman"/>
                <w:sz w:val="20"/>
              </w:rPr>
            </w:pPr>
          </w:p>
        </w:tc>
        <w:tc>
          <w:tcPr>
            <w:tcW w:w="1575" w:type="dxa"/>
            <w:vAlign w:val="top"/>
          </w:tcPr>
          <w:p>
            <w:pPr>
              <w:pStyle w:val="14"/>
              <w:rPr>
                <w:rFonts w:ascii="Times New Roman"/>
                <w:sz w:val="20"/>
              </w:rPr>
            </w:pPr>
          </w:p>
        </w:tc>
        <w:tc>
          <w:tcPr>
            <w:tcW w:w="220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trPr>
        <w:tc>
          <w:tcPr>
            <w:tcW w:w="840" w:type="dxa"/>
            <w:vAlign w:val="top"/>
          </w:tcPr>
          <w:p>
            <w:pPr>
              <w:pStyle w:val="14"/>
              <w:rPr>
                <w:rFonts w:ascii="Times New Roman"/>
                <w:sz w:val="20"/>
              </w:rPr>
            </w:pPr>
          </w:p>
        </w:tc>
        <w:tc>
          <w:tcPr>
            <w:tcW w:w="3255" w:type="dxa"/>
            <w:vAlign w:val="top"/>
          </w:tcPr>
          <w:p>
            <w:pPr>
              <w:pStyle w:val="14"/>
              <w:rPr>
                <w:rFonts w:ascii="Times New Roman"/>
                <w:sz w:val="20"/>
              </w:rPr>
            </w:pPr>
          </w:p>
        </w:tc>
        <w:tc>
          <w:tcPr>
            <w:tcW w:w="1260" w:type="dxa"/>
            <w:vAlign w:val="top"/>
          </w:tcPr>
          <w:p>
            <w:pPr>
              <w:pStyle w:val="14"/>
              <w:rPr>
                <w:rFonts w:ascii="Times New Roman"/>
                <w:sz w:val="20"/>
              </w:rPr>
            </w:pPr>
          </w:p>
        </w:tc>
        <w:tc>
          <w:tcPr>
            <w:tcW w:w="1575" w:type="dxa"/>
            <w:vAlign w:val="top"/>
          </w:tcPr>
          <w:p>
            <w:pPr>
              <w:pStyle w:val="14"/>
              <w:rPr>
                <w:rFonts w:ascii="Times New Roman"/>
                <w:sz w:val="20"/>
              </w:rPr>
            </w:pPr>
          </w:p>
        </w:tc>
        <w:tc>
          <w:tcPr>
            <w:tcW w:w="220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trPr>
        <w:tc>
          <w:tcPr>
            <w:tcW w:w="840" w:type="dxa"/>
            <w:vAlign w:val="top"/>
          </w:tcPr>
          <w:p>
            <w:pPr>
              <w:pStyle w:val="14"/>
              <w:rPr>
                <w:rFonts w:ascii="Times New Roman"/>
                <w:sz w:val="20"/>
              </w:rPr>
            </w:pPr>
          </w:p>
        </w:tc>
        <w:tc>
          <w:tcPr>
            <w:tcW w:w="3255" w:type="dxa"/>
            <w:vAlign w:val="top"/>
          </w:tcPr>
          <w:p>
            <w:pPr>
              <w:pStyle w:val="14"/>
              <w:rPr>
                <w:rFonts w:ascii="Times New Roman"/>
                <w:sz w:val="20"/>
              </w:rPr>
            </w:pPr>
          </w:p>
        </w:tc>
        <w:tc>
          <w:tcPr>
            <w:tcW w:w="1260" w:type="dxa"/>
            <w:vAlign w:val="top"/>
          </w:tcPr>
          <w:p>
            <w:pPr>
              <w:pStyle w:val="14"/>
              <w:rPr>
                <w:rFonts w:ascii="Times New Roman"/>
                <w:sz w:val="20"/>
              </w:rPr>
            </w:pPr>
          </w:p>
        </w:tc>
        <w:tc>
          <w:tcPr>
            <w:tcW w:w="1575" w:type="dxa"/>
            <w:vAlign w:val="top"/>
          </w:tcPr>
          <w:p>
            <w:pPr>
              <w:pStyle w:val="14"/>
              <w:rPr>
                <w:rFonts w:ascii="Times New Roman"/>
                <w:sz w:val="20"/>
              </w:rPr>
            </w:pPr>
          </w:p>
        </w:tc>
        <w:tc>
          <w:tcPr>
            <w:tcW w:w="220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trPr>
        <w:tc>
          <w:tcPr>
            <w:tcW w:w="840" w:type="dxa"/>
            <w:vAlign w:val="top"/>
          </w:tcPr>
          <w:p>
            <w:pPr>
              <w:pStyle w:val="14"/>
              <w:rPr>
                <w:rFonts w:ascii="Times New Roman"/>
                <w:sz w:val="20"/>
              </w:rPr>
            </w:pPr>
          </w:p>
        </w:tc>
        <w:tc>
          <w:tcPr>
            <w:tcW w:w="3255" w:type="dxa"/>
            <w:vAlign w:val="top"/>
          </w:tcPr>
          <w:p>
            <w:pPr>
              <w:pStyle w:val="14"/>
              <w:rPr>
                <w:rFonts w:ascii="Times New Roman"/>
                <w:sz w:val="20"/>
              </w:rPr>
            </w:pPr>
          </w:p>
        </w:tc>
        <w:tc>
          <w:tcPr>
            <w:tcW w:w="1260" w:type="dxa"/>
            <w:vAlign w:val="top"/>
          </w:tcPr>
          <w:p>
            <w:pPr>
              <w:pStyle w:val="14"/>
              <w:rPr>
                <w:rFonts w:ascii="Times New Roman"/>
                <w:sz w:val="20"/>
              </w:rPr>
            </w:pPr>
          </w:p>
        </w:tc>
        <w:tc>
          <w:tcPr>
            <w:tcW w:w="1575" w:type="dxa"/>
            <w:vAlign w:val="top"/>
          </w:tcPr>
          <w:p>
            <w:pPr>
              <w:pStyle w:val="14"/>
              <w:rPr>
                <w:rFonts w:ascii="Times New Roman"/>
                <w:sz w:val="20"/>
              </w:rPr>
            </w:pPr>
          </w:p>
        </w:tc>
        <w:tc>
          <w:tcPr>
            <w:tcW w:w="220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trPr>
        <w:tc>
          <w:tcPr>
            <w:tcW w:w="840" w:type="dxa"/>
            <w:vAlign w:val="top"/>
          </w:tcPr>
          <w:p>
            <w:pPr>
              <w:pStyle w:val="14"/>
              <w:rPr>
                <w:rFonts w:ascii="Times New Roman"/>
                <w:sz w:val="20"/>
              </w:rPr>
            </w:pPr>
          </w:p>
        </w:tc>
        <w:tc>
          <w:tcPr>
            <w:tcW w:w="3255" w:type="dxa"/>
            <w:vAlign w:val="top"/>
          </w:tcPr>
          <w:p>
            <w:pPr>
              <w:pStyle w:val="14"/>
              <w:rPr>
                <w:rFonts w:ascii="Times New Roman"/>
                <w:sz w:val="20"/>
              </w:rPr>
            </w:pPr>
          </w:p>
        </w:tc>
        <w:tc>
          <w:tcPr>
            <w:tcW w:w="1260" w:type="dxa"/>
            <w:vAlign w:val="top"/>
          </w:tcPr>
          <w:p>
            <w:pPr>
              <w:pStyle w:val="14"/>
              <w:rPr>
                <w:rFonts w:ascii="Times New Roman"/>
                <w:sz w:val="20"/>
              </w:rPr>
            </w:pPr>
          </w:p>
        </w:tc>
        <w:tc>
          <w:tcPr>
            <w:tcW w:w="1575" w:type="dxa"/>
            <w:vAlign w:val="top"/>
          </w:tcPr>
          <w:p>
            <w:pPr>
              <w:pStyle w:val="14"/>
              <w:rPr>
                <w:rFonts w:ascii="Times New Roman"/>
                <w:sz w:val="20"/>
              </w:rPr>
            </w:pPr>
          </w:p>
        </w:tc>
        <w:tc>
          <w:tcPr>
            <w:tcW w:w="220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trPr>
        <w:tc>
          <w:tcPr>
            <w:tcW w:w="6930" w:type="dxa"/>
            <w:gridSpan w:val="4"/>
            <w:vAlign w:val="top"/>
          </w:tcPr>
          <w:p>
            <w:pPr>
              <w:pStyle w:val="14"/>
              <w:spacing w:before="2"/>
              <w:rPr>
                <w:sz w:val="18"/>
              </w:rPr>
            </w:pPr>
          </w:p>
          <w:p>
            <w:pPr>
              <w:pStyle w:val="14"/>
              <w:tabs>
                <w:tab w:val="left" w:pos="779"/>
              </w:tabs>
              <w:spacing w:before="1"/>
              <w:ind w:left="9"/>
              <w:jc w:val="center"/>
              <w:rPr>
                <w:sz w:val="22"/>
              </w:rPr>
            </w:pPr>
            <w:r>
              <w:rPr>
                <w:sz w:val="22"/>
              </w:rPr>
              <w:t>合</w:t>
            </w:r>
            <w:r>
              <w:rPr>
                <w:sz w:val="22"/>
              </w:rPr>
              <w:tab/>
            </w:r>
            <w:r>
              <w:rPr>
                <w:sz w:val="22"/>
              </w:rPr>
              <w:t>计</w:t>
            </w:r>
          </w:p>
        </w:tc>
        <w:tc>
          <w:tcPr>
            <w:tcW w:w="2205" w:type="dxa"/>
            <w:vAlign w:val="top"/>
          </w:tcPr>
          <w:p>
            <w:pPr>
              <w:pStyle w:val="14"/>
              <w:rPr>
                <w:rFonts w:ascii="Times New Roman"/>
                <w:sz w:val="20"/>
              </w:rPr>
            </w:pPr>
          </w:p>
        </w:tc>
      </w:tr>
    </w:tbl>
    <w:p>
      <w:pPr>
        <w:pStyle w:val="9"/>
        <w:spacing w:before="1"/>
        <w:ind w:left="951"/>
      </w:pPr>
      <w:r>
        <w:t>注：材料暂估单价进入清单项目综合单价，此处不汇总。</w:t>
      </w:r>
    </w:p>
    <w:p>
      <w:pPr>
        <w:spacing w:after="0"/>
        <w:sectPr>
          <w:pgSz w:w="11910" w:h="16840"/>
          <w:pgMar w:top="1100" w:right="660" w:bottom="1200" w:left="800" w:header="878" w:footer="1003" w:gutter="0"/>
          <w:cols w:space="720" w:num="1"/>
        </w:sectPr>
      </w:pPr>
    </w:p>
    <w:p>
      <w:pPr>
        <w:pStyle w:val="9"/>
        <w:rPr>
          <w:sz w:val="20"/>
        </w:rPr>
      </w:pPr>
    </w:p>
    <w:p>
      <w:pPr>
        <w:pStyle w:val="9"/>
        <w:spacing w:before="4"/>
        <w:rPr>
          <w:sz w:val="20"/>
        </w:rPr>
      </w:pPr>
    </w:p>
    <w:p>
      <w:pPr>
        <w:pStyle w:val="9"/>
        <w:spacing w:before="71"/>
        <w:ind w:left="568" w:right="727"/>
        <w:jc w:val="center"/>
      </w:pPr>
      <w:r>
        <w:t>暂列金额明细表</w:t>
      </w:r>
    </w:p>
    <w:p>
      <w:pPr>
        <w:pStyle w:val="9"/>
      </w:pPr>
    </w:p>
    <w:p>
      <w:pPr>
        <w:pStyle w:val="9"/>
      </w:pPr>
    </w:p>
    <w:p>
      <w:pPr>
        <w:pStyle w:val="9"/>
        <w:spacing w:before="12"/>
      </w:pPr>
    </w:p>
    <w:p>
      <w:pPr>
        <w:pStyle w:val="9"/>
        <w:tabs>
          <w:tab w:val="left" w:pos="3520"/>
          <w:tab w:val="left" w:pos="6489"/>
          <w:tab w:val="left" w:pos="6931"/>
          <w:tab w:val="left" w:pos="7701"/>
        </w:tabs>
        <w:ind w:right="180"/>
        <w:jc w:val="center"/>
      </w:pPr>
      <w:r>
        <w:t>工</w:t>
      </w:r>
      <w:r>
        <w:rPr>
          <w:spacing w:val="-3"/>
        </w:rPr>
        <w:t>程</w:t>
      </w:r>
      <w:r>
        <w:t>名称：</w:t>
      </w:r>
      <w:r>
        <w:tab/>
      </w:r>
      <w:r>
        <w:t>标</w:t>
      </w:r>
      <w:r>
        <w:rPr>
          <w:spacing w:val="-3"/>
        </w:rPr>
        <w:t>段</w:t>
      </w:r>
      <w:r>
        <w:t>：</w:t>
      </w:r>
      <w:r>
        <w:tab/>
      </w:r>
      <w:r>
        <w:t>第</w:t>
      </w:r>
      <w:r>
        <w:tab/>
      </w:r>
      <w:r>
        <w:t>页</w:t>
      </w:r>
      <w:r>
        <w:rPr>
          <w:spacing w:val="-3"/>
        </w:rPr>
        <w:t xml:space="preserve"> </w:t>
      </w:r>
      <w:r>
        <w:t>共</w:t>
      </w:r>
      <w:r>
        <w:tab/>
      </w:r>
      <w:r>
        <w:t>页</w:t>
      </w:r>
    </w:p>
    <w:p>
      <w:pPr>
        <w:pStyle w:val="9"/>
        <w:spacing w:before="5" w:after="1"/>
      </w:pPr>
    </w:p>
    <w:tbl>
      <w:tblPr>
        <w:tblW w:w="9006" w:type="dxa"/>
        <w:tblInd w:w="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3885"/>
        <w:gridCol w:w="1260"/>
        <w:gridCol w:w="1551"/>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trPr>
        <w:tc>
          <w:tcPr>
            <w:tcW w:w="840" w:type="dxa"/>
            <w:vAlign w:val="top"/>
          </w:tcPr>
          <w:p>
            <w:pPr>
              <w:pStyle w:val="14"/>
              <w:spacing w:before="3"/>
              <w:rPr>
                <w:sz w:val="27"/>
              </w:rPr>
            </w:pPr>
          </w:p>
          <w:p>
            <w:pPr>
              <w:pStyle w:val="14"/>
              <w:spacing w:before="1"/>
              <w:ind w:left="179" w:right="169"/>
              <w:jc w:val="center"/>
              <w:rPr>
                <w:sz w:val="22"/>
              </w:rPr>
            </w:pPr>
            <w:r>
              <w:rPr>
                <w:sz w:val="22"/>
              </w:rPr>
              <w:t>序号</w:t>
            </w:r>
          </w:p>
        </w:tc>
        <w:tc>
          <w:tcPr>
            <w:tcW w:w="3885" w:type="dxa"/>
            <w:vAlign w:val="top"/>
          </w:tcPr>
          <w:p>
            <w:pPr>
              <w:pStyle w:val="14"/>
              <w:spacing w:before="3"/>
              <w:rPr>
                <w:sz w:val="27"/>
              </w:rPr>
            </w:pPr>
          </w:p>
          <w:p>
            <w:pPr>
              <w:pStyle w:val="14"/>
              <w:spacing w:before="1"/>
              <w:ind w:left="1316" w:right="1308"/>
              <w:jc w:val="center"/>
              <w:rPr>
                <w:sz w:val="22"/>
              </w:rPr>
            </w:pPr>
            <w:r>
              <w:rPr>
                <w:sz w:val="22"/>
              </w:rPr>
              <w:t>项 目 名 称</w:t>
            </w:r>
          </w:p>
        </w:tc>
        <w:tc>
          <w:tcPr>
            <w:tcW w:w="1260" w:type="dxa"/>
            <w:vAlign w:val="top"/>
          </w:tcPr>
          <w:p>
            <w:pPr>
              <w:pStyle w:val="14"/>
              <w:spacing w:before="3"/>
              <w:rPr>
                <w:sz w:val="27"/>
              </w:rPr>
            </w:pPr>
          </w:p>
          <w:p>
            <w:pPr>
              <w:pStyle w:val="14"/>
              <w:spacing w:before="1"/>
              <w:ind w:left="190"/>
              <w:rPr>
                <w:sz w:val="22"/>
              </w:rPr>
            </w:pPr>
            <w:r>
              <w:rPr>
                <w:sz w:val="22"/>
              </w:rPr>
              <w:t>计量单位</w:t>
            </w:r>
          </w:p>
        </w:tc>
        <w:tc>
          <w:tcPr>
            <w:tcW w:w="1551" w:type="dxa"/>
            <w:vAlign w:val="top"/>
          </w:tcPr>
          <w:p>
            <w:pPr>
              <w:pStyle w:val="14"/>
              <w:spacing w:before="3"/>
              <w:rPr>
                <w:sz w:val="27"/>
              </w:rPr>
            </w:pPr>
          </w:p>
          <w:p>
            <w:pPr>
              <w:pStyle w:val="14"/>
              <w:spacing w:before="1"/>
              <w:ind w:left="108" w:right="-15"/>
              <w:rPr>
                <w:sz w:val="22"/>
              </w:rPr>
            </w:pPr>
            <w:r>
              <w:rPr>
                <w:spacing w:val="-26"/>
                <w:sz w:val="22"/>
              </w:rPr>
              <w:t>暂列金额</w:t>
            </w:r>
            <w:r>
              <w:rPr>
                <w:spacing w:val="-3"/>
                <w:sz w:val="22"/>
              </w:rPr>
              <w:t>（</w:t>
            </w:r>
            <w:r>
              <w:rPr>
                <w:sz w:val="22"/>
              </w:rPr>
              <w:t>元</w:t>
            </w:r>
            <w:r>
              <w:rPr>
                <w:spacing w:val="-13"/>
                <w:sz w:val="22"/>
              </w:rPr>
              <w:t>）</w:t>
            </w:r>
          </w:p>
        </w:tc>
        <w:tc>
          <w:tcPr>
            <w:tcW w:w="1470" w:type="dxa"/>
            <w:vAlign w:val="top"/>
          </w:tcPr>
          <w:p>
            <w:pPr>
              <w:pStyle w:val="14"/>
              <w:spacing w:before="3"/>
              <w:rPr>
                <w:sz w:val="27"/>
              </w:rPr>
            </w:pPr>
          </w:p>
          <w:p>
            <w:pPr>
              <w:pStyle w:val="14"/>
              <w:spacing w:before="1"/>
              <w:ind w:left="494" w:right="486"/>
              <w:jc w:val="center"/>
              <w:rPr>
                <w:sz w:val="22"/>
              </w:rPr>
            </w:pPr>
            <w:r>
              <w:rPr>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5" w:hRule="atLeast"/>
        </w:trPr>
        <w:tc>
          <w:tcPr>
            <w:tcW w:w="840" w:type="dxa"/>
            <w:vAlign w:val="top"/>
          </w:tcPr>
          <w:p>
            <w:pPr>
              <w:pStyle w:val="14"/>
              <w:spacing w:before="5"/>
              <w:rPr>
                <w:sz w:val="23"/>
              </w:rPr>
            </w:pPr>
          </w:p>
          <w:p>
            <w:pPr>
              <w:pStyle w:val="14"/>
              <w:spacing w:before="1"/>
              <w:ind w:left="10"/>
              <w:jc w:val="center"/>
              <w:rPr>
                <w:sz w:val="22"/>
              </w:rPr>
            </w:pPr>
            <w:r>
              <w:rPr>
                <w:w w:val="100"/>
                <w:sz w:val="22"/>
              </w:rPr>
              <w:t>1</w:t>
            </w:r>
          </w:p>
        </w:tc>
        <w:tc>
          <w:tcPr>
            <w:tcW w:w="3885" w:type="dxa"/>
            <w:vAlign w:val="top"/>
          </w:tcPr>
          <w:p>
            <w:pPr>
              <w:pStyle w:val="14"/>
              <w:rPr>
                <w:rFonts w:ascii="Times New Roman"/>
                <w:sz w:val="20"/>
              </w:rPr>
            </w:pPr>
          </w:p>
        </w:tc>
        <w:tc>
          <w:tcPr>
            <w:tcW w:w="1260" w:type="dxa"/>
            <w:vAlign w:val="top"/>
          </w:tcPr>
          <w:p>
            <w:pPr>
              <w:pStyle w:val="14"/>
              <w:rPr>
                <w:rFonts w:ascii="Times New Roman"/>
                <w:sz w:val="20"/>
              </w:rPr>
            </w:pPr>
          </w:p>
        </w:tc>
        <w:tc>
          <w:tcPr>
            <w:tcW w:w="1551"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5" w:hRule="atLeast"/>
        </w:trPr>
        <w:tc>
          <w:tcPr>
            <w:tcW w:w="840" w:type="dxa"/>
            <w:vAlign w:val="top"/>
          </w:tcPr>
          <w:p>
            <w:pPr>
              <w:pStyle w:val="14"/>
              <w:spacing w:before="6"/>
              <w:rPr>
                <w:sz w:val="23"/>
              </w:rPr>
            </w:pPr>
          </w:p>
          <w:p>
            <w:pPr>
              <w:pStyle w:val="14"/>
              <w:ind w:left="10"/>
              <w:jc w:val="center"/>
              <w:rPr>
                <w:sz w:val="22"/>
              </w:rPr>
            </w:pPr>
            <w:r>
              <w:rPr>
                <w:w w:val="100"/>
                <w:sz w:val="22"/>
              </w:rPr>
              <w:t>2</w:t>
            </w:r>
          </w:p>
        </w:tc>
        <w:tc>
          <w:tcPr>
            <w:tcW w:w="3885" w:type="dxa"/>
            <w:vAlign w:val="top"/>
          </w:tcPr>
          <w:p>
            <w:pPr>
              <w:pStyle w:val="14"/>
              <w:rPr>
                <w:rFonts w:ascii="Times New Roman"/>
                <w:sz w:val="20"/>
              </w:rPr>
            </w:pPr>
          </w:p>
        </w:tc>
        <w:tc>
          <w:tcPr>
            <w:tcW w:w="1260" w:type="dxa"/>
            <w:vAlign w:val="top"/>
          </w:tcPr>
          <w:p>
            <w:pPr>
              <w:pStyle w:val="14"/>
              <w:rPr>
                <w:rFonts w:ascii="Times New Roman"/>
                <w:sz w:val="20"/>
              </w:rPr>
            </w:pPr>
          </w:p>
        </w:tc>
        <w:tc>
          <w:tcPr>
            <w:tcW w:w="1551"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5" w:hRule="atLeast"/>
        </w:trPr>
        <w:tc>
          <w:tcPr>
            <w:tcW w:w="840" w:type="dxa"/>
            <w:vAlign w:val="top"/>
          </w:tcPr>
          <w:p>
            <w:pPr>
              <w:pStyle w:val="14"/>
              <w:spacing w:before="6"/>
              <w:rPr>
                <w:sz w:val="23"/>
              </w:rPr>
            </w:pPr>
          </w:p>
          <w:p>
            <w:pPr>
              <w:pStyle w:val="14"/>
              <w:ind w:left="10"/>
              <w:jc w:val="center"/>
              <w:rPr>
                <w:sz w:val="22"/>
              </w:rPr>
            </w:pPr>
            <w:r>
              <w:rPr>
                <w:w w:val="100"/>
                <w:sz w:val="22"/>
              </w:rPr>
              <w:t>3</w:t>
            </w:r>
          </w:p>
        </w:tc>
        <w:tc>
          <w:tcPr>
            <w:tcW w:w="3885" w:type="dxa"/>
            <w:vAlign w:val="top"/>
          </w:tcPr>
          <w:p>
            <w:pPr>
              <w:pStyle w:val="14"/>
              <w:rPr>
                <w:rFonts w:ascii="Times New Roman"/>
                <w:sz w:val="20"/>
              </w:rPr>
            </w:pPr>
          </w:p>
        </w:tc>
        <w:tc>
          <w:tcPr>
            <w:tcW w:w="1260" w:type="dxa"/>
            <w:vAlign w:val="top"/>
          </w:tcPr>
          <w:p>
            <w:pPr>
              <w:pStyle w:val="14"/>
              <w:rPr>
                <w:rFonts w:ascii="Times New Roman"/>
                <w:sz w:val="20"/>
              </w:rPr>
            </w:pPr>
          </w:p>
        </w:tc>
        <w:tc>
          <w:tcPr>
            <w:tcW w:w="1551"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5" w:hRule="atLeast"/>
        </w:trPr>
        <w:tc>
          <w:tcPr>
            <w:tcW w:w="840" w:type="dxa"/>
            <w:vAlign w:val="top"/>
          </w:tcPr>
          <w:p>
            <w:pPr>
              <w:pStyle w:val="14"/>
              <w:spacing w:before="6"/>
              <w:rPr>
                <w:sz w:val="23"/>
              </w:rPr>
            </w:pPr>
          </w:p>
          <w:p>
            <w:pPr>
              <w:pStyle w:val="14"/>
              <w:ind w:left="10"/>
              <w:jc w:val="center"/>
              <w:rPr>
                <w:sz w:val="22"/>
              </w:rPr>
            </w:pPr>
            <w:r>
              <w:rPr>
                <w:w w:val="100"/>
                <w:sz w:val="22"/>
              </w:rPr>
              <w:t>4</w:t>
            </w:r>
          </w:p>
        </w:tc>
        <w:tc>
          <w:tcPr>
            <w:tcW w:w="3885" w:type="dxa"/>
            <w:vAlign w:val="top"/>
          </w:tcPr>
          <w:p>
            <w:pPr>
              <w:pStyle w:val="14"/>
              <w:rPr>
                <w:rFonts w:ascii="Times New Roman"/>
                <w:sz w:val="20"/>
              </w:rPr>
            </w:pPr>
          </w:p>
        </w:tc>
        <w:tc>
          <w:tcPr>
            <w:tcW w:w="1260" w:type="dxa"/>
            <w:vAlign w:val="top"/>
          </w:tcPr>
          <w:p>
            <w:pPr>
              <w:pStyle w:val="14"/>
              <w:rPr>
                <w:rFonts w:ascii="Times New Roman"/>
                <w:sz w:val="20"/>
              </w:rPr>
            </w:pPr>
          </w:p>
        </w:tc>
        <w:tc>
          <w:tcPr>
            <w:tcW w:w="1551"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5" w:hRule="atLeast"/>
        </w:trPr>
        <w:tc>
          <w:tcPr>
            <w:tcW w:w="840" w:type="dxa"/>
            <w:vAlign w:val="top"/>
          </w:tcPr>
          <w:p>
            <w:pPr>
              <w:pStyle w:val="14"/>
              <w:spacing w:before="6"/>
              <w:rPr>
                <w:sz w:val="23"/>
              </w:rPr>
            </w:pPr>
          </w:p>
          <w:p>
            <w:pPr>
              <w:pStyle w:val="14"/>
              <w:ind w:left="10"/>
              <w:jc w:val="center"/>
              <w:rPr>
                <w:sz w:val="22"/>
              </w:rPr>
            </w:pPr>
            <w:r>
              <w:rPr>
                <w:w w:val="100"/>
                <w:sz w:val="22"/>
              </w:rPr>
              <w:t>5</w:t>
            </w:r>
          </w:p>
        </w:tc>
        <w:tc>
          <w:tcPr>
            <w:tcW w:w="3885" w:type="dxa"/>
            <w:vAlign w:val="top"/>
          </w:tcPr>
          <w:p>
            <w:pPr>
              <w:pStyle w:val="14"/>
              <w:rPr>
                <w:rFonts w:ascii="Times New Roman"/>
                <w:sz w:val="20"/>
              </w:rPr>
            </w:pPr>
          </w:p>
        </w:tc>
        <w:tc>
          <w:tcPr>
            <w:tcW w:w="1260" w:type="dxa"/>
            <w:vAlign w:val="top"/>
          </w:tcPr>
          <w:p>
            <w:pPr>
              <w:pStyle w:val="14"/>
              <w:rPr>
                <w:rFonts w:ascii="Times New Roman"/>
                <w:sz w:val="20"/>
              </w:rPr>
            </w:pPr>
          </w:p>
        </w:tc>
        <w:tc>
          <w:tcPr>
            <w:tcW w:w="1551"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5" w:hRule="atLeast"/>
        </w:trPr>
        <w:tc>
          <w:tcPr>
            <w:tcW w:w="840" w:type="dxa"/>
            <w:vAlign w:val="top"/>
          </w:tcPr>
          <w:p>
            <w:pPr>
              <w:pStyle w:val="14"/>
              <w:spacing w:before="6"/>
              <w:rPr>
                <w:sz w:val="23"/>
              </w:rPr>
            </w:pPr>
          </w:p>
          <w:p>
            <w:pPr>
              <w:pStyle w:val="14"/>
              <w:spacing w:before="1"/>
              <w:ind w:left="10"/>
              <w:jc w:val="center"/>
              <w:rPr>
                <w:sz w:val="22"/>
              </w:rPr>
            </w:pPr>
            <w:r>
              <w:rPr>
                <w:w w:val="100"/>
                <w:sz w:val="22"/>
              </w:rPr>
              <w:t>6</w:t>
            </w:r>
          </w:p>
        </w:tc>
        <w:tc>
          <w:tcPr>
            <w:tcW w:w="3885" w:type="dxa"/>
            <w:vAlign w:val="top"/>
          </w:tcPr>
          <w:p>
            <w:pPr>
              <w:pStyle w:val="14"/>
              <w:rPr>
                <w:rFonts w:ascii="Times New Roman"/>
                <w:sz w:val="20"/>
              </w:rPr>
            </w:pPr>
          </w:p>
        </w:tc>
        <w:tc>
          <w:tcPr>
            <w:tcW w:w="1260" w:type="dxa"/>
            <w:vAlign w:val="top"/>
          </w:tcPr>
          <w:p>
            <w:pPr>
              <w:pStyle w:val="14"/>
              <w:rPr>
                <w:rFonts w:ascii="Times New Roman"/>
                <w:sz w:val="20"/>
              </w:rPr>
            </w:pPr>
          </w:p>
        </w:tc>
        <w:tc>
          <w:tcPr>
            <w:tcW w:w="1551"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5" w:hRule="atLeast"/>
        </w:trPr>
        <w:tc>
          <w:tcPr>
            <w:tcW w:w="840" w:type="dxa"/>
            <w:vAlign w:val="top"/>
          </w:tcPr>
          <w:p>
            <w:pPr>
              <w:pStyle w:val="14"/>
              <w:spacing w:before="7"/>
              <w:rPr>
                <w:sz w:val="23"/>
              </w:rPr>
            </w:pPr>
          </w:p>
          <w:p>
            <w:pPr>
              <w:pStyle w:val="14"/>
              <w:ind w:left="10"/>
              <w:jc w:val="center"/>
              <w:rPr>
                <w:sz w:val="22"/>
              </w:rPr>
            </w:pPr>
            <w:r>
              <w:rPr>
                <w:w w:val="100"/>
                <w:sz w:val="22"/>
              </w:rPr>
              <w:t>7</w:t>
            </w:r>
          </w:p>
        </w:tc>
        <w:tc>
          <w:tcPr>
            <w:tcW w:w="3885" w:type="dxa"/>
            <w:vAlign w:val="top"/>
          </w:tcPr>
          <w:p>
            <w:pPr>
              <w:pStyle w:val="14"/>
              <w:rPr>
                <w:rFonts w:ascii="Times New Roman"/>
                <w:sz w:val="20"/>
              </w:rPr>
            </w:pPr>
          </w:p>
        </w:tc>
        <w:tc>
          <w:tcPr>
            <w:tcW w:w="1260" w:type="dxa"/>
            <w:vAlign w:val="top"/>
          </w:tcPr>
          <w:p>
            <w:pPr>
              <w:pStyle w:val="14"/>
              <w:rPr>
                <w:rFonts w:ascii="Times New Roman"/>
                <w:sz w:val="20"/>
              </w:rPr>
            </w:pPr>
          </w:p>
        </w:tc>
        <w:tc>
          <w:tcPr>
            <w:tcW w:w="1551"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5" w:hRule="atLeast"/>
        </w:trPr>
        <w:tc>
          <w:tcPr>
            <w:tcW w:w="840" w:type="dxa"/>
            <w:vAlign w:val="top"/>
          </w:tcPr>
          <w:p>
            <w:pPr>
              <w:pStyle w:val="14"/>
              <w:spacing w:before="7"/>
              <w:rPr>
                <w:sz w:val="23"/>
              </w:rPr>
            </w:pPr>
          </w:p>
          <w:p>
            <w:pPr>
              <w:pStyle w:val="14"/>
              <w:ind w:left="10"/>
              <w:jc w:val="center"/>
              <w:rPr>
                <w:sz w:val="22"/>
              </w:rPr>
            </w:pPr>
            <w:r>
              <w:rPr>
                <w:w w:val="100"/>
                <w:sz w:val="22"/>
              </w:rPr>
              <w:t>8</w:t>
            </w:r>
          </w:p>
        </w:tc>
        <w:tc>
          <w:tcPr>
            <w:tcW w:w="3885" w:type="dxa"/>
            <w:vAlign w:val="top"/>
          </w:tcPr>
          <w:p>
            <w:pPr>
              <w:pStyle w:val="14"/>
              <w:rPr>
                <w:rFonts w:ascii="Times New Roman"/>
                <w:sz w:val="20"/>
              </w:rPr>
            </w:pPr>
          </w:p>
        </w:tc>
        <w:tc>
          <w:tcPr>
            <w:tcW w:w="1260" w:type="dxa"/>
            <w:vAlign w:val="top"/>
          </w:tcPr>
          <w:p>
            <w:pPr>
              <w:pStyle w:val="14"/>
              <w:rPr>
                <w:rFonts w:ascii="Times New Roman"/>
                <w:sz w:val="20"/>
              </w:rPr>
            </w:pPr>
          </w:p>
        </w:tc>
        <w:tc>
          <w:tcPr>
            <w:tcW w:w="1551" w:type="dxa"/>
            <w:vAlign w:val="top"/>
          </w:tcPr>
          <w:p>
            <w:pPr>
              <w:pStyle w:val="14"/>
              <w:rPr>
                <w:rFonts w:ascii="Times New Roman"/>
                <w:sz w:val="20"/>
              </w:rPr>
            </w:pPr>
          </w:p>
        </w:tc>
        <w:tc>
          <w:tcPr>
            <w:tcW w:w="1470" w:type="dxa"/>
            <w:vAlign w:val="top"/>
          </w:tcPr>
          <w:p>
            <w:pPr>
              <w:pStyle w:val="14"/>
              <w:rPr>
                <w:rFonts w:ascii="Times New Roman"/>
                <w:sz w:val="20"/>
              </w:rPr>
            </w:pPr>
          </w:p>
        </w:tc>
      </w:tr>
      <w:tr>
        <w:tblPrEx>
          <w:tblLayout w:type="fixed"/>
          <w:tblCellMar>
            <w:top w:w="0" w:type="dxa"/>
            <w:left w:w="0" w:type="dxa"/>
            <w:bottom w:w="0" w:type="dxa"/>
            <w:right w:w="0" w:type="dxa"/>
          </w:tblCellMar>
        </w:tblPrEx>
        <w:trPr>
          <w:trHeight w:val="885" w:hRule="atLeast"/>
        </w:trPr>
        <w:tc>
          <w:tcPr>
            <w:tcW w:w="840" w:type="dxa"/>
            <w:vAlign w:val="top"/>
          </w:tcPr>
          <w:p>
            <w:pPr>
              <w:pStyle w:val="14"/>
              <w:spacing w:before="7"/>
              <w:rPr>
                <w:sz w:val="23"/>
              </w:rPr>
            </w:pPr>
          </w:p>
          <w:p>
            <w:pPr>
              <w:pStyle w:val="14"/>
              <w:ind w:left="10"/>
              <w:jc w:val="center"/>
              <w:rPr>
                <w:sz w:val="22"/>
              </w:rPr>
            </w:pPr>
            <w:r>
              <w:rPr>
                <w:w w:val="100"/>
                <w:sz w:val="22"/>
              </w:rPr>
              <w:t>9</w:t>
            </w:r>
          </w:p>
        </w:tc>
        <w:tc>
          <w:tcPr>
            <w:tcW w:w="3885" w:type="dxa"/>
            <w:vAlign w:val="top"/>
          </w:tcPr>
          <w:p>
            <w:pPr>
              <w:pStyle w:val="14"/>
              <w:rPr>
                <w:rFonts w:ascii="Times New Roman"/>
                <w:sz w:val="20"/>
              </w:rPr>
            </w:pPr>
          </w:p>
        </w:tc>
        <w:tc>
          <w:tcPr>
            <w:tcW w:w="1260" w:type="dxa"/>
            <w:vAlign w:val="top"/>
          </w:tcPr>
          <w:p>
            <w:pPr>
              <w:pStyle w:val="14"/>
              <w:rPr>
                <w:rFonts w:ascii="Times New Roman"/>
                <w:sz w:val="20"/>
              </w:rPr>
            </w:pPr>
          </w:p>
        </w:tc>
        <w:tc>
          <w:tcPr>
            <w:tcW w:w="1551"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5" w:hRule="atLeast"/>
        </w:trPr>
        <w:tc>
          <w:tcPr>
            <w:tcW w:w="840" w:type="dxa"/>
            <w:vAlign w:val="top"/>
          </w:tcPr>
          <w:p>
            <w:pPr>
              <w:pStyle w:val="14"/>
              <w:spacing w:before="5"/>
              <w:rPr>
                <w:sz w:val="23"/>
              </w:rPr>
            </w:pPr>
          </w:p>
          <w:p>
            <w:pPr>
              <w:pStyle w:val="14"/>
              <w:ind w:left="179" w:right="169"/>
              <w:jc w:val="center"/>
              <w:rPr>
                <w:sz w:val="22"/>
              </w:rPr>
            </w:pPr>
            <w:r>
              <w:rPr>
                <w:sz w:val="22"/>
              </w:rPr>
              <w:t>10</w:t>
            </w:r>
          </w:p>
        </w:tc>
        <w:tc>
          <w:tcPr>
            <w:tcW w:w="3885" w:type="dxa"/>
            <w:vAlign w:val="top"/>
          </w:tcPr>
          <w:p>
            <w:pPr>
              <w:pStyle w:val="14"/>
              <w:rPr>
                <w:rFonts w:ascii="Times New Roman"/>
                <w:sz w:val="20"/>
              </w:rPr>
            </w:pPr>
          </w:p>
        </w:tc>
        <w:tc>
          <w:tcPr>
            <w:tcW w:w="1260" w:type="dxa"/>
            <w:vAlign w:val="top"/>
          </w:tcPr>
          <w:p>
            <w:pPr>
              <w:pStyle w:val="14"/>
              <w:rPr>
                <w:rFonts w:ascii="Times New Roman"/>
                <w:sz w:val="20"/>
              </w:rPr>
            </w:pPr>
          </w:p>
        </w:tc>
        <w:tc>
          <w:tcPr>
            <w:tcW w:w="1551"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5" w:hRule="atLeast"/>
        </w:trPr>
        <w:tc>
          <w:tcPr>
            <w:tcW w:w="5985" w:type="dxa"/>
            <w:gridSpan w:val="3"/>
            <w:vAlign w:val="top"/>
          </w:tcPr>
          <w:p>
            <w:pPr>
              <w:pStyle w:val="14"/>
              <w:spacing w:before="5"/>
              <w:rPr>
                <w:sz w:val="23"/>
              </w:rPr>
            </w:pPr>
          </w:p>
          <w:p>
            <w:pPr>
              <w:pStyle w:val="14"/>
              <w:tabs>
                <w:tab w:val="left" w:pos="778"/>
              </w:tabs>
              <w:ind w:left="8"/>
              <w:jc w:val="center"/>
              <w:rPr>
                <w:sz w:val="22"/>
              </w:rPr>
            </w:pPr>
            <w:r>
              <w:rPr>
                <w:sz w:val="22"/>
              </w:rPr>
              <w:t>合</w:t>
            </w:r>
            <w:r>
              <w:rPr>
                <w:sz w:val="22"/>
              </w:rPr>
              <w:tab/>
            </w:r>
            <w:r>
              <w:rPr>
                <w:sz w:val="22"/>
              </w:rPr>
              <w:t>计</w:t>
            </w:r>
          </w:p>
        </w:tc>
        <w:tc>
          <w:tcPr>
            <w:tcW w:w="1551" w:type="dxa"/>
            <w:vAlign w:val="top"/>
          </w:tcPr>
          <w:p>
            <w:pPr>
              <w:pStyle w:val="14"/>
              <w:rPr>
                <w:rFonts w:ascii="Times New Roman"/>
                <w:sz w:val="20"/>
              </w:rPr>
            </w:pPr>
          </w:p>
        </w:tc>
        <w:tc>
          <w:tcPr>
            <w:tcW w:w="1470" w:type="dxa"/>
            <w:vAlign w:val="top"/>
          </w:tcPr>
          <w:p>
            <w:pPr>
              <w:pStyle w:val="14"/>
              <w:spacing w:before="5"/>
              <w:rPr>
                <w:sz w:val="23"/>
              </w:rPr>
            </w:pPr>
          </w:p>
          <w:p>
            <w:pPr>
              <w:pStyle w:val="14"/>
              <w:ind w:left="8"/>
              <w:jc w:val="center"/>
              <w:rPr>
                <w:sz w:val="22"/>
              </w:rPr>
            </w:pPr>
            <w:r>
              <w:rPr>
                <w:w w:val="100"/>
                <w:sz w:val="22"/>
              </w:rPr>
              <w:t>—</w:t>
            </w:r>
          </w:p>
        </w:tc>
      </w:tr>
    </w:tbl>
    <w:p>
      <w:pPr>
        <w:pStyle w:val="9"/>
        <w:spacing w:before="3"/>
        <w:ind w:left="731" w:right="890" w:firstLine="220"/>
      </w:pPr>
      <w:r>
        <w:t>注：此表由招标人填写，也可只列暂列金额总额，投标人应将上述暂列金额计入投标总价中。</w:t>
      </w:r>
    </w:p>
    <w:p>
      <w:pPr>
        <w:spacing w:after="0"/>
        <w:sectPr>
          <w:pgSz w:w="11910" w:h="16840"/>
          <w:pgMar w:top="1100" w:right="660" w:bottom="1200" w:left="800" w:header="878" w:footer="1003" w:gutter="0"/>
          <w:cols w:space="720" w:num="1"/>
        </w:sectPr>
      </w:pPr>
    </w:p>
    <w:p>
      <w:pPr>
        <w:pStyle w:val="9"/>
        <w:spacing w:before="1"/>
        <w:rPr>
          <w:sz w:val="18"/>
        </w:rPr>
      </w:pPr>
    </w:p>
    <w:p>
      <w:pPr>
        <w:pStyle w:val="9"/>
        <w:spacing w:before="70"/>
        <w:ind w:left="568" w:right="727"/>
        <w:jc w:val="center"/>
      </w:pPr>
      <w:r>
        <w:t>材料暂估单价表</w:t>
      </w:r>
    </w:p>
    <w:p>
      <w:pPr>
        <w:pStyle w:val="9"/>
      </w:pPr>
    </w:p>
    <w:p>
      <w:pPr>
        <w:pStyle w:val="9"/>
        <w:spacing w:before="8"/>
      </w:pPr>
    </w:p>
    <w:p>
      <w:pPr>
        <w:pStyle w:val="9"/>
        <w:tabs>
          <w:tab w:val="left" w:pos="4580"/>
          <w:tab w:val="left" w:pos="7880"/>
          <w:tab w:val="left" w:pos="8319"/>
          <w:tab w:val="left" w:pos="9090"/>
        </w:tabs>
        <w:spacing w:before="1"/>
        <w:ind w:left="731"/>
      </w:pPr>
      <w:r>
        <w:t>工</w:t>
      </w:r>
      <w:r>
        <w:rPr>
          <w:spacing w:val="-3"/>
        </w:rPr>
        <w:t>程</w:t>
      </w:r>
      <w:r>
        <w:t>名称：</w:t>
      </w:r>
      <w:r>
        <w:tab/>
      </w:r>
      <w:r>
        <w:t>标</w:t>
      </w:r>
      <w:r>
        <w:rPr>
          <w:spacing w:val="-3"/>
        </w:rPr>
        <w:t>段</w:t>
      </w:r>
      <w:r>
        <w:t>：</w:t>
      </w:r>
      <w:r>
        <w:tab/>
      </w:r>
      <w:r>
        <w:t>第</w:t>
      </w:r>
      <w:r>
        <w:tab/>
      </w:r>
      <w:r>
        <w:t>页 共</w:t>
      </w:r>
      <w:r>
        <w:tab/>
      </w:r>
      <w:r>
        <w:t>页</w:t>
      </w:r>
    </w:p>
    <w:p>
      <w:pPr>
        <w:pStyle w:val="9"/>
        <w:spacing w:before="6"/>
      </w:pPr>
    </w:p>
    <w:tbl>
      <w:tblPr>
        <w:tblW w:w="9545" w:type="dxa"/>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1037"/>
        <w:gridCol w:w="829"/>
        <w:gridCol w:w="829"/>
        <w:gridCol w:w="829"/>
        <w:gridCol w:w="1037"/>
        <w:gridCol w:w="1037"/>
        <w:gridCol w:w="1037"/>
        <w:gridCol w:w="1037"/>
        <w:gridCol w:w="1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77" w:hRule="atLeast"/>
        </w:trPr>
        <w:tc>
          <w:tcPr>
            <w:tcW w:w="829" w:type="dxa"/>
            <w:vAlign w:val="top"/>
          </w:tcPr>
          <w:p>
            <w:pPr>
              <w:pStyle w:val="14"/>
              <w:rPr>
                <w:sz w:val="22"/>
              </w:rPr>
            </w:pPr>
          </w:p>
          <w:p>
            <w:pPr>
              <w:pStyle w:val="14"/>
              <w:spacing w:before="4"/>
              <w:rPr>
                <w:sz w:val="32"/>
              </w:rPr>
            </w:pPr>
          </w:p>
          <w:p>
            <w:pPr>
              <w:pStyle w:val="14"/>
              <w:ind w:left="193"/>
              <w:rPr>
                <w:sz w:val="22"/>
              </w:rPr>
            </w:pPr>
            <w:r>
              <w:rPr>
                <w:sz w:val="22"/>
              </w:rPr>
              <w:t>序号</w:t>
            </w:r>
          </w:p>
        </w:tc>
        <w:tc>
          <w:tcPr>
            <w:tcW w:w="1037" w:type="dxa"/>
            <w:vAlign w:val="top"/>
          </w:tcPr>
          <w:p>
            <w:pPr>
              <w:pStyle w:val="14"/>
              <w:rPr>
                <w:sz w:val="22"/>
              </w:rPr>
            </w:pPr>
          </w:p>
          <w:p>
            <w:pPr>
              <w:pStyle w:val="14"/>
              <w:spacing w:before="4"/>
              <w:rPr>
                <w:sz w:val="21"/>
              </w:rPr>
            </w:pPr>
          </w:p>
          <w:p>
            <w:pPr>
              <w:pStyle w:val="14"/>
              <w:ind w:left="188" w:right="176"/>
              <w:rPr>
                <w:sz w:val="22"/>
              </w:rPr>
            </w:pPr>
            <w:r>
              <w:rPr>
                <w:sz w:val="22"/>
              </w:rPr>
              <w:t>项目清单编号</w:t>
            </w:r>
          </w:p>
        </w:tc>
        <w:tc>
          <w:tcPr>
            <w:tcW w:w="829" w:type="dxa"/>
            <w:vAlign w:val="top"/>
          </w:tcPr>
          <w:p>
            <w:pPr>
              <w:pStyle w:val="14"/>
              <w:rPr>
                <w:sz w:val="22"/>
              </w:rPr>
            </w:pPr>
          </w:p>
          <w:p>
            <w:pPr>
              <w:pStyle w:val="14"/>
              <w:spacing w:before="4"/>
              <w:rPr>
                <w:sz w:val="32"/>
              </w:rPr>
            </w:pPr>
          </w:p>
          <w:p>
            <w:pPr>
              <w:pStyle w:val="14"/>
              <w:ind w:left="108"/>
              <w:rPr>
                <w:sz w:val="22"/>
              </w:rPr>
            </w:pPr>
            <w:r>
              <w:rPr>
                <w:sz w:val="22"/>
              </w:rPr>
              <w:t>名称</w:t>
            </w:r>
          </w:p>
        </w:tc>
        <w:tc>
          <w:tcPr>
            <w:tcW w:w="829" w:type="dxa"/>
            <w:vAlign w:val="top"/>
          </w:tcPr>
          <w:p>
            <w:pPr>
              <w:pStyle w:val="14"/>
              <w:rPr>
                <w:sz w:val="22"/>
              </w:rPr>
            </w:pPr>
          </w:p>
          <w:p>
            <w:pPr>
              <w:pStyle w:val="14"/>
              <w:spacing w:before="4"/>
              <w:rPr>
                <w:sz w:val="21"/>
              </w:rPr>
            </w:pPr>
          </w:p>
          <w:p>
            <w:pPr>
              <w:pStyle w:val="14"/>
              <w:ind w:left="194" w:right="181"/>
              <w:rPr>
                <w:sz w:val="22"/>
              </w:rPr>
            </w:pPr>
            <w:r>
              <w:rPr>
                <w:sz w:val="22"/>
              </w:rPr>
              <w:t>规格型号</w:t>
            </w:r>
          </w:p>
        </w:tc>
        <w:tc>
          <w:tcPr>
            <w:tcW w:w="829" w:type="dxa"/>
            <w:vAlign w:val="top"/>
          </w:tcPr>
          <w:p>
            <w:pPr>
              <w:pStyle w:val="14"/>
              <w:rPr>
                <w:sz w:val="22"/>
              </w:rPr>
            </w:pPr>
          </w:p>
          <w:p>
            <w:pPr>
              <w:pStyle w:val="14"/>
              <w:spacing w:before="4"/>
              <w:rPr>
                <w:sz w:val="32"/>
              </w:rPr>
            </w:pPr>
          </w:p>
          <w:p>
            <w:pPr>
              <w:pStyle w:val="14"/>
              <w:ind w:left="193"/>
              <w:rPr>
                <w:sz w:val="22"/>
              </w:rPr>
            </w:pPr>
            <w:r>
              <w:rPr>
                <w:sz w:val="22"/>
              </w:rPr>
              <w:t>单位</w:t>
            </w:r>
          </w:p>
        </w:tc>
        <w:tc>
          <w:tcPr>
            <w:tcW w:w="1037" w:type="dxa"/>
            <w:vAlign w:val="top"/>
          </w:tcPr>
          <w:p>
            <w:pPr>
              <w:pStyle w:val="14"/>
              <w:rPr>
                <w:sz w:val="22"/>
              </w:rPr>
            </w:pPr>
          </w:p>
          <w:p>
            <w:pPr>
              <w:pStyle w:val="14"/>
              <w:spacing w:before="4"/>
              <w:rPr>
                <w:sz w:val="32"/>
              </w:rPr>
            </w:pPr>
          </w:p>
          <w:p>
            <w:pPr>
              <w:pStyle w:val="14"/>
              <w:ind w:left="297"/>
              <w:rPr>
                <w:sz w:val="22"/>
              </w:rPr>
            </w:pPr>
            <w:r>
              <w:rPr>
                <w:sz w:val="22"/>
              </w:rPr>
              <w:t>数量</w:t>
            </w:r>
          </w:p>
        </w:tc>
        <w:tc>
          <w:tcPr>
            <w:tcW w:w="1037" w:type="dxa"/>
            <w:vAlign w:val="top"/>
          </w:tcPr>
          <w:p>
            <w:pPr>
              <w:pStyle w:val="14"/>
              <w:spacing w:before="1"/>
              <w:rPr>
                <w:sz w:val="32"/>
              </w:rPr>
            </w:pPr>
          </w:p>
          <w:p>
            <w:pPr>
              <w:pStyle w:val="14"/>
              <w:ind w:left="187"/>
              <w:rPr>
                <w:sz w:val="22"/>
              </w:rPr>
            </w:pPr>
            <w:r>
              <w:rPr>
                <w:sz w:val="22"/>
              </w:rPr>
              <w:t>拟发包</w:t>
            </w:r>
          </w:p>
          <w:p>
            <w:pPr>
              <w:pStyle w:val="14"/>
              <w:spacing w:before="3" w:line="242" w:lineRule="auto"/>
              <w:ind w:left="297" w:right="36" w:hanging="190"/>
              <w:rPr>
                <w:sz w:val="22"/>
              </w:rPr>
            </w:pPr>
            <w:r>
              <w:rPr>
                <w:sz w:val="22"/>
              </w:rPr>
              <w:t>（采购） 方式</w:t>
            </w:r>
          </w:p>
        </w:tc>
        <w:tc>
          <w:tcPr>
            <w:tcW w:w="1037" w:type="dxa"/>
            <w:vAlign w:val="top"/>
          </w:tcPr>
          <w:p>
            <w:pPr>
              <w:pStyle w:val="14"/>
              <w:rPr>
                <w:sz w:val="22"/>
              </w:rPr>
            </w:pPr>
          </w:p>
          <w:p>
            <w:pPr>
              <w:pStyle w:val="14"/>
              <w:spacing w:before="4"/>
              <w:rPr>
                <w:sz w:val="21"/>
              </w:rPr>
            </w:pPr>
          </w:p>
          <w:p>
            <w:pPr>
              <w:pStyle w:val="14"/>
              <w:ind w:left="107" w:right="96"/>
              <w:rPr>
                <w:sz w:val="22"/>
              </w:rPr>
            </w:pPr>
            <w:r>
              <w:rPr>
                <w:sz w:val="22"/>
              </w:rPr>
              <w:t>发包(采购)人</w:t>
            </w:r>
          </w:p>
        </w:tc>
        <w:tc>
          <w:tcPr>
            <w:tcW w:w="1037" w:type="dxa"/>
            <w:vAlign w:val="top"/>
          </w:tcPr>
          <w:p>
            <w:pPr>
              <w:pStyle w:val="14"/>
              <w:rPr>
                <w:sz w:val="22"/>
              </w:rPr>
            </w:pPr>
          </w:p>
          <w:p>
            <w:pPr>
              <w:pStyle w:val="14"/>
              <w:spacing w:before="4"/>
              <w:rPr>
                <w:sz w:val="21"/>
              </w:rPr>
            </w:pPr>
          </w:p>
          <w:p>
            <w:pPr>
              <w:pStyle w:val="14"/>
              <w:tabs>
                <w:tab w:val="left" w:pos="707"/>
              </w:tabs>
              <w:ind w:left="107"/>
              <w:rPr>
                <w:sz w:val="22"/>
              </w:rPr>
            </w:pPr>
            <w:r>
              <w:rPr>
                <w:sz w:val="22"/>
              </w:rPr>
              <w:t>单</w:t>
            </w:r>
            <w:r>
              <w:rPr>
                <w:sz w:val="22"/>
              </w:rPr>
              <w:tab/>
            </w:r>
            <w:r>
              <w:rPr>
                <w:sz w:val="22"/>
              </w:rPr>
              <w:t>价</w:t>
            </w:r>
          </w:p>
          <w:p>
            <w:pPr>
              <w:pStyle w:val="14"/>
              <w:spacing w:before="1"/>
              <w:ind w:left="107"/>
              <w:rPr>
                <w:sz w:val="22"/>
              </w:rPr>
            </w:pPr>
            <w:r>
              <w:rPr>
                <w:sz w:val="22"/>
              </w:rPr>
              <w:t>（元）</w:t>
            </w:r>
          </w:p>
        </w:tc>
        <w:tc>
          <w:tcPr>
            <w:tcW w:w="1044" w:type="dxa"/>
            <w:vAlign w:val="top"/>
          </w:tcPr>
          <w:p>
            <w:pPr>
              <w:pStyle w:val="14"/>
              <w:rPr>
                <w:sz w:val="22"/>
              </w:rPr>
            </w:pPr>
          </w:p>
          <w:p>
            <w:pPr>
              <w:pStyle w:val="14"/>
              <w:spacing w:before="4"/>
              <w:rPr>
                <w:sz w:val="21"/>
              </w:rPr>
            </w:pPr>
          </w:p>
          <w:p>
            <w:pPr>
              <w:pStyle w:val="14"/>
              <w:ind w:left="301"/>
              <w:rPr>
                <w:sz w:val="22"/>
              </w:rPr>
            </w:pPr>
            <w:r>
              <w:rPr>
                <w:sz w:val="22"/>
              </w:rPr>
              <w:t>合价</w:t>
            </w:r>
          </w:p>
          <w:p>
            <w:pPr>
              <w:pStyle w:val="14"/>
              <w:spacing w:before="1"/>
              <w:ind w:left="191"/>
              <w:rPr>
                <w:sz w:val="22"/>
              </w:rPr>
            </w:pPr>
            <w:r>
              <w:rPr>
                <w:sz w:val="22"/>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30" w:hRule="atLeast"/>
        </w:trPr>
        <w:tc>
          <w:tcPr>
            <w:tcW w:w="829" w:type="dxa"/>
            <w:vAlign w:val="top"/>
          </w:tcPr>
          <w:p>
            <w:pPr>
              <w:pStyle w:val="14"/>
              <w:rPr>
                <w:rFonts w:ascii="Times New Roman"/>
                <w:sz w:val="20"/>
              </w:rPr>
            </w:pPr>
          </w:p>
        </w:tc>
        <w:tc>
          <w:tcPr>
            <w:tcW w:w="1037" w:type="dxa"/>
            <w:vAlign w:val="top"/>
          </w:tcPr>
          <w:p>
            <w:pPr>
              <w:pStyle w:val="14"/>
              <w:rPr>
                <w:rFonts w:ascii="Times New Roman"/>
                <w:sz w:val="20"/>
              </w:rPr>
            </w:pPr>
          </w:p>
        </w:tc>
        <w:tc>
          <w:tcPr>
            <w:tcW w:w="829" w:type="dxa"/>
            <w:vAlign w:val="top"/>
          </w:tcPr>
          <w:p>
            <w:pPr>
              <w:pStyle w:val="14"/>
              <w:rPr>
                <w:rFonts w:ascii="Times New Roman"/>
                <w:sz w:val="20"/>
              </w:rPr>
            </w:pPr>
          </w:p>
        </w:tc>
        <w:tc>
          <w:tcPr>
            <w:tcW w:w="829" w:type="dxa"/>
            <w:vAlign w:val="top"/>
          </w:tcPr>
          <w:p>
            <w:pPr>
              <w:pStyle w:val="14"/>
              <w:rPr>
                <w:rFonts w:ascii="Times New Roman"/>
                <w:sz w:val="20"/>
              </w:rPr>
            </w:pPr>
          </w:p>
        </w:tc>
        <w:tc>
          <w:tcPr>
            <w:tcW w:w="829"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4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31" w:hRule="atLeast"/>
        </w:trPr>
        <w:tc>
          <w:tcPr>
            <w:tcW w:w="829" w:type="dxa"/>
            <w:vAlign w:val="top"/>
          </w:tcPr>
          <w:p>
            <w:pPr>
              <w:pStyle w:val="14"/>
              <w:rPr>
                <w:rFonts w:ascii="Times New Roman"/>
                <w:sz w:val="20"/>
              </w:rPr>
            </w:pPr>
          </w:p>
        </w:tc>
        <w:tc>
          <w:tcPr>
            <w:tcW w:w="1037" w:type="dxa"/>
            <w:vAlign w:val="top"/>
          </w:tcPr>
          <w:p>
            <w:pPr>
              <w:pStyle w:val="14"/>
              <w:rPr>
                <w:rFonts w:ascii="Times New Roman"/>
                <w:sz w:val="20"/>
              </w:rPr>
            </w:pPr>
          </w:p>
        </w:tc>
        <w:tc>
          <w:tcPr>
            <w:tcW w:w="829" w:type="dxa"/>
            <w:vAlign w:val="top"/>
          </w:tcPr>
          <w:p>
            <w:pPr>
              <w:pStyle w:val="14"/>
              <w:rPr>
                <w:rFonts w:ascii="Times New Roman"/>
                <w:sz w:val="20"/>
              </w:rPr>
            </w:pPr>
          </w:p>
        </w:tc>
        <w:tc>
          <w:tcPr>
            <w:tcW w:w="829" w:type="dxa"/>
            <w:vAlign w:val="top"/>
          </w:tcPr>
          <w:p>
            <w:pPr>
              <w:pStyle w:val="14"/>
              <w:rPr>
                <w:rFonts w:ascii="Times New Roman"/>
                <w:sz w:val="20"/>
              </w:rPr>
            </w:pPr>
          </w:p>
        </w:tc>
        <w:tc>
          <w:tcPr>
            <w:tcW w:w="829"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4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31" w:hRule="atLeast"/>
        </w:trPr>
        <w:tc>
          <w:tcPr>
            <w:tcW w:w="829" w:type="dxa"/>
            <w:vAlign w:val="top"/>
          </w:tcPr>
          <w:p>
            <w:pPr>
              <w:pStyle w:val="14"/>
              <w:rPr>
                <w:rFonts w:ascii="Times New Roman"/>
                <w:sz w:val="20"/>
              </w:rPr>
            </w:pPr>
          </w:p>
        </w:tc>
        <w:tc>
          <w:tcPr>
            <w:tcW w:w="1037" w:type="dxa"/>
            <w:vAlign w:val="top"/>
          </w:tcPr>
          <w:p>
            <w:pPr>
              <w:pStyle w:val="14"/>
              <w:rPr>
                <w:rFonts w:ascii="Times New Roman"/>
                <w:sz w:val="20"/>
              </w:rPr>
            </w:pPr>
          </w:p>
        </w:tc>
        <w:tc>
          <w:tcPr>
            <w:tcW w:w="829" w:type="dxa"/>
            <w:vAlign w:val="top"/>
          </w:tcPr>
          <w:p>
            <w:pPr>
              <w:pStyle w:val="14"/>
              <w:rPr>
                <w:rFonts w:ascii="Times New Roman"/>
                <w:sz w:val="20"/>
              </w:rPr>
            </w:pPr>
          </w:p>
        </w:tc>
        <w:tc>
          <w:tcPr>
            <w:tcW w:w="829" w:type="dxa"/>
            <w:vAlign w:val="top"/>
          </w:tcPr>
          <w:p>
            <w:pPr>
              <w:pStyle w:val="14"/>
              <w:rPr>
                <w:rFonts w:ascii="Times New Roman"/>
                <w:sz w:val="20"/>
              </w:rPr>
            </w:pPr>
          </w:p>
        </w:tc>
        <w:tc>
          <w:tcPr>
            <w:tcW w:w="829"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4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30" w:hRule="atLeast"/>
        </w:trPr>
        <w:tc>
          <w:tcPr>
            <w:tcW w:w="829" w:type="dxa"/>
            <w:vAlign w:val="top"/>
          </w:tcPr>
          <w:p>
            <w:pPr>
              <w:pStyle w:val="14"/>
              <w:rPr>
                <w:rFonts w:ascii="Times New Roman"/>
                <w:sz w:val="20"/>
              </w:rPr>
            </w:pPr>
          </w:p>
        </w:tc>
        <w:tc>
          <w:tcPr>
            <w:tcW w:w="1037" w:type="dxa"/>
            <w:vAlign w:val="top"/>
          </w:tcPr>
          <w:p>
            <w:pPr>
              <w:pStyle w:val="14"/>
              <w:rPr>
                <w:rFonts w:ascii="Times New Roman"/>
                <w:sz w:val="20"/>
              </w:rPr>
            </w:pPr>
          </w:p>
        </w:tc>
        <w:tc>
          <w:tcPr>
            <w:tcW w:w="829" w:type="dxa"/>
            <w:vAlign w:val="top"/>
          </w:tcPr>
          <w:p>
            <w:pPr>
              <w:pStyle w:val="14"/>
              <w:rPr>
                <w:rFonts w:ascii="Times New Roman"/>
                <w:sz w:val="20"/>
              </w:rPr>
            </w:pPr>
          </w:p>
        </w:tc>
        <w:tc>
          <w:tcPr>
            <w:tcW w:w="829" w:type="dxa"/>
            <w:vAlign w:val="top"/>
          </w:tcPr>
          <w:p>
            <w:pPr>
              <w:pStyle w:val="14"/>
              <w:rPr>
                <w:rFonts w:ascii="Times New Roman"/>
                <w:sz w:val="20"/>
              </w:rPr>
            </w:pPr>
          </w:p>
        </w:tc>
        <w:tc>
          <w:tcPr>
            <w:tcW w:w="829"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4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31" w:hRule="atLeast"/>
        </w:trPr>
        <w:tc>
          <w:tcPr>
            <w:tcW w:w="829" w:type="dxa"/>
            <w:vAlign w:val="top"/>
          </w:tcPr>
          <w:p>
            <w:pPr>
              <w:pStyle w:val="14"/>
              <w:rPr>
                <w:rFonts w:ascii="Times New Roman"/>
                <w:sz w:val="20"/>
              </w:rPr>
            </w:pPr>
          </w:p>
        </w:tc>
        <w:tc>
          <w:tcPr>
            <w:tcW w:w="1037" w:type="dxa"/>
            <w:vAlign w:val="top"/>
          </w:tcPr>
          <w:p>
            <w:pPr>
              <w:pStyle w:val="14"/>
              <w:rPr>
                <w:rFonts w:ascii="Times New Roman"/>
                <w:sz w:val="20"/>
              </w:rPr>
            </w:pPr>
          </w:p>
        </w:tc>
        <w:tc>
          <w:tcPr>
            <w:tcW w:w="829" w:type="dxa"/>
            <w:vAlign w:val="top"/>
          </w:tcPr>
          <w:p>
            <w:pPr>
              <w:pStyle w:val="14"/>
              <w:rPr>
                <w:rFonts w:ascii="Times New Roman"/>
                <w:sz w:val="20"/>
              </w:rPr>
            </w:pPr>
          </w:p>
        </w:tc>
        <w:tc>
          <w:tcPr>
            <w:tcW w:w="829" w:type="dxa"/>
            <w:vAlign w:val="top"/>
          </w:tcPr>
          <w:p>
            <w:pPr>
              <w:pStyle w:val="14"/>
              <w:rPr>
                <w:rFonts w:ascii="Times New Roman"/>
                <w:sz w:val="20"/>
              </w:rPr>
            </w:pPr>
          </w:p>
        </w:tc>
        <w:tc>
          <w:tcPr>
            <w:tcW w:w="829"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4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30" w:hRule="atLeast"/>
        </w:trPr>
        <w:tc>
          <w:tcPr>
            <w:tcW w:w="829" w:type="dxa"/>
            <w:vAlign w:val="top"/>
          </w:tcPr>
          <w:p>
            <w:pPr>
              <w:pStyle w:val="14"/>
              <w:rPr>
                <w:rFonts w:ascii="Times New Roman"/>
                <w:sz w:val="20"/>
              </w:rPr>
            </w:pPr>
          </w:p>
        </w:tc>
        <w:tc>
          <w:tcPr>
            <w:tcW w:w="1037" w:type="dxa"/>
            <w:vAlign w:val="top"/>
          </w:tcPr>
          <w:p>
            <w:pPr>
              <w:pStyle w:val="14"/>
              <w:rPr>
                <w:rFonts w:ascii="Times New Roman"/>
                <w:sz w:val="20"/>
              </w:rPr>
            </w:pPr>
          </w:p>
        </w:tc>
        <w:tc>
          <w:tcPr>
            <w:tcW w:w="829" w:type="dxa"/>
            <w:vAlign w:val="top"/>
          </w:tcPr>
          <w:p>
            <w:pPr>
              <w:pStyle w:val="14"/>
              <w:rPr>
                <w:rFonts w:ascii="Times New Roman"/>
                <w:sz w:val="20"/>
              </w:rPr>
            </w:pPr>
          </w:p>
        </w:tc>
        <w:tc>
          <w:tcPr>
            <w:tcW w:w="829" w:type="dxa"/>
            <w:vAlign w:val="top"/>
          </w:tcPr>
          <w:p>
            <w:pPr>
              <w:pStyle w:val="14"/>
              <w:rPr>
                <w:rFonts w:ascii="Times New Roman"/>
                <w:sz w:val="20"/>
              </w:rPr>
            </w:pPr>
          </w:p>
        </w:tc>
        <w:tc>
          <w:tcPr>
            <w:tcW w:w="829"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37" w:type="dxa"/>
            <w:vAlign w:val="top"/>
          </w:tcPr>
          <w:p>
            <w:pPr>
              <w:pStyle w:val="14"/>
              <w:rPr>
                <w:rFonts w:ascii="Times New Roman"/>
                <w:sz w:val="20"/>
              </w:rPr>
            </w:pPr>
          </w:p>
        </w:tc>
        <w:tc>
          <w:tcPr>
            <w:tcW w:w="1044" w:type="dxa"/>
            <w:vAlign w:val="top"/>
          </w:tcPr>
          <w:p>
            <w:pPr>
              <w:pStyle w:val="14"/>
              <w:rPr>
                <w:rFonts w:ascii="Times New Roman"/>
                <w:sz w:val="20"/>
              </w:rPr>
            </w:pPr>
          </w:p>
        </w:tc>
      </w:tr>
    </w:tbl>
    <w:p>
      <w:pPr>
        <w:pStyle w:val="9"/>
        <w:spacing w:before="2"/>
        <w:ind w:left="1501" w:right="892" w:hanging="550"/>
      </w:pPr>
      <w:r>
        <w:rPr>
          <w:spacing w:val="-8"/>
        </w:rPr>
        <w:t>注：</w:t>
      </w:r>
      <w:r>
        <w:rPr>
          <w:spacing w:val="-11"/>
        </w:rPr>
        <w:t>1</w:t>
      </w:r>
      <w:r>
        <w:rPr>
          <w:spacing w:val="-7"/>
        </w:rPr>
        <w:t>. 此表由招标人填写，并在备注栏说明暂估价的材料拟用在哪些清单项目上，投标人</w:t>
      </w:r>
      <w:r>
        <w:rPr>
          <w:spacing w:val="-3"/>
        </w:rPr>
        <w:t>应将上述材料暂估单价计入工程量清单综合单价报价中。</w:t>
      </w:r>
    </w:p>
    <w:p>
      <w:pPr>
        <w:pStyle w:val="9"/>
        <w:spacing w:before="7"/>
        <w:ind w:left="1360"/>
      </w:pPr>
      <w:r>
        <w:t>2. 材料包括原材料、燃料、构配件以及按规定应计入建筑安装工程造价的设备。</w:t>
      </w:r>
    </w:p>
    <w:p>
      <w:pPr>
        <w:spacing w:after="0"/>
        <w:sectPr>
          <w:pgSz w:w="11910" w:h="16840"/>
          <w:pgMar w:top="1100" w:right="660" w:bottom="1200" w:left="800" w:header="878" w:footer="1003" w:gutter="0"/>
          <w:cols w:space="720" w:num="1"/>
        </w:sectPr>
      </w:pPr>
    </w:p>
    <w:p>
      <w:pPr>
        <w:pStyle w:val="9"/>
        <w:spacing w:before="1"/>
        <w:rPr>
          <w:sz w:val="18"/>
        </w:rPr>
      </w:pPr>
    </w:p>
    <w:p>
      <w:pPr>
        <w:pStyle w:val="9"/>
        <w:spacing w:before="70"/>
        <w:ind w:left="1881" w:right="727"/>
        <w:jc w:val="center"/>
      </w:pPr>
      <w:r>
        <w:t>专业工程暂估价表</w:t>
      </w:r>
    </w:p>
    <w:p>
      <w:pPr>
        <w:pStyle w:val="9"/>
      </w:pPr>
    </w:p>
    <w:p>
      <w:pPr>
        <w:pStyle w:val="9"/>
        <w:spacing w:before="8"/>
      </w:pPr>
    </w:p>
    <w:p>
      <w:pPr>
        <w:pStyle w:val="9"/>
        <w:tabs>
          <w:tab w:val="left" w:pos="4470"/>
          <w:tab w:val="left" w:pos="7770"/>
          <w:tab w:val="left" w:pos="8211"/>
          <w:tab w:val="left" w:pos="8979"/>
        </w:tabs>
        <w:spacing w:before="1" w:after="2"/>
        <w:ind w:left="1060"/>
      </w:pPr>
      <w:r>
        <w:t>工</w:t>
      </w:r>
      <w:r>
        <w:rPr>
          <w:spacing w:val="-3"/>
        </w:rPr>
        <w:t>程</w:t>
      </w:r>
      <w:r>
        <w:t>名称：</w:t>
      </w:r>
      <w:r>
        <w:tab/>
      </w:r>
      <w:r>
        <w:t>标</w:t>
      </w:r>
      <w:r>
        <w:rPr>
          <w:spacing w:val="-3"/>
        </w:rPr>
        <w:t>段</w:t>
      </w:r>
      <w:r>
        <w:t>：</w:t>
      </w:r>
      <w:r>
        <w:tab/>
      </w:r>
      <w:r>
        <w:t>第</w:t>
      </w:r>
      <w:r>
        <w:tab/>
      </w:r>
      <w:r>
        <w:t>页</w:t>
      </w:r>
      <w:r>
        <w:rPr>
          <w:spacing w:val="-3"/>
        </w:rPr>
        <w:t xml:space="preserve"> </w:t>
      </w:r>
      <w:r>
        <w:t>共</w:t>
      </w:r>
      <w:r>
        <w:tab/>
      </w:r>
      <w:r>
        <w:t>页</w:t>
      </w:r>
    </w:p>
    <w:tbl>
      <w:tblPr>
        <w:tblW w:w="9551" w:type="dxa"/>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9"/>
        <w:gridCol w:w="2282"/>
        <w:gridCol w:w="2057"/>
        <w:gridCol w:w="1790"/>
        <w:gridCol w:w="2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59" w:hRule="atLeast"/>
        </w:trPr>
        <w:tc>
          <w:tcPr>
            <w:tcW w:w="1039" w:type="dxa"/>
            <w:vAlign w:val="top"/>
          </w:tcPr>
          <w:p>
            <w:pPr>
              <w:pStyle w:val="14"/>
              <w:rPr>
                <w:sz w:val="22"/>
              </w:rPr>
            </w:pPr>
          </w:p>
          <w:p>
            <w:pPr>
              <w:pStyle w:val="14"/>
              <w:spacing w:before="156"/>
              <w:ind w:left="297"/>
              <w:rPr>
                <w:sz w:val="22"/>
              </w:rPr>
            </w:pPr>
            <w:r>
              <w:rPr>
                <w:sz w:val="22"/>
              </w:rPr>
              <w:t>序号</w:t>
            </w:r>
          </w:p>
        </w:tc>
        <w:tc>
          <w:tcPr>
            <w:tcW w:w="2282" w:type="dxa"/>
            <w:vAlign w:val="top"/>
          </w:tcPr>
          <w:p>
            <w:pPr>
              <w:pStyle w:val="14"/>
              <w:rPr>
                <w:sz w:val="22"/>
              </w:rPr>
            </w:pPr>
          </w:p>
          <w:p>
            <w:pPr>
              <w:pStyle w:val="14"/>
              <w:spacing w:before="156"/>
              <w:ind w:left="701"/>
              <w:rPr>
                <w:sz w:val="22"/>
              </w:rPr>
            </w:pPr>
            <w:r>
              <w:rPr>
                <w:sz w:val="22"/>
              </w:rPr>
              <w:t>项目名称</w:t>
            </w:r>
          </w:p>
        </w:tc>
        <w:tc>
          <w:tcPr>
            <w:tcW w:w="2057" w:type="dxa"/>
            <w:vAlign w:val="top"/>
          </w:tcPr>
          <w:p>
            <w:pPr>
              <w:pStyle w:val="14"/>
              <w:spacing w:before="1"/>
              <w:rPr>
                <w:sz w:val="23"/>
              </w:rPr>
            </w:pPr>
          </w:p>
          <w:p>
            <w:pPr>
              <w:pStyle w:val="14"/>
              <w:spacing w:line="242" w:lineRule="auto"/>
              <w:ind w:left="917" w:right="136" w:hanging="771"/>
              <w:rPr>
                <w:sz w:val="22"/>
              </w:rPr>
            </w:pPr>
            <w:r>
              <w:rPr>
                <w:sz w:val="22"/>
              </w:rPr>
              <w:t>拟发包（采购）方式</w:t>
            </w:r>
          </w:p>
        </w:tc>
        <w:tc>
          <w:tcPr>
            <w:tcW w:w="1790" w:type="dxa"/>
            <w:vAlign w:val="top"/>
          </w:tcPr>
          <w:p>
            <w:pPr>
              <w:pStyle w:val="14"/>
              <w:rPr>
                <w:sz w:val="22"/>
              </w:rPr>
            </w:pPr>
          </w:p>
          <w:p>
            <w:pPr>
              <w:pStyle w:val="14"/>
              <w:spacing w:before="156"/>
              <w:ind w:left="125"/>
              <w:rPr>
                <w:sz w:val="22"/>
              </w:rPr>
            </w:pPr>
            <w:r>
              <w:rPr>
                <w:sz w:val="22"/>
              </w:rPr>
              <w:t>发包（采购）人</w:t>
            </w:r>
          </w:p>
        </w:tc>
        <w:tc>
          <w:tcPr>
            <w:tcW w:w="2383" w:type="dxa"/>
            <w:vAlign w:val="top"/>
          </w:tcPr>
          <w:p>
            <w:pPr>
              <w:pStyle w:val="14"/>
              <w:rPr>
                <w:sz w:val="22"/>
              </w:rPr>
            </w:pPr>
          </w:p>
          <w:p>
            <w:pPr>
              <w:pStyle w:val="14"/>
              <w:spacing w:before="156"/>
              <w:ind w:left="641"/>
              <w:rPr>
                <w:sz w:val="22"/>
              </w:rPr>
            </w:pPr>
            <w:r>
              <w:rPr>
                <w:sz w:val="22"/>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5" w:hRule="atLeast"/>
        </w:trPr>
        <w:tc>
          <w:tcPr>
            <w:tcW w:w="1039" w:type="dxa"/>
            <w:vAlign w:val="top"/>
          </w:tcPr>
          <w:p>
            <w:pPr>
              <w:pStyle w:val="14"/>
              <w:rPr>
                <w:rFonts w:ascii="Times New Roman"/>
                <w:sz w:val="20"/>
              </w:rPr>
            </w:pPr>
          </w:p>
        </w:tc>
        <w:tc>
          <w:tcPr>
            <w:tcW w:w="2282" w:type="dxa"/>
            <w:vAlign w:val="top"/>
          </w:tcPr>
          <w:p>
            <w:pPr>
              <w:pStyle w:val="14"/>
              <w:rPr>
                <w:rFonts w:ascii="Times New Roman"/>
                <w:sz w:val="20"/>
              </w:rPr>
            </w:pPr>
          </w:p>
        </w:tc>
        <w:tc>
          <w:tcPr>
            <w:tcW w:w="2057" w:type="dxa"/>
            <w:vAlign w:val="top"/>
          </w:tcPr>
          <w:p>
            <w:pPr>
              <w:pStyle w:val="14"/>
              <w:rPr>
                <w:rFonts w:ascii="Times New Roman"/>
                <w:sz w:val="20"/>
              </w:rPr>
            </w:pPr>
          </w:p>
        </w:tc>
        <w:tc>
          <w:tcPr>
            <w:tcW w:w="1790" w:type="dxa"/>
            <w:vAlign w:val="top"/>
          </w:tcPr>
          <w:p>
            <w:pPr>
              <w:pStyle w:val="14"/>
              <w:rPr>
                <w:rFonts w:ascii="Times New Roman"/>
                <w:sz w:val="20"/>
              </w:rPr>
            </w:pPr>
          </w:p>
        </w:tc>
        <w:tc>
          <w:tcPr>
            <w:tcW w:w="238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5" w:hRule="atLeast"/>
        </w:trPr>
        <w:tc>
          <w:tcPr>
            <w:tcW w:w="1039" w:type="dxa"/>
            <w:vAlign w:val="top"/>
          </w:tcPr>
          <w:p>
            <w:pPr>
              <w:pStyle w:val="14"/>
              <w:rPr>
                <w:rFonts w:ascii="Times New Roman"/>
                <w:sz w:val="20"/>
              </w:rPr>
            </w:pPr>
          </w:p>
        </w:tc>
        <w:tc>
          <w:tcPr>
            <w:tcW w:w="2282" w:type="dxa"/>
            <w:vAlign w:val="top"/>
          </w:tcPr>
          <w:p>
            <w:pPr>
              <w:pStyle w:val="14"/>
              <w:rPr>
                <w:rFonts w:ascii="Times New Roman"/>
                <w:sz w:val="20"/>
              </w:rPr>
            </w:pPr>
          </w:p>
        </w:tc>
        <w:tc>
          <w:tcPr>
            <w:tcW w:w="2057" w:type="dxa"/>
            <w:vAlign w:val="top"/>
          </w:tcPr>
          <w:p>
            <w:pPr>
              <w:pStyle w:val="14"/>
              <w:rPr>
                <w:rFonts w:ascii="Times New Roman"/>
                <w:sz w:val="20"/>
              </w:rPr>
            </w:pPr>
          </w:p>
        </w:tc>
        <w:tc>
          <w:tcPr>
            <w:tcW w:w="1790" w:type="dxa"/>
            <w:vAlign w:val="top"/>
          </w:tcPr>
          <w:p>
            <w:pPr>
              <w:pStyle w:val="14"/>
              <w:rPr>
                <w:rFonts w:ascii="Times New Roman"/>
                <w:sz w:val="20"/>
              </w:rPr>
            </w:pPr>
          </w:p>
        </w:tc>
        <w:tc>
          <w:tcPr>
            <w:tcW w:w="238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5" w:hRule="atLeast"/>
        </w:trPr>
        <w:tc>
          <w:tcPr>
            <w:tcW w:w="1039" w:type="dxa"/>
            <w:vAlign w:val="top"/>
          </w:tcPr>
          <w:p>
            <w:pPr>
              <w:pStyle w:val="14"/>
              <w:rPr>
                <w:rFonts w:ascii="Times New Roman"/>
                <w:sz w:val="20"/>
              </w:rPr>
            </w:pPr>
          </w:p>
        </w:tc>
        <w:tc>
          <w:tcPr>
            <w:tcW w:w="2282" w:type="dxa"/>
            <w:vAlign w:val="top"/>
          </w:tcPr>
          <w:p>
            <w:pPr>
              <w:pStyle w:val="14"/>
              <w:rPr>
                <w:rFonts w:ascii="Times New Roman"/>
                <w:sz w:val="20"/>
              </w:rPr>
            </w:pPr>
          </w:p>
        </w:tc>
        <w:tc>
          <w:tcPr>
            <w:tcW w:w="2057" w:type="dxa"/>
            <w:vAlign w:val="top"/>
          </w:tcPr>
          <w:p>
            <w:pPr>
              <w:pStyle w:val="14"/>
              <w:rPr>
                <w:rFonts w:ascii="Times New Roman"/>
                <w:sz w:val="20"/>
              </w:rPr>
            </w:pPr>
          </w:p>
        </w:tc>
        <w:tc>
          <w:tcPr>
            <w:tcW w:w="1790" w:type="dxa"/>
            <w:vAlign w:val="top"/>
          </w:tcPr>
          <w:p>
            <w:pPr>
              <w:pStyle w:val="14"/>
              <w:rPr>
                <w:rFonts w:ascii="Times New Roman"/>
                <w:sz w:val="20"/>
              </w:rPr>
            </w:pPr>
          </w:p>
        </w:tc>
        <w:tc>
          <w:tcPr>
            <w:tcW w:w="238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5" w:hRule="atLeast"/>
        </w:trPr>
        <w:tc>
          <w:tcPr>
            <w:tcW w:w="1039" w:type="dxa"/>
            <w:vAlign w:val="top"/>
          </w:tcPr>
          <w:p>
            <w:pPr>
              <w:pStyle w:val="14"/>
              <w:rPr>
                <w:rFonts w:ascii="Times New Roman"/>
                <w:sz w:val="20"/>
              </w:rPr>
            </w:pPr>
          </w:p>
        </w:tc>
        <w:tc>
          <w:tcPr>
            <w:tcW w:w="2282" w:type="dxa"/>
            <w:vAlign w:val="top"/>
          </w:tcPr>
          <w:p>
            <w:pPr>
              <w:pStyle w:val="14"/>
              <w:rPr>
                <w:rFonts w:ascii="Times New Roman"/>
                <w:sz w:val="20"/>
              </w:rPr>
            </w:pPr>
          </w:p>
        </w:tc>
        <w:tc>
          <w:tcPr>
            <w:tcW w:w="2057" w:type="dxa"/>
            <w:vAlign w:val="top"/>
          </w:tcPr>
          <w:p>
            <w:pPr>
              <w:pStyle w:val="14"/>
              <w:rPr>
                <w:rFonts w:ascii="Times New Roman"/>
                <w:sz w:val="20"/>
              </w:rPr>
            </w:pPr>
          </w:p>
        </w:tc>
        <w:tc>
          <w:tcPr>
            <w:tcW w:w="1790" w:type="dxa"/>
            <w:vAlign w:val="top"/>
          </w:tcPr>
          <w:p>
            <w:pPr>
              <w:pStyle w:val="14"/>
              <w:rPr>
                <w:rFonts w:ascii="Times New Roman"/>
                <w:sz w:val="20"/>
              </w:rPr>
            </w:pPr>
          </w:p>
        </w:tc>
        <w:tc>
          <w:tcPr>
            <w:tcW w:w="238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5" w:hRule="atLeast"/>
        </w:trPr>
        <w:tc>
          <w:tcPr>
            <w:tcW w:w="1039" w:type="dxa"/>
            <w:vAlign w:val="top"/>
          </w:tcPr>
          <w:p>
            <w:pPr>
              <w:pStyle w:val="14"/>
              <w:rPr>
                <w:rFonts w:ascii="Times New Roman"/>
                <w:sz w:val="20"/>
              </w:rPr>
            </w:pPr>
          </w:p>
        </w:tc>
        <w:tc>
          <w:tcPr>
            <w:tcW w:w="2282" w:type="dxa"/>
            <w:vAlign w:val="top"/>
          </w:tcPr>
          <w:p>
            <w:pPr>
              <w:pStyle w:val="14"/>
              <w:rPr>
                <w:rFonts w:ascii="Times New Roman"/>
                <w:sz w:val="20"/>
              </w:rPr>
            </w:pPr>
          </w:p>
        </w:tc>
        <w:tc>
          <w:tcPr>
            <w:tcW w:w="2057" w:type="dxa"/>
            <w:vAlign w:val="top"/>
          </w:tcPr>
          <w:p>
            <w:pPr>
              <w:pStyle w:val="14"/>
              <w:rPr>
                <w:rFonts w:ascii="Times New Roman"/>
                <w:sz w:val="20"/>
              </w:rPr>
            </w:pPr>
          </w:p>
        </w:tc>
        <w:tc>
          <w:tcPr>
            <w:tcW w:w="1790" w:type="dxa"/>
            <w:vAlign w:val="top"/>
          </w:tcPr>
          <w:p>
            <w:pPr>
              <w:pStyle w:val="14"/>
              <w:rPr>
                <w:rFonts w:ascii="Times New Roman"/>
                <w:sz w:val="20"/>
              </w:rPr>
            </w:pPr>
          </w:p>
        </w:tc>
        <w:tc>
          <w:tcPr>
            <w:tcW w:w="238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5" w:hRule="atLeast"/>
        </w:trPr>
        <w:tc>
          <w:tcPr>
            <w:tcW w:w="1039" w:type="dxa"/>
            <w:vAlign w:val="top"/>
          </w:tcPr>
          <w:p>
            <w:pPr>
              <w:pStyle w:val="14"/>
              <w:rPr>
                <w:rFonts w:ascii="Times New Roman"/>
                <w:sz w:val="20"/>
              </w:rPr>
            </w:pPr>
          </w:p>
        </w:tc>
        <w:tc>
          <w:tcPr>
            <w:tcW w:w="2282" w:type="dxa"/>
            <w:vAlign w:val="top"/>
          </w:tcPr>
          <w:p>
            <w:pPr>
              <w:pStyle w:val="14"/>
              <w:rPr>
                <w:rFonts w:ascii="Times New Roman"/>
                <w:sz w:val="20"/>
              </w:rPr>
            </w:pPr>
          </w:p>
        </w:tc>
        <w:tc>
          <w:tcPr>
            <w:tcW w:w="2057" w:type="dxa"/>
            <w:vAlign w:val="top"/>
          </w:tcPr>
          <w:p>
            <w:pPr>
              <w:pStyle w:val="14"/>
              <w:rPr>
                <w:rFonts w:ascii="Times New Roman"/>
                <w:sz w:val="20"/>
              </w:rPr>
            </w:pPr>
          </w:p>
        </w:tc>
        <w:tc>
          <w:tcPr>
            <w:tcW w:w="1790" w:type="dxa"/>
            <w:vAlign w:val="top"/>
          </w:tcPr>
          <w:p>
            <w:pPr>
              <w:pStyle w:val="14"/>
              <w:rPr>
                <w:rFonts w:ascii="Times New Roman"/>
                <w:sz w:val="20"/>
              </w:rPr>
            </w:pPr>
          </w:p>
        </w:tc>
        <w:tc>
          <w:tcPr>
            <w:tcW w:w="238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5" w:hRule="atLeast"/>
        </w:trPr>
        <w:tc>
          <w:tcPr>
            <w:tcW w:w="1039" w:type="dxa"/>
            <w:vAlign w:val="top"/>
          </w:tcPr>
          <w:p>
            <w:pPr>
              <w:pStyle w:val="14"/>
              <w:rPr>
                <w:rFonts w:ascii="Times New Roman"/>
                <w:sz w:val="20"/>
              </w:rPr>
            </w:pPr>
          </w:p>
        </w:tc>
        <w:tc>
          <w:tcPr>
            <w:tcW w:w="2282" w:type="dxa"/>
            <w:vAlign w:val="top"/>
          </w:tcPr>
          <w:p>
            <w:pPr>
              <w:pStyle w:val="14"/>
              <w:rPr>
                <w:rFonts w:ascii="Times New Roman"/>
                <w:sz w:val="20"/>
              </w:rPr>
            </w:pPr>
          </w:p>
        </w:tc>
        <w:tc>
          <w:tcPr>
            <w:tcW w:w="2057" w:type="dxa"/>
            <w:vAlign w:val="top"/>
          </w:tcPr>
          <w:p>
            <w:pPr>
              <w:pStyle w:val="14"/>
              <w:rPr>
                <w:rFonts w:ascii="Times New Roman"/>
                <w:sz w:val="20"/>
              </w:rPr>
            </w:pPr>
          </w:p>
        </w:tc>
        <w:tc>
          <w:tcPr>
            <w:tcW w:w="1790" w:type="dxa"/>
            <w:vAlign w:val="top"/>
          </w:tcPr>
          <w:p>
            <w:pPr>
              <w:pStyle w:val="14"/>
              <w:rPr>
                <w:rFonts w:ascii="Times New Roman"/>
                <w:sz w:val="20"/>
              </w:rPr>
            </w:pPr>
          </w:p>
        </w:tc>
        <w:tc>
          <w:tcPr>
            <w:tcW w:w="238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5" w:hRule="atLeast"/>
        </w:trPr>
        <w:tc>
          <w:tcPr>
            <w:tcW w:w="1039" w:type="dxa"/>
            <w:vAlign w:val="top"/>
          </w:tcPr>
          <w:p>
            <w:pPr>
              <w:pStyle w:val="14"/>
              <w:rPr>
                <w:rFonts w:ascii="Times New Roman"/>
                <w:sz w:val="20"/>
              </w:rPr>
            </w:pPr>
          </w:p>
        </w:tc>
        <w:tc>
          <w:tcPr>
            <w:tcW w:w="2282" w:type="dxa"/>
            <w:vAlign w:val="top"/>
          </w:tcPr>
          <w:p>
            <w:pPr>
              <w:pStyle w:val="14"/>
              <w:rPr>
                <w:rFonts w:ascii="Times New Roman"/>
                <w:sz w:val="20"/>
              </w:rPr>
            </w:pPr>
          </w:p>
        </w:tc>
        <w:tc>
          <w:tcPr>
            <w:tcW w:w="2057" w:type="dxa"/>
            <w:vAlign w:val="top"/>
          </w:tcPr>
          <w:p>
            <w:pPr>
              <w:pStyle w:val="14"/>
              <w:rPr>
                <w:rFonts w:ascii="Times New Roman"/>
                <w:sz w:val="20"/>
              </w:rPr>
            </w:pPr>
          </w:p>
        </w:tc>
        <w:tc>
          <w:tcPr>
            <w:tcW w:w="1790" w:type="dxa"/>
            <w:vAlign w:val="top"/>
          </w:tcPr>
          <w:p>
            <w:pPr>
              <w:pStyle w:val="14"/>
              <w:rPr>
                <w:rFonts w:ascii="Times New Roman"/>
                <w:sz w:val="20"/>
              </w:rPr>
            </w:pPr>
          </w:p>
        </w:tc>
        <w:tc>
          <w:tcPr>
            <w:tcW w:w="238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5" w:hRule="atLeast"/>
        </w:trPr>
        <w:tc>
          <w:tcPr>
            <w:tcW w:w="1039" w:type="dxa"/>
            <w:vAlign w:val="top"/>
          </w:tcPr>
          <w:p>
            <w:pPr>
              <w:pStyle w:val="14"/>
              <w:rPr>
                <w:rFonts w:ascii="Times New Roman"/>
                <w:sz w:val="20"/>
              </w:rPr>
            </w:pPr>
          </w:p>
        </w:tc>
        <w:tc>
          <w:tcPr>
            <w:tcW w:w="2282" w:type="dxa"/>
            <w:vAlign w:val="top"/>
          </w:tcPr>
          <w:p>
            <w:pPr>
              <w:pStyle w:val="14"/>
              <w:rPr>
                <w:rFonts w:ascii="Times New Roman"/>
                <w:sz w:val="20"/>
              </w:rPr>
            </w:pPr>
          </w:p>
        </w:tc>
        <w:tc>
          <w:tcPr>
            <w:tcW w:w="2057" w:type="dxa"/>
            <w:vAlign w:val="top"/>
          </w:tcPr>
          <w:p>
            <w:pPr>
              <w:pStyle w:val="14"/>
              <w:rPr>
                <w:rFonts w:ascii="Times New Roman"/>
                <w:sz w:val="20"/>
              </w:rPr>
            </w:pPr>
          </w:p>
        </w:tc>
        <w:tc>
          <w:tcPr>
            <w:tcW w:w="1790" w:type="dxa"/>
            <w:vAlign w:val="top"/>
          </w:tcPr>
          <w:p>
            <w:pPr>
              <w:pStyle w:val="14"/>
              <w:rPr>
                <w:rFonts w:ascii="Times New Roman"/>
                <w:sz w:val="20"/>
              </w:rPr>
            </w:pPr>
          </w:p>
        </w:tc>
        <w:tc>
          <w:tcPr>
            <w:tcW w:w="238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87" w:hRule="atLeast"/>
        </w:trPr>
        <w:tc>
          <w:tcPr>
            <w:tcW w:w="7168" w:type="dxa"/>
            <w:gridSpan w:val="4"/>
            <w:vAlign w:val="top"/>
          </w:tcPr>
          <w:p>
            <w:pPr>
              <w:pStyle w:val="14"/>
              <w:rPr>
                <w:sz w:val="22"/>
              </w:rPr>
            </w:pPr>
          </w:p>
          <w:p>
            <w:pPr>
              <w:pStyle w:val="14"/>
              <w:spacing w:before="170"/>
              <w:ind w:left="3343" w:right="3335"/>
              <w:jc w:val="center"/>
              <w:rPr>
                <w:sz w:val="22"/>
              </w:rPr>
            </w:pPr>
            <w:r>
              <w:rPr>
                <w:sz w:val="22"/>
              </w:rPr>
              <w:t>合计</w:t>
            </w:r>
          </w:p>
        </w:tc>
        <w:tc>
          <w:tcPr>
            <w:tcW w:w="2383" w:type="dxa"/>
            <w:vAlign w:val="top"/>
          </w:tcPr>
          <w:p>
            <w:pPr>
              <w:pStyle w:val="14"/>
              <w:rPr>
                <w:rFonts w:ascii="Times New Roman"/>
                <w:sz w:val="20"/>
              </w:rPr>
            </w:pPr>
          </w:p>
        </w:tc>
      </w:tr>
    </w:tbl>
    <w:p>
      <w:pPr>
        <w:pStyle w:val="9"/>
        <w:spacing w:before="1"/>
        <w:ind w:left="951"/>
      </w:pPr>
      <w:r>
        <w:t>注： 此表由招标人填写，投标人应将上述专业工程暂估价计入投标总价中。</w:t>
      </w:r>
    </w:p>
    <w:p>
      <w:pPr>
        <w:spacing w:after="0"/>
        <w:sectPr>
          <w:pgSz w:w="11910" w:h="16840"/>
          <w:pgMar w:top="1100" w:right="660" w:bottom="1200" w:left="800" w:header="878" w:footer="1003" w:gutter="0"/>
          <w:cols w:space="720" w:num="1"/>
        </w:sectPr>
      </w:pPr>
    </w:p>
    <w:p>
      <w:pPr>
        <w:pStyle w:val="9"/>
        <w:spacing w:before="1"/>
        <w:rPr>
          <w:sz w:val="18"/>
        </w:rPr>
      </w:pPr>
    </w:p>
    <w:p>
      <w:pPr>
        <w:pStyle w:val="9"/>
        <w:spacing w:before="70"/>
        <w:ind w:left="566" w:right="727"/>
        <w:jc w:val="center"/>
      </w:pPr>
      <w:r>
        <w:t>计 日 工 表</w:t>
      </w:r>
    </w:p>
    <w:p>
      <w:pPr>
        <w:pStyle w:val="9"/>
      </w:pPr>
    </w:p>
    <w:p>
      <w:pPr>
        <w:pStyle w:val="9"/>
      </w:pPr>
    </w:p>
    <w:p>
      <w:pPr>
        <w:pStyle w:val="9"/>
        <w:spacing w:before="12"/>
      </w:pPr>
    </w:p>
    <w:p>
      <w:pPr>
        <w:pStyle w:val="9"/>
        <w:tabs>
          <w:tab w:val="left" w:pos="4141"/>
          <w:tab w:val="left" w:pos="6891"/>
          <w:tab w:val="left" w:pos="7331"/>
          <w:tab w:val="left" w:pos="8101"/>
        </w:tabs>
        <w:spacing w:after="4"/>
        <w:ind w:left="731"/>
      </w:pPr>
      <w:r>
        <w:t>工</w:t>
      </w:r>
      <w:r>
        <w:rPr>
          <w:spacing w:val="-3"/>
        </w:rPr>
        <w:t>程</w:t>
      </w:r>
      <w:r>
        <w:t>名称：</w:t>
      </w:r>
      <w:r>
        <w:tab/>
      </w:r>
      <w:r>
        <w:t>标</w:t>
      </w:r>
      <w:r>
        <w:rPr>
          <w:spacing w:val="-3"/>
        </w:rPr>
        <w:t>段</w:t>
      </w:r>
      <w:r>
        <w:t>：</w:t>
      </w:r>
      <w:r>
        <w:tab/>
      </w:r>
      <w:r>
        <w:t>第</w:t>
      </w:r>
      <w:r>
        <w:tab/>
      </w:r>
      <w:r>
        <w:t>页</w:t>
      </w:r>
      <w:r>
        <w:rPr>
          <w:spacing w:val="-3"/>
        </w:rPr>
        <w:t xml:space="preserve"> </w:t>
      </w:r>
      <w:r>
        <w:t>共</w:t>
      </w:r>
      <w:r>
        <w:tab/>
      </w:r>
      <w:r>
        <w:t>页</w:t>
      </w:r>
    </w:p>
    <w:tbl>
      <w:tblPr>
        <w:tblW w:w="9556" w:type="dxa"/>
        <w:tblInd w:w="3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2896"/>
        <w:gridCol w:w="1003"/>
        <w:gridCol w:w="1448"/>
        <w:gridCol w:w="1758"/>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85" w:hRule="atLeast"/>
        </w:trPr>
        <w:tc>
          <w:tcPr>
            <w:tcW w:w="891" w:type="dxa"/>
            <w:vAlign w:val="top"/>
          </w:tcPr>
          <w:p>
            <w:pPr>
              <w:pStyle w:val="14"/>
              <w:rPr>
                <w:sz w:val="22"/>
              </w:rPr>
            </w:pPr>
          </w:p>
          <w:p>
            <w:pPr>
              <w:pStyle w:val="14"/>
              <w:spacing w:before="167"/>
              <w:ind w:left="204" w:right="196"/>
              <w:jc w:val="center"/>
              <w:rPr>
                <w:sz w:val="22"/>
              </w:rPr>
            </w:pPr>
            <w:r>
              <w:rPr>
                <w:sz w:val="22"/>
              </w:rPr>
              <w:t>编号</w:t>
            </w:r>
          </w:p>
        </w:tc>
        <w:tc>
          <w:tcPr>
            <w:tcW w:w="2896" w:type="dxa"/>
            <w:vAlign w:val="top"/>
          </w:tcPr>
          <w:p>
            <w:pPr>
              <w:pStyle w:val="14"/>
              <w:rPr>
                <w:sz w:val="22"/>
              </w:rPr>
            </w:pPr>
          </w:p>
          <w:p>
            <w:pPr>
              <w:pStyle w:val="14"/>
              <w:spacing w:before="167"/>
              <w:ind w:left="1008"/>
              <w:rPr>
                <w:sz w:val="22"/>
              </w:rPr>
            </w:pPr>
            <w:r>
              <w:rPr>
                <w:sz w:val="22"/>
              </w:rPr>
              <w:t>人工工种</w:t>
            </w:r>
          </w:p>
        </w:tc>
        <w:tc>
          <w:tcPr>
            <w:tcW w:w="1003" w:type="dxa"/>
            <w:vAlign w:val="top"/>
          </w:tcPr>
          <w:p>
            <w:pPr>
              <w:pStyle w:val="14"/>
              <w:rPr>
                <w:sz w:val="22"/>
              </w:rPr>
            </w:pPr>
          </w:p>
          <w:p>
            <w:pPr>
              <w:pStyle w:val="14"/>
              <w:spacing w:before="167"/>
              <w:ind w:left="281"/>
              <w:rPr>
                <w:sz w:val="22"/>
              </w:rPr>
            </w:pPr>
            <w:r>
              <w:rPr>
                <w:sz w:val="22"/>
              </w:rPr>
              <w:t>单位</w:t>
            </w:r>
          </w:p>
        </w:tc>
        <w:tc>
          <w:tcPr>
            <w:tcW w:w="1448" w:type="dxa"/>
            <w:vAlign w:val="top"/>
          </w:tcPr>
          <w:p>
            <w:pPr>
              <w:pStyle w:val="14"/>
              <w:rPr>
                <w:sz w:val="22"/>
              </w:rPr>
            </w:pPr>
          </w:p>
          <w:p>
            <w:pPr>
              <w:pStyle w:val="14"/>
              <w:spacing w:before="167"/>
              <w:ind w:left="284"/>
              <w:rPr>
                <w:sz w:val="22"/>
              </w:rPr>
            </w:pPr>
            <w:r>
              <w:rPr>
                <w:sz w:val="22"/>
              </w:rPr>
              <w:t>暂定数量</w:t>
            </w:r>
          </w:p>
        </w:tc>
        <w:tc>
          <w:tcPr>
            <w:tcW w:w="1758" w:type="dxa"/>
            <w:vAlign w:val="top"/>
          </w:tcPr>
          <w:p>
            <w:pPr>
              <w:pStyle w:val="14"/>
              <w:rPr>
                <w:sz w:val="22"/>
              </w:rPr>
            </w:pPr>
          </w:p>
          <w:p>
            <w:pPr>
              <w:pStyle w:val="14"/>
              <w:spacing w:before="167"/>
              <w:ind w:left="439"/>
              <w:rPr>
                <w:sz w:val="22"/>
              </w:rPr>
            </w:pPr>
            <w:r>
              <w:rPr>
                <w:sz w:val="22"/>
              </w:rPr>
              <w:t>综合单价</w:t>
            </w:r>
          </w:p>
        </w:tc>
        <w:tc>
          <w:tcPr>
            <w:tcW w:w="1560" w:type="dxa"/>
            <w:vAlign w:val="top"/>
          </w:tcPr>
          <w:p>
            <w:pPr>
              <w:pStyle w:val="14"/>
              <w:rPr>
                <w:sz w:val="22"/>
              </w:rPr>
            </w:pPr>
          </w:p>
          <w:p>
            <w:pPr>
              <w:pStyle w:val="14"/>
              <w:spacing w:before="167"/>
              <w:ind w:left="505"/>
              <w:rPr>
                <w:sz w:val="22"/>
              </w:rPr>
            </w:pPr>
            <w:r>
              <w:rPr>
                <w:sz w:val="22"/>
              </w:rPr>
              <w:t>合 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891" w:type="dxa"/>
            <w:vAlign w:val="top"/>
          </w:tcPr>
          <w:p>
            <w:pPr>
              <w:pStyle w:val="14"/>
              <w:spacing w:before="147"/>
              <w:ind w:left="8"/>
              <w:jc w:val="center"/>
              <w:rPr>
                <w:sz w:val="22"/>
              </w:rPr>
            </w:pPr>
            <w:r>
              <w:rPr>
                <w:w w:val="100"/>
                <w:sz w:val="22"/>
              </w:rPr>
              <w:t>一</w:t>
            </w:r>
          </w:p>
        </w:tc>
        <w:tc>
          <w:tcPr>
            <w:tcW w:w="2896" w:type="dxa"/>
            <w:vAlign w:val="top"/>
          </w:tcPr>
          <w:p>
            <w:pPr>
              <w:pStyle w:val="14"/>
              <w:tabs>
                <w:tab w:val="left" w:pos="1668"/>
              </w:tabs>
              <w:spacing w:before="147"/>
              <w:ind w:left="1008"/>
              <w:rPr>
                <w:sz w:val="22"/>
              </w:rPr>
            </w:pPr>
            <w:r>
              <w:rPr>
                <w:sz w:val="22"/>
              </w:rPr>
              <w:t>人</w:t>
            </w:r>
            <w:r>
              <w:rPr>
                <w:sz w:val="22"/>
              </w:rPr>
              <w:tab/>
            </w:r>
            <w:r>
              <w:rPr>
                <w:sz w:val="22"/>
              </w:rPr>
              <w:t>工</w:t>
            </w: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1" w:hRule="atLeast"/>
        </w:trPr>
        <w:tc>
          <w:tcPr>
            <w:tcW w:w="891" w:type="dxa"/>
            <w:vAlign w:val="top"/>
          </w:tcPr>
          <w:p>
            <w:pPr>
              <w:pStyle w:val="14"/>
              <w:spacing w:before="149"/>
              <w:ind w:left="8"/>
              <w:jc w:val="center"/>
              <w:rPr>
                <w:sz w:val="22"/>
              </w:rPr>
            </w:pPr>
            <w:r>
              <w:rPr>
                <w:w w:val="100"/>
                <w:sz w:val="22"/>
              </w:rPr>
              <w:t>1</w:t>
            </w:r>
          </w:p>
        </w:tc>
        <w:tc>
          <w:tcPr>
            <w:tcW w:w="2896" w:type="dxa"/>
            <w:vAlign w:val="top"/>
          </w:tcPr>
          <w:p>
            <w:pPr>
              <w:pStyle w:val="14"/>
              <w:rPr>
                <w:rFonts w:ascii="Times New Roman"/>
                <w:sz w:val="20"/>
              </w:rPr>
            </w:pP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891" w:type="dxa"/>
            <w:vAlign w:val="top"/>
          </w:tcPr>
          <w:p>
            <w:pPr>
              <w:pStyle w:val="14"/>
              <w:spacing w:before="148"/>
              <w:ind w:left="8"/>
              <w:jc w:val="center"/>
              <w:rPr>
                <w:sz w:val="22"/>
              </w:rPr>
            </w:pPr>
            <w:r>
              <w:rPr>
                <w:w w:val="100"/>
                <w:sz w:val="22"/>
              </w:rPr>
              <w:t>2</w:t>
            </w:r>
          </w:p>
        </w:tc>
        <w:tc>
          <w:tcPr>
            <w:tcW w:w="2896" w:type="dxa"/>
            <w:vAlign w:val="top"/>
          </w:tcPr>
          <w:p>
            <w:pPr>
              <w:pStyle w:val="14"/>
              <w:rPr>
                <w:rFonts w:ascii="Times New Roman"/>
                <w:sz w:val="20"/>
              </w:rPr>
            </w:pP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891" w:type="dxa"/>
            <w:vAlign w:val="top"/>
          </w:tcPr>
          <w:p>
            <w:pPr>
              <w:pStyle w:val="14"/>
              <w:spacing w:before="148"/>
              <w:ind w:left="8"/>
              <w:jc w:val="center"/>
              <w:rPr>
                <w:sz w:val="22"/>
              </w:rPr>
            </w:pPr>
            <w:r>
              <w:rPr>
                <w:w w:val="100"/>
                <w:sz w:val="22"/>
              </w:rPr>
              <w:t>3</w:t>
            </w:r>
          </w:p>
        </w:tc>
        <w:tc>
          <w:tcPr>
            <w:tcW w:w="2896" w:type="dxa"/>
            <w:vAlign w:val="top"/>
          </w:tcPr>
          <w:p>
            <w:pPr>
              <w:pStyle w:val="14"/>
              <w:rPr>
                <w:rFonts w:ascii="Times New Roman"/>
                <w:sz w:val="20"/>
              </w:rPr>
            </w:pP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1" w:hRule="atLeast"/>
        </w:trPr>
        <w:tc>
          <w:tcPr>
            <w:tcW w:w="891" w:type="dxa"/>
            <w:vAlign w:val="top"/>
          </w:tcPr>
          <w:p>
            <w:pPr>
              <w:pStyle w:val="14"/>
              <w:spacing w:before="147"/>
              <w:ind w:left="8"/>
              <w:jc w:val="center"/>
              <w:rPr>
                <w:sz w:val="22"/>
              </w:rPr>
            </w:pPr>
            <w:r>
              <w:rPr>
                <w:w w:val="100"/>
                <w:sz w:val="22"/>
              </w:rPr>
              <w:t>4</w:t>
            </w:r>
          </w:p>
        </w:tc>
        <w:tc>
          <w:tcPr>
            <w:tcW w:w="2896" w:type="dxa"/>
            <w:vAlign w:val="top"/>
          </w:tcPr>
          <w:p>
            <w:pPr>
              <w:pStyle w:val="14"/>
              <w:rPr>
                <w:rFonts w:ascii="Times New Roman"/>
                <w:sz w:val="20"/>
              </w:rPr>
            </w:pP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1" w:hRule="atLeast"/>
        </w:trPr>
        <w:tc>
          <w:tcPr>
            <w:tcW w:w="891" w:type="dxa"/>
            <w:vAlign w:val="top"/>
          </w:tcPr>
          <w:p>
            <w:pPr>
              <w:pStyle w:val="14"/>
              <w:spacing w:before="149"/>
              <w:ind w:left="8"/>
              <w:jc w:val="center"/>
              <w:rPr>
                <w:sz w:val="22"/>
              </w:rPr>
            </w:pPr>
            <w:r>
              <w:rPr>
                <w:w w:val="100"/>
                <w:sz w:val="22"/>
              </w:rPr>
              <w:t>二</w:t>
            </w:r>
          </w:p>
        </w:tc>
        <w:tc>
          <w:tcPr>
            <w:tcW w:w="2896" w:type="dxa"/>
            <w:vAlign w:val="top"/>
          </w:tcPr>
          <w:p>
            <w:pPr>
              <w:pStyle w:val="14"/>
              <w:rPr>
                <w:rFonts w:ascii="Times New Roman"/>
                <w:sz w:val="20"/>
              </w:rPr>
            </w:pP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891" w:type="dxa"/>
            <w:vAlign w:val="top"/>
          </w:tcPr>
          <w:p>
            <w:pPr>
              <w:pStyle w:val="14"/>
              <w:spacing w:before="148"/>
              <w:ind w:left="8"/>
              <w:jc w:val="center"/>
              <w:rPr>
                <w:sz w:val="22"/>
              </w:rPr>
            </w:pPr>
            <w:r>
              <w:rPr>
                <w:w w:val="100"/>
                <w:sz w:val="22"/>
              </w:rPr>
              <w:t>1</w:t>
            </w:r>
          </w:p>
        </w:tc>
        <w:tc>
          <w:tcPr>
            <w:tcW w:w="2896" w:type="dxa"/>
            <w:vAlign w:val="top"/>
          </w:tcPr>
          <w:p>
            <w:pPr>
              <w:pStyle w:val="14"/>
              <w:rPr>
                <w:rFonts w:ascii="Times New Roman"/>
                <w:sz w:val="20"/>
              </w:rPr>
            </w:pP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1" w:hRule="atLeast"/>
        </w:trPr>
        <w:tc>
          <w:tcPr>
            <w:tcW w:w="891" w:type="dxa"/>
            <w:vAlign w:val="top"/>
          </w:tcPr>
          <w:p>
            <w:pPr>
              <w:pStyle w:val="14"/>
              <w:spacing w:before="147"/>
              <w:ind w:left="8"/>
              <w:jc w:val="center"/>
              <w:rPr>
                <w:sz w:val="22"/>
              </w:rPr>
            </w:pPr>
            <w:r>
              <w:rPr>
                <w:w w:val="100"/>
                <w:sz w:val="22"/>
              </w:rPr>
              <w:t>2</w:t>
            </w:r>
          </w:p>
        </w:tc>
        <w:tc>
          <w:tcPr>
            <w:tcW w:w="2896" w:type="dxa"/>
            <w:vAlign w:val="top"/>
          </w:tcPr>
          <w:p>
            <w:pPr>
              <w:pStyle w:val="14"/>
              <w:rPr>
                <w:rFonts w:ascii="Times New Roman"/>
                <w:sz w:val="20"/>
              </w:rPr>
            </w:pP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1" w:hRule="atLeast"/>
        </w:trPr>
        <w:tc>
          <w:tcPr>
            <w:tcW w:w="891" w:type="dxa"/>
            <w:vAlign w:val="top"/>
          </w:tcPr>
          <w:p>
            <w:pPr>
              <w:pStyle w:val="14"/>
              <w:spacing w:before="147"/>
              <w:ind w:left="8"/>
              <w:jc w:val="center"/>
              <w:rPr>
                <w:sz w:val="22"/>
              </w:rPr>
            </w:pPr>
            <w:r>
              <w:rPr>
                <w:w w:val="100"/>
                <w:sz w:val="22"/>
              </w:rPr>
              <w:t>3</w:t>
            </w:r>
          </w:p>
        </w:tc>
        <w:tc>
          <w:tcPr>
            <w:tcW w:w="2896" w:type="dxa"/>
            <w:vAlign w:val="top"/>
          </w:tcPr>
          <w:p>
            <w:pPr>
              <w:pStyle w:val="14"/>
              <w:rPr>
                <w:rFonts w:ascii="Times New Roman"/>
                <w:sz w:val="20"/>
              </w:rPr>
            </w:pP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1" w:hRule="atLeast"/>
        </w:trPr>
        <w:tc>
          <w:tcPr>
            <w:tcW w:w="891" w:type="dxa"/>
            <w:vAlign w:val="top"/>
          </w:tcPr>
          <w:p>
            <w:pPr>
              <w:pStyle w:val="14"/>
              <w:spacing w:before="149"/>
              <w:ind w:left="8"/>
              <w:jc w:val="center"/>
              <w:rPr>
                <w:sz w:val="22"/>
              </w:rPr>
            </w:pPr>
            <w:r>
              <w:rPr>
                <w:w w:val="100"/>
                <w:sz w:val="22"/>
              </w:rPr>
              <w:t>4</w:t>
            </w:r>
          </w:p>
        </w:tc>
        <w:tc>
          <w:tcPr>
            <w:tcW w:w="2896" w:type="dxa"/>
            <w:vAlign w:val="top"/>
          </w:tcPr>
          <w:p>
            <w:pPr>
              <w:pStyle w:val="14"/>
              <w:rPr>
                <w:rFonts w:ascii="Times New Roman"/>
                <w:sz w:val="20"/>
              </w:rPr>
            </w:pP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891" w:type="dxa"/>
            <w:vAlign w:val="top"/>
          </w:tcPr>
          <w:p>
            <w:pPr>
              <w:pStyle w:val="14"/>
              <w:spacing w:before="148"/>
              <w:ind w:left="8"/>
              <w:jc w:val="center"/>
              <w:rPr>
                <w:sz w:val="22"/>
              </w:rPr>
            </w:pPr>
            <w:r>
              <w:rPr>
                <w:w w:val="100"/>
                <w:sz w:val="22"/>
              </w:rPr>
              <w:t>5</w:t>
            </w:r>
          </w:p>
        </w:tc>
        <w:tc>
          <w:tcPr>
            <w:tcW w:w="2896" w:type="dxa"/>
            <w:vAlign w:val="top"/>
          </w:tcPr>
          <w:p>
            <w:pPr>
              <w:pStyle w:val="14"/>
              <w:rPr>
                <w:rFonts w:ascii="Times New Roman"/>
                <w:sz w:val="20"/>
              </w:rPr>
            </w:pP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1" w:hRule="atLeast"/>
        </w:trPr>
        <w:tc>
          <w:tcPr>
            <w:tcW w:w="891" w:type="dxa"/>
            <w:vAlign w:val="top"/>
          </w:tcPr>
          <w:p>
            <w:pPr>
              <w:pStyle w:val="14"/>
              <w:spacing w:before="147"/>
              <w:ind w:left="8"/>
              <w:jc w:val="center"/>
              <w:rPr>
                <w:sz w:val="22"/>
              </w:rPr>
            </w:pPr>
            <w:r>
              <w:rPr>
                <w:w w:val="100"/>
                <w:sz w:val="22"/>
              </w:rPr>
              <w:t>6</w:t>
            </w:r>
          </w:p>
        </w:tc>
        <w:tc>
          <w:tcPr>
            <w:tcW w:w="2896" w:type="dxa"/>
            <w:vAlign w:val="top"/>
          </w:tcPr>
          <w:p>
            <w:pPr>
              <w:pStyle w:val="14"/>
              <w:rPr>
                <w:rFonts w:ascii="Times New Roman"/>
                <w:sz w:val="20"/>
              </w:rPr>
            </w:pP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891" w:type="dxa"/>
            <w:vAlign w:val="top"/>
          </w:tcPr>
          <w:p>
            <w:pPr>
              <w:pStyle w:val="14"/>
              <w:spacing w:before="147"/>
              <w:ind w:left="8"/>
              <w:jc w:val="center"/>
              <w:rPr>
                <w:sz w:val="22"/>
              </w:rPr>
            </w:pPr>
            <w:r>
              <w:rPr>
                <w:w w:val="100"/>
                <w:sz w:val="22"/>
              </w:rPr>
              <w:t>三</w:t>
            </w:r>
          </w:p>
        </w:tc>
        <w:tc>
          <w:tcPr>
            <w:tcW w:w="2896" w:type="dxa"/>
            <w:vAlign w:val="top"/>
          </w:tcPr>
          <w:p>
            <w:pPr>
              <w:pStyle w:val="14"/>
              <w:rPr>
                <w:rFonts w:ascii="Times New Roman"/>
                <w:sz w:val="20"/>
              </w:rPr>
            </w:pP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1" w:hRule="atLeast"/>
        </w:trPr>
        <w:tc>
          <w:tcPr>
            <w:tcW w:w="891" w:type="dxa"/>
            <w:vAlign w:val="top"/>
          </w:tcPr>
          <w:p>
            <w:pPr>
              <w:pStyle w:val="14"/>
              <w:spacing w:before="149"/>
              <w:ind w:left="8"/>
              <w:jc w:val="center"/>
              <w:rPr>
                <w:sz w:val="22"/>
              </w:rPr>
            </w:pPr>
            <w:r>
              <w:rPr>
                <w:w w:val="100"/>
                <w:sz w:val="22"/>
              </w:rPr>
              <w:t>1</w:t>
            </w:r>
          </w:p>
        </w:tc>
        <w:tc>
          <w:tcPr>
            <w:tcW w:w="2896" w:type="dxa"/>
            <w:vAlign w:val="top"/>
          </w:tcPr>
          <w:p>
            <w:pPr>
              <w:pStyle w:val="14"/>
              <w:rPr>
                <w:rFonts w:ascii="Times New Roman"/>
                <w:sz w:val="20"/>
              </w:rPr>
            </w:pP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891" w:type="dxa"/>
            <w:vAlign w:val="top"/>
          </w:tcPr>
          <w:p>
            <w:pPr>
              <w:pStyle w:val="14"/>
              <w:spacing w:before="148"/>
              <w:ind w:left="8"/>
              <w:jc w:val="center"/>
              <w:rPr>
                <w:sz w:val="22"/>
              </w:rPr>
            </w:pPr>
            <w:r>
              <w:rPr>
                <w:w w:val="100"/>
                <w:sz w:val="22"/>
              </w:rPr>
              <w:t>2</w:t>
            </w:r>
          </w:p>
        </w:tc>
        <w:tc>
          <w:tcPr>
            <w:tcW w:w="2896" w:type="dxa"/>
            <w:vAlign w:val="top"/>
          </w:tcPr>
          <w:p>
            <w:pPr>
              <w:pStyle w:val="14"/>
              <w:rPr>
                <w:rFonts w:ascii="Times New Roman"/>
                <w:sz w:val="20"/>
              </w:rPr>
            </w:pP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891" w:type="dxa"/>
            <w:vAlign w:val="top"/>
          </w:tcPr>
          <w:p>
            <w:pPr>
              <w:pStyle w:val="14"/>
              <w:spacing w:before="147"/>
              <w:ind w:left="8"/>
              <w:jc w:val="center"/>
              <w:rPr>
                <w:sz w:val="22"/>
              </w:rPr>
            </w:pPr>
            <w:r>
              <w:rPr>
                <w:w w:val="100"/>
                <w:sz w:val="22"/>
              </w:rPr>
              <w:t>3</w:t>
            </w:r>
          </w:p>
        </w:tc>
        <w:tc>
          <w:tcPr>
            <w:tcW w:w="2896" w:type="dxa"/>
            <w:vAlign w:val="top"/>
          </w:tcPr>
          <w:p>
            <w:pPr>
              <w:pStyle w:val="14"/>
              <w:rPr>
                <w:rFonts w:ascii="Times New Roman"/>
                <w:sz w:val="20"/>
              </w:rPr>
            </w:pP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1" w:hRule="atLeast"/>
        </w:trPr>
        <w:tc>
          <w:tcPr>
            <w:tcW w:w="891" w:type="dxa"/>
            <w:vAlign w:val="top"/>
          </w:tcPr>
          <w:p>
            <w:pPr>
              <w:pStyle w:val="14"/>
              <w:spacing w:before="147"/>
              <w:ind w:left="8"/>
              <w:jc w:val="center"/>
              <w:rPr>
                <w:sz w:val="22"/>
              </w:rPr>
            </w:pPr>
            <w:r>
              <w:rPr>
                <w:w w:val="100"/>
                <w:sz w:val="22"/>
              </w:rPr>
              <w:t>4</w:t>
            </w:r>
          </w:p>
        </w:tc>
        <w:tc>
          <w:tcPr>
            <w:tcW w:w="2896" w:type="dxa"/>
            <w:vAlign w:val="top"/>
          </w:tcPr>
          <w:p>
            <w:pPr>
              <w:pStyle w:val="14"/>
              <w:rPr>
                <w:rFonts w:ascii="Times New Roman"/>
                <w:sz w:val="20"/>
              </w:rPr>
            </w:pPr>
          </w:p>
        </w:tc>
        <w:tc>
          <w:tcPr>
            <w:tcW w:w="1003" w:type="dxa"/>
            <w:vAlign w:val="top"/>
          </w:tcPr>
          <w:p>
            <w:pPr>
              <w:pStyle w:val="14"/>
              <w:rPr>
                <w:rFonts w:ascii="Times New Roman"/>
                <w:sz w:val="20"/>
              </w:rPr>
            </w:pPr>
          </w:p>
        </w:tc>
        <w:tc>
          <w:tcPr>
            <w:tcW w:w="1448" w:type="dxa"/>
            <w:vAlign w:val="top"/>
          </w:tcPr>
          <w:p>
            <w:pPr>
              <w:pStyle w:val="14"/>
              <w:rPr>
                <w:rFonts w:ascii="Times New Roman"/>
                <w:sz w:val="20"/>
              </w:rPr>
            </w:pPr>
          </w:p>
        </w:tc>
        <w:tc>
          <w:tcPr>
            <w:tcW w:w="1758" w:type="dxa"/>
            <w:vAlign w:val="top"/>
          </w:tcPr>
          <w:p>
            <w:pPr>
              <w:pStyle w:val="14"/>
              <w:rPr>
                <w:rFonts w:ascii="Times New Roman"/>
                <w:sz w:val="20"/>
              </w:rPr>
            </w:pPr>
          </w:p>
        </w:tc>
        <w:tc>
          <w:tcPr>
            <w:tcW w:w="15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7996" w:type="dxa"/>
            <w:gridSpan w:val="5"/>
            <w:vAlign w:val="top"/>
          </w:tcPr>
          <w:p>
            <w:pPr>
              <w:pStyle w:val="14"/>
              <w:tabs>
                <w:tab w:val="left" w:pos="670"/>
              </w:tabs>
              <w:spacing w:before="149"/>
              <w:ind w:left="10"/>
              <w:jc w:val="center"/>
              <w:rPr>
                <w:sz w:val="22"/>
              </w:rPr>
            </w:pPr>
            <w:r>
              <w:rPr>
                <w:sz w:val="22"/>
              </w:rPr>
              <w:t>合</w:t>
            </w:r>
            <w:r>
              <w:rPr>
                <w:sz w:val="22"/>
              </w:rPr>
              <w:tab/>
            </w:r>
            <w:r>
              <w:rPr>
                <w:sz w:val="22"/>
              </w:rPr>
              <w:t>计</w:t>
            </w:r>
          </w:p>
        </w:tc>
        <w:tc>
          <w:tcPr>
            <w:tcW w:w="1560" w:type="dxa"/>
            <w:vAlign w:val="top"/>
          </w:tcPr>
          <w:p>
            <w:pPr>
              <w:pStyle w:val="14"/>
              <w:rPr>
                <w:rFonts w:ascii="Times New Roman"/>
                <w:sz w:val="20"/>
              </w:rPr>
            </w:pPr>
          </w:p>
        </w:tc>
      </w:tr>
    </w:tbl>
    <w:p>
      <w:pPr>
        <w:pStyle w:val="9"/>
        <w:spacing w:before="2"/>
        <w:ind w:left="731" w:right="892" w:firstLine="220"/>
      </w:pPr>
      <w:r>
        <w:rPr>
          <w:spacing w:val="-8"/>
        </w:rPr>
        <w:t>注： 此表项目名称、数量由招标人填写，投标时，单价由投标人自主报价，计入投标总价中。</w:t>
      </w:r>
    </w:p>
    <w:p>
      <w:pPr>
        <w:spacing w:after="0"/>
        <w:sectPr>
          <w:pgSz w:w="11910" w:h="16840"/>
          <w:pgMar w:top="1100" w:right="660" w:bottom="1200" w:left="800" w:header="878" w:footer="1003" w:gutter="0"/>
          <w:cols w:space="720" w:num="1"/>
        </w:sectPr>
      </w:pPr>
    </w:p>
    <w:p>
      <w:pPr>
        <w:pStyle w:val="9"/>
        <w:rPr>
          <w:sz w:val="20"/>
        </w:rPr>
      </w:pPr>
    </w:p>
    <w:p>
      <w:pPr>
        <w:pStyle w:val="9"/>
        <w:spacing w:before="4"/>
        <w:rPr>
          <w:sz w:val="20"/>
        </w:rPr>
      </w:pPr>
    </w:p>
    <w:p>
      <w:pPr>
        <w:pStyle w:val="9"/>
        <w:spacing w:before="71"/>
        <w:ind w:left="566" w:right="727"/>
        <w:jc w:val="center"/>
      </w:pPr>
      <w:r>
        <w:t>总承包服务费计价表</w:t>
      </w:r>
    </w:p>
    <w:p>
      <w:pPr>
        <w:pStyle w:val="9"/>
      </w:pPr>
    </w:p>
    <w:p>
      <w:pPr>
        <w:pStyle w:val="9"/>
      </w:pPr>
    </w:p>
    <w:p>
      <w:pPr>
        <w:pStyle w:val="9"/>
        <w:spacing w:before="12"/>
      </w:pPr>
    </w:p>
    <w:p>
      <w:pPr>
        <w:pStyle w:val="9"/>
        <w:tabs>
          <w:tab w:val="left" w:pos="4470"/>
          <w:tab w:val="left" w:pos="7551"/>
          <w:tab w:val="left" w:pos="7991"/>
          <w:tab w:val="left" w:pos="8761"/>
        </w:tabs>
        <w:ind w:left="731"/>
      </w:pPr>
      <w:r>
        <w:t>工</w:t>
      </w:r>
      <w:r>
        <w:rPr>
          <w:spacing w:val="-3"/>
        </w:rPr>
        <w:t>程</w:t>
      </w:r>
      <w:r>
        <w:t>名称：</w:t>
      </w:r>
      <w:r>
        <w:tab/>
      </w:r>
      <w:r>
        <w:t>标</w:t>
      </w:r>
      <w:r>
        <w:rPr>
          <w:spacing w:val="-3"/>
        </w:rPr>
        <w:t>段</w:t>
      </w:r>
      <w:r>
        <w:t>：</w:t>
      </w:r>
      <w:r>
        <w:tab/>
      </w:r>
      <w:r>
        <w:t>第</w:t>
      </w:r>
      <w:r>
        <w:tab/>
      </w:r>
      <w:r>
        <w:t>页</w:t>
      </w:r>
      <w:r>
        <w:rPr>
          <w:spacing w:val="-3"/>
        </w:rPr>
        <w:t xml:space="preserve"> </w:t>
      </w:r>
      <w:r>
        <w:t>共</w:t>
      </w:r>
      <w:r>
        <w:tab/>
      </w:r>
      <w:r>
        <w:t>页</w:t>
      </w:r>
    </w:p>
    <w:p>
      <w:pPr>
        <w:pStyle w:val="9"/>
        <w:spacing w:before="5" w:after="1"/>
      </w:pPr>
    </w:p>
    <w:tbl>
      <w:tblPr>
        <w:tblW w:w="9240" w:type="dxa"/>
        <w:tblInd w:w="5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2730"/>
        <w:gridCol w:w="1680"/>
        <w:gridCol w:w="1260"/>
        <w:gridCol w:w="1260"/>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0" w:hRule="atLeast"/>
        </w:trPr>
        <w:tc>
          <w:tcPr>
            <w:tcW w:w="840" w:type="dxa"/>
            <w:vAlign w:val="top"/>
          </w:tcPr>
          <w:p>
            <w:pPr>
              <w:pStyle w:val="14"/>
              <w:spacing w:before="3"/>
              <w:rPr>
                <w:sz w:val="27"/>
              </w:rPr>
            </w:pPr>
          </w:p>
          <w:p>
            <w:pPr>
              <w:pStyle w:val="14"/>
              <w:spacing w:before="1"/>
              <w:ind w:left="180" w:right="168"/>
              <w:jc w:val="center"/>
              <w:rPr>
                <w:sz w:val="22"/>
              </w:rPr>
            </w:pPr>
            <w:r>
              <w:rPr>
                <w:sz w:val="22"/>
              </w:rPr>
              <w:t>序号</w:t>
            </w:r>
          </w:p>
        </w:tc>
        <w:tc>
          <w:tcPr>
            <w:tcW w:w="2730" w:type="dxa"/>
            <w:vAlign w:val="top"/>
          </w:tcPr>
          <w:p>
            <w:pPr>
              <w:pStyle w:val="14"/>
              <w:spacing w:before="3"/>
              <w:rPr>
                <w:sz w:val="27"/>
              </w:rPr>
            </w:pPr>
          </w:p>
          <w:p>
            <w:pPr>
              <w:pStyle w:val="14"/>
              <w:spacing w:before="1"/>
              <w:ind w:left="759"/>
              <w:rPr>
                <w:sz w:val="22"/>
              </w:rPr>
            </w:pPr>
            <w:r>
              <w:rPr>
                <w:sz w:val="22"/>
              </w:rPr>
              <w:t>工 程 名 称</w:t>
            </w:r>
          </w:p>
        </w:tc>
        <w:tc>
          <w:tcPr>
            <w:tcW w:w="1680" w:type="dxa"/>
            <w:vAlign w:val="top"/>
          </w:tcPr>
          <w:p>
            <w:pPr>
              <w:pStyle w:val="14"/>
              <w:spacing w:before="3"/>
              <w:rPr>
                <w:sz w:val="27"/>
              </w:rPr>
            </w:pPr>
          </w:p>
          <w:p>
            <w:pPr>
              <w:pStyle w:val="14"/>
              <w:spacing w:before="1"/>
              <w:ind w:left="107"/>
              <w:rPr>
                <w:sz w:val="22"/>
              </w:rPr>
            </w:pPr>
            <w:r>
              <w:rPr>
                <w:sz w:val="22"/>
              </w:rPr>
              <w:t>项目价值（元）</w:t>
            </w:r>
          </w:p>
        </w:tc>
        <w:tc>
          <w:tcPr>
            <w:tcW w:w="1260" w:type="dxa"/>
            <w:vAlign w:val="top"/>
          </w:tcPr>
          <w:p>
            <w:pPr>
              <w:pStyle w:val="14"/>
              <w:spacing w:before="3"/>
              <w:rPr>
                <w:sz w:val="27"/>
              </w:rPr>
            </w:pPr>
          </w:p>
          <w:p>
            <w:pPr>
              <w:pStyle w:val="14"/>
              <w:spacing w:before="1"/>
              <w:ind w:left="189"/>
              <w:rPr>
                <w:sz w:val="22"/>
              </w:rPr>
            </w:pPr>
            <w:r>
              <w:rPr>
                <w:sz w:val="22"/>
              </w:rPr>
              <w:t>服务内容</w:t>
            </w:r>
          </w:p>
        </w:tc>
        <w:tc>
          <w:tcPr>
            <w:tcW w:w="1260" w:type="dxa"/>
            <w:vAlign w:val="top"/>
          </w:tcPr>
          <w:p>
            <w:pPr>
              <w:pStyle w:val="14"/>
              <w:spacing w:before="3"/>
              <w:rPr>
                <w:sz w:val="27"/>
              </w:rPr>
            </w:pPr>
          </w:p>
          <w:p>
            <w:pPr>
              <w:pStyle w:val="14"/>
              <w:spacing w:before="1"/>
              <w:ind w:left="134"/>
              <w:rPr>
                <w:sz w:val="22"/>
              </w:rPr>
            </w:pPr>
            <w:r>
              <w:rPr>
                <w:sz w:val="22"/>
              </w:rPr>
              <w:t>费率（%）</w:t>
            </w:r>
          </w:p>
        </w:tc>
        <w:tc>
          <w:tcPr>
            <w:tcW w:w="1470" w:type="dxa"/>
            <w:vAlign w:val="top"/>
          </w:tcPr>
          <w:p>
            <w:pPr>
              <w:pStyle w:val="14"/>
              <w:spacing w:before="3"/>
              <w:rPr>
                <w:sz w:val="27"/>
              </w:rPr>
            </w:pPr>
          </w:p>
          <w:p>
            <w:pPr>
              <w:pStyle w:val="14"/>
              <w:spacing w:before="1"/>
              <w:ind w:left="184"/>
              <w:rPr>
                <w:sz w:val="22"/>
              </w:rPr>
            </w:pPr>
            <w:r>
              <w:rPr>
                <w:sz w:val="22"/>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840" w:type="dxa"/>
            <w:vAlign w:val="top"/>
          </w:tcPr>
          <w:p>
            <w:pPr>
              <w:pStyle w:val="14"/>
              <w:spacing w:before="9"/>
              <w:rPr>
                <w:sz w:val="21"/>
              </w:rPr>
            </w:pPr>
          </w:p>
          <w:p>
            <w:pPr>
              <w:pStyle w:val="14"/>
              <w:spacing w:before="1"/>
              <w:ind w:left="7"/>
              <w:jc w:val="center"/>
              <w:rPr>
                <w:sz w:val="22"/>
              </w:rPr>
            </w:pPr>
            <w:r>
              <w:rPr>
                <w:w w:val="100"/>
                <w:sz w:val="22"/>
              </w:rPr>
              <w:t>1</w:t>
            </w:r>
          </w:p>
        </w:tc>
        <w:tc>
          <w:tcPr>
            <w:tcW w:w="2730" w:type="dxa"/>
            <w:vAlign w:val="top"/>
          </w:tcPr>
          <w:p>
            <w:pPr>
              <w:pStyle w:val="14"/>
              <w:spacing w:before="9"/>
              <w:rPr>
                <w:sz w:val="21"/>
              </w:rPr>
            </w:pPr>
          </w:p>
          <w:p>
            <w:pPr>
              <w:pStyle w:val="14"/>
              <w:spacing w:before="1"/>
              <w:ind w:left="106"/>
              <w:rPr>
                <w:sz w:val="22"/>
              </w:rPr>
            </w:pPr>
            <w:r>
              <w:rPr>
                <w:sz w:val="22"/>
              </w:rPr>
              <w:t>专业工程</w:t>
            </w:r>
          </w:p>
        </w:tc>
        <w:tc>
          <w:tcPr>
            <w:tcW w:w="1680" w:type="dxa"/>
            <w:vAlign w:val="top"/>
          </w:tcPr>
          <w:p>
            <w:pPr>
              <w:pStyle w:val="14"/>
              <w:rPr>
                <w:rFonts w:ascii="Times New Roman"/>
                <w:sz w:val="20"/>
              </w:rPr>
            </w:pPr>
          </w:p>
        </w:tc>
        <w:tc>
          <w:tcPr>
            <w:tcW w:w="1260" w:type="dxa"/>
            <w:vAlign w:val="top"/>
          </w:tcPr>
          <w:p>
            <w:pPr>
              <w:pStyle w:val="14"/>
              <w:rPr>
                <w:rFonts w:ascii="Times New Roman"/>
                <w:sz w:val="20"/>
              </w:rPr>
            </w:pPr>
          </w:p>
        </w:tc>
        <w:tc>
          <w:tcPr>
            <w:tcW w:w="1260"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840" w:type="dxa"/>
            <w:vAlign w:val="top"/>
          </w:tcPr>
          <w:p>
            <w:pPr>
              <w:pStyle w:val="14"/>
              <w:spacing w:before="9"/>
              <w:rPr>
                <w:sz w:val="21"/>
              </w:rPr>
            </w:pPr>
          </w:p>
          <w:p>
            <w:pPr>
              <w:pStyle w:val="14"/>
              <w:ind w:left="7"/>
              <w:jc w:val="center"/>
              <w:rPr>
                <w:sz w:val="22"/>
              </w:rPr>
            </w:pPr>
            <w:r>
              <w:rPr>
                <w:w w:val="100"/>
                <w:sz w:val="22"/>
              </w:rPr>
              <w:t>2</w:t>
            </w:r>
          </w:p>
        </w:tc>
        <w:tc>
          <w:tcPr>
            <w:tcW w:w="2730" w:type="dxa"/>
            <w:vAlign w:val="top"/>
          </w:tcPr>
          <w:p>
            <w:pPr>
              <w:pStyle w:val="14"/>
              <w:spacing w:before="9"/>
              <w:rPr>
                <w:sz w:val="21"/>
              </w:rPr>
            </w:pPr>
          </w:p>
          <w:p>
            <w:pPr>
              <w:pStyle w:val="14"/>
              <w:ind w:left="106"/>
              <w:rPr>
                <w:sz w:val="22"/>
              </w:rPr>
            </w:pPr>
            <w:r>
              <w:rPr>
                <w:sz w:val="22"/>
              </w:rPr>
              <w:t>发包人供应材料</w:t>
            </w:r>
          </w:p>
        </w:tc>
        <w:tc>
          <w:tcPr>
            <w:tcW w:w="1680" w:type="dxa"/>
            <w:vAlign w:val="top"/>
          </w:tcPr>
          <w:p>
            <w:pPr>
              <w:pStyle w:val="14"/>
              <w:rPr>
                <w:rFonts w:ascii="Times New Roman"/>
                <w:sz w:val="20"/>
              </w:rPr>
            </w:pPr>
          </w:p>
        </w:tc>
        <w:tc>
          <w:tcPr>
            <w:tcW w:w="1260" w:type="dxa"/>
            <w:vAlign w:val="top"/>
          </w:tcPr>
          <w:p>
            <w:pPr>
              <w:pStyle w:val="14"/>
              <w:rPr>
                <w:rFonts w:ascii="Times New Roman"/>
                <w:sz w:val="20"/>
              </w:rPr>
            </w:pPr>
          </w:p>
        </w:tc>
        <w:tc>
          <w:tcPr>
            <w:tcW w:w="1260"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840" w:type="dxa"/>
            <w:vAlign w:val="top"/>
          </w:tcPr>
          <w:p>
            <w:pPr>
              <w:pStyle w:val="14"/>
              <w:rPr>
                <w:rFonts w:ascii="Times New Roman"/>
                <w:sz w:val="20"/>
              </w:rPr>
            </w:pPr>
          </w:p>
        </w:tc>
        <w:tc>
          <w:tcPr>
            <w:tcW w:w="2730" w:type="dxa"/>
            <w:vAlign w:val="top"/>
          </w:tcPr>
          <w:p>
            <w:pPr>
              <w:pStyle w:val="14"/>
              <w:rPr>
                <w:rFonts w:ascii="Times New Roman"/>
                <w:sz w:val="20"/>
              </w:rPr>
            </w:pPr>
          </w:p>
        </w:tc>
        <w:tc>
          <w:tcPr>
            <w:tcW w:w="1680" w:type="dxa"/>
            <w:vAlign w:val="top"/>
          </w:tcPr>
          <w:p>
            <w:pPr>
              <w:pStyle w:val="14"/>
              <w:rPr>
                <w:rFonts w:ascii="Times New Roman"/>
                <w:sz w:val="20"/>
              </w:rPr>
            </w:pPr>
          </w:p>
        </w:tc>
        <w:tc>
          <w:tcPr>
            <w:tcW w:w="1260" w:type="dxa"/>
            <w:vAlign w:val="top"/>
          </w:tcPr>
          <w:p>
            <w:pPr>
              <w:pStyle w:val="14"/>
              <w:rPr>
                <w:rFonts w:ascii="Times New Roman"/>
                <w:sz w:val="20"/>
              </w:rPr>
            </w:pPr>
          </w:p>
        </w:tc>
        <w:tc>
          <w:tcPr>
            <w:tcW w:w="1260"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840" w:type="dxa"/>
            <w:vAlign w:val="top"/>
          </w:tcPr>
          <w:p>
            <w:pPr>
              <w:pStyle w:val="14"/>
              <w:rPr>
                <w:rFonts w:ascii="Times New Roman"/>
                <w:sz w:val="20"/>
              </w:rPr>
            </w:pPr>
          </w:p>
        </w:tc>
        <w:tc>
          <w:tcPr>
            <w:tcW w:w="2730" w:type="dxa"/>
            <w:vAlign w:val="top"/>
          </w:tcPr>
          <w:p>
            <w:pPr>
              <w:pStyle w:val="14"/>
              <w:rPr>
                <w:rFonts w:ascii="Times New Roman"/>
                <w:sz w:val="20"/>
              </w:rPr>
            </w:pPr>
          </w:p>
        </w:tc>
        <w:tc>
          <w:tcPr>
            <w:tcW w:w="1680" w:type="dxa"/>
            <w:vAlign w:val="top"/>
          </w:tcPr>
          <w:p>
            <w:pPr>
              <w:pStyle w:val="14"/>
              <w:rPr>
                <w:rFonts w:ascii="Times New Roman"/>
                <w:sz w:val="20"/>
              </w:rPr>
            </w:pPr>
          </w:p>
        </w:tc>
        <w:tc>
          <w:tcPr>
            <w:tcW w:w="1260" w:type="dxa"/>
            <w:vAlign w:val="top"/>
          </w:tcPr>
          <w:p>
            <w:pPr>
              <w:pStyle w:val="14"/>
              <w:rPr>
                <w:rFonts w:ascii="Times New Roman"/>
                <w:sz w:val="20"/>
              </w:rPr>
            </w:pPr>
          </w:p>
        </w:tc>
        <w:tc>
          <w:tcPr>
            <w:tcW w:w="1260"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840" w:type="dxa"/>
            <w:vAlign w:val="top"/>
          </w:tcPr>
          <w:p>
            <w:pPr>
              <w:pStyle w:val="14"/>
              <w:rPr>
                <w:rFonts w:ascii="Times New Roman"/>
                <w:sz w:val="20"/>
              </w:rPr>
            </w:pPr>
          </w:p>
        </w:tc>
        <w:tc>
          <w:tcPr>
            <w:tcW w:w="2730" w:type="dxa"/>
            <w:vAlign w:val="top"/>
          </w:tcPr>
          <w:p>
            <w:pPr>
              <w:pStyle w:val="14"/>
              <w:rPr>
                <w:rFonts w:ascii="Times New Roman"/>
                <w:sz w:val="20"/>
              </w:rPr>
            </w:pPr>
          </w:p>
        </w:tc>
        <w:tc>
          <w:tcPr>
            <w:tcW w:w="1680" w:type="dxa"/>
            <w:vAlign w:val="top"/>
          </w:tcPr>
          <w:p>
            <w:pPr>
              <w:pStyle w:val="14"/>
              <w:rPr>
                <w:rFonts w:ascii="Times New Roman"/>
                <w:sz w:val="20"/>
              </w:rPr>
            </w:pPr>
          </w:p>
        </w:tc>
        <w:tc>
          <w:tcPr>
            <w:tcW w:w="1260" w:type="dxa"/>
            <w:vAlign w:val="top"/>
          </w:tcPr>
          <w:p>
            <w:pPr>
              <w:pStyle w:val="14"/>
              <w:rPr>
                <w:rFonts w:ascii="Times New Roman"/>
                <w:sz w:val="20"/>
              </w:rPr>
            </w:pPr>
          </w:p>
        </w:tc>
        <w:tc>
          <w:tcPr>
            <w:tcW w:w="1260"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840" w:type="dxa"/>
            <w:vAlign w:val="top"/>
          </w:tcPr>
          <w:p>
            <w:pPr>
              <w:pStyle w:val="14"/>
              <w:rPr>
                <w:rFonts w:ascii="Times New Roman"/>
                <w:sz w:val="20"/>
              </w:rPr>
            </w:pPr>
          </w:p>
        </w:tc>
        <w:tc>
          <w:tcPr>
            <w:tcW w:w="2730" w:type="dxa"/>
            <w:vAlign w:val="top"/>
          </w:tcPr>
          <w:p>
            <w:pPr>
              <w:pStyle w:val="14"/>
              <w:rPr>
                <w:rFonts w:ascii="Times New Roman"/>
                <w:sz w:val="20"/>
              </w:rPr>
            </w:pPr>
          </w:p>
        </w:tc>
        <w:tc>
          <w:tcPr>
            <w:tcW w:w="1680" w:type="dxa"/>
            <w:vAlign w:val="top"/>
          </w:tcPr>
          <w:p>
            <w:pPr>
              <w:pStyle w:val="14"/>
              <w:rPr>
                <w:rFonts w:ascii="Times New Roman"/>
                <w:sz w:val="20"/>
              </w:rPr>
            </w:pPr>
          </w:p>
        </w:tc>
        <w:tc>
          <w:tcPr>
            <w:tcW w:w="1260" w:type="dxa"/>
            <w:vAlign w:val="top"/>
          </w:tcPr>
          <w:p>
            <w:pPr>
              <w:pStyle w:val="14"/>
              <w:rPr>
                <w:rFonts w:ascii="Times New Roman"/>
                <w:sz w:val="20"/>
              </w:rPr>
            </w:pPr>
          </w:p>
        </w:tc>
        <w:tc>
          <w:tcPr>
            <w:tcW w:w="1260"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840" w:type="dxa"/>
            <w:vAlign w:val="top"/>
          </w:tcPr>
          <w:p>
            <w:pPr>
              <w:pStyle w:val="14"/>
              <w:rPr>
                <w:rFonts w:ascii="Times New Roman"/>
                <w:sz w:val="20"/>
              </w:rPr>
            </w:pPr>
          </w:p>
        </w:tc>
        <w:tc>
          <w:tcPr>
            <w:tcW w:w="2730" w:type="dxa"/>
            <w:vAlign w:val="top"/>
          </w:tcPr>
          <w:p>
            <w:pPr>
              <w:pStyle w:val="14"/>
              <w:rPr>
                <w:rFonts w:ascii="Times New Roman"/>
                <w:sz w:val="20"/>
              </w:rPr>
            </w:pPr>
          </w:p>
        </w:tc>
        <w:tc>
          <w:tcPr>
            <w:tcW w:w="1680" w:type="dxa"/>
            <w:vAlign w:val="top"/>
          </w:tcPr>
          <w:p>
            <w:pPr>
              <w:pStyle w:val="14"/>
              <w:rPr>
                <w:rFonts w:ascii="Times New Roman"/>
                <w:sz w:val="20"/>
              </w:rPr>
            </w:pPr>
          </w:p>
        </w:tc>
        <w:tc>
          <w:tcPr>
            <w:tcW w:w="1260" w:type="dxa"/>
            <w:vAlign w:val="top"/>
          </w:tcPr>
          <w:p>
            <w:pPr>
              <w:pStyle w:val="14"/>
              <w:rPr>
                <w:rFonts w:ascii="Times New Roman"/>
                <w:sz w:val="20"/>
              </w:rPr>
            </w:pPr>
          </w:p>
        </w:tc>
        <w:tc>
          <w:tcPr>
            <w:tcW w:w="1260"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840" w:type="dxa"/>
            <w:vAlign w:val="top"/>
          </w:tcPr>
          <w:p>
            <w:pPr>
              <w:pStyle w:val="14"/>
              <w:rPr>
                <w:rFonts w:ascii="Times New Roman"/>
                <w:sz w:val="20"/>
              </w:rPr>
            </w:pPr>
          </w:p>
        </w:tc>
        <w:tc>
          <w:tcPr>
            <w:tcW w:w="2730" w:type="dxa"/>
            <w:vAlign w:val="top"/>
          </w:tcPr>
          <w:p>
            <w:pPr>
              <w:pStyle w:val="14"/>
              <w:rPr>
                <w:rFonts w:ascii="Times New Roman"/>
                <w:sz w:val="20"/>
              </w:rPr>
            </w:pPr>
          </w:p>
        </w:tc>
        <w:tc>
          <w:tcPr>
            <w:tcW w:w="1680" w:type="dxa"/>
            <w:vAlign w:val="top"/>
          </w:tcPr>
          <w:p>
            <w:pPr>
              <w:pStyle w:val="14"/>
              <w:rPr>
                <w:rFonts w:ascii="Times New Roman"/>
                <w:sz w:val="20"/>
              </w:rPr>
            </w:pPr>
          </w:p>
        </w:tc>
        <w:tc>
          <w:tcPr>
            <w:tcW w:w="1260" w:type="dxa"/>
            <w:vAlign w:val="top"/>
          </w:tcPr>
          <w:p>
            <w:pPr>
              <w:pStyle w:val="14"/>
              <w:rPr>
                <w:rFonts w:ascii="Times New Roman"/>
                <w:sz w:val="20"/>
              </w:rPr>
            </w:pPr>
          </w:p>
        </w:tc>
        <w:tc>
          <w:tcPr>
            <w:tcW w:w="1260"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840" w:type="dxa"/>
            <w:vAlign w:val="top"/>
          </w:tcPr>
          <w:p>
            <w:pPr>
              <w:pStyle w:val="14"/>
              <w:rPr>
                <w:rFonts w:ascii="Times New Roman"/>
                <w:sz w:val="20"/>
              </w:rPr>
            </w:pPr>
          </w:p>
        </w:tc>
        <w:tc>
          <w:tcPr>
            <w:tcW w:w="2730" w:type="dxa"/>
            <w:vAlign w:val="top"/>
          </w:tcPr>
          <w:p>
            <w:pPr>
              <w:pStyle w:val="14"/>
              <w:rPr>
                <w:rFonts w:ascii="Times New Roman"/>
                <w:sz w:val="20"/>
              </w:rPr>
            </w:pPr>
          </w:p>
        </w:tc>
        <w:tc>
          <w:tcPr>
            <w:tcW w:w="1680" w:type="dxa"/>
            <w:vAlign w:val="top"/>
          </w:tcPr>
          <w:p>
            <w:pPr>
              <w:pStyle w:val="14"/>
              <w:rPr>
                <w:rFonts w:ascii="Times New Roman"/>
                <w:sz w:val="20"/>
              </w:rPr>
            </w:pPr>
          </w:p>
        </w:tc>
        <w:tc>
          <w:tcPr>
            <w:tcW w:w="1260" w:type="dxa"/>
            <w:vAlign w:val="top"/>
          </w:tcPr>
          <w:p>
            <w:pPr>
              <w:pStyle w:val="14"/>
              <w:rPr>
                <w:rFonts w:ascii="Times New Roman"/>
                <w:sz w:val="20"/>
              </w:rPr>
            </w:pPr>
          </w:p>
        </w:tc>
        <w:tc>
          <w:tcPr>
            <w:tcW w:w="1260"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840" w:type="dxa"/>
            <w:vAlign w:val="top"/>
          </w:tcPr>
          <w:p>
            <w:pPr>
              <w:pStyle w:val="14"/>
              <w:rPr>
                <w:rFonts w:ascii="Times New Roman"/>
                <w:sz w:val="20"/>
              </w:rPr>
            </w:pPr>
          </w:p>
        </w:tc>
        <w:tc>
          <w:tcPr>
            <w:tcW w:w="2730" w:type="dxa"/>
            <w:vAlign w:val="top"/>
          </w:tcPr>
          <w:p>
            <w:pPr>
              <w:pStyle w:val="14"/>
              <w:rPr>
                <w:rFonts w:ascii="Times New Roman"/>
                <w:sz w:val="20"/>
              </w:rPr>
            </w:pPr>
          </w:p>
        </w:tc>
        <w:tc>
          <w:tcPr>
            <w:tcW w:w="1680" w:type="dxa"/>
            <w:vAlign w:val="top"/>
          </w:tcPr>
          <w:p>
            <w:pPr>
              <w:pStyle w:val="14"/>
              <w:rPr>
                <w:rFonts w:ascii="Times New Roman"/>
                <w:sz w:val="20"/>
              </w:rPr>
            </w:pPr>
          </w:p>
        </w:tc>
        <w:tc>
          <w:tcPr>
            <w:tcW w:w="1260" w:type="dxa"/>
            <w:vAlign w:val="top"/>
          </w:tcPr>
          <w:p>
            <w:pPr>
              <w:pStyle w:val="14"/>
              <w:rPr>
                <w:rFonts w:ascii="Times New Roman"/>
                <w:sz w:val="20"/>
              </w:rPr>
            </w:pPr>
          </w:p>
        </w:tc>
        <w:tc>
          <w:tcPr>
            <w:tcW w:w="1260"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0" w:hRule="atLeast"/>
        </w:trPr>
        <w:tc>
          <w:tcPr>
            <w:tcW w:w="840" w:type="dxa"/>
            <w:vAlign w:val="top"/>
          </w:tcPr>
          <w:p>
            <w:pPr>
              <w:pStyle w:val="14"/>
              <w:rPr>
                <w:rFonts w:ascii="Times New Roman"/>
                <w:sz w:val="20"/>
              </w:rPr>
            </w:pPr>
          </w:p>
        </w:tc>
        <w:tc>
          <w:tcPr>
            <w:tcW w:w="2730" w:type="dxa"/>
            <w:vAlign w:val="top"/>
          </w:tcPr>
          <w:p>
            <w:pPr>
              <w:pStyle w:val="14"/>
              <w:rPr>
                <w:rFonts w:ascii="Times New Roman"/>
                <w:sz w:val="20"/>
              </w:rPr>
            </w:pPr>
          </w:p>
        </w:tc>
        <w:tc>
          <w:tcPr>
            <w:tcW w:w="1680" w:type="dxa"/>
            <w:vAlign w:val="top"/>
          </w:tcPr>
          <w:p>
            <w:pPr>
              <w:pStyle w:val="14"/>
              <w:rPr>
                <w:rFonts w:ascii="Times New Roman"/>
                <w:sz w:val="20"/>
              </w:rPr>
            </w:pPr>
          </w:p>
        </w:tc>
        <w:tc>
          <w:tcPr>
            <w:tcW w:w="1260" w:type="dxa"/>
            <w:vAlign w:val="top"/>
          </w:tcPr>
          <w:p>
            <w:pPr>
              <w:pStyle w:val="14"/>
              <w:rPr>
                <w:rFonts w:ascii="Times New Roman"/>
                <w:sz w:val="20"/>
              </w:rPr>
            </w:pPr>
          </w:p>
        </w:tc>
        <w:tc>
          <w:tcPr>
            <w:tcW w:w="1260" w:type="dxa"/>
            <w:vAlign w:val="top"/>
          </w:tcPr>
          <w:p>
            <w:pPr>
              <w:pStyle w:val="14"/>
              <w:rPr>
                <w:rFonts w:ascii="Times New Roman"/>
                <w:sz w:val="20"/>
              </w:rPr>
            </w:pPr>
          </w:p>
        </w:tc>
        <w:tc>
          <w:tcPr>
            <w:tcW w:w="147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2" w:hRule="atLeast"/>
        </w:trPr>
        <w:tc>
          <w:tcPr>
            <w:tcW w:w="7770" w:type="dxa"/>
            <w:gridSpan w:val="5"/>
            <w:vAlign w:val="top"/>
          </w:tcPr>
          <w:p>
            <w:pPr>
              <w:pStyle w:val="14"/>
              <w:spacing w:before="2"/>
              <w:rPr>
                <w:sz w:val="28"/>
              </w:rPr>
            </w:pPr>
          </w:p>
          <w:p>
            <w:pPr>
              <w:pStyle w:val="14"/>
              <w:tabs>
                <w:tab w:val="left" w:pos="671"/>
              </w:tabs>
              <w:ind w:left="11"/>
              <w:jc w:val="center"/>
              <w:rPr>
                <w:sz w:val="22"/>
              </w:rPr>
            </w:pPr>
            <w:r>
              <w:rPr>
                <w:sz w:val="22"/>
              </w:rPr>
              <w:t>合</w:t>
            </w:r>
            <w:r>
              <w:rPr>
                <w:sz w:val="22"/>
              </w:rPr>
              <w:tab/>
            </w:r>
            <w:r>
              <w:rPr>
                <w:sz w:val="22"/>
              </w:rPr>
              <w:t>计</w:t>
            </w:r>
          </w:p>
        </w:tc>
        <w:tc>
          <w:tcPr>
            <w:tcW w:w="1470" w:type="dxa"/>
            <w:vAlign w:val="top"/>
          </w:tcPr>
          <w:p>
            <w:pPr>
              <w:pStyle w:val="14"/>
              <w:rPr>
                <w:rFonts w:ascii="Times New Roman"/>
                <w:sz w:val="20"/>
              </w:rPr>
            </w:pPr>
          </w:p>
        </w:tc>
      </w:tr>
    </w:tbl>
    <w:p>
      <w:pPr>
        <w:pStyle w:val="9"/>
        <w:spacing w:before="3"/>
        <w:ind w:left="951"/>
      </w:pPr>
      <w:r>
        <w:t>注： 此表由招标人填写，投标人应将上述专业工程暂估价计入投标总价中。</w:t>
      </w:r>
    </w:p>
    <w:p>
      <w:pPr>
        <w:spacing w:after="0"/>
        <w:sectPr>
          <w:pgSz w:w="11910" w:h="16840"/>
          <w:pgMar w:top="1100" w:right="660" w:bottom="1200" w:left="800" w:header="878" w:footer="1003" w:gutter="0"/>
          <w:cols w:space="720" w:num="1"/>
        </w:sectPr>
      </w:pPr>
    </w:p>
    <w:p>
      <w:pPr>
        <w:pStyle w:val="9"/>
        <w:spacing w:before="1"/>
        <w:rPr>
          <w:sz w:val="18"/>
        </w:rPr>
      </w:pPr>
    </w:p>
    <w:p>
      <w:pPr>
        <w:pStyle w:val="9"/>
        <w:spacing w:before="70"/>
        <w:ind w:left="568" w:right="727"/>
        <w:jc w:val="center"/>
      </w:pPr>
      <w:r>
        <w:t>规费、增值税项目清单与计价表</w:t>
      </w:r>
    </w:p>
    <w:p>
      <w:pPr>
        <w:pStyle w:val="9"/>
      </w:pPr>
    </w:p>
    <w:p>
      <w:pPr>
        <w:pStyle w:val="9"/>
        <w:spacing w:before="8"/>
      </w:pPr>
    </w:p>
    <w:p>
      <w:pPr>
        <w:pStyle w:val="9"/>
        <w:tabs>
          <w:tab w:val="left" w:pos="4470"/>
          <w:tab w:val="left" w:pos="7770"/>
          <w:tab w:val="left" w:pos="8211"/>
          <w:tab w:val="left" w:pos="8979"/>
        </w:tabs>
        <w:spacing w:before="1"/>
        <w:ind w:left="731"/>
      </w:pPr>
      <w:r>
        <w:t>工</w:t>
      </w:r>
      <w:r>
        <w:rPr>
          <w:spacing w:val="-3"/>
        </w:rPr>
        <w:t>程</w:t>
      </w:r>
      <w:r>
        <w:t>名称：</w:t>
      </w:r>
      <w:r>
        <w:tab/>
      </w:r>
      <w:r>
        <w:t>标</w:t>
      </w:r>
      <w:r>
        <w:rPr>
          <w:spacing w:val="-3"/>
        </w:rPr>
        <w:t>段</w:t>
      </w:r>
      <w:r>
        <w:t>：</w:t>
      </w:r>
      <w:r>
        <w:tab/>
      </w:r>
      <w:r>
        <w:t>第</w:t>
      </w:r>
      <w:r>
        <w:tab/>
      </w:r>
      <w:r>
        <w:t>页</w:t>
      </w:r>
      <w:r>
        <w:rPr>
          <w:spacing w:val="-3"/>
        </w:rPr>
        <w:t xml:space="preserve"> </w:t>
      </w:r>
      <w:r>
        <w:t>共</w:t>
      </w:r>
      <w:r>
        <w:tab/>
      </w:r>
      <w:r>
        <w:t>页</w:t>
      </w:r>
    </w:p>
    <w:p>
      <w:pPr>
        <w:pStyle w:val="9"/>
        <w:spacing w:before="6"/>
      </w:pPr>
    </w:p>
    <w:tbl>
      <w:tblPr>
        <w:tblW w:w="9549" w:type="dxa"/>
        <w:tblInd w:w="3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744"/>
        <w:gridCol w:w="2854"/>
        <w:gridCol w:w="1427"/>
        <w:gridCol w:w="1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63" w:hRule="atLeast"/>
        </w:trPr>
        <w:tc>
          <w:tcPr>
            <w:tcW w:w="878" w:type="dxa"/>
            <w:vAlign w:val="top"/>
          </w:tcPr>
          <w:p>
            <w:pPr>
              <w:pStyle w:val="14"/>
              <w:rPr>
                <w:sz w:val="22"/>
              </w:rPr>
            </w:pPr>
          </w:p>
          <w:p>
            <w:pPr>
              <w:pStyle w:val="14"/>
              <w:spacing w:before="158"/>
              <w:ind w:right="206"/>
              <w:jc w:val="right"/>
              <w:rPr>
                <w:sz w:val="22"/>
              </w:rPr>
            </w:pPr>
            <w:r>
              <w:rPr>
                <w:sz w:val="22"/>
              </w:rPr>
              <w:t>序号</w:t>
            </w:r>
          </w:p>
        </w:tc>
        <w:tc>
          <w:tcPr>
            <w:tcW w:w="2744" w:type="dxa"/>
            <w:vAlign w:val="top"/>
          </w:tcPr>
          <w:p>
            <w:pPr>
              <w:pStyle w:val="14"/>
              <w:rPr>
                <w:sz w:val="22"/>
              </w:rPr>
            </w:pPr>
          </w:p>
          <w:p>
            <w:pPr>
              <w:pStyle w:val="14"/>
              <w:spacing w:before="158"/>
              <w:ind w:left="911" w:right="903"/>
              <w:jc w:val="center"/>
              <w:rPr>
                <w:sz w:val="22"/>
              </w:rPr>
            </w:pPr>
            <w:r>
              <w:rPr>
                <w:sz w:val="22"/>
              </w:rPr>
              <w:t>项目名称</w:t>
            </w:r>
          </w:p>
        </w:tc>
        <w:tc>
          <w:tcPr>
            <w:tcW w:w="2854" w:type="dxa"/>
            <w:vAlign w:val="top"/>
          </w:tcPr>
          <w:p>
            <w:pPr>
              <w:pStyle w:val="14"/>
              <w:rPr>
                <w:sz w:val="22"/>
              </w:rPr>
            </w:pPr>
          </w:p>
          <w:p>
            <w:pPr>
              <w:pStyle w:val="14"/>
              <w:spacing w:before="158"/>
              <w:ind w:left="968" w:right="956"/>
              <w:jc w:val="center"/>
              <w:rPr>
                <w:sz w:val="22"/>
              </w:rPr>
            </w:pPr>
            <w:r>
              <w:rPr>
                <w:sz w:val="22"/>
              </w:rPr>
              <w:t>计算基础</w:t>
            </w:r>
          </w:p>
        </w:tc>
        <w:tc>
          <w:tcPr>
            <w:tcW w:w="1427" w:type="dxa"/>
            <w:vAlign w:val="top"/>
          </w:tcPr>
          <w:p>
            <w:pPr>
              <w:pStyle w:val="14"/>
              <w:rPr>
                <w:sz w:val="22"/>
              </w:rPr>
            </w:pPr>
          </w:p>
          <w:p>
            <w:pPr>
              <w:pStyle w:val="14"/>
              <w:tabs>
                <w:tab w:val="left" w:pos="547"/>
              </w:tabs>
              <w:spacing w:before="158"/>
              <w:ind w:left="108"/>
              <w:rPr>
                <w:sz w:val="22"/>
              </w:rPr>
            </w:pPr>
            <w:r>
              <w:rPr>
                <w:sz w:val="22"/>
              </w:rPr>
              <w:t>费</w:t>
            </w:r>
            <w:r>
              <w:rPr>
                <w:sz w:val="22"/>
              </w:rPr>
              <w:tab/>
            </w:r>
            <w:r>
              <w:rPr>
                <w:sz w:val="22"/>
              </w:rPr>
              <w:t>率（%）</w:t>
            </w:r>
          </w:p>
        </w:tc>
        <w:tc>
          <w:tcPr>
            <w:tcW w:w="1646" w:type="dxa"/>
            <w:vAlign w:val="top"/>
          </w:tcPr>
          <w:p>
            <w:pPr>
              <w:pStyle w:val="14"/>
              <w:rPr>
                <w:sz w:val="22"/>
              </w:rPr>
            </w:pPr>
          </w:p>
          <w:p>
            <w:pPr>
              <w:pStyle w:val="14"/>
              <w:tabs>
                <w:tab w:val="left" w:pos="601"/>
              </w:tabs>
              <w:spacing w:before="158"/>
              <w:ind w:left="162"/>
              <w:rPr>
                <w:sz w:val="22"/>
              </w:rPr>
            </w:pPr>
            <w:r>
              <w:rPr>
                <w:sz w:val="22"/>
              </w:rPr>
              <w:t>金</w:t>
            </w:r>
            <w:r>
              <w:rPr>
                <w:sz w:val="22"/>
              </w:rPr>
              <w:tab/>
            </w:r>
            <w:r>
              <w:rPr>
                <w:sz w:val="22"/>
              </w:rPr>
              <w:t>额</w:t>
            </w:r>
            <w:r>
              <w:rPr>
                <w:spacing w:val="-3"/>
                <w:sz w:val="22"/>
              </w:rPr>
              <w:t>（</w:t>
            </w:r>
            <w:r>
              <w:rPr>
                <w:sz w:val="22"/>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trPr>
        <w:tc>
          <w:tcPr>
            <w:tcW w:w="878" w:type="dxa"/>
            <w:vAlign w:val="top"/>
          </w:tcPr>
          <w:p>
            <w:pPr>
              <w:pStyle w:val="14"/>
              <w:spacing w:before="185"/>
              <w:ind w:left="8"/>
              <w:jc w:val="center"/>
              <w:rPr>
                <w:sz w:val="22"/>
              </w:rPr>
            </w:pPr>
            <w:r>
              <w:rPr>
                <w:w w:val="100"/>
                <w:sz w:val="22"/>
              </w:rPr>
              <w:t>1</w:t>
            </w:r>
          </w:p>
        </w:tc>
        <w:tc>
          <w:tcPr>
            <w:tcW w:w="2744" w:type="dxa"/>
            <w:vAlign w:val="top"/>
          </w:tcPr>
          <w:p>
            <w:pPr>
              <w:pStyle w:val="14"/>
              <w:spacing w:before="185"/>
              <w:ind w:left="107"/>
              <w:rPr>
                <w:sz w:val="22"/>
              </w:rPr>
            </w:pPr>
            <w:r>
              <w:rPr>
                <w:sz w:val="22"/>
              </w:rPr>
              <w:t>规费</w:t>
            </w:r>
          </w:p>
        </w:tc>
        <w:tc>
          <w:tcPr>
            <w:tcW w:w="2854" w:type="dxa"/>
            <w:vAlign w:val="top"/>
          </w:tcPr>
          <w:p>
            <w:pPr>
              <w:pStyle w:val="14"/>
              <w:rPr>
                <w:rFonts w:ascii="Times New Roman"/>
                <w:sz w:val="20"/>
              </w:rPr>
            </w:pPr>
          </w:p>
        </w:tc>
        <w:tc>
          <w:tcPr>
            <w:tcW w:w="1427" w:type="dxa"/>
            <w:vAlign w:val="top"/>
          </w:tcPr>
          <w:p>
            <w:pPr>
              <w:pStyle w:val="14"/>
              <w:rPr>
                <w:rFonts w:ascii="Times New Roman"/>
                <w:sz w:val="20"/>
              </w:rPr>
            </w:pPr>
          </w:p>
        </w:tc>
        <w:tc>
          <w:tcPr>
            <w:tcW w:w="1646"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trPr>
        <w:tc>
          <w:tcPr>
            <w:tcW w:w="878" w:type="dxa"/>
            <w:vAlign w:val="top"/>
          </w:tcPr>
          <w:p>
            <w:pPr>
              <w:pStyle w:val="14"/>
              <w:spacing w:before="9"/>
              <w:rPr>
                <w:sz w:val="32"/>
              </w:rPr>
            </w:pPr>
          </w:p>
          <w:p>
            <w:pPr>
              <w:pStyle w:val="14"/>
              <w:ind w:right="261"/>
              <w:jc w:val="right"/>
              <w:rPr>
                <w:sz w:val="22"/>
              </w:rPr>
            </w:pPr>
            <w:r>
              <w:rPr>
                <w:sz w:val="22"/>
              </w:rPr>
              <w:t>1.1</w:t>
            </w:r>
          </w:p>
        </w:tc>
        <w:tc>
          <w:tcPr>
            <w:tcW w:w="2744" w:type="dxa"/>
            <w:vAlign w:val="top"/>
          </w:tcPr>
          <w:p>
            <w:pPr>
              <w:pStyle w:val="14"/>
              <w:spacing w:before="9"/>
              <w:rPr>
                <w:sz w:val="32"/>
              </w:rPr>
            </w:pPr>
          </w:p>
          <w:p>
            <w:pPr>
              <w:pStyle w:val="14"/>
              <w:ind w:left="107"/>
              <w:rPr>
                <w:sz w:val="22"/>
              </w:rPr>
            </w:pPr>
            <w:r>
              <w:rPr>
                <w:sz w:val="22"/>
              </w:rPr>
              <w:t>社会保险费</w:t>
            </w:r>
          </w:p>
        </w:tc>
        <w:tc>
          <w:tcPr>
            <w:tcW w:w="2854" w:type="dxa"/>
            <w:vAlign w:val="top"/>
          </w:tcPr>
          <w:p>
            <w:pPr>
              <w:pStyle w:val="14"/>
              <w:spacing w:before="9"/>
              <w:rPr>
                <w:sz w:val="32"/>
              </w:rPr>
            </w:pPr>
          </w:p>
          <w:p>
            <w:pPr>
              <w:pStyle w:val="14"/>
              <w:ind w:left="106"/>
              <w:rPr>
                <w:sz w:val="22"/>
              </w:rPr>
            </w:pPr>
            <w:r>
              <w:rPr>
                <w:sz w:val="22"/>
              </w:rPr>
              <w:t>按文件规定</w:t>
            </w:r>
          </w:p>
        </w:tc>
        <w:tc>
          <w:tcPr>
            <w:tcW w:w="1427" w:type="dxa"/>
            <w:vAlign w:val="top"/>
          </w:tcPr>
          <w:p>
            <w:pPr>
              <w:pStyle w:val="14"/>
              <w:rPr>
                <w:rFonts w:ascii="Times New Roman"/>
                <w:sz w:val="20"/>
              </w:rPr>
            </w:pPr>
          </w:p>
        </w:tc>
        <w:tc>
          <w:tcPr>
            <w:tcW w:w="1646"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trPr>
        <w:tc>
          <w:tcPr>
            <w:tcW w:w="878" w:type="dxa"/>
            <w:vAlign w:val="top"/>
          </w:tcPr>
          <w:p>
            <w:pPr>
              <w:pStyle w:val="14"/>
              <w:spacing w:before="9"/>
              <w:rPr>
                <w:sz w:val="32"/>
              </w:rPr>
            </w:pPr>
          </w:p>
          <w:p>
            <w:pPr>
              <w:pStyle w:val="14"/>
              <w:ind w:right="261"/>
              <w:jc w:val="right"/>
              <w:rPr>
                <w:sz w:val="22"/>
              </w:rPr>
            </w:pPr>
            <w:r>
              <w:rPr>
                <w:sz w:val="22"/>
              </w:rPr>
              <w:t>1.2</w:t>
            </w:r>
          </w:p>
        </w:tc>
        <w:tc>
          <w:tcPr>
            <w:tcW w:w="2744" w:type="dxa"/>
            <w:vAlign w:val="top"/>
          </w:tcPr>
          <w:p>
            <w:pPr>
              <w:pStyle w:val="14"/>
              <w:spacing w:before="9"/>
              <w:rPr>
                <w:sz w:val="32"/>
              </w:rPr>
            </w:pPr>
          </w:p>
          <w:p>
            <w:pPr>
              <w:pStyle w:val="14"/>
              <w:ind w:left="107"/>
              <w:rPr>
                <w:sz w:val="22"/>
              </w:rPr>
            </w:pPr>
            <w:r>
              <w:rPr>
                <w:sz w:val="22"/>
              </w:rPr>
              <w:t>住房公积金</w:t>
            </w:r>
          </w:p>
        </w:tc>
        <w:tc>
          <w:tcPr>
            <w:tcW w:w="2854" w:type="dxa"/>
            <w:vAlign w:val="top"/>
          </w:tcPr>
          <w:p>
            <w:pPr>
              <w:pStyle w:val="14"/>
              <w:spacing w:before="9"/>
              <w:rPr>
                <w:sz w:val="32"/>
              </w:rPr>
            </w:pPr>
          </w:p>
          <w:p>
            <w:pPr>
              <w:pStyle w:val="14"/>
              <w:ind w:left="106"/>
              <w:rPr>
                <w:sz w:val="22"/>
              </w:rPr>
            </w:pPr>
            <w:r>
              <w:rPr>
                <w:sz w:val="22"/>
              </w:rPr>
              <w:t>按文件规定</w:t>
            </w:r>
          </w:p>
        </w:tc>
        <w:tc>
          <w:tcPr>
            <w:tcW w:w="1427" w:type="dxa"/>
            <w:vAlign w:val="top"/>
          </w:tcPr>
          <w:p>
            <w:pPr>
              <w:pStyle w:val="14"/>
              <w:rPr>
                <w:rFonts w:ascii="Times New Roman"/>
                <w:sz w:val="20"/>
              </w:rPr>
            </w:pPr>
          </w:p>
        </w:tc>
        <w:tc>
          <w:tcPr>
            <w:tcW w:w="1646"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3" w:hRule="atLeast"/>
        </w:trPr>
        <w:tc>
          <w:tcPr>
            <w:tcW w:w="878" w:type="dxa"/>
            <w:vAlign w:val="top"/>
          </w:tcPr>
          <w:p>
            <w:pPr>
              <w:pStyle w:val="14"/>
              <w:rPr>
                <w:sz w:val="22"/>
              </w:rPr>
            </w:pPr>
          </w:p>
          <w:p>
            <w:pPr>
              <w:pStyle w:val="14"/>
              <w:spacing w:before="10"/>
              <w:rPr>
                <w:sz w:val="15"/>
              </w:rPr>
            </w:pPr>
          </w:p>
          <w:p>
            <w:pPr>
              <w:pStyle w:val="14"/>
              <w:ind w:left="8"/>
              <w:jc w:val="center"/>
              <w:rPr>
                <w:sz w:val="22"/>
              </w:rPr>
            </w:pPr>
            <w:r>
              <w:rPr>
                <w:w w:val="100"/>
                <w:sz w:val="22"/>
              </w:rPr>
              <w:t>2</w:t>
            </w:r>
          </w:p>
        </w:tc>
        <w:tc>
          <w:tcPr>
            <w:tcW w:w="2744" w:type="dxa"/>
            <w:vAlign w:val="top"/>
          </w:tcPr>
          <w:p>
            <w:pPr>
              <w:pStyle w:val="14"/>
              <w:rPr>
                <w:sz w:val="22"/>
              </w:rPr>
            </w:pPr>
          </w:p>
          <w:p>
            <w:pPr>
              <w:pStyle w:val="14"/>
              <w:spacing w:before="10"/>
              <w:rPr>
                <w:sz w:val="15"/>
              </w:rPr>
            </w:pPr>
          </w:p>
          <w:p>
            <w:pPr>
              <w:pStyle w:val="14"/>
              <w:ind w:left="107"/>
              <w:rPr>
                <w:sz w:val="22"/>
              </w:rPr>
            </w:pPr>
            <w:r>
              <w:rPr>
                <w:sz w:val="22"/>
              </w:rPr>
              <w:t>增值税</w:t>
            </w:r>
          </w:p>
        </w:tc>
        <w:tc>
          <w:tcPr>
            <w:tcW w:w="2854" w:type="dxa"/>
            <w:vAlign w:val="top"/>
          </w:tcPr>
          <w:p>
            <w:pPr>
              <w:pStyle w:val="14"/>
              <w:rPr>
                <w:sz w:val="22"/>
              </w:rPr>
            </w:pPr>
          </w:p>
          <w:p>
            <w:pPr>
              <w:pStyle w:val="14"/>
              <w:spacing w:before="10"/>
              <w:rPr>
                <w:sz w:val="15"/>
              </w:rPr>
            </w:pPr>
          </w:p>
          <w:p>
            <w:pPr>
              <w:pStyle w:val="14"/>
              <w:ind w:left="106"/>
              <w:rPr>
                <w:sz w:val="22"/>
              </w:rPr>
            </w:pPr>
            <w:r>
              <w:rPr>
                <w:sz w:val="22"/>
              </w:rPr>
              <w:t>按文件规定</w:t>
            </w:r>
          </w:p>
        </w:tc>
        <w:tc>
          <w:tcPr>
            <w:tcW w:w="1427" w:type="dxa"/>
            <w:vAlign w:val="top"/>
          </w:tcPr>
          <w:p>
            <w:pPr>
              <w:pStyle w:val="14"/>
              <w:rPr>
                <w:rFonts w:ascii="Times New Roman"/>
                <w:sz w:val="20"/>
              </w:rPr>
            </w:pPr>
          </w:p>
        </w:tc>
        <w:tc>
          <w:tcPr>
            <w:tcW w:w="1646"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trPr>
        <w:tc>
          <w:tcPr>
            <w:tcW w:w="878" w:type="dxa"/>
            <w:vAlign w:val="top"/>
          </w:tcPr>
          <w:p>
            <w:pPr>
              <w:pStyle w:val="14"/>
              <w:rPr>
                <w:rFonts w:ascii="Times New Roman"/>
                <w:sz w:val="20"/>
              </w:rPr>
            </w:pPr>
          </w:p>
        </w:tc>
        <w:tc>
          <w:tcPr>
            <w:tcW w:w="2744" w:type="dxa"/>
            <w:vAlign w:val="top"/>
          </w:tcPr>
          <w:p>
            <w:pPr>
              <w:pStyle w:val="14"/>
              <w:rPr>
                <w:rFonts w:ascii="Times New Roman"/>
                <w:sz w:val="20"/>
              </w:rPr>
            </w:pPr>
          </w:p>
        </w:tc>
        <w:tc>
          <w:tcPr>
            <w:tcW w:w="2854" w:type="dxa"/>
            <w:vAlign w:val="top"/>
          </w:tcPr>
          <w:p>
            <w:pPr>
              <w:pStyle w:val="14"/>
              <w:rPr>
                <w:rFonts w:ascii="Times New Roman"/>
                <w:sz w:val="20"/>
              </w:rPr>
            </w:pPr>
          </w:p>
        </w:tc>
        <w:tc>
          <w:tcPr>
            <w:tcW w:w="1427" w:type="dxa"/>
            <w:vAlign w:val="top"/>
          </w:tcPr>
          <w:p>
            <w:pPr>
              <w:pStyle w:val="14"/>
              <w:rPr>
                <w:rFonts w:ascii="Times New Roman"/>
                <w:sz w:val="20"/>
              </w:rPr>
            </w:pPr>
          </w:p>
        </w:tc>
        <w:tc>
          <w:tcPr>
            <w:tcW w:w="1646"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trPr>
        <w:tc>
          <w:tcPr>
            <w:tcW w:w="878" w:type="dxa"/>
            <w:vAlign w:val="top"/>
          </w:tcPr>
          <w:p>
            <w:pPr>
              <w:pStyle w:val="14"/>
              <w:rPr>
                <w:rFonts w:ascii="Times New Roman"/>
                <w:sz w:val="20"/>
              </w:rPr>
            </w:pPr>
          </w:p>
        </w:tc>
        <w:tc>
          <w:tcPr>
            <w:tcW w:w="2744" w:type="dxa"/>
            <w:vAlign w:val="top"/>
          </w:tcPr>
          <w:p>
            <w:pPr>
              <w:pStyle w:val="14"/>
              <w:rPr>
                <w:rFonts w:ascii="Times New Roman"/>
                <w:sz w:val="20"/>
              </w:rPr>
            </w:pPr>
          </w:p>
        </w:tc>
        <w:tc>
          <w:tcPr>
            <w:tcW w:w="2854" w:type="dxa"/>
            <w:vAlign w:val="top"/>
          </w:tcPr>
          <w:p>
            <w:pPr>
              <w:pStyle w:val="14"/>
              <w:rPr>
                <w:rFonts w:ascii="Times New Roman"/>
                <w:sz w:val="20"/>
              </w:rPr>
            </w:pPr>
          </w:p>
        </w:tc>
        <w:tc>
          <w:tcPr>
            <w:tcW w:w="1427" w:type="dxa"/>
            <w:vAlign w:val="top"/>
          </w:tcPr>
          <w:p>
            <w:pPr>
              <w:pStyle w:val="14"/>
              <w:rPr>
                <w:rFonts w:ascii="Times New Roman"/>
                <w:sz w:val="20"/>
              </w:rPr>
            </w:pPr>
          </w:p>
        </w:tc>
        <w:tc>
          <w:tcPr>
            <w:tcW w:w="1646"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trPr>
        <w:tc>
          <w:tcPr>
            <w:tcW w:w="878" w:type="dxa"/>
            <w:vAlign w:val="top"/>
          </w:tcPr>
          <w:p>
            <w:pPr>
              <w:pStyle w:val="14"/>
              <w:rPr>
                <w:rFonts w:ascii="Times New Roman"/>
                <w:sz w:val="20"/>
              </w:rPr>
            </w:pPr>
          </w:p>
        </w:tc>
        <w:tc>
          <w:tcPr>
            <w:tcW w:w="2744" w:type="dxa"/>
            <w:vAlign w:val="top"/>
          </w:tcPr>
          <w:p>
            <w:pPr>
              <w:pStyle w:val="14"/>
              <w:rPr>
                <w:rFonts w:ascii="Times New Roman"/>
                <w:sz w:val="20"/>
              </w:rPr>
            </w:pPr>
          </w:p>
        </w:tc>
        <w:tc>
          <w:tcPr>
            <w:tcW w:w="2854" w:type="dxa"/>
            <w:vAlign w:val="top"/>
          </w:tcPr>
          <w:p>
            <w:pPr>
              <w:pStyle w:val="14"/>
              <w:rPr>
                <w:rFonts w:ascii="Times New Roman"/>
                <w:sz w:val="20"/>
              </w:rPr>
            </w:pPr>
          </w:p>
        </w:tc>
        <w:tc>
          <w:tcPr>
            <w:tcW w:w="1427" w:type="dxa"/>
            <w:vAlign w:val="top"/>
          </w:tcPr>
          <w:p>
            <w:pPr>
              <w:pStyle w:val="14"/>
              <w:rPr>
                <w:rFonts w:ascii="Times New Roman"/>
                <w:sz w:val="20"/>
              </w:rPr>
            </w:pPr>
          </w:p>
        </w:tc>
        <w:tc>
          <w:tcPr>
            <w:tcW w:w="1646"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5" w:hRule="atLeast"/>
        </w:trPr>
        <w:tc>
          <w:tcPr>
            <w:tcW w:w="7903" w:type="dxa"/>
            <w:gridSpan w:val="4"/>
            <w:vAlign w:val="top"/>
          </w:tcPr>
          <w:p>
            <w:pPr>
              <w:pStyle w:val="14"/>
              <w:spacing w:before="10"/>
              <w:rPr>
                <w:sz w:val="32"/>
              </w:rPr>
            </w:pPr>
          </w:p>
          <w:p>
            <w:pPr>
              <w:pStyle w:val="14"/>
              <w:tabs>
                <w:tab w:val="left" w:pos="779"/>
              </w:tabs>
              <w:spacing w:before="1"/>
              <w:ind w:left="8"/>
              <w:jc w:val="center"/>
              <w:rPr>
                <w:sz w:val="22"/>
              </w:rPr>
            </w:pPr>
            <w:r>
              <w:rPr>
                <w:sz w:val="22"/>
              </w:rPr>
              <w:t>合</w:t>
            </w:r>
            <w:r>
              <w:rPr>
                <w:sz w:val="22"/>
              </w:rPr>
              <w:tab/>
            </w:r>
            <w:r>
              <w:rPr>
                <w:sz w:val="22"/>
              </w:rPr>
              <w:t>计</w:t>
            </w:r>
          </w:p>
        </w:tc>
        <w:tc>
          <w:tcPr>
            <w:tcW w:w="1646" w:type="dxa"/>
            <w:vAlign w:val="top"/>
          </w:tcPr>
          <w:p>
            <w:pPr>
              <w:pStyle w:val="14"/>
              <w:rPr>
                <w:rFonts w:ascii="Times New Roman"/>
                <w:sz w:val="20"/>
              </w:rPr>
            </w:pPr>
          </w:p>
        </w:tc>
      </w:tr>
    </w:tbl>
    <w:p>
      <w:pPr>
        <w:spacing w:after="0"/>
        <w:rPr>
          <w:rFonts w:ascii="Times New Roman"/>
          <w:sz w:val="20"/>
        </w:rPr>
        <w:sectPr>
          <w:pgSz w:w="11910" w:h="16840"/>
          <w:pgMar w:top="1100" w:right="660" w:bottom="1200" w:left="800" w:header="878" w:footer="1003" w:gutter="0"/>
          <w:cols w:space="720" w:num="1"/>
        </w:sectPr>
      </w:pPr>
    </w:p>
    <w:p>
      <w:pPr>
        <w:pStyle w:val="9"/>
        <w:spacing w:before="1"/>
        <w:rPr>
          <w:sz w:val="18"/>
        </w:rPr>
      </w:pPr>
    </w:p>
    <w:p>
      <w:pPr>
        <w:pStyle w:val="9"/>
        <w:spacing w:before="70"/>
        <w:ind w:left="568" w:right="727"/>
        <w:jc w:val="center"/>
      </w:pPr>
      <w:r>
        <w:t>主要综合单价分析项目清单表</w:t>
      </w:r>
    </w:p>
    <w:p>
      <w:pPr>
        <w:pStyle w:val="9"/>
      </w:pPr>
    </w:p>
    <w:p>
      <w:pPr>
        <w:pStyle w:val="9"/>
        <w:spacing w:before="8"/>
      </w:pPr>
    </w:p>
    <w:p>
      <w:pPr>
        <w:pStyle w:val="9"/>
        <w:tabs>
          <w:tab w:val="left" w:pos="4470"/>
          <w:tab w:val="left" w:pos="7880"/>
          <w:tab w:val="left" w:pos="8319"/>
          <w:tab w:val="left" w:pos="9090"/>
        </w:tabs>
        <w:spacing w:before="1"/>
        <w:ind w:left="731"/>
      </w:pPr>
      <w:r>
        <w:t>工</w:t>
      </w:r>
      <w:r>
        <w:rPr>
          <w:spacing w:val="-3"/>
        </w:rPr>
        <w:t>程</w:t>
      </w:r>
      <w:r>
        <w:t>名称：</w:t>
      </w:r>
      <w:r>
        <w:tab/>
      </w:r>
      <w:r>
        <w:t>标</w:t>
      </w:r>
      <w:r>
        <w:rPr>
          <w:spacing w:val="-3"/>
        </w:rPr>
        <w:t>段</w:t>
      </w:r>
      <w:r>
        <w:t>：</w:t>
      </w:r>
      <w:r>
        <w:tab/>
      </w:r>
      <w:r>
        <w:t>第</w:t>
      </w:r>
      <w:r>
        <w:tab/>
      </w:r>
      <w:r>
        <w:t>页 共</w:t>
      </w:r>
      <w:r>
        <w:tab/>
      </w:r>
      <w:r>
        <w:t>页</w:t>
      </w:r>
    </w:p>
    <w:p>
      <w:pPr>
        <w:pStyle w:val="9"/>
        <w:spacing w:before="6"/>
      </w:pPr>
    </w:p>
    <w:tbl>
      <w:tblPr>
        <w:tblW w:w="8522" w:type="dxa"/>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440"/>
        <w:gridCol w:w="2784"/>
        <w:gridCol w:w="816"/>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0" w:hRule="atLeast"/>
        </w:trPr>
        <w:tc>
          <w:tcPr>
            <w:tcW w:w="828" w:type="dxa"/>
            <w:vAlign w:val="top"/>
          </w:tcPr>
          <w:p>
            <w:pPr>
              <w:pStyle w:val="14"/>
              <w:spacing w:before="12"/>
              <w:rPr>
                <w:sz w:val="18"/>
              </w:rPr>
            </w:pPr>
          </w:p>
          <w:p>
            <w:pPr>
              <w:pStyle w:val="14"/>
              <w:ind w:left="194"/>
              <w:rPr>
                <w:sz w:val="22"/>
              </w:rPr>
            </w:pPr>
            <w:r>
              <w:rPr>
                <w:sz w:val="22"/>
              </w:rPr>
              <w:t>序号</w:t>
            </w:r>
          </w:p>
        </w:tc>
        <w:tc>
          <w:tcPr>
            <w:tcW w:w="1440" w:type="dxa"/>
            <w:vAlign w:val="top"/>
          </w:tcPr>
          <w:p>
            <w:pPr>
              <w:pStyle w:val="14"/>
              <w:spacing w:before="12"/>
              <w:rPr>
                <w:sz w:val="18"/>
              </w:rPr>
            </w:pPr>
          </w:p>
          <w:p>
            <w:pPr>
              <w:pStyle w:val="14"/>
              <w:ind w:left="280"/>
              <w:rPr>
                <w:sz w:val="22"/>
              </w:rPr>
            </w:pPr>
            <w:r>
              <w:rPr>
                <w:sz w:val="22"/>
              </w:rPr>
              <w:t>项目编码</w:t>
            </w:r>
          </w:p>
        </w:tc>
        <w:tc>
          <w:tcPr>
            <w:tcW w:w="2784" w:type="dxa"/>
            <w:vAlign w:val="top"/>
          </w:tcPr>
          <w:p>
            <w:pPr>
              <w:pStyle w:val="14"/>
              <w:spacing w:before="12"/>
              <w:rPr>
                <w:sz w:val="18"/>
              </w:rPr>
            </w:pPr>
          </w:p>
          <w:p>
            <w:pPr>
              <w:pStyle w:val="14"/>
              <w:ind w:left="933" w:right="921"/>
              <w:jc w:val="center"/>
              <w:rPr>
                <w:sz w:val="22"/>
              </w:rPr>
            </w:pPr>
            <w:r>
              <w:rPr>
                <w:sz w:val="22"/>
              </w:rPr>
              <w:t>项目名称</w:t>
            </w:r>
          </w:p>
        </w:tc>
        <w:tc>
          <w:tcPr>
            <w:tcW w:w="816" w:type="dxa"/>
            <w:vAlign w:val="top"/>
          </w:tcPr>
          <w:p>
            <w:pPr>
              <w:pStyle w:val="14"/>
              <w:spacing w:before="101" w:line="242" w:lineRule="auto"/>
              <w:ind w:left="186" w:right="175"/>
              <w:rPr>
                <w:sz w:val="22"/>
              </w:rPr>
            </w:pPr>
            <w:r>
              <w:rPr>
                <w:sz w:val="22"/>
              </w:rPr>
              <w:t>计量单位</w:t>
            </w:r>
          </w:p>
        </w:tc>
        <w:tc>
          <w:tcPr>
            <w:tcW w:w="2654" w:type="dxa"/>
            <w:vAlign w:val="top"/>
          </w:tcPr>
          <w:p>
            <w:pPr>
              <w:pStyle w:val="14"/>
              <w:spacing w:before="12"/>
              <w:rPr>
                <w:sz w:val="18"/>
              </w:rPr>
            </w:pPr>
          </w:p>
          <w:p>
            <w:pPr>
              <w:pStyle w:val="14"/>
              <w:ind w:left="887"/>
              <w:rPr>
                <w:sz w:val="22"/>
              </w:rPr>
            </w:pPr>
            <w:r>
              <w:rPr>
                <w:sz w:val="22"/>
              </w:rPr>
              <w:t>综合单价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41" w:hRule="atLeast"/>
        </w:trPr>
        <w:tc>
          <w:tcPr>
            <w:tcW w:w="828" w:type="dxa"/>
            <w:vAlign w:val="top"/>
          </w:tcPr>
          <w:p>
            <w:pPr>
              <w:pStyle w:val="14"/>
              <w:rPr>
                <w:rFonts w:ascii="Times New Roman"/>
                <w:sz w:val="20"/>
              </w:rPr>
            </w:pPr>
          </w:p>
        </w:tc>
        <w:tc>
          <w:tcPr>
            <w:tcW w:w="1440" w:type="dxa"/>
            <w:vAlign w:val="top"/>
          </w:tcPr>
          <w:p>
            <w:pPr>
              <w:pStyle w:val="14"/>
              <w:rPr>
                <w:rFonts w:ascii="Times New Roman"/>
                <w:sz w:val="20"/>
              </w:rPr>
            </w:pPr>
          </w:p>
        </w:tc>
        <w:tc>
          <w:tcPr>
            <w:tcW w:w="2784" w:type="dxa"/>
            <w:vAlign w:val="top"/>
          </w:tcPr>
          <w:p>
            <w:pPr>
              <w:pStyle w:val="14"/>
              <w:rPr>
                <w:rFonts w:ascii="Times New Roman"/>
                <w:sz w:val="20"/>
              </w:rPr>
            </w:pPr>
          </w:p>
        </w:tc>
        <w:tc>
          <w:tcPr>
            <w:tcW w:w="816" w:type="dxa"/>
            <w:vAlign w:val="top"/>
          </w:tcPr>
          <w:p>
            <w:pPr>
              <w:pStyle w:val="14"/>
              <w:rPr>
                <w:rFonts w:ascii="Times New Roman"/>
                <w:sz w:val="20"/>
              </w:rPr>
            </w:pPr>
          </w:p>
        </w:tc>
        <w:tc>
          <w:tcPr>
            <w:tcW w:w="2654" w:type="dxa"/>
            <w:vAlign w:val="top"/>
          </w:tcPr>
          <w:p>
            <w:pPr>
              <w:pStyle w:val="14"/>
              <w:rPr>
                <w:rFonts w:ascii="Times New Roman"/>
                <w:sz w:val="20"/>
              </w:rPr>
            </w:pPr>
          </w:p>
        </w:tc>
      </w:tr>
    </w:tbl>
    <w:p>
      <w:pPr>
        <w:spacing w:after="0"/>
        <w:rPr>
          <w:rFonts w:ascii="Times New Roman"/>
          <w:sz w:val="20"/>
        </w:rPr>
        <w:sectPr>
          <w:pgSz w:w="11910" w:h="16840"/>
          <w:pgMar w:top="1100" w:right="660" w:bottom="1200" w:left="800" w:header="878" w:footer="1003" w:gutter="0"/>
          <w:cols w:space="720" w:num="1"/>
        </w:sectPr>
      </w:pPr>
    </w:p>
    <w:p>
      <w:pPr>
        <w:pStyle w:val="9"/>
        <w:spacing w:before="1"/>
        <w:rPr>
          <w:sz w:val="18"/>
        </w:rPr>
      </w:pPr>
    </w:p>
    <w:p>
      <w:pPr>
        <w:pStyle w:val="9"/>
        <w:spacing w:before="70"/>
        <w:ind w:left="568" w:right="727"/>
        <w:jc w:val="center"/>
      </w:pPr>
      <w:r>
        <w:t>主要材料（设备）数量与计价表</w:t>
      </w:r>
    </w:p>
    <w:p>
      <w:pPr>
        <w:pStyle w:val="9"/>
      </w:pPr>
    </w:p>
    <w:p>
      <w:pPr>
        <w:pStyle w:val="9"/>
        <w:spacing w:before="8"/>
      </w:pPr>
    </w:p>
    <w:p>
      <w:pPr>
        <w:pStyle w:val="9"/>
        <w:tabs>
          <w:tab w:val="left" w:pos="4580"/>
          <w:tab w:val="left" w:pos="7770"/>
          <w:tab w:val="left" w:pos="8211"/>
          <w:tab w:val="left" w:pos="8979"/>
        </w:tabs>
        <w:spacing w:before="1"/>
        <w:ind w:left="951"/>
      </w:pPr>
      <w:r>
        <w:t>工</w:t>
      </w:r>
      <w:r>
        <w:rPr>
          <w:spacing w:val="-3"/>
        </w:rPr>
        <w:t>程</w:t>
      </w:r>
      <w:r>
        <w:t>名称：</w:t>
      </w:r>
      <w:r>
        <w:tab/>
      </w:r>
      <w:r>
        <w:t>标</w:t>
      </w:r>
      <w:r>
        <w:rPr>
          <w:spacing w:val="-3"/>
        </w:rPr>
        <w:t>段</w:t>
      </w:r>
      <w:r>
        <w:t>：</w:t>
      </w:r>
      <w:r>
        <w:tab/>
      </w:r>
      <w:r>
        <w:t>第</w:t>
      </w:r>
      <w:r>
        <w:tab/>
      </w:r>
      <w:r>
        <w:t>页</w:t>
      </w:r>
      <w:r>
        <w:rPr>
          <w:spacing w:val="-3"/>
        </w:rPr>
        <w:t xml:space="preserve"> </w:t>
      </w:r>
      <w:r>
        <w:t>共</w:t>
      </w:r>
      <w:r>
        <w:tab/>
      </w:r>
      <w:r>
        <w:t>页</w:t>
      </w:r>
    </w:p>
    <w:p>
      <w:pPr>
        <w:pStyle w:val="9"/>
        <w:spacing w:before="6"/>
      </w:pPr>
    </w:p>
    <w:tbl>
      <w:tblPr>
        <w:tblW w:w="9673"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152"/>
        <w:gridCol w:w="2473"/>
        <w:gridCol w:w="1260"/>
        <w:gridCol w:w="900"/>
        <w:gridCol w:w="900"/>
        <w:gridCol w:w="900"/>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8" w:hRule="atLeast"/>
        </w:trPr>
        <w:tc>
          <w:tcPr>
            <w:tcW w:w="828" w:type="dxa"/>
            <w:vMerge w:val="restart"/>
            <w:vAlign w:val="top"/>
          </w:tcPr>
          <w:p>
            <w:pPr>
              <w:pStyle w:val="14"/>
              <w:spacing w:before="10"/>
              <w:rPr>
                <w:sz w:val="17"/>
              </w:rPr>
            </w:pPr>
          </w:p>
          <w:p>
            <w:pPr>
              <w:pStyle w:val="14"/>
              <w:ind w:left="193"/>
              <w:rPr>
                <w:sz w:val="22"/>
              </w:rPr>
            </w:pPr>
            <w:r>
              <w:rPr>
                <w:sz w:val="22"/>
              </w:rPr>
              <w:t>序号</w:t>
            </w:r>
          </w:p>
        </w:tc>
        <w:tc>
          <w:tcPr>
            <w:tcW w:w="1152" w:type="dxa"/>
            <w:vMerge w:val="restart"/>
            <w:vAlign w:val="top"/>
          </w:tcPr>
          <w:p>
            <w:pPr>
              <w:pStyle w:val="14"/>
              <w:spacing w:before="10"/>
              <w:rPr>
                <w:sz w:val="17"/>
              </w:rPr>
            </w:pPr>
          </w:p>
          <w:p>
            <w:pPr>
              <w:pStyle w:val="14"/>
              <w:ind w:left="135"/>
              <w:rPr>
                <w:sz w:val="22"/>
              </w:rPr>
            </w:pPr>
            <w:r>
              <w:rPr>
                <w:sz w:val="22"/>
              </w:rPr>
              <w:t>项目编码</w:t>
            </w:r>
          </w:p>
        </w:tc>
        <w:tc>
          <w:tcPr>
            <w:tcW w:w="2473" w:type="dxa"/>
            <w:vMerge w:val="restart"/>
            <w:vAlign w:val="top"/>
          </w:tcPr>
          <w:p>
            <w:pPr>
              <w:pStyle w:val="14"/>
              <w:spacing w:before="10"/>
              <w:rPr>
                <w:sz w:val="17"/>
              </w:rPr>
            </w:pPr>
          </w:p>
          <w:p>
            <w:pPr>
              <w:pStyle w:val="14"/>
              <w:ind w:left="356"/>
              <w:rPr>
                <w:sz w:val="22"/>
              </w:rPr>
            </w:pPr>
            <w:r>
              <w:rPr>
                <w:sz w:val="22"/>
              </w:rPr>
              <w:t>材料（设备）名称</w:t>
            </w:r>
          </w:p>
        </w:tc>
        <w:tc>
          <w:tcPr>
            <w:tcW w:w="1260" w:type="dxa"/>
            <w:vMerge w:val="restart"/>
            <w:vAlign w:val="top"/>
          </w:tcPr>
          <w:p>
            <w:pPr>
              <w:pStyle w:val="14"/>
              <w:spacing w:before="10"/>
              <w:rPr>
                <w:sz w:val="17"/>
              </w:rPr>
            </w:pPr>
          </w:p>
          <w:p>
            <w:pPr>
              <w:pStyle w:val="14"/>
              <w:ind w:left="189"/>
              <w:rPr>
                <w:sz w:val="22"/>
              </w:rPr>
            </w:pPr>
            <w:r>
              <w:rPr>
                <w:sz w:val="22"/>
              </w:rPr>
              <w:t>规格型号</w:t>
            </w:r>
          </w:p>
        </w:tc>
        <w:tc>
          <w:tcPr>
            <w:tcW w:w="900" w:type="dxa"/>
            <w:vMerge w:val="restart"/>
            <w:vAlign w:val="top"/>
          </w:tcPr>
          <w:p>
            <w:pPr>
              <w:pStyle w:val="14"/>
              <w:spacing w:before="10"/>
              <w:rPr>
                <w:sz w:val="17"/>
              </w:rPr>
            </w:pPr>
          </w:p>
          <w:p>
            <w:pPr>
              <w:pStyle w:val="14"/>
              <w:ind w:left="230"/>
              <w:rPr>
                <w:sz w:val="22"/>
              </w:rPr>
            </w:pPr>
            <w:r>
              <w:rPr>
                <w:sz w:val="22"/>
              </w:rPr>
              <w:t>单位</w:t>
            </w:r>
          </w:p>
        </w:tc>
        <w:tc>
          <w:tcPr>
            <w:tcW w:w="900" w:type="dxa"/>
            <w:vMerge w:val="restart"/>
            <w:vAlign w:val="top"/>
          </w:tcPr>
          <w:p>
            <w:pPr>
              <w:pStyle w:val="14"/>
              <w:spacing w:before="10"/>
              <w:rPr>
                <w:sz w:val="17"/>
              </w:rPr>
            </w:pPr>
          </w:p>
          <w:p>
            <w:pPr>
              <w:pStyle w:val="14"/>
              <w:ind w:left="230"/>
              <w:rPr>
                <w:sz w:val="22"/>
              </w:rPr>
            </w:pPr>
            <w:r>
              <w:rPr>
                <w:sz w:val="22"/>
              </w:rPr>
              <w:t>数量</w:t>
            </w:r>
          </w:p>
        </w:tc>
        <w:tc>
          <w:tcPr>
            <w:tcW w:w="2160" w:type="dxa"/>
            <w:gridSpan w:val="2"/>
            <w:vAlign w:val="top"/>
          </w:tcPr>
          <w:p>
            <w:pPr>
              <w:pStyle w:val="14"/>
              <w:spacing w:before="197"/>
              <w:ind w:left="638"/>
              <w:rPr>
                <w:sz w:val="22"/>
              </w:rPr>
            </w:pPr>
            <w:r>
              <w:rPr>
                <w:sz w:val="22"/>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2" w:hRule="atLeast"/>
        </w:trPr>
        <w:tc>
          <w:tcPr>
            <w:tcW w:w="828" w:type="dxa"/>
            <w:vMerge w:val="continue"/>
            <w:tcBorders>
              <w:top w:val="nil"/>
            </w:tcBorders>
            <w:vAlign w:val="top"/>
          </w:tcPr>
          <w:p>
            <w:pPr>
              <w:rPr>
                <w:sz w:val="2"/>
                <w:szCs w:val="2"/>
              </w:rPr>
            </w:pPr>
          </w:p>
        </w:tc>
        <w:tc>
          <w:tcPr>
            <w:tcW w:w="1152" w:type="dxa"/>
            <w:vMerge w:val="continue"/>
            <w:tcBorders>
              <w:top w:val="nil"/>
            </w:tcBorders>
            <w:vAlign w:val="top"/>
          </w:tcPr>
          <w:p>
            <w:pPr>
              <w:rPr>
                <w:sz w:val="2"/>
                <w:szCs w:val="2"/>
              </w:rPr>
            </w:pPr>
          </w:p>
        </w:tc>
        <w:tc>
          <w:tcPr>
            <w:tcW w:w="2473" w:type="dxa"/>
            <w:vMerge w:val="continue"/>
            <w:tcBorders>
              <w:top w:val="nil"/>
            </w:tcBorders>
            <w:vAlign w:val="top"/>
          </w:tcPr>
          <w:p>
            <w:pPr>
              <w:rPr>
                <w:sz w:val="2"/>
                <w:szCs w:val="2"/>
              </w:rPr>
            </w:pPr>
          </w:p>
        </w:tc>
        <w:tc>
          <w:tcPr>
            <w:tcW w:w="1260" w:type="dxa"/>
            <w:vMerge w:val="continue"/>
            <w:tcBorders>
              <w:top w:val="nil"/>
            </w:tcBorders>
            <w:vAlign w:val="top"/>
          </w:tcPr>
          <w:p>
            <w:pPr>
              <w:rPr>
                <w:sz w:val="2"/>
                <w:szCs w:val="2"/>
              </w:rPr>
            </w:pPr>
          </w:p>
        </w:tc>
        <w:tc>
          <w:tcPr>
            <w:tcW w:w="900" w:type="dxa"/>
            <w:vMerge w:val="continue"/>
            <w:tcBorders>
              <w:top w:val="nil"/>
            </w:tcBorders>
            <w:vAlign w:val="top"/>
          </w:tcPr>
          <w:p>
            <w:pPr>
              <w:rPr>
                <w:sz w:val="2"/>
                <w:szCs w:val="2"/>
              </w:rPr>
            </w:pPr>
          </w:p>
        </w:tc>
        <w:tc>
          <w:tcPr>
            <w:tcW w:w="900" w:type="dxa"/>
            <w:vMerge w:val="continue"/>
            <w:tcBorders>
              <w:top w:val="nil"/>
            </w:tcBorders>
            <w:vAlign w:val="top"/>
          </w:tcPr>
          <w:p>
            <w:pPr>
              <w:rPr>
                <w:sz w:val="2"/>
                <w:szCs w:val="2"/>
              </w:rPr>
            </w:pPr>
          </w:p>
        </w:tc>
        <w:tc>
          <w:tcPr>
            <w:tcW w:w="900" w:type="dxa"/>
            <w:vAlign w:val="top"/>
          </w:tcPr>
          <w:p>
            <w:pPr>
              <w:pStyle w:val="14"/>
              <w:spacing w:before="163"/>
              <w:ind w:left="230"/>
              <w:rPr>
                <w:sz w:val="22"/>
              </w:rPr>
            </w:pPr>
            <w:r>
              <w:rPr>
                <w:sz w:val="22"/>
              </w:rPr>
              <w:t>单价</w:t>
            </w:r>
          </w:p>
        </w:tc>
        <w:tc>
          <w:tcPr>
            <w:tcW w:w="1260" w:type="dxa"/>
            <w:vAlign w:val="top"/>
          </w:tcPr>
          <w:p>
            <w:pPr>
              <w:pStyle w:val="14"/>
              <w:spacing w:before="163"/>
              <w:ind w:left="410"/>
              <w:rPr>
                <w:sz w:val="22"/>
              </w:rPr>
            </w:pPr>
            <w:r>
              <w:rPr>
                <w:sz w:val="22"/>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828" w:type="dxa"/>
            <w:vAlign w:val="top"/>
          </w:tcPr>
          <w:p>
            <w:pPr>
              <w:pStyle w:val="14"/>
              <w:rPr>
                <w:rFonts w:ascii="Times New Roman"/>
                <w:sz w:val="20"/>
              </w:rPr>
            </w:pPr>
          </w:p>
        </w:tc>
        <w:tc>
          <w:tcPr>
            <w:tcW w:w="1152" w:type="dxa"/>
            <w:vAlign w:val="top"/>
          </w:tcPr>
          <w:p>
            <w:pPr>
              <w:pStyle w:val="14"/>
              <w:rPr>
                <w:rFonts w:ascii="Times New Roman"/>
                <w:sz w:val="20"/>
              </w:rPr>
            </w:pPr>
          </w:p>
        </w:tc>
        <w:tc>
          <w:tcPr>
            <w:tcW w:w="2473" w:type="dxa"/>
            <w:vAlign w:val="top"/>
          </w:tcPr>
          <w:p>
            <w:pPr>
              <w:pStyle w:val="14"/>
              <w:rPr>
                <w:rFonts w:ascii="Times New Roman"/>
                <w:sz w:val="20"/>
              </w:rPr>
            </w:pPr>
          </w:p>
        </w:tc>
        <w:tc>
          <w:tcPr>
            <w:tcW w:w="126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12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828" w:type="dxa"/>
            <w:vAlign w:val="top"/>
          </w:tcPr>
          <w:p>
            <w:pPr>
              <w:pStyle w:val="14"/>
              <w:rPr>
                <w:rFonts w:ascii="Times New Roman"/>
                <w:sz w:val="20"/>
              </w:rPr>
            </w:pPr>
          </w:p>
        </w:tc>
        <w:tc>
          <w:tcPr>
            <w:tcW w:w="1152" w:type="dxa"/>
            <w:vAlign w:val="top"/>
          </w:tcPr>
          <w:p>
            <w:pPr>
              <w:pStyle w:val="14"/>
              <w:rPr>
                <w:rFonts w:ascii="Times New Roman"/>
                <w:sz w:val="20"/>
              </w:rPr>
            </w:pPr>
          </w:p>
        </w:tc>
        <w:tc>
          <w:tcPr>
            <w:tcW w:w="2473" w:type="dxa"/>
            <w:vAlign w:val="top"/>
          </w:tcPr>
          <w:p>
            <w:pPr>
              <w:pStyle w:val="14"/>
              <w:rPr>
                <w:rFonts w:ascii="Times New Roman"/>
                <w:sz w:val="20"/>
              </w:rPr>
            </w:pPr>
          </w:p>
        </w:tc>
        <w:tc>
          <w:tcPr>
            <w:tcW w:w="126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12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828" w:type="dxa"/>
            <w:vAlign w:val="top"/>
          </w:tcPr>
          <w:p>
            <w:pPr>
              <w:pStyle w:val="14"/>
              <w:rPr>
                <w:rFonts w:ascii="Times New Roman"/>
                <w:sz w:val="20"/>
              </w:rPr>
            </w:pPr>
          </w:p>
        </w:tc>
        <w:tc>
          <w:tcPr>
            <w:tcW w:w="1152" w:type="dxa"/>
            <w:vAlign w:val="top"/>
          </w:tcPr>
          <w:p>
            <w:pPr>
              <w:pStyle w:val="14"/>
              <w:rPr>
                <w:rFonts w:ascii="Times New Roman"/>
                <w:sz w:val="20"/>
              </w:rPr>
            </w:pPr>
          </w:p>
        </w:tc>
        <w:tc>
          <w:tcPr>
            <w:tcW w:w="2473" w:type="dxa"/>
            <w:vAlign w:val="top"/>
          </w:tcPr>
          <w:p>
            <w:pPr>
              <w:pStyle w:val="14"/>
              <w:rPr>
                <w:rFonts w:ascii="Times New Roman"/>
                <w:sz w:val="20"/>
              </w:rPr>
            </w:pPr>
          </w:p>
        </w:tc>
        <w:tc>
          <w:tcPr>
            <w:tcW w:w="126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12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828" w:type="dxa"/>
            <w:vAlign w:val="top"/>
          </w:tcPr>
          <w:p>
            <w:pPr>
              <w:pStyle w:val="14"/>
              <w:rPr>
                <w:rFonts w:ascii="Times New Roman"/>
                <w:sz w:val="20"/>
              </w:rPr>
            </w:pPr>
          </w:p>
        </w:tc>
        <w:tc>
          <w:tcPr>
            <w:tcW w:w="1152" w:type="dxa"/>
            <w:vAlign w:val="top"/>
          </w:tcPr>
          <w:p>
            <w:pPr>
              <w:pStyle w:val="14"/>
              <w:rPr>
                <w:rFonts w:ascii="Times New Roman"/>
                <w:sz w:val="20"/>
              </w:rPr>
            </w:pPr>
          </w:p>
        </w:tc>
        <w:tc>
          <w:tcPr>
            <w:tcW w:w="2473" w:type="dxa"/>
            <w:vAlign w:val="top"/>
          </w:tcPr>
          <w:p>
            <w:pPr>
              <w:pStyle w:val="14"/>
              <w:rPr>
                <w:rFonts w:ascii="Times New Roman"/>
                <w:sz w:val="20"/>
              </w:rPr>
            </w:pPr>
          </w:p>
        </w:tc>
        <w:tc>
          <w:tcPr>
            <w:tcW w:w="126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12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828" w:type="dxa"/>
            <w:vAlign w:val="top"/>
          </w:tcPr>
          <w:p>
            <w:pPr>
              <w:pStyle w:val="14"/>
              <w:rPr>
                <w:rFonts w:ascii="Times New Roman"/>
                <w:sz w:val="20"/>
              </w:rPr>
            </w:pPr>
          </w:p>
        </w:tc>
        <w:tc>
          <w:tcPr>
            <w:tcW w:w="1152" w:type="dxa"/>
            <w:vAlign w:val="top"/>
          </w:tcPr>
          <w:p>
            <w:pPr>
              <w:pStyle w:val="14"/>
              <w:rPr>
                <w:rFonts w:ascii="Times New Roman"/>
                <w:sz w:val="20"/>
              </w:rPr>
            </w:pPr>
          </w:p>
        </w:tc>
        <w:tc>
          <w:tcPr>
            <w:tcW w:w="2473" w:type="dxa"/>
            <w:vAlign w:val="top"/>
          </w:tcPr>
          <w:p>
            <w:pPr>
              <w:pStyle w:val="14"/>
              <w:rPr>
                <w:rFonts w:ascii="Times New Roman"/>
                <w:sz w:val="20"/>
              </w:rPr>
            </w:pPr>
          </w:p>
        </w:tc>
        <w:tc>
          <w:tcPr>
            <w:tcW w:w="126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12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828" w:type="dxa"/>
            <w:vAlign w:val="top"/>
          </w:tcPr>
          <w:p>
            <w:pPr>
              <w:pStyle w:val="14"/>
              <w:rPr>
                <w:rFonts w:ascii="Times New Roman"/>
                <w:sz w:val="20"/>
              </w:rPr>
            </w:pPr>
          </w:p>
        </w:tc>
        <w:tc>
          <w:tcPr>
            <w:tcW w:w="1152" w:type="dxa"/>
            <w:vAlign w:val="top"/>
          </w:tcPr>
          <w:p>
            <w:pPr>
              <w:pStyle w:val="14"/>
              <w:rPr>
                <w:rFonts w:ascii="Times New Roman"/>
                <w:sz w:val="20"/>
              </w:rPr>
            </w:pPr>
          </w:p>
        </w:tc>
        <w:tc>
          <w:tcPr>
            <w:tcW w:w="2473" w:type="dxa"/>
            <w:vAlign w:val="top"/>
          </w:tcPr>
          <w:p>
            <w:pPr>
              <w:pStyle w:val="14"/>
              <w:rPr>
                <w:rFonts w:ascii="Times New Roman"/>
                <w:sz w:val="20"/>
              </w:rPr>
            </w:pPr>
          </w:p>
        </w:tc>
        <w:tc>
          <w:tcPr>
            <w:tcW w:w="126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12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828" w:type="dxa"/>
            <w:vAlign w:val="top"/>
          </w:tcPr>
          <w:p>
            <w:pPr>
              <w:pStyle w:val="14"/>
              <w:rPr>
                <w:rFonts w:ascii="Times New Roman"/>
                <w:sz w:val="20"/>
              </w:rPr>
            </w:pPr>
          </w:p>
        </w:tc>
        <w:tc>
          <w:tcPr>
            <w:tcW w:w="1152" w:type="dxa"/>
            <w:vAlign w:val="top"/>
          </w:tcPr>
          <w:p>
            <w:pPr>
              <w:pStyle w:val="14"/>
              <w:rPr>
                <w:rFonts w:ascii="Times New Roman"/>
                <w:sz w:val="20"/>
              </w:rPr>
            </w:pPr>
          </w:p>
        </w:tc>
        <w:tc>
          <w:tcPr>
            <w:tcW w:w="2473" w:type="dxa"/>
            <w:vAlign w:val="top"/>
          </w:tcPr>
          <w:p>
            <w:pPr>
              <w:pStyle w:val="14"/>
              <w:rPr>
                <w:rFonts w:ascii="Times New Roman"/>
                <w:sz w:val="20"/>
              </w:rPr>
            </w:pPr>
          </w:p>
        </w:tc>
        <w:tc>
          <w:tcPr>
            <w:tcW w:w="126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12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828" w:type="dxa"/>
            <w:vAlign w:val="top"/>
          </w:tcPr>
          <w:p>
            <w:pPr>
              <w:pStyle w:val="14"/>
              <w:rPr>
                <w:rFonts w:ascii="Times New Roman"/>
                <w:sz w:val="20"/>
              </w:rPr>
            </w:pPr>
          </w:p>
        </w:tc>
        <w:tc>
          <w:tcPr>
            <w:tcW w:w="1152" w:type="dxa"/>
            <w:vAlign w:val="top"/>
          </w:tcPr>
          <w:p>
            <w:pPr>
              <w:pStyle w:val="14"/>
              <w:rPr>
                <w:rFonts w:ascii="Times New Roman"/>
                <w:sz w:val="20"/>
              </w:rPr>
            </w:pPr>
          </w:p>
        </w:tc>
        <w:tc>
          <w:tcPr>
            <w:tcW w:w="2473" w:type="dxa"/>
            <w:vAlign w:val="top"/>
          </w:tcPr>
          <w:p>
            <w:pPr>
              <w:pStyle w:val="14"/>
              <w:rPr>
                <w:rFonts w:ascii="Times New Roman"/>
                <w:sz w:val="20"/>
              </w:rPr>
            </w:pPr>
          </w:p>
        </w:tc>
        <w:tc>
          <w:tcPr>
            <w:tcW w:w="126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12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828" w:type="dxa"/>
            <w:vAlign w:val="top"/>
          </w:tcPr>
          <w:p>
            <w:pPr>
              <w:pStyle w:val="14"/>
              <w:rPr>
                <w:rFonts w:ascii="Times New Roman"/>
                <w:sz w:val="20"/>
              </w:rPr>
            </w:pPr>
          </w:p>
        </w:tc>
        <w:tc>
          <w:tcPr>
            <w:tcW w:w="1152" w:type="dxa"/>
            <w:vAlign w:val="top"/>
          </w:tcPr>
          <w:p>
            <w:pPr>
              <w:pStyle w:val="14"/>
              <w:rPr>
                <w:rFonts w:ascii="Times New Roman"/>
                <w:sz w:val="20"/>
              </w:rPr>
            </w:pPr>
          </w:p>
        </w:tc>
        <w:tc>
          <w:tcPr>
            <w:tcW w:w="2473" w:type="dxa"/>
            <w:vAlign w:val="top"/>
          </w:tcPr>
          <w:p>
            <w:pPr>
              <w:pStyle w:val="14"/>
              <w:rPr>
                <w:rFonts w:ascii="Times New Roman"/>
                <w:sz w:val="20"/>
              </w:rPr>
            </w:pPr>
          </w:p>
        </w:tc>
        <w:tc>
          <w:tcPr>
            <w:tcW w:w="126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12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828" w:type="dxa"/>
            <w:vAlign w:val="top"/>
          </w:tcPr>
          <w:p>
            <w:pPr>
              <w:pStyle w:val="14"/>
              <w:rPr>
                <w:rFonts w:ascii="Times New Roman"/>
                <w:sz w:val="20"/>
              </w:rPr>
            </w:pPr>
          </w:p>
        </w:tc>
        <w:tc>
          <w:tcPr>
            <w:tcW w:w="1152" w:type="dxa"/>
            <w:vAlign w:val="top"/>
          </w:tcPr>
          <w:p>
            <w:pPr>
              <w:pStyle w:val="14"/>
              <w:rPr>
                <w:rFonts w:ascii="Times New Roman"/>
                <w:sz w:val="20"/>
              </w:rPr>
            </w:pPr>
          </w:p>
        </w:tc>
        <w:tc>
          <w:tcPr>
            <w:tcW w:w="2473" w:type="dxa"/>
            <w:vAlign w:val="top"/>
          </w:tcPr>
          <w:p>
            <w:pPr>
              <w:pStyle w:val="14"/>
              <w:rPr>
                <w:rFonts w:ascii="Times New Roman"/>
                <w:sz w:val="20"/>
              </w:rPr>
            </w:pPr>
          </w:p>
        </w:tc>
        <w:tc>
          <w:tcPr>
            <w:tcW w:w="126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12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828" w:type="dxa"/>
            <w:vAlign w:val="top"/>
          </w:tcPr>
          <w:p>
            <w:pPr>
              <w:pStyle w:val="14"/>
              <w:rPr>
                <w:rFonts w:ascii="Times New Roman"/>
                <w:sz w:val="20"/>
              </w:rPr>
            </w:pPr>
          </w:p>
        </w:tc>
        <w:tc>
          <w:tcPr>
            <w:tcW w:w="1152" w:type="dxa"/>
            <w:vAlign w:val="top"/>
          </w:tcPr>
          <w:p>
            <w:pPr>
              <w:pStyle w:val="14"/>
              <w:rPr>
                <w:rFonts w:ascii="Times New Roman"/>
                <w:sz w:val="20"/>
              </w:rPr>
            </w:pPr>
          </w:p>
        </w:tc>
        <w:tc>
          <w:tcPr>
            <w:tcW w:w="2473" w:type="dxa"/>
            <w:vAlign w:val="top"/>
          </w:tcPr>
          <w:p>
            <w:pPr>
              <w:pStyle w:val="14"/>
              <w:rPr>
                <w:rFonts w:ascii="Times New Roman"/>
                <w:sz w:val="20"/>
              </w:rPr>
            </w:pPr>
          </w:p>
        </w:tc>
        <w:tc>
          <w:tcPr>
            <w:tcW w:w="126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12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828" w:type="dxa"/>
            <w:vAlign w:val="top"/>
          </w:tcPr>
          <w:p>
            <w:pPr>
              <w:pStyle w:val="14"/>
              <w:rPr>
                <w:rFonts w:ascii="Times New Roman"/>
                <w:sz w:val="20"/>
              </w:rPr>
            </w:pPr>
          </w:p>
        </w:tc>
        <w:tc>
          <w:tcPr>
            <w:tcW w:w="1152" w:type="dxa"/>
            <w:vAlign w:val="top"/>
          </w:tcPr>
          <w:p>
            <w:pPr>
              <w:pStyle w:val="14"/>
              <w:rPr>
                <w:rFonts w:ascii="Times New Roman"/>
                <w:sz w:val="20"/>
              </w:rPr>
            </w:pPr>
          </w:p>
        </w:tc>
        <w:tc>
          <w:tcPr>
            <w:tcW w:w="2473" w:type="dxa"/>
            <w:vAlign w:val="top"/>
          </w:tcPr>
          <w:p>
            <w:pPr>
              <w:pStyle w:val="14"/>
              <w:rPr>
                <w:rFonts w:ascii="Times New Roman"/>
                <w:sz w:val="20"/>
              </w:rPr>
            </w:pPr>
          </w:p>
        </w:tc>
        <w:tc>
          <w:tcPr>
            <w:tcW w:w="126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12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828" w:type="dxa"/>
            <w:vAlign w:val="top"/>
          </w:tcPr>
          <w:p>
            <w:pPr>
              <w:pStyle w:val="14"/>
              <w:rPr>
                <w:rFonts w:ascii="Times New Roman"/>
                <w:sz w:val="20"/>
              </w:rPr>
            </w:pPr>
          </w:p>
        </w:tc>
        <w:tc>
          <w:tcPr>
            <w:tcW w:w="1152" w:type="dxa"/>
            <w:vAlign w:val="top"/>
          </w:tcPr>
          <w:p>
            <w:pPr>
              <w:pStyle w:val="14"/>
              <w:rPr>
                <w:rFonts w:ascii="Times New Roman"/>
                <w:sz w:val="20"/>
              </w:rPr>
            </w:pPr>
          </w:p>
        </w:tc>
        <w:tc>
          <w:tcPr>
            <w:tcW w:w="2473" w:type="dxa"/>
            <w:vAlign w:val="top"/>
          </w:tcPr>
          <w:p>
            <w:pPr>
              <w:pStyle w:val="14"/>
              <w:rPr>
                <w:rFonts w:ascii="Times New Roman"/>
                <w:sz w:val="20"/>
              </w:rPr>
            </w:pPr>
          </w:p>
        </w:tc>
        <w:tc>
          <w:tcPr>
            <w:tcW w:w="126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12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828" w:type="dxa"/>
            <w:vAlign w:val="top"/>
          </w:tcPr>
          <w:p>
            <w:pPr>
              <w:pStyle w:val="14"/>
              <w:rPr>
                <w:rFonts w:ascii="Times New Roman"/>
                <w:sz w:val="20"/>
              </w:rPr>
            </w:pPr>
          </w:p>
        </w:tc>
        <w:tc>
          <w:tcPr>
            <w:tcW w:w="1152" w:type="dxa"/>
            <w:vAlign w:val="top"/>
          </w:tcPr>
          <w:p>
            <w:pPr>
              <w:pStyle w:val="14"/>
              <w:rPr>
                <w:rFonts w:ascii="Times New Roman"/>
                <w:sz w:val="20"/>
              </w:rPr>
            </w:pPr>
          </w:p>
        </w:tc>
        <w:tc>
          <w:tcPr>
            <w:tcW w:w="2473" w:type="dxa"/>
            <w:vAlign w:val="top"/>
          </w:tcPr>
          <w:p>
            <w:pPr>
              <w:pStyle w:val="14"/>
              <w:rPr>
                <w:rFonts w:ascii="Times New Roman"/>
                <w:sz w:val="20"/>
              </w:rPr>
            </w:pPr>
          </w:p>
        </w:tc>
        <w:tc>
          <w:tcPr>
            <w:tcW w:w="126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126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828" w:type="dxa"/>
            <w:vAlign w:val="top"/>
          </w:tcPr>
          <w:p>
            <w:pPr>
              <w:pStyle w:val="14"/>
              <w:rPr>
                <w:rFonts w:ascii="Times New Roman"/>
                <w:sz w:val="20"/>
              </w:rPr>
            </w:pPr>
          </w:p>
        </w:tc>
        <w:tc>
          <w:tcPr>
            <w:tcW w:w="1152" w:type="dxa"/>
            <w:vAlign w:val="top"/>
          </w:tcPr>
          <w:p>
            <w:pPr>
              <w:pStyle w:val="14"/>
              <w:rPr>
                <w:rFonts w:ascii="Times New Roman"/>
                <w:sz w:val="20"/>
              </w:rPr>
            </w:pPr>
          </w:p>
        </w:tc>
        <w:tc>
          <w:tcPr>
            <w:tcW w:w="2473" w:type="dxa"/>
            <w:vAlign w:val="top"/>
          </w:tcPr>
          <w:p>
            <w:pPr>
              <w:pStyle w:val="14"/>
              <w:rPr>
                <w:rFonts w:ascii="Times New Roman"/>
                <w:sz w:val="20"/>
              </w:rPr>
            </w:pPr>
          </w:p>
        </w:tc>
        <w:tc>
          <w:tcPr>
            <w:tcW w:w="126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900" w:type="dxa"/>
            <w:vAlign w:val="top"/>
          </w:tcPr>
          <w:p>
            <w:pPr>
              <w:pStyle w:val="14"/>
              <w:rPr>
                <w:rFonts w:ascii="Times New Roman"/>
                <w:sz w:val="20"/>
              </w:rPr>
            </w:pPr>
          </w:p>
        </w:tc>
        <w:tc>
          <w:tcPr>
            <w:tcW w:w="1260" w:type="dxa"/>
            <w:vAlign w:val="top"/>
          </w:tcPr>
          <w:p>
            <w:pPr>
              <w:pStyle w:val="14"/>
              <w:rPr>
                <w:rFonts w:ascii="Times New Roman"/>
                <w:sz w:val="20"/>
              </w:rPr>
            </w:pPr>
          </w:p>
        </w:tc>
      </w:tr>
    </w:tbl>
    <w:p>
      <w:pPr>
        <w:spacing w:after="0"/>
        <w:rPr>
          <w:rFonts w:ascii="Times New Roman"/>
          <w:sz w:val="20"/>
        </w:rPr>
        <w:sectPr>
          <w:pgSz w:w="11910" w:h="16840"/>
          <w:pgMar w:top="1100" w:right="660" w:bottom="1200" w:left="800" w:header="878" w:footer="1003" w:gutter="0"/>
          <w:cols w:space="720" w:num="1"/>
        </w:sectPr>
      </w:pPr>
    </w:p>
    <w:p>
      <w:pPr>
        <w:pStyle w:val="9"/>
        <w:spacing w:before="1"/>
        <w:rPr>
          <w:sz w:val="18"/>
        </w:rPr>
      </w:pPr>
    </w:p>
    <w:p>
      <w:pPr>
        <w:pStyle w:val="9"/>
        <w:spacing w:before="70"/>
        <w:ind w:left="564" w:right="727"/>
        <w:jc w:val="center"/>
      </w:pPr>
      <w:r>
        <w:t>工程量清单综合单价分析表</w:t>
      </w:r>
    </w:p>
    <w:p>
      <w:pPr>
        <w:pStyle w:val="9"/>
      </w:pPr>
    </w:p>
    <w:p>
      <w:pPr>
        <w:pStyle w:val="9"/>
      </w:pPr>
    </w:p>
    <w:p>
      <w:pPr>
        <w:pStyle w:val="9"/>
        <w:spacing w:before="12"/>
      </w:pPr>
    </w:p>
    <w:p>
      <w:pPr>
        <w:pStyle w:val="9"/>
        <w:tabs>
          <w:tab w:val="left" w:pos="4359"/>
          <w:tab w:val="left" w:pos="7770"/>
          <w:tab w:val="left" w:pos="8211"/>
          <w:tab w:val="left" w:pos="8979"/>
        </w:tabs>
        <w:ind w:left="731"/>
      </w:pPr>
      <w:r>
        <w:t>工</w:t>
      </w:r>
      <w:r>
        <w:rPr>
          <w:spacing w:val="-3"/>
        </w:rPr>
        <w:t>程</w:t>
      </w:r>
      <w:r>
        <w:t>名称：</w:t>
      </w:r>
      <w:r>
        <w:tab/>
      </w:r>
      <w:r>
        <w:t>标</w:t>
      </w:r>
      <w:r>
        <w:rPr>
          <w:spacing w:val="-3"/>
        </w:rPr>
        <w:t>段</w:t>
      </w:r>
      <w:r>
        <w:t>：</w:t>
      </w:r>
      <w:r>
        <w:tab/>
      </w:r>
      <w:r>
        <w:t>第</w:t>
      </w:r>
      <w:r>
        <w:tab/>
      </w:r>
      <w:r>
        <w:t>页</w:t>
      </w:r>
      <w:r>
        <w:rPr>
          <w:spacing w:val="-3"/>
        </w:rPr>
        <w:t xml:space="preserve"> </w:t>
      </w:r>
      <w:r>
        <w:t>共</w:t>
      </w:r>
      <w:r>
        <w:tab/>
      </w:r>
      <w:r>
        <w:t>页</w:t>
      </w:r>
    </w:p>
    <w:p>
      <w:pPr>
        <w:pStyle w:val="9"/>
        <w:spacing w:before="6"/>
      </w:pPr>
    </w:p>
    <w:tbl>
      <w:tblPr>
        <w:tblW w:w="9441" w:type="dxa"/>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3"/>
        <w:gridCol w:w="555"/>
        <w:gridCol w:w="242"/>
        <w:gridCol w:w="583"/>
        <w:gridCol w:w="490"/>
        <w:gridCol w:w="134"/>
        <w:gridCol w:w="548"/>
        <w:gridCol w:w="268"/>
        <w:gridCol w:w="206"/>
        <w:gridCol w:w="87"/>
        <w:gridCol w:w="381"/>
        <w:gridCol w:w="605"/>
        <w:gridCol w:w="896"/>
        <w:gridCol w:w="448"/>
        <w:gridCol w:w="559"/>
        <w:gridCol w:w="218"/>
        <w:gridCol w:w="713"/>
        <w:gridCol w:w="139"/>
        <w:gridCol w:w="184"/>
        <w:gridCol w:w="627"/>
        <w:gridCol w:w="99"/>
        <w:gridCol w:w="8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atLeast"/>
        </w:trPr>
        <w:tc>
          <w:tcPr>
            <w:tcW w:w="1138" w:type="dxa"/>
            <w:gridSpan w:val="2"/>
            <w:vAlign w:val="top"/>
          </w:tcPr>
          <w:p>
            <w:pPr>
              <w:pStyle w:val="14"/>
              <w:spacing w:before="142"/>
              <w:ind w:left="127"/>
              <w:rPr>
                <w:sz w:val="22"/>
              </w:rPr>
            </w:pPr>
            <w:r>
              <w:rPr>
                <w:sz w:val="22"/>
              </w:rPr>
              <w:t>项目编码</w:t>
            </w:r>
          </w:p>
        </w:tc>
        <w:tc>
          <w:tcPr>
            <w:tcW w:w="1315" w:type="dxa"/>
            <w:gridSpan w:val="3"/>
            <w:vAlign w:val="top"/>
          </w:tcPr>
          <w:p>
            <w:pPr>
              <w:pStyle w:val="14"/>
              <w:rPr>
                <w:rFonts w:ascii="Times New Roman"/>
                <w:sz w:val="20"/>
              </w:rPr>
            </w:pPr>
          </w:p>
        </w:tc>
        <w:tc>
          <w:tcPr>
            <w:tcW w:w="1156" w:type="dxa"/>
            <w:gridSpan w:val="4"/>
            <w:vAlign w:val="top"/>
          </w:tcPr>
          <w:p>
            <w:pPr>
              <w:pStyle w:val="14"/>
              <w:spacing w:before="142"/>
              <w:ind w:left="136"/>
              <w:rPr>
                <w:sz w:val="22"/>
              </w:rPr>
            </w:pPr>
            <w:r>
              <w:rPr>
                <w:sz w:val="22"/>
              </w:rPr>
              <w:t>项目名称</w:t>
            </w:r>
          </w:p>
        </w:tc>
        <w:tc>
          <w:tcPr>
            <w:tcW w:w="1073" w:type="dxa"/>
            <w:gridSpan w:val="3"/>
            <w:vAlign w:val="top"/>
          </w:tcPr>
          <w:p>
            <w:pPr>
              <w:pStyle w:val="14"/>
              <w:rPr>
                <w:rFonts w:ascii="Times New Roman"/>
                <w:sz w:val="20"/>
              </w:rPr>
            </w:pPr>
          </w:p>
        </w:tc>
        <w:tc>
          <w:tcPr>
            <w:tcW w:w="1344" w:type="dxa"/>
            <w:gridSpan w:val="2"/>
            <w:vAlign w:val="top"/>
          </w:tcPr>
          <w:p>
            <w:pPr>
              <w:pStyle w:val="14"/>
              <w:spacing w:before="142"/>
              <w:ind w:left="365"/>
              <w:rPr>
                <w:sz w:val="22"/>
              </w:rPr>
            </w:pPr>
            <w:r>
              <w:rPr>
                <w:sz w:val="22"/>
              </w:rPr>
              <w:t>工程数量</w:t>
            </w:r>
          </w:p>
        </w:tc>
        <w:tc>
          <w:tcPr>
            <w:tcW w:w="777" w:type="dxa"/>
            <w:gridSpan w:val="2"/>
            <w:vAlign w:val="top"/>
          </w:tcPr>
          <w:p>
            <w:pPr>
              <w:pStyle w:val="14"/>
              <w:rPr>
                <w:rFonts w:ascii="Times New Roman"/>
                <w:sz w:val="20"/>
              </w:rPr>
            </w:pPr>
          </w:p>
        </w:tc>
        <w:tc>
          <w:tcPr>
            <w:tcW w:w="1036" w:type="dxa"/>
            <w:gridSpan w:val="3"/>
            <w:vAlign w:val="top"/>
          </w:tcPr>
          <w:p>
            <w:pPr>
              <w:pStyle w:val="14"/>
              <w:spacing w:before="1"/>
              <w:ind w:left="183" w:right="143"/>
              <w:jc w:val="center"/>
              <w:rPr>
                <w:sz w:val="22"/>
              </w:rPr>
            </w:pPr>
            <w:r>
              <w:rPr>
                <w:sz w:val="22"/>
              </w:rPr>
              <w:t>计量单</w:t>
            </w:r>
          </w:p>
          <w:p>
            <w:pPr>
              <w:pStyle w:val="14"/>
              <w:spacing w:before="4" w:line="264" w:lineRule="exact"/>
              <w:ind w:left="42"/>
              <w:jc w:val="center"/>
              <w:rPr>
                <w:sz w:val="22"/>
              </w:rPr>
            </w:pPr>
            <w:r>
              <w:rPr>
                <w:w w:val="100"/>
                <w:sz w:val="22"/>
              </w:rPr>
              <w:t>位</w:t>
            </w:r>
          </w:p>
        </w:tc>
        <w:tc>
          <w:tcPr>
            <w:tcW w:w="1602" w:type="dxa"/>
            <w:gridSpan w:val="3"/>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9441" w:type="dxa"/>
            <w:gridSpan w:val="22"/>
            <w:vAlign w:val="top"/>
          </w:tcPr>
          <w:p>
            <w:pPr>
              <w:pStyle w:val="14"/>
              <w:spacing w:before="114"/>
              <w:ind w:left="3600" w:right="3591"/>
              <w:jc w:val="center"/>
              <w:rPr>
                <w:sz w:val="22"/>
              </w:rPr>
            </w:pPr>
            <w:r>
              <w:rPr>
                <w:sz w:val="22"/>
              </w:rPr>
              <w:t>清单综合单价组成明细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83" w:type="dxa"/>
            <w:vMerge w:val="restart"/>
            <w:vAlign w:val="top"/>
          </w:tcPr>
          <w:p>
            <w:pPr>
              <w:pStyle w:val="14"/>
              <w:spacing w:before="117" w:line="242" w:lineRule="auto"/>
              <w:ind w:left="180" w:right="169"/>
              <w:jc w:val="both"/>
              <w:rPr>
                <w:sz w:val="22"/>
              </w:rPr>
            </w:pPr>
            <w:r>
              <w:rPr>
                <w:sz w:val="22"/>
              </w:rPr>
              <w:t>定额编号</w:t>
            </w:r>
          </w:p>
        </w:tc>
        <w:tc>
          <w:tcPr>
            <w:tcW w:w="797" w:type="dxa"/>
            <w:gridSpan w:val="2"/>
            <w:vMerge w:val="restart"/>
            <w:vAlign w:val="top"/>
          </w:tcPr>
          <w:p>
            <w:pPr>
              <w:pStyle w:val="14"/>
              <w:spacing w:before="5"/>
              <w:rPr>
                <w:sz w:val="31"/>
              </w:rPr>
            </w:pPr>
          </w:p>
          <w:p>
            <w:pPr>
              <w:pStyle w:val="14"/>
              <w:spacing w:line="242" w:lineRule="auto"/>
              <w:ind w:left="178" w:right="165"/>
              <w:rPr>
                <w:sz w:val="22"/>
              </w:rPr>
            </w:pPr>
            <w:r>
              <w:rPr>
                <w:sz w:val="22"/>
              </w:rPr>
              <w:t>定额名称</w:t>
            </w:r>
          </w:p>
        </w:tc>
        <w:tc>
          <w:tcPr>
            <w:tcW w:w="583" w:type="dxa"/>
            <w:vMerge w:val="restart"/>
            <w:vAlign w:val="top"/>
          </w:tcPr>
          <w:p>
            <w:pPr>
              <w:pStyle w:val="14"/>
              <w:spacing w:before="117" w:line="242" w:lineRule="auto"/>
              <w:ind w:left="180" w:right="169"/>
              <w:jc w:val="both"/>
              <w:rPr>
                <w:sz w:val="22"/>
              </w:rPr>
            </w:pPr>
            <w:r>
              <w:rPr>
                <w:sz w:val="22"/>
              </w:rPr>
              <w:t>定额单位</w:t>
            </w:r>
          </w:p>
        </w:tc>
        <w:tc>
          <w:tcPr>
            <w:tcW w:w="624" w:type="dxa"/>
            <w:gridSpan w:val="2"/>
            <w:vMerge w:val="restart"/>
            <w:vAlign w:val="top"/>
          </w:tcPr>
          <w:p>
            <w:pPr>
              <w:pStyle w:val="14"/>
              <w:spacing w:before="5"/>
              <w:rPr>
                <w:sz w:val="31"/>
              </w:rPr>
            </w:pPr>
          </w:p>
          <w:p>
            <w:pPr>
              <w:pStyle w:val="14"/>
              <w:spacing w:line="242" w:lineRule="auto"/>
              <w:ind w:left="202" w:right="188"/>
              <w:rPr>
                <w:sz w:val="22"/>
              </w:rPr>
            </w:pPr>
            <w:r>
              <w:rPr>
                <w:sz w:val="22"/>
              </w:rPr>
              <w:t>数量</w:t>
            </w:r>
          </w:p>
        </w:tc>
        <w:tc>
          <w:tcPr>
            <w:tcW w:w="2991" w:type="dxa"/>
            <w:gridSpan w:val="7"/>
            <w:vAlign w:val="top"/>
          </w:tcPr>
          <w:p>
            <w:pPr>
              <w:pStyle w:val="14"/>
              <w:tabs>
                <w:tab w:val="left" w:pos="668"/>
              </w:tabs>
              <w:spacing w:before="112"/>
              <w:ind w:left="8"/>
              <w:jc w:val="center"/>
              <w:rPr>
                <w:sz w:val="22"/>
              </w:rPr>
            </w:pPr>
            <w:r>
              <w:rPr>
                <w:sz w:val="22"/>
              </w:rPr>
              <w:t>单</w:t>
            </w:r>
            <w:r>
              <w:rPr>
                <w:sz w:val="22"/>
              </w:rPr>
              <w:tab/>
            </w:r>
            <w:r>
              <w:rPr>
                <w:sz w:val="22"/>
              </w:rPr>
              <w:t>价</w:t>
            </w:r>
          </w:p>
        </w:tc>
        <w:tc>
          <w:tcPr>
            <w:tcW w:w="3863" w:type="dxa"/>
            <w:gridSpan w:val="9"/>
            <w:vAlign w:val="top"/>
          </w:tcPr>
          <w:p>
            <w:pPr>
              <w:pStyle w:val="14"/>
              <w:tabs>
                <w:tab w:val="left" w:pos="668"/>
              </w:tabs>
              <w:spacing w:before="112"/>
              <w:ind w:left="8"/>
              <w:jc w:val="center"/>
              <w:rPr>
                <w:sz w:val="22"/>
              </w:rPr>
            </w:pPr>
            <w:r>
              <w:rPr>
                <w:sz w:val="22"/>
              </w:rPr>
              <w:t>合</w:t>
            </w:r>
            <w:r>
              <w:rPr>
                <w:sz w:val="22"/>
              </w:rPr>
              <w:tab/>
            </w:r>
            <w:r>
              <w:rPr>
                <w:sz w:val="22"/>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5" w:hRule="atLeast"/>
        </w:trPr>
        <w:tc>
          <w:tcPr>
            <w:tcW w:w="583" w:type="dxa"/>
            <w:vMerge w:val="continue"/>
            <w:tcBorders>
              <w:top w:val="nil"/>
            </w:tcBorders>
            <w:vAlign w:val="top"/>
          </w:tcPr>
          <w:p>
            <w:pPr>
              <w:rPr>
                <w:sz w:val="2"/>
                <w:szCs w:val="2"/>
              </w:rPr>
            </w:pPr>
          </w:p>
        </w:tc>
        <w:tc>
          <w:tcPr>
            <w:tcW w:w="797" w:type="dxa"/>
            <w:gridSpan w:val="2"/>
            <w:vMerge w:val="continue"/>
            <w:tcBorders>
              <w:top w:val="nil"/>
            </w:tcBorders>
            <w:vAlign w:val="top"/>
          </w:tcPr>
          <w:p>
            <w:pPr>
              <w:rPr>
                <w:sz w:val="2"/>
                <w:szCs w:val="2"/>
              </w:rPr>
            </w:pPr>
          </w:p>
        </w:tc>
        <w:tc>
          <w:tcPr>
            <w:tcW w:w="583" w:type="dxa"/>
            <w:vMerge w:val="continue"/>
            <w:tcBorders>
              <w:top w:val="nil"/>
            </w:tcBorders>
            <w:vAlign w:val="top"/>
          </w:tcPr>
          <w:p>
            <w:pPr>
              <w:rPr>
                <w:sz w:val="2"/>
                <w:szCs w:val="2"/>
              </w:rPr>
            </w:pPr>
          </w:p>
        </w:tc>
        <w:tc>
          <w:tcPr>
            <w:tcW w:w="624" w:type="dxa"/>
            <w:gridSpan w:val="2"/>
            <w:vMerge w:val="continue"/>
            <w:tcBorders>
              <w:top w:val="nil"/>
            </w:tcBorders>
            <w:vAlign w:val="top"/>
          </w:tcPr>
          <w:p>
            <w:pPr>
              <w:rPr>
                <w:sz w:val="2"/>
                <w:szCs w:val="2"/>
              </w:rPr>
            </w:pPr>
          </w:p>
        </w:tc>
        <w:tc>
          <w:tcPr>
            <w:tcW w:w="548" w:type="dxa"/>
            <w:vAlign w:val="top"/>
          </w:tcPr>
          <w:p>
            <w:pPr>
              <w:pStyle w:val="14"/>
              <w:ind w:left="163"/>
              <w:rPr>
                <w:sz w:val="22"/>
              </w:rPr>
            </w:pPr>
            <w:r>
              <w:rPr>
                <w:w w:val="100"/>
                <w:sz w:val="22"/>
              </w:rPr>
              <w:t>人</w:t>
            </w:r>
          </w:p>
          <w:p>
            <w:pPr>
              <w:pStyle w:val="14"/>
              <w:spacing w:before="4" w:line="280" w:lineRule="atLeast"/>
              <w:ind w:left="163" w:right="151"/>
              <w:rPr>
                <w:sz w:val="22"/>
              </w:rPr>
            </w:pPr>
            <w:r>
              <w:rPr>
                <w:sz w:val="22"/>
              </w:rPr>
              <w:t>工费</w:t>
            </w:r>
          </w:p>
        </w:tc>
        <w:tc>
          <w:tcPr>
            <w:tcW w:w="561" w:type="dxa"/>
            <w:gridSpan w:val="3"/>
            <w:vAlign w:val="top"/>
          </w:tcPr>
          <w:p>
            <w:pPr>
              <w:pStyle w:val="14"/>
              <w:ind w:left="170"/>
              <w:rPr>
                <w:sz w:val="22"/>
              </w:rPr>
            </w:pPr>
            <w:r>
              <w:rPr>
                <w:w w:val="100"/>
                <w:sz w:val="22"/>
              </w:rPr>
              <w:t>材</w:t>
            </w:r>
          </w:p>
          <w:p>
            <w:pPr>
              <w:pStyle w:val="14"/>
              <w:spacing w:before="4" w:line="280" w:lineRule="atLeast"/>
              <w:ind w:left="170" w:right="157"/>
              <w:rPr>
                <w:sz w:val="22"/>
              </w:rPr>
            </w:pPr>
            <w:r>
              <w:rPr>
                <w:sz w:val="22"/>
              </w:rPr>
              <w:t>料费</w:t>
            </w:r>
          </w:p>
        </w:tc>
        <w:tc>
          <w:tcPr>
            <w:tcW w:w="986" w:type="dxa"/>
            <w:gridSpan w:val="2"/>
            <w:vAlign w:val="top"/>
          </w:tcPr>
          <w:p>
            <w:pPr>
              <w:pStyle w:val="14"/>
              <w:spacing w:before="3"/>
              <w:rPr>
                <w:sz w:val="22"/>
              </w:rPr>
            </w:pPr>
          </w:p>
          <w:p>
            <w:pPr>
              <w:pStyle w:val="14"/>
              <w:spacing w:before="1"/>
              <w:ind w:left="163"/>
              <w:rPr>
                <w:sz w:val="22"/>
              </w:rPr>
            </w:pPr>
            <w:r>
              <w:rPr>
                <w:sz w:val="22"/>
              </w:rPr>
              <w:t>机械费</w:t>
            </w:r>
          </w:p>
        </w:tc>
        <w:tc>
          <w:tcPr>
            <w:tcW w:w="896" w:type="dxa"/>
            <w:vAlign w:val="top"/>
          </w:tcPr>
          <w:p>
            <w:pPr>
              <w:pStyle w:val="14"/>
              <w:ind w:left="118"/>
              <w:rPr>
                <w:sz w:val="22"/>
              </w:rPr>
            </w:pPr>
            <w:r>
              <w:rPr>
                <w:sz w:val="22"/>
              </w:rPr>
              <w:t>企业管</w:t>
            </w:r>
          </w:p>
          <w:p>
            <w:pPr>
              <w:pStyle w:val="14"/>
              <w:spacing w:before="4" w:line="280" w:lineRule="atLeast"/>
              <w:ind w:left="228" w:right="105" w:hanging="111"/>
              <w:rPr>
                <w:sz w:val="22"/>
              </w:rPr>
            </w:pPr>
            <w:r>
              <w:rPr>
                <w:sz w:val="22"/>
              </w:rPr>
              <w:t>理费和利润</w:t>
            </w:r>
          </w:p>
        </w:tc>
        <w:tc>
          <w:tcPr>
            <w:tcW w:w="1007" w:type="dxa"/>
            <w:gridSpan w:val="2"/>
            <w:vAlign w:val="top"/>
          </w:tcPr>
          <w:p>
            <w:pPr>
              <w:pStyle w:val="14"/>
              <w:spacing w:before="3"/>
              <w:rPr>
                <w:sz w:val="22"/>
              </w:rPr>
            </w:pPr>
          </w:p>
          <w:p>
            <w:pPr>
              <w:pStyle w:val="14"/>
              <w:spacing w:before="1"/>
              <w:ind w:left="172"/>
              <w:rPr>
                <w:sz w:val="22"/>
              </w:rPr>
            </w:pPr>
            <w:r>
              <w:rPr>
                <w:sz w:val="22"/>
              </w:rPr>
              <w:t>人工费</w:t>
            </w:r>
          </w:p>
        </w:tc>
        <w:tc>
          <w:tcPr>
            <w:tcW w:w="931" w:type="dxa"/>
            <w:gridSpan w:val="2"/>
            <w:vAlign w:val="top"/>
          </w:tcPr>
          <w:p>
            <w:pPr>
              <w:pStyle w:val="14"/>
              <w:spacing w:before="3"/>
              <w:rPr>
                <w:sz w:val="22"/>
              </w:rPr>
            </w:pPr>
          </w:p>
          <w:p>
            <w:pPr>
              <w:pStyle w:val="14"/>
              <w:spacing w:before="1"/>
              <w:ind w:left="135"/>
              <w:rPr>
                <w:sz w:val="22"/>
              </w:rPr>
            </w:pPr>
            <w:r>
              <w:rPr>
                <w:sz w:val="22"/>
              </w:rPr>
              <w:t>材料费</w:t>
            </w:r>
          </w:p>
        </w:tc>
        <w:tc>
          <w:tcPr>
            <w:tcW w:w="950" w:type="dxa"/>
            <w:gridSpan w:val="3"/>
            <w:vAlign w:val="top"/>
          </w:tcPr>
          <w:p>
            <w:pPr>
              <w:pStyle w:val="14"/>
              <w:spacing w:before="3"/>
              <w:rPr>
                <w:sz w:val="22"/>
              </w:rPr>
            </w:pPr>
          </w:p>
          <w:p>
            <w:pPr>
              <w:pStyle w:val="14"/>
              <w:spacing w:before="1"/>
              <w:ind w:left="142"/>
              <w:rPr>
                <w:sz w:val="22"/>
              </w:rPr>
            </w:pPr>
            <w:r>
              <w:rPr>
                <w:sz w:val="22"/>
              </w:rPr>
              <w:t>机械费</w:t>
            </w:r>
          </w:p>
        </w:tc>
        <w:tc>
          <w:tcPr>
            <w:tcW w:w="975" w:type="dxa"/>
            <w:gridSpan w:val="2"/>
            <w:vAlign w:val="top"/>
          </w:tcPr>
          <w:p>
            <w:pPr>
              <w:pStyle w:val="14"/>
              <w:ind w:left="155"/>
              <w:rPr>
                <w:sz w:val="22"/>
              </w:rPr>
            </w:pPr>
            <w:r>
              <w:rPr>
                <w:sz w:val="22"/>
              </w:rPr>
              <w:t>企业管</w:t>
            </w:r>
          </w:p>
          <w:p>
            <w:pPr>
              <w:pStyle w:val="14"/>
              <w:spacing w:before="4" w:line="280" w:lineRule="atLeast"/>
              <w:ind w:left="265" w:right="147" w:hanging="111"/>
              <w:rPr>
                <w:sz w:val="22"/>
              </w:rPr>
            </w:pPr>
            <w:r>
              <w:rPr>
                <w:sz w:val="22"/>
              </w:rPr>
              <w:t>理费和利润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83" w:type="dxa"/>
            <w:vAlign w:val="top"/>
          </w:tcPr>
          <w:p>
            <w:pPr>
              <w:pStyle w:val="14"/>
              <w:rPr>
                <w:rFonts w:ascii="Times New Roman"/>
                <w:sz w:val="20"/>
              </w:rPr>
            </w:pPr>
          </w:p>
        </w:tc>
        <w:tc>
          <w:tcPr>
            <w:tcW w:w="797" w:type="dxa"/>
            <w:gridSpan w:val="2"/>
            <w:vAlign w:val="top"/>
          </w:tcPr>
          <w:p>
            <w:pPr>
              <w:pStyle w:val="14"/>
              <w:rPr>
                <w:rFonts w:ascii="Times New Roman"/>
                <w:sz w:val="20"/>
              </w:rPr>
            </w:pPr>
          </w:p>
        </w:tc>
        <w:tc>
          <w:tcPr>
            <w:tcW w:w="583" w:type="dxa"/>
            <w:vAlign w:val="top"/>
          </w:tcPr>
          <w:p>
            <w:pPr>
              <w:pStyle w:val="14"/>
              <w:rPr>
                <w:rFonts w:ascii="Times New Roman"/>
                <w:sz w:val="20"/>
              </w:rPr>
            </w:pPr>
          </w:p>
        </w:tc>
        <w:tc>
          <w:tcPr>
            <w:tcW w:w="624" w:type="dxa"/>
            <w:gridSpan w:val="2"/>
            <w:vAlign w:val="top"/>
          </w:tcPr>
          <w:p>
            <w:pPr>
              <w:pStyle w:val="14"/>
              <w:rPr>
                <w:rFonts w:ascii="Times New Roman"/>
                <w:sz w:val="20"/>
              </w:rPr>
            </w:pPr>
          </w:p>
        </w:tc>
        <w:tc>
          <w:tcPr>
            <w:tcW w:w="548" w:type="dxa"/>
            <w:vAlign w:val="top"/>
          </w:tcPr>
          <w:p>
            <w:pPr>
              <w:pStyle w:val="14"/>
              <w:rPr>
                <w:rFonts w:ascii="Times New Roman"/>
                <w:sz w:val="20"/>
              </w:rPr>
            </w:pPr>
          </w:p>
        </w:tc>
        <w:tc>
          <w:tcPr>
            <w:tcW w:w="561" w:type="dxa"/>
            <w:gridSpan w:val="3"/>
            <w:vAlign w:val="top"/>
          </w:tcPr>
          <w:p>
            <w:pPr>
              <w:pStyle w:val="14"/>
              <w:rPr>
                <w:rFonts w:ascii="Times New Roman"/>
                <w:sz w:val="20"/>
              </w:rPr>
            </w:pPr>
          </w:p>
        </w:tc>
        <w:tc>
          <w:tcPr>
            <w:tcW w:w="986" w:type="dxa"/>
            <w:gridSpan w:val="2"/>
            <w:vAlign w:val="top"/>
          </w:tcPr>
          <w:p>
            <w:pPr>
              <w:pStyle w:val="14"/>
              <w:rPr>
                <w:rFonts w:ascii="Times New Roman"/>
                <w:sz w:val="20"/>
              </w:rPr>
            </w:pPr>
          </w:p>
        </w:tc>
        <w:tc>
          <w:tcPr>
            <w:tcW w:w="896" w:type="dxa"/>
            <w:vAlign w:val="top"/>
          </w:tcPr>
          <w:p>
            <w:pPr>
              <w:pStyle w:val="14"/>
              <w:rPr>
                <w:rFonts w:ascii="Times New Roman"/>
                <w:sz w:val="20"/>
              </w:rPr>
            </w:pPr>
          </w:p>
        </w:tc>
        <w:tc>
          <w:tcPr>
            <w:tcW w:w="1007" w:type="dxa"/>
            <w:gridSpan w:val="2"/>
            <w:vAlign w:val="top"/>
          </w:tcPr>
          <w:p>
            <w:pPr>
              <w:pStyle w:val="14"/>
              <w:rPr>
                <w:rFonts w:ascii="Times New Roman"/>
                <w:sz w:val="20"/>
              </w:rPr>
            </w:pPr>
          </w:p>
        </w:tc>
        <w:tc>
          <w:tcPr>
            <w:tcW w:w="931" w:type="dxa"/>
            <w:gridSpan w:val="2"/>
            <w:vAlign w:val="top"/>
          </w:tcPr>
          <w:p>
            <w:pPr>
              <w:pStyle w:val="14"/>
              <w:rPr>
                <w:rFonts w:ascii="Times New Roman"/>
                <w:sz w:val="20"/>
              </w:rPr>
            </w:pPr>
          </w:p>
        </w:tc>
        <w:tc>
          <w:tcPr>
            <w:tcW w:w="950" w:type="dxa"/>
            <w:gridSpan w:val="3"/>
            <w:vAlign w:val="top"/>
          </w:tcPr>
          <w:p>
            <w:pPr>
              <w:pStyle w:val="14"/>
              <w:rPr>
                <w:rFonts w:ascii="Times New Roman"/>
                <w:sz w:val="20"/>
              </w:rPr>
            </w:pPr>
          </w:p>
        </w:tc>
        <w:tc>
          <w:tcPr>
            <w:tcW w:w="975" w:type="dxa"/>
            <w:gridSpan w:val="2"/>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trPr>
        <w:tc>
          <w:tcPr>
            <w:tcW w:w="583" w:type="dxa"/>
            <w:vAlign w:val="top"/>
          </w:tcPr>
          <w:p>
            <w:pPr>
              <w:pStyle w:val="14"/>
              <w:rPr>
                <w:rFonts w:ascii="Times New Roman"/>
                <w:sz w:val="20"/>
              </w:rPr>
            </w:pPr>
          </w:p>
        </w:tc>
        <w:tc>
          <w:tcPr>
            <w:tcW w:w="797" w:type="dxa"/>
            <w:gridSpan w:val="2"/>
            <w:vAlign w:val="top"/>
          </w:tcPr>
          <w:p>
            <w:pPr>
              <w:pStyle w:val="14"/>
              <w:rPr>
                <w:rFonts w:ascii="Times New Roman"/>
                <w:sz w:val="20"/>
              </w:rPr>
            </w:pPr>
          </w:p>
        </w:tc>
        <w:tc>
          <w:tcPr>
            <w:tcW w:w="583" w:type="dxa"/>
            <w:vAlign w:val="top"/>
          </w:tcPr>
          <w:p>
            <w:pPr>
              <w:pStyle w:val="14"/>
              <w:rPr>
                <w:rFonts w:ascii="Times New Roman"/>
                <w:sz w:val="20"/>
              </w:rPr>
            </w:pPr>
          </w:p>
        </w:tc>
        <w:tc>
          <w:tcPr>
            <w:tcW w:w="624" w:type="dxa"/>
            <w:gridSpan w:val="2"/>
            <w:vAlign w:val="top"/>
          </w:tcPr>
          <w:p>
            <w:pPr>
              <w:pStyle w:val="14"/>
              <w:rPr>
                <w:rFonts w:ascii="Times New Roman"/>
                <w:sz w:val="20"/>
              </w:rPr>
            </w:pPr>
          </w:p>
        </w:tc>
        <w:tc>
          <w:tcPr>
            <w:tcW w:w="548" w:type="dxa"/>
            <w:vAlign w:val="top"/>
          </w:tcPr>
          <w:p>
            <w:pPr>
              <w:pStyle w:val="14"/>
              <w:rPr>
                <w:rFonts w:ascii="Times New Roman"/>
                <w:sz w:val="20"/>
              </w:rPr>
            </w:pPr>
          </w:p>
        </w:tc>
        <w:tc>
          <w:tcPr>
            <w:tcW w:w="561" w:type="dxa"/>
            <w:gridSpan w:val="3"/>
            <w:vAlign w:val="top"/>
          </w:tcPr>
          <w:p>
            <w:pPr>
              <w:pStyle w:val="14"/>
              <w:rPr>
                <w:rFonts w:ascii="Times New Roman"/>
                <w:sz w:val="20"/>
              </w:rPr>
            </w:pPr>
          </w:p>
        </w:tc>
        <w:tc>
          <w:tcPr>
            <w:tcW w:w="986" w:type="dxa"/>
            <w:gridSpan w:val="2"/>
            <w:vAlign w:val="top"/>
          </w:tcPr>
          <w:p>
            <w:pPr>
              <w:pStyle w:val="14"/>
              <w:rPr>
                <w:rFonts w:ascii="Times New Roman"/>
                <w:sz w:val="20"/>
              </w:rPr>
            </w:pPr>
          </w:p>
        </w:tc>
        <w:tc>
          <w:tcPr>
            <w:tcW w:w="896" w:type="dxa"/>
            <w:vAlign w:val="top"/>
          </w:tcPr>
          <w:p>
            <w:pPr>
              <w:pStyle w:val="14"/>
              <w:rPr>
                <w:rFonts w:ascii="Times New Roman"/>
                <w:sz w:val="20"/>
              </w:rPr>
            </w:pPr>
          </w:p>
        </w:tc>
        <w:tc>
          <w:tcPr>
            <w:tcW w:w="1007" w:type="dxa"/>
            <w:gridSpan w:val="2"/>
            <w:vAlign w:val="top"/>
          </w:tcPr>
          <w:p>
            <w:pPr>
              <w:pStyle w:val="14"/>
              <w:rPr>
                <w:rFonts w:ascii="Times New Roman"/>
                <w:sz w:val="20"/>
              </w:rPr>
            </w:pPr>
          </w:p>
        </w:tc>
        <w:tc>
          <w:tcPr>
            <w:tcW w:w="931" w:type="dxa"/>
            <w:gridSpan w:val="2"/>
            <w:vAlign w:val="top"/>
          </w:tcPr>
          <w:p>
            <w:pPr>
              <w:pStyle w:val="14"/>
              <w:rPr>
                <w:rFonts w:ascii="Times New Roman"/>
                <w:sz w:val="20"/>
              </w:rPr>
            </w:pPr>
          </w:p>
        </w:tc>
        <w:tc>
          <w:tcPr>
            <w:tcW w:w="950" w:type="dxa"/>
            <w:gridSpan w:val="3"/>
            <w:vAlign w:val="top"/>
          </w:tcPr>
          <w:p>
            <w:pPr>
              <w:pStyle w:val="14"/>
              <w:rPr>
                <w:rFonts w:ascii="Times New Roman"/>
                <w:sz w:val="20"/>
              </w:rPr>
            </w:pPr>
          </w:p>
        </w:tc>
        <w:tc>
          <w:tcPr>
            <w:tcW w:w="975" w:type="dxa"/>
            <w:gridSpan w:val="2"/>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83" w:type="dxa"/>
            <w:vAlign w:val="top"/>
          </w:tcPr>
          <w:p>
            <w:pPr>
              <w:pStyle w:val="14"/>
              <w:rPr>
                <w:rFonts w:ascii="Times New Roman"/>
                <w:sz w:val="20"/>
              </w:rPr>
            </w:pPr>
          </w:p>
        </w:tc>
        <w:tc>
          <w:tcPr>
            <w:tcW w:w="797" w:type="dxa"/>
            <w:gridSpan w:val="2"/>
            <w:vAlign w:val="top"/>
          </w:tcPr>
          <w:p>
            <w:pPr>
              <w:pStyle w:val="14"/>
              <w:rPr>
                <w:rFonts w:ascii="Times New Roman"/>
                <w:sz w:val="20"/>
              </w:rPr>
            </w:pPr>
          </w:p>
        </w:tc>
        <w:tc>
          <w:tcPr>
            <w:tcW w:w="583" w:type="dxa"/>
            <w:vAlign w:val="top"/>
          </w:tcPr>
          <w:p>
            <w:pPr>
              <w:pStyle w:val="14"/>
              <w:rPr>
                <w:rFonts w:ascii="Times New Roman"/>
                <w:sz w:val="20"/>
              </w:rPr>
            </w:pPr>
          </w:p>
        </w:tc>
        <w:tc>
          <w:tcPr>
            <w:tcW w:w="624" w:type="dxa"/>
            <w:gridSpan w:val="2"/>
            <w:vAlign w:val="top"/>
          </w:tcPr>
          <w:p>
            <w:pPr>
              <w:pStyle w:val="14"/>
              <w:rPr>
                <w:rFonts w:ascii="Times New Roman"/>
                <w:sz w:val="20"/>
              </w:rPr>
            </w:pPr>
          </w:p>
        </w:tc>
        <w:tc>
          <w:tcPr>
            <w:tcW w:w="548" w:type="dxa"/>
            <w:vAlign w:val="top"/>
          </w:tcPr>
          <w:p>
            <w:pPr>
              <w:pStyle w:val="14"/>
              <w:rPr>
                <w:rFonts w:ascii="Times New Roman"/>
                <w:sz w:val="20"/>
              </w:rPr>
            </w:pPr>
          </w:p>
        </w:tc>
        <w:tc>
          <w:tcPr>
            <w:tcW w:w="561" w:type="dxa"/>
            <w:gridSpan w:val="3"/>
            <w:vAlign w:val="top"/>
          </w:tcPr>
          <w:p>
            <w:pPr>
              <w:pStyle w:val="14"/>
              <w:rPr>
                <w:rFonts w:ascii="Times New Roman"/>
                <w:sz w:val="20"/>
              </w:rPr>
            </w:pPr>
          </w:p>
        </w:tc>
        <w:tc>
          <w:tcPr>
            <w:tcW w:w="986" w:type="dxa"/>
            <w:gridSpan w:val="2"/>
            <w:vAlign w:val="top"/>
          </w:tcPr>
          <w:p>
            <w:pPr>
              <w:pStyle w:val="14"/>
              <w:rPr>
                <w:rFonts w:ascii="Times New Roman"/>
                <w:sz w:val="20"/>
              </w:rPr>
            </w:pPr>
          </w:p>
        </w:tc>
        <w:tc>
          <w:tcPr>
            <w:tcW w:w="896" w:type="dxa"/>
            <w:vAlign w:val="top"/>
          </w:tcPr>
          <w:p>
            <w:pPr>
              <w:pStyle w:val="14"/>
              <w:rPr>
                <w:rFonts w:ascii="Times New Roman"/>
                <w:sz w:val="20"/>
              </w:rPr>
            </w:pPr>
          </w:p>
        </w:tc>
        <w:tc>
          <w:tcPr>
            <w:tcW w:w="1007" w:type="dxa"/>
            <w:gridSpan w:val="2"/>
            <w:vAlign w:val="top"/>
          </w:tcPr>
          <w:p>
            <w:pPr>
              <w:pStyle w:val="14"/>
              <w:rPr>
                <w:rFonts w:ascii="Times New Roman"/>
                <w:sz w:val="20"/>
              </w:rPr>
            </w:pPr>
          </w:p>
        </w:tc>
        <w:tc>
          <w:tcPr>
            <w:tcW w:w="931" w:type="dxa"/>
            <w:gridSpan w:val="2"/>
            <w:vAlign w:val="top"/>
          </w:tcPr>
          <w:p>
            <w:pPr>
              <w:pStyle w:val="14"/>
              <w:rPr>
                <w:rFonts w:ascii="Times New Roman"/>
                <w:sz w:val="20"/>
              </w:rPr>
            </w:pPr>
          </w:p>
        </w:tc>
        <w:tc>
          <w:tcPr>
            <w:tcW w:w="950" w:type="dxa"/>
            <w:gridSpan w:val="3"/>
            <w:vAlign w:val="top"/>
          </w:tcPr>
          <w:p>
            <w:pPr>
              <w:pStyle w:val="14"/>
              <w:rPr>
                <w:rFonts w:ascii="Times New Roman"/>
                <w:sz w:val="20"/>
              </w:rPr>
            </w:pPr>
          </w:p>
        </w:tc>
        <w:tc>
          <w:tcPr>
            <w:tcW w:w="975" w:type="dxa"/>
            <w:gridSpan w:val="2"/>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83" w:type="dxa"/>
            <w:vAlign w:val="top"/>
          </w:tcPr>
          <w:p>
            <w:pPr>
              <w:pStyle w:val="14"/>
              <w:rPr>
                <w:rFonts w:ascii="Times New Roman"/>
                <w:sz w:val="20"/>
              </w:rPr>
            </w:pPr>
          </w:p>
        </w:tc>
        <w:tc>
          <w:tcPr>
            <w:tcW w:w="797" w:type="dxa"/>
            <w:gridSpan w:val="2"/>
            <w:vAlign w:val="top"/>
          </w:tcPr>
          <w:p>
            <w:pPr>
              <w:pStyle w:val="14"/>
              <w:rPr>
                <w:rFonts w:ascii="Times New Roman"/>
                <w:sz w:val="20"/>
              </w:rPr>
            </w:pPr>
          </w:p>
        </w:tc>
        <w:tc>
          <w:tcPr>
            <w:tcW w:w="583" w:type="dxa"/>
            <w:vAlign w:val="top"/>
          </w:tcPr>
          <w:p>
            <w:pPr>
              <w:pStyle w:val="14"/>
              <w:rPr>
                <w:rFonts w:ascii="Times New Roman"/>
                <w:sz w:val="20"/>
              </w:rPr>
            </w:pPr>
          </w:p>
        </w:tc>
        <w:tc>
          <w:tcPr>
            <w:tcW w:w="624" w:type="dxa"/>
            <w:gridSpan w:val="2"/>
            <w:vAlign w:val="top"/>
          </w:tcPr>
          <w:p>
            <w:pPr>
              <w:pStyle w:val="14"/>
              <w:rPr>
                <w:rFonts w:ascii="Times New Roman"/>
                <w:sz w:val="20"/>
              </w:rPr>
            </w:pPr>
          </w:p>
        </w:tc>
        <w:tc>
          <w:tcPr>
            <w:tcW w:w="548" w:type="dxa"/>
            <w:vAlign w:val="top"/>
          </w:tcPr>
          <w:p>
            <w:pPr>
              <w:pStyle w:val="14"/>
              <w:rPr>
                <w:rFonts w:ascii="Times New Roman"/>
                <w:sz w:val="20"/>
              </w:rPr>
            </w:pPr>
          </w:p>
        </w:tc>
        <w:tc>
          <w:tcPr>
            <w:tcW w:w="561" w:type="dxa"/>
            <w:gridSpan w:val="3"/>
            <w:vAlign w:val="top"/>
          </w:tcPr>
          <w:p>
            <w:pPr>
              <w:pStyle w:val="14"/>
              <w:rPr>
                <w:rFonts w:ascii="Times New Roman"/>
                <w:sz w:val="20"/>
              </w:rPr>
            </w:pPr>
          </w:p>
        </w:tc>
        <w:tc>
          <w:tcPr>
            <w:tcW w:w="986" w:type="dxa"/>
            <w:gridSpan w:val="2"/>
            <w:vAlign w:val="top"/>
          </w:tcPr>
          <w:p>
            <w:pPr>
              <w:pStyle w:val="14"/>
              <w:rPr>
                <w:rFonts w:ascii="Times New Roman"/>
                <w:sz w:val="20"/>
              </w:rPr>
            </w:pPr>
          </w:p>
        </w:tc>
        <w:tc>
          <w:tcPr>
            <w:tcW w:w="896" w:type="dxa"/>
            <w:vAlign w:val="top"/>
          </w:tcPr>
          <w:p>
            <w:pPr>
              <w:pStyle w:val="14"/>
              <w:rPr>
                <w:rFonts w:ascii="Times New Roman"/>
                <w:sz w:val="20"/>
              </w:rPr>
            </w:pPr>
          </w:p>
        </w:tc>
        <w:tc>
          <w:tcPr>
            <w:tcW w:w="1007" w:type="dxa"/>
            <w:gridSpan w:val="2"/>
            <w:vAlign w:val="top"/>
          </w:tcPr>
          <w:p>
            <w:pPr>
              <w:pStyle w:val="14"/>
              <w:rPr>
                <w:rFonts w:ascii="Times New Roman"/>
                <w:sz w:val="20"/>
              </w:rPr>
            </w:pPr>
          </w:p>
        </w:tc>
        <w:tc>
          <w:tcPr>
            <w:tcW w:w="931" w:type="dxa"/>
            <w:gridSpan w:val="2"/>
            <w:vAlign w:val="top"/>
          </w:tcPr>
          <w:p>
            <w:pPr>
              <w:pStyle w:val="14"/>
              <w:rPr>
                <w:rFonts w:ascii="Times New Roman"/>
                <w:sz w:val="20"/>
              </w:rPr>
            </w:pPr>
          </w:p>
        </w:tc>
        <w:tc>
          <w:tcPr>
            <w:tcW w:w="950" w:type="dxa"/>
            <w:gridSpan w:val="3"/>
            <w:vAlign w:val="top"/>
          </w:tcPr>
          <w:p>
            <w:pPr>
              <w:pStyle w:val="14"/>
              <w:rPr>
                <w:rFonts w:ascii="Times New Roman"/>
                <w:sz w:val="20"/>
              </w:rPr>
            </w:pPr>
          </w:p>
        </w:tc>
        <w:tc>
          <w:tcPr>
            <w:tcW w:w="975" w:type="dxa"/>
            <w:gridSpan w:val="2"/>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380" w:type="dxa"/>
            <w:gridSpan w:val="3"/>
            <w:vAlign w:val="top"/>
          </w:tcPr>
          <w:p>
            <w:pPr>
              <w:pStyle w:val="14"/>
              <w:spacing w:before="115"/>
              <w:ind w:left="249"/>
              <w:rPr>
                <w:sz w:val="22"/>
              </w:rPr>
            </w:pPr>
            <w:r>
              <w:rPr>
                <w:sz w:val="22"/>
              </w:rPr>
              <w:t>人工单价</w:t>
            </w:r>
          </w:p>
        </w:tc>
        <w:tc>
          <w:tcPr>
            <w:tcW w:w="4198" w:type="dxa"/>
            <w:gridSpan w:val="10"/>
            <w:vAlign w:val="top"/>
          </w:tcPr>
          <w:p>
            <w:pPr>
              <w:pStyle w:val="14"/>
              <w:tabs>
                <w:tab w:val="left" w:pos="891"/>
              </w:tabs>
              <w:spacing w:before="115"/>
              <w:ind w:left="10"/>
              <w:jc w:val="center"/>
              <w:rPr>
                <w:sz w:val="22"/>
              </w:rPr>
            </w:pPr>
            <w:r>
              <w:rPr>
                <w:sz w:val="22"/>
              </w:rPr>
              <w:t>小</w:t>
            </w:r>
            <w:r>
              <w:rPr>
                <w:sz w:val="22"/>
              </w:rPr>
              <w:tab/>
            </w:r>
            <w:r>
              <w:rPr>
                <w:sz w:val="22"/>
              </w:rPr>
              <w:t>计</w:t>
            </w:r>
          </w:p>
        </w:tc>
        <w:tc>
          <w:tcPr>
            <w:tcW w:w="1007" w:type="dxa"/>
            <w:gridSpan w:val="2"/>
            <w:vAlign w:val="top"/>
          </w:tcPr>
          <w:p>
            <w:pPr>
              <w:pStyle w:val="14"/>
              <w:rPr>
                <w:rFonts w:ascii="Times New Roman"/>
                <w:sz w:val="20"/>
              </w:rPr>
            </w:pPr>
          </w:p>
        </w:tc>
        <w:tc>
          <w:tcPr>
            <w:tcW w:w="931" w:type="dxa"/>
            <w:gridSpan w:val="2"/>
            <w:vAlign w:val="top"/>
          </w:tcPr>
          <w:p>
            <w:pPr>
              <w:pStyle w:val="14"/>
              <w:rPr>
                <w:rFonts w:ascii="Times New Roman"/>
                <w:sz w:val="20"/>
              </w:rPr>
            </w:pPr>
          </w:p>
        </w:tc>
        <w:tc>
          <w:tcPr>
            <w:tcW w:w="950" w:type="dxa"/>
            <w:gridSpan w:val="3"/>
            <w:vAlign w:val="top"/>
          </w:tcPr>
          <w:p>
            <w:pPr>
              <w:pStyle w:val="14"/>
              <w:rPr>
                <w:rFonts w:ascii="Times New Roman"/>
                <w:sz w:val="20"/>
              </w:rPr>
            </w:pPr>
          </w:p>
        </w:tc>
        <w:tc>
          <w:tcPr>
            <w:tcW w:w="975" w:type="dxa"/>
            <w:gridSpan w:val="2"/>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380" w:type="dxa"/>
            <w:gridSpan w:val="3"/>
            <w:vAlign w:val="top"/>
          </w:tcPr>
          <w:p>
            <w:pPr>
              <w:pStyle w:val="14"/>
              <w:spacing w:before="113"/>
              <w:ind w:left="501"/>
              <w:rPr>
                <w:sz w:val="22"/>
              </w:rPr>
            </w:pPr>
            <w:r>
              <w:rPr>
                <w:sz w:val="22"/>
              </w:rPr>
              <w:t>元/工日</w:t>
            </w:r>
          </w:p>
        </w:tc>
        <w:tc>
          <w:tcPr>
            <w:tcW w:w="4198" w:type="dxa"/>
            <w:gridSpan w:val="10"/>
            <w:vAlign w:val="top"/>
          </w:tcPr>
          <w:p>
            <w:pPr>
              <w:pStyle w:val="14"/>
              <w:spacing w:before="113"/>
              <w:ind w:left="1164"/>
              <w:rPr>
                <w:sz w:val="22"/>
              </w:rPr>
            </w:pPr>
            <w:r>
              <w:rPr>
                <w:sz w:val="22"/>
              </w:rPr>
              <w:t>未 计 价 材 料 费</w:t>
            </w:r>
          </w:p>
        </w:tc>
        <w:tc>
          <w:tcPr>
            <w:tcW w:w="3863" w:type="dxa"/>
            <w:gridSpan w:val="9"/>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578" w:type="dxa"/>
            <w:gridSpan w:val="13"/>
            <w:vAlign w:val="top"/>
          </w:tcPr>
          <w:p>
            <w:pPr>
              <w:pStyle w:val="14"/>
              <w:spacing w:before="114"/>
              <w:ind w:left="1889" w:right="1879"/>
              <w:jc w:val="center"/>
              <w:rPr>
                <w:sz w:val="22"/>
              </w:rPr>
            </w:pPr>
            <w:r>
              <w:rPr>
                <w:sz w:val="22"/>
              </w:rPr>
              <w:t>清单项目综合单价</w:t>
            </w:r>
          </w:p>
        </w:tc>
        <w:tc>
          <w:tcPr>
            <w:tcW w:w="3863" w:type="dxa"/>
            <w:gridSpan w:val="9"/>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9" w:hRule="atLeast"/>
        </w:trPr>
        <w:tc>
          <w:tcPr>
            <w:tcW w:w="583" w:type="dxa"/>
            <w:vMerge w:val="restart"/>
            <w:vAlign w:val="top"/>
          </w:tcPr>
          <w:p>
            <w:pPr>
              <w:pStyle w:val="14"/>
              <w:rPr>
                <w:sz w:val="22"/>
              </w:rPr>
            </w:pPr>
          </w:p>
          <w:p>
            <w:pPr>
              <w:pStyle w:val="14"/>
              <w:rPr>
                <w:sz w:val="22"/>
              </w:rPr>
            </w:pPr>
          </w:p>
          <w:p>
            <w:pPr>
              <w:pStyle w:val="14"/>
              <w:rPr>
                <w:sz w:val="22"/>
              </w:rPr>
            </w:pPr>
          </w:p>
          <w:p>
            <w:pPr>
              <w:pStyle w:val="14"/>
              <w:rPr>
                <w:sz w:val="22"/>
              </w:rPr>
            </w:pPr>
          </w:p>
          <w:p>
            <w:pPr>
              <w:pStyle w:val="14"/>
              <w:rPr>
                <w:sz w:val="22"/>
              </w:rPr>
            </w:pPr>
          </w:p>
          <w:p>
            <w:pPr>
              <w:pStyle w:val="14"/>
              <w:spacing w:before="8"/>
              <w:rPr>
                <w:sz w:val="16"/>
              </w:rPr>
            </w:pPr>
          </w:p>
          <w:p>
            <w:pPr>
              <w:pStyle w:val="14"/>
              <w:spacing w:line="242" w:lineRule="auto"/>
              <w:ind w:left="180" w:right="169"/>
              <w:jc w:val="both"/>
              <w:rPr>
                <w:sz w:val="22"/>
              </w:rPr>
            </w:pPr>
            <w:r>
              <w:rPr>
                <w:sz w:val="22"/>
              </w:rPr>
              <w:t>材料费明细</w:t>
            </w:r>
          </w:p>
        </w:tc>
        <w:tc>
          <w:tcPr>
            <w:tcW w:w="2820" w:type="dxa"/>
            <w:gridSpan w:val="7"/>
            <w:vAlign w:val="top"/>
          </w:tcPr>
          <w:p>
            <w:pPr>
              <w:pStyle w:val="14"/>
              <w:spacing w:before="2"/>
              <w:rPr>
                <w:sz w:val="29"/>
              </w:rPr>
            </w:pPr>
          </w:p>
          <w:p>
            <w:pPr>
              <w:pStyle w:val="14"/>
              <w:spacing w:before="1"/>
              <w:ind w:left="108"/>
              <w:rPr>
                <w:sz w:val="22"/>
              </w:rPr>
            </w:pPr>
            <w:r>
              <w:rPr>
                <w:sz w:val="22"/>
              </w:rPr>
              <w:t>主要材料名称、规格、型号</w:t>
            </w:r>
          </w:p>
        </w:tc>
        <w:tc>
          <w:tcPr>
            <w:tcW w:w="674" w:type="dxa"/>
            <w:gridSpan w:val="3"/>
            <w:vAlign w:val="top"/>
          </w:tcPr>
          <w:p>
            <w:pPr>
              <w:pStyle w:val="14"/>
              <w:spacing w:before="2"/>
              <w:rPr>
                <w:sz w:val="29"/>
              </w:rPr>
            </w:pPr>
          </w:p>
          <w:p>
            <w:pPr>
              <w:pStyle w:val="14"/>
              <w:spacing w:before="1"/>
              <w:ind w:left="115"/>
              <w:rPr>
                <w:sz w:val="22"/>
              </w:rPr>
            </w:pPr>
            <w:r>
              <w:rPr>
                <w:sz w:val="22"/>
              </w:rPr>
              <w:t>单位</w:t>
            </w:r>
          </w:p>
        </w:tc>
        <w:tc>
          <w:tcPr>
            <w:tcW w:w="1501" w:type="dxa"/>
            <w:gridSpan w:val="2"/>
            <w:vAlign w:val="top"/>
          </w:tcPr>
          <w:p>
            <w:pPr>
              <w:pStyle w:val="14"/>
              <w:spacing w:before="2"/>
              <w:rPr>
                <w:sz w:val="29"/>
              </w:rPr>
            </w:pPr>
          </w:p>
          <w:p>
            <w:pPr>
              <w:pStyle w:val="14"/>
              <w:spacing w:before="1"/>
              <w:ind w:left="509" w:right="501"/>
              <w:jc w:val="center"/>
              <w:rPr>
                <w:sz w:val="22"/>
              </w:rPr>
            </w:pPr>
            <w:r>
              <w:rPr>
                <w:sz w:val="22"/>
              </w:rPr>
              <w:t>数量</w:t>
            </w:r>
          </w:p>
        </w:tc>
        <w:tc>
          <w:tcPr>
            <w:tcW w:w="1225" w:type="dxa"/>
            <w:gridSpan w:val="3"/>
            <w:vAlign w:val="top"/>
          </w:tcPr>
          <w:p>
            <w:pPr>
              <w:pStyle w:val="14"/>
              <w:spacing w:before="12"/>
              <w:rPr>
                <w:sz w:val="17"/>
              </w:rPr>
            </w:pPr>
          </w:p>
          <w:p>
            <w:pPr>
              <w:pStyle w:val="14"/>
              <w:ind w:left="376"/>
              <w:rPr>
                <w:sz w:val="22"/>
              </w:rPr>
            </w:pPr>
            <w:r>
              <w:rPr>
                <w:sz w:val="22"/>
              </w:rPr>
              <w:t>单价</w:t>
            </w:r>
          </w:p>
          <w:p>
            <w:pPr>
              <w:pStyle w:val="14"/>
              <w:spacing w:before="4"/>
              <w:ind w:left="266"/>
              <w:rPr>
                <w:sz w:val="22"/>
              </w:rPr>
            </w:pPr>
            <w:r>
              <w:rPr>
                <w:sz w:val="22"/>
              </w:rPr>
              <w:t>（元）</w:t>
            </w:r>
          </w:p>
        </w:tc>
        <w:tc>
          <w:tcPr>
            <w:tcW w:w="852" w:type="dxa"/>
            <w:gridSpan w:val="2"/>
            <w:vAlign w:val="top"/>
          </w:tcPr>
          <w:p>
            <w:pPr>
              <w:pStyle w:val="14"/>
              <w:spacing w:before="12"/>
              <w:rPr>
                <w:sz w:val="17"/>
              </w:rPr>
            </w:pPr>
          </w:p>
          <w:p>
            <w:pPr>
              <w:pStyle w:val="14"/>
              <w:ind w:left="188"/>
              <w:rPr>
                <w:sz w:val="22"/>
              </w:rPr>
            </w:pPr>
            <w:r>
              <w:rPr>
                <w:sz w:val="22"/>
              </w:rPr>
              <w:t>合价</w:t>
            </w:r>
          </w:p>
          <w:p>
            <w:pPr>
              <w:pStyle w:val="14"/>
              <w:spacing w:before="4"/>
              <w:ind w:left="78"/>
              <w:rPr>
                <w:sz w:val="22"/>
              </w:rPr>
            </w:pPr>
            <w:r>
              <w:rPr>
                <w:sz w:val="22"/>
              </w:rPr>
              <w:t>（元）</w:t>
            </w:r>
          </w:p>
        </w:tc>
        <w:tc>
          <w:tcPr>
            <w:tcW w:w="910" w:type="dxa"/>
            <w:gridSpan w:val="3"/>
            <w:vAlign w:val="top"/>
          </w:tcPr>
          <w:p>
            <w:pPr>
              <w:pStyle w:val="14"/>
              <w:spacing w:before="88" w:line="242" w:lineRule="auto"/>
              <w:ind w:left="234" w:right="222"/>
              <w:rPr>
                <w:sz w:val="22"/>
              </w:rPr>
            </w:pPr>
            <w:r>
              <w:rPr>
                <w:sz w:val="22"/>
              </w:rPr>
              <w:t>暂估单价</w:t>
            </w:r>
          </w:p>
          <w:p>
            <w:pPr>
              <w:pStyle w:val="14"/>
              <w:spacing w:before="2"/>
              <w:ind w:left="123"/>
              <w:rPr>
                <w:sz w:val="22"/>
              </w:rPr>
            </w:pPr>
            <w:r>
              <w:rPr>
                <w:sz w:val="22"/>
              </w:rPr>
              <w:t>（元）</w:t>
            </w:r>
          </w:p>
        </w:tc>
        <w:tc>
          <w:tcPr>
            <w:tcW w:w="876" w:type="dxa"/>
            <w:vAlign w:val="top"/>
          </w:tcPr>
          <w:p>
            <w:pPr>
              <w:pStyle w:val="14"/>
              <w:spacing w:before="88" w:line="242" w:lineRule="auto"/>
              <w:ind w:left="216" w:right="205"/>
              <w:rPr>
                <w:sz w:val="22"/>
              </w:rPr>
            </w:pPr>
            <w:r>
              <w:rPr>
                <w:sz w:val="22"/>
              </w:rPr>
              <w:t>暂估合价</w:t>
            </w:r>
          </w:p>
          <w:p>
            <w:pPr>
              <w:pStyle w:val="14"/>
              <w:spacing w:before="2"/>
              <w:ind w:left="106"/>
              <w:rPr>
                <w:sz w:val="22"/>
              </w:rPr>
            </w:pPr>
            <w:r>
              <w:rPr>
                <w:sz w:val="22"/>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83" w:type="dxa"/>
            <w:vMerge w:val="continue"/>
            <w:tcBorders>
              <w:top w:val="nil"/>
            </w:tcBorders>
            <w:vAlign w:val="top"/>
          </w:tcPr>
          <w:p>
            <w:pPr>
              <w:rPr>
                <w:sz w:val="2"/>
                <w:szCs w:val="2"/>
              </w:rPr>
            </w:pPr>
          </w:p>
        </w:tc>
        <w:tc>
          <w:tcPr>
            <w:tcW w:w="2820" w:type="dxa"/>
            <w:gridSpan w:val="7"/>
            <w:vAlign w:val="top"/>
          </w:tcPr>
          <w:p>
            <w:pPr>
              <w:pStyle w:val="14"/>
              <w:rPr>
                <w:rFonts w:ascii="Times New Roman"/>
                <w:sz w:val="20"/>
              </w:rPr>
            </w:pPr>
          </w:p>
        </w:tc>
        <w:tc>
          <w:tcPr>
            <w:tcW w:w="674" w:type="dxa"/>
            <w:gridSpan w:val="3"/>
            <w:vAlign w:val="top"/>
          </w:tcPr>
          <w:p>
            <w:pPr>
              <w:pStyle w:val="14"/>
              <w:rPr>
                <w:rFonts w:ascii="Times New Roman"/>
                <w:sz w:val="20"/>
              </w:rPr>
            </w:pPr>
          </w:p>
        </w:tc>
        <w:tc>
          <w:tcPr>
            <w:tcW w:w="1501" w:type="dxa"/>
            <w:gridSpan w:val="2"/>
            <w:vAlign w:val="top"/>
          </w:tcPr>
          <w:p>
            <w:pPr>
              <w:pStyle w:val="14"/>
              <w:rPr>
                <w:rFonts w:ascii="Times New Roman"/>
                <w:sz w:val="20"/>
              </w:rPr>
            </w:pPr>
          </w:p>
        </w:tc>
        <w:tc>
          <w:tcPr>
            <w:tcW w:w="1225" w:type="dxa"/>
            <w:gridSpan w:val="3"/>
            <w:vAlign w:val="top"/>
          </w:tcPr>
          <w:p>
            <w:pPr>
              <w:pStyle w:val="14"/>
              <w:rPr>
                <w:rFonts w:ascii="Times New Roman"/>
                <w:sz w:val="20"/>
              </w:rPr>
            </w:pPr>
          </w:p>
        </w:tc>
        <w:tc>
          <w:tcPr>
            <w:tcW w:w="852" w:type="dxa"/>
            <w:gridSpan w:val="2"/>
            <w:vAlign w:val="top"/>
          </w:tcPr>
          <w:p>
            <w:pPr>
              <w:pStyle w:val="14"/>
              <w:rPr>
                <w:rFonts w:ascii="Times New Roman"/>
                <w:sz w:val="20"/>
              </w:rPr>
            </w:pPr>
          </w:p>
        </w:tc>
        <w:tc>
          <w:tcPr>
            <w:tcW w:w="910" w:type="dxa"/>
            <w:gridSpan w:val="3"/>
            <w:vAlign w:val="top"/>
          </w:tcPr>
          <w:p>
            <w:pPr>
              <w:pStyle w:val="14"/>
              <w:rPr>
                <w:rFonts w:ascii="Times New Roman"/>
                <w:sz w:val="20"/>
              </w:rPr>
            </w:pPr>
          </w:p>
        </w:tc>
        <w:tc>
          <w:tcPr>
            <w:tcW w:w="876"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83" w:type="dxa"/>
            <w:vMerge w:val="continue"/>
            <w:tcBorders>
              <w:top w:val="nil"/>
            </w:tcBorders>
            <w:vAlign w:val="top"/>
          </w:tcPr>
          <w:p>
            <w:pPr>
              <w:rPr>
                <w:sz w:val="2"/>
                <w:szCs w:val="2"/>
              </w:rPr>
            </w:pPr>
          </w:p>
        </w:tc>
        <w:tc>
          <w:tcPr>
            <w:tcW w:w="2820" w:type="dxa"/>
            <w:gridSpan w:val="7"/>
            <w:vAlign w:val="top"/>
          </w:tcPr>
          <w:p>
            <w:pPr>
              <w:pStyle w:val="14"/>
              <w:rPr>
                <w:rFonts w:ascii="Times New Roman"/>
                <w:sz w:val="20"/>
              </w:rPr>
            </w:pPr>
          </w:p>
        </w:tc>
        <w:tc>
          <w:tcPr>
            <w:tcW w:w="674" w:type="dxa"/>
            <w:gridSpan w:val="3"/>
            <w:vAlign w:val="top"/>
          </w:tcPr>
          <w:p>
            <w:pPr>
              <w:pStyle w:val="14"/>
              <w:rPr>
                <w:rFonts w:ascii="Times New Roman"/>
                <w:sz w:val="20"/>
              </w:rPr>
            </w:pPr>
          </w:p>
        </w:tc>
        <w:tc>
          <w:tcPr>
            <w:tcW w:w="1501" w:type="dxa"/>
            <w:gridSpan w:val="2"/>
            <w:vAlign w:val="top"/>
          </w:tcPr>
          <w:p>
            <w:pPr>
              <w:pStyle w:val="14"/>
              <w:rPr>
                <w:rFonts w:ascii="Times New Roman"/>
                <w:sz w:val="20"/>
              </w:rPr>
            </w:pPr>
          </w:p>
        </w:tc>
        <w:tc>
          <w:tcPr>
            <w:tcW w:w="1225" w:type="dxa"/>
            <w:gridSpan w:val="3"/>
            <w:vAlign w:val="top"/>
          </w:tcPr>
          <w:p>
            <w:pPr>
              <w:pStyle w:val="14"/>
              <w:rPr>
                <w:rFonts w:ascii="Times New Roman"/>
                <w:sz w:val="20"/>
              </w:rPr>
            </w:pPr>
          </w:p>
        </w:tc>
        <w:tc>
          <w:tcPr>
            <w:tcW w:w="852" w:type="dxa"/>
            <w:gridSpan w:val="2"/>
            <w:vAlign w:val="top"/>
          </w:tcPr>
          <w:p>
            <w:pPr>
              <w:pStyle w:val="14"/>
              <w:rPr>
                <w:rFonts w:ascii="Times New Roman"/>
                <w:sz w:val="20"/>
              </w:rPr>
            </w:pPr>
          </w:p>
        </w:tc>
        <w:tc>
          <w:tcPr>
            <w:tcW w:w="910" w:type="dxa"/>
            <w:gridSpan w:val="3"/>
            <w:vAlign w:val="top"/>
          </w:tcPr>
          <w:p>
            <w:pPr>
              <w:pStyle w:val="14"/>
              <w:rPr>
                <w:rFonts w:ascii="Times New Roman"/>
                <w:sz w:val="20"/>
              </w:rPr>
            </w:pPr>
          </w:p>
        </w:tc>
        <w:tc>
          <w:tcPr>
            <w:tcW w:w="876"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83" w:type="dxa"/>
            <w:vMerge w:val="continue"/>
            <w:tcBorders>
              <w:top w:val="nil"/>
            </w:tcBorders>
            <w:vAlign w:val="top"/>
          </w:tcPr>
          <w:p>
            <w:pPr>
              <w:rPr>
                <w:sz w:val="2"/>
                <w:szCs w:val="2"/>
              </w:rPr>
            </w:pPr>
          </w:p>
        </w:tc>
        <w:tc>
          <w:tcPr>
            <w:tcW w:w="2820" w:type="dxa"/>
            <w:gridSpan w:val="7"/>
            <w:vAlign w:val="top"/>
          </w:tcPr>
          <w:p>
            <w:pPr>
              <w:pStyle w:val="14"/>
              <w:rPr>
                <w:rFonts w:ascii="Times New Roman"/>
                <w:sz w:val="20"/>
              </w:rPr>
            </w:pPr>
          </w:p>
        </w:tc>
        <w:tc>
          <w:tcPr>
            <w:tcW w:w="674" w:type="dxa"/>
            <w:gridSpan w:val="3"/>
            <w:vAlign w:val="top"/>
          </w:tcPr>
          <w:p>
            <w:pPr>
              <w:pStyle w:val="14"/>
              <w:rPr>
                <w:rFonts w:ascii="Times New Roman"/>
                <w:sz w:val="20"/>
              </w:rPr>
            </w:pPr>
          </w:p>
        </w:tc>
        <w:tc>
          <w:tcPr>
            <w:tcW w:w="1501" w:type="dxa"/>
            <w:gridSpan w:val="2"/>
            <w:vAlign w:val="top"/>
          </w:tcPr>
          <w:p>
            <w:pPr>
              <w:pStyle w:val="14"/>
              <w:rPr>
                <w:rFonts w:ascii="Times New Roman"/>
                <w:sz w:val="20"/>
              </w:rPr>
            </w:pPr>
          </w:p>
        </w:tc>
        <w:tc>
          <w:tcPr>
            <w:tcW w:w="1225" w:type="dxa"/>
            <w:gridSpan w:val="3"/>
            <w:vAlign w:val="top"/>
          </w:tcPr>
          <w:p>
            <w:pPr>
              <w:pStyle w:val="14"/>
              <w:rPr>
                <w:rFonts w:ascii="Times New Roman"/>
                <w:sz w:val="20"/>
              </w:rPr>
            </w:pPr>
          </w:p>
        </w:tc>
        <w:tc>
          <w:tcPr>
            <w:tcW w:w="852" w:type="dxa"/>
            <w:gridSpan w:val="2"/>
            <w:vAlign w:val="top"/>
          </w:tcPr>
          <w:p>
            <w:pPr>
              <w:pStyle w:val="14"/>
              <w:rPr>
                <w:rFonts w:ascii="Times New Roman"/>
                <w:sz w:val="20"/>
              </w:rPr>
            </w:pPr>
          </w:p>
        </w:tc>
        <w:tc>
          <w:tcPr>
            <w:tcW w:w="910" w:type="dxa"/>
            <w:gridSpan w:val="3"/>
            <w:vAlign w:val="top"/>
          </w:tcPr>
          <w:p>
            <w:pPr>
              <w:pStyle w:val="14"/>
              <w:rPr>
                <w:rFonts w:ascii="Times New Roman"/>
                <w:sz w:val="20"/>
              </w:rPr>
            </w:pPr>
          </w:p>
        </w:tc>
        <w:tc>
          <w:tcPr>
            <w:tcW w:w="876"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83" w:type="dxa"/>
            <w:vMerge w:val="continue"/>
            <w:tcBorders>
              <w:top w:val="nil"/>
            </w:tcBorders>
            <w:vAlign w:val="top"/>
          </w:tcPr>
          <w:p>
            <w:pPr>
              <w:rPr>
                <w:sz w:val="2"/>
                <w:szCs w:val="2"/>
              </w:rPr>
            </w:pPr>
          </w:p>
        </w:tc>
        <w:tc>
          <w:tcPr>
            <w:tcW w:w="2820" w:type="dxa"/>
            <w:gridSpan w:val="7"/>
            <w:vAlign w:val="top"/>
          </w:tcPr>
          <w:p>
            <w:pPr>
              <w:pStyle w:val="14"/>
              <w:rPr>
                <w:rFonts w:ascii="Times New Roman"/>
                <w:sz w:val="20"/>
              </w:rPr>
            </w:pPr>
          </w:p>
        </w:tc>
        <w:tc>
          <w:tcPr>
            <w:tcW w:w="674" w:type="dxa"/>
            <w:gridSpan w:val="3"/>
            <w:vAlign w:val="top"/>
          </w:tcPr>
          <w:p>
            <w:pPr>
              <w:pStyle w:val="14"/>
              <w:rPr>
                <w:rFonts w:ascii="Times New Roman"/>
                <w:sz w:val="20"/>
              </w:rPr>
            </w:pPr>
          </w:p>
        </w:tc>
        <w:tc>
          <w:tcPr>
            <w:tcW w:w="1501" w:type="dxa"/>
            <w:gridSpan w:val="2"/>
            <w:vAlign w:val="top"/>
          </w:tcPr>
          <w:p>
            <w:pPr>
              <w:pStyle w:val="14"/>
              <w:rPr>
                <w:rFonts w:ascii="Times New Roman"/>
                <w:sz w:val="20"/>
              </w:rPr>
            </w:pPr>
          </w:p>
        </w:tc>
        <w:tc>
          <w:tcPr>
            <w:tcW w:w="1225" w:type="dxa"/>
            <w:gridSpan w:val="3"/>
            <w:vAlign w:val="top"/>
          </w:tcPr>
          <w:p>
            <w:pPr>
              <w:pStyle w:val="14"/>
              <w:rPr>
                <w:rFonts w:ascii="Times New Roman"/>
                <w:sz w:val="20"/>
              </w:rPr>
            </w:pPr>
          </w:p>
        </w:tc>
        <w:tc>
          <w:tcPr>
            <w:tcW w:w="852" w:type="dxa"/>
            <w:gridSpan w:val="2"/>
            <w:vAlign w:val="top"/>
          </w:tcPr>
          <w:p>
            <w:pPr>
              <w:pStyle w:val="14"/>
              <w:rPr>
                <w:rFonts w:ascii="Times New Roman"/>
                <w:sz w:val="20"/>
              </w:rPr>
            </w:pPr>
          </w:p>
        </w:tc>
        <w:tc>
          <w:tcPr>
            <w:tcW w:w="910" w:type="dxa"/>
            <w:gridSpan w:val="3"/>
            <w:vAlign w:val="top"/>
          </w:tcPr>
          <w:p>
            <w:pPr>
              <w:pStyle w:val="14"/>
              <w:rPr>
                <w:rFonts w:ascii="Times New Roman"/>
                <w:sz w:val="20"/>
              </w:rPr>
            </w:pPr>
          </w:p>
        </w:tc>
        <w:tc>
          <w:tcPr>
            <w:tcW w:w="876"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83" w:type="dxa"/>
            <w:vMerge w:val="continue"/>
            <w:tcBorders>
              <w:top w:val="nil"/>
            </w:tcBorders>
            <w:vAlign w:val="top"/>
          </w:tcPr>
          <w:p>
            <w:pPr>
              <w:rPr>
                <w:sz w:val="2"/>
                <w:szCs w:val="2"/>
              </w:rPr>
            </w:pPr>
          </w:p>
        </w:tc>
        <w:tc>
          <w:tcPr>
            <w:tcW w:w="2820" w:type="dxa"/>
            <w:gridSpan w:val="7"/>
            <w:vAlign w:val="top"/>
          </w:tcPr>
          <w:p>
            <w:pPr>
              <w:pStyle w:val="14"/>
              <w:rPr>
                <w:rFonts w:ascii="Times New Roman"/>
                <w:sz w:val="20"/>
              </w:rPr>
            </w:pPr>
          </w:p>
        </w:tc>
        <w:tc>
          <w:tcPr>
            <w:tcW w:w="674" w:type="dxa"/>
            <w:gridSpan w:val="3"/>
            <w:vAlign w:val="top"/>
          </w:tcPr>
          <w:p>
            <w:pPr>
              <w:pStyle w:val="14"/>
              <w:rPr>
                <w:rFonts w:ascii="Times New Roman"/>
                <w:sz w:val="20"/>
              </w:rPr>
            </w:pPr>
          </w:p>
        </w:tc>
        <w:tc>
          <w:tcPr>
            <w:tcW w:w="1501" w:type="dxa"/>
            <w:gridSpan w:val="2"/>
            <w:vAlign w:val="top"/>
          </w:tcPr>
          <w:p>
            <w:pPr>
              <w:pStyle w:val="14"/>
              <w:rPr>
                <w:rFonts w:ascii="Times New Roman"/>
                <w:sz w:val="20"/>
              </w:rPr>
            </w:pPr>
          </w:p>
        </w:tc>
        <w:tc>
          <w:tcPr>
            <w:tcW w:w="1225" w:type="dxa"/>
            <w:gridSpan w:val="3"/>
            <w:vAlign w:val="top"/>
          </w:tcPr>
          <w:p>
            <w:pPr>
              <w:pStyle w:val="14"/>
              <w:rPr>
                <w:rFonts w:ascii="Times New Roman"/>
                <w:sz w:val="20"/>
              </w:rPr>
            </w:pPr>
          </w:p>
        </w:tc>
        <w:tc>
          <w:tcPr>
            <w:tcW w:w="852" w:type="dxa"/>
            <w:gridSpan w:val="2"/>
            <w:vAlign w:val="top"/>
          </w:tcPr>
          <w:p>
            <w:pPr>
              <w:pStyle w:val="14"/>
              <w:rPr>
                <w:rFonts w:ascii="Times New Roman"/>
                <w:sz w:val="20"/>
              </w:rPr>
            </w:pPr>
          </w:p>
        </w:tc>
        <w:tc>
          <w:tcPr>
            <w:tcW w:w="910" w:type="dxa"/>
            <w:gridSpan w:val="3"/>
            <w:vAlign w:val="top"/>
          </w:tcPr>
          <w:p>
            <w:pPr>
              <w:pStyle w:val="14"/>
              <w:rPr>
                <w:rFonts w:ascii="Times New Roman"/>
                <w:sz w:val="20"/>
              </w:rPr>
            </w:pPr>
          </w:p>
        </w:tc>
        <w:tc>
          <w:tcPr>
            <w:tcW w:w="876"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83" w:type="dxa"/>
            <w:vMerge w:val="continue"/>
            <w:tcBorders>
              <w:top w:val="nil"/>
            </w:tcBorders>
            <w:vAlign w:val="top"/>
          </w:tcPr>
          <w:p>
            <w:pPr>
              <w:rPr>
                <w:sz w:val="2"/>
                <w:szCs w:val="2"/>
              </w:rPr>
            </w:pPr>
          </w:p>
        </w:tc>
        <w:tc>
          <w:tcPr>
            <w:tcW w:w="4995" w:type="dxa"/>
            <w:gridSpan w:val="12"/>
            <w:vAlign w:val="top"/>
          </w:tcPr>
          <w:p>
            <w:pPr>
              <w:pStyle w:val="14"/>
              <w:spacing w:before="113"/>
              <w:ind w:left="1927" w:right="1917"/>
              <w:jc w:val="center"/>
              <w:rPr>
                <w:sz w:val="22"/>
              </w:rPr>
            </w:pPr>
            <w:r>
              <w:rPr>
                <w:sz w:val="22"/>
              </w:rPr>
              <w:t>其它材料费</w:t>
            </w:r>
          </w:p>
        </w:tc>
        <w:tc>
          <w:tcPr>
            <w:tcW w:w="1225" w:type="dxa"/>
            <w:gridSpan w:val="3"/>
            <w:vAlign w:val="top"/>
          </w:tcPr>
          <w:p>
            <w:pPr>
              <w:pStyle w:val="14"/>
              <w:spacing w:before="113"/>
              <w:ind w:right="22"/>
              <w:jc w:val="center"/>
              <w:rPr>
                <w:sz w:val="22"/>
              </w:rPr>
            </w:pPr>
            <w:r>
              <w:rPr>
                <w:w w:val="100"/>
                <w:sz w:val="22"/>
              </w:rPr>
              <w:t>—</w:t>
            </w:r>
          </w:p>
        </w:tc>
        <w:tc>
          <w:tcPr>
            <w:tcW w:w="852" w:type="dxa"/>
            <w:gridSpan w:val="2"/>
            <w:vAlign w:val="top"/>
          </w:tcPr>
          <w:p>
            <w:pPr>
              <w:pStyle w:val="14"/>
              <w:rPr>
                <w:rFonts w:ascii="Times New Roman"/>
                <w:sz w:val="20"/>
              </w:rPr>
            </w:pPr>
          </w:p>
        </w:tc>
        <w:tc>
          <w:tcPr>
            <w:tcW w:w="910" w:type="dxa"/>
            <w:gridSpan w:val="3"/>
            <w:vAlign w:val="top"/>
          </w:tcPr>
          <w:p>
            <w:pPr>
              <w:pStyle w:val="14"/>
              <w:spacing w:before="113"/>
              <w:ind w:left="10"/>
              <w:jc w:val="center"/>
              <w:rPr>
                <w:sz w:val="22"/>
              </w:rPr>
            </w:pPr>
            <w:r>
              <w:rPr>
                <w:w w:val="100"/>
                <w:sz w:val="22"/>
              </w:rPr>
              <w:t>—</w:t>
            </w:r>
          </w:p>
        </w:tc>
        <w:tc>
          <w:tcPr>
            <w:tcW w:w="876"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583" w:type="dxa"/>
            <w:vMerge w:val="continue"/>
            <w:tcBorders>
              <w:top w:val="nil"/>
            </w:tcBorders>
            <w:vAlign w:val="top"/>
          </w:tcPr>
          <w:p>
            <w:pPr>
              <w:rPr>
                <w:sz w:val="2"/>
                <w:szCs w:val="2"/>
              </w:rPr>
            </w:pPr>
          </w:p>
        </w:tc>
        <w:tc>
          <w:tcPr>
            <w:tcW w:w="4995" w:type="dxa"/>
            <w:gridSpan w:val="12"/>
            <w:vAlign w:val="top"/>
          </w:tcPr>
          <w:p>
            <w:pPr>
              <w:pStyle w:val="14"/>
              <w:spacing w:before="114"/>
              <w:ind w:left="1927" w:right="1917"/>
              <w:jc w:val="center"/>
              <w:rPr>
                <w:sz w:val="22"/>
              </w:rPr>
            </w:pPr>
            <w:r>
              <w:rPr>
                <w:sz w:val="22"/>
              </w:rPr>
              <w:t>材料费小计</w:t>
            </w:r>
          </w:p>
        </w:tc>
        <w:tc>
          <w:tcPr>
            <w:tcW w:w="1225" w:type="dxa"/>
            <w:gridSpan w:val="3"/>
            <w:vAlign w:val="top"/>
          </w:tcPr>
          <w:p>
            <w:pPr>
              <w:pStyle w:val="14"/>
              <w:spacing w:before="114"/>
              <w:ind w:right="22"/>
              <w:jc w:val="center"/>
              <w:rPr>
                <w:sz w:val="22"/>
              </w:rPr>
            </w:pPr>
            <w:r>
              <w:rPr>
                <w:w w:val="100"/>
                <w:sz w:val="22"/>
              </w:rPr>
              <w:t>—</w:t>
            </w:r>
          </w:p>
        </w:tc>
        <w:tc>
          <w:tcPr>
            <w:tcW w:w="852" w:type="dxa"/>
            <w:gridSpan w:val="2"/>
            <w:vAlign w:val="top"/>
          </w:tcPr>
          <w:p>
            <w:pPr>
              <w:pStyle w:val="14"/>
              <w:rPr>
                <w:rFonts w:ascii="Times New Roman"/>
                <w:sz w:val="20"/>
              </w:rPr>
            </w:pPr>
          </w:p>
        </w:tc>
        <w:tc>
          <w:tcPr>
            <w:tcW w:w="910" w:type="dxa"/>
            <w:gridSpan w:val="3"/>
            <w:vAlign w:val="top"/>
          </w:tcPr>
          <w:p>
            <w:pPr>
              <w:pStyle w:val="14"/>
              <w:spacing w:before="114"/>
              <w:ind w:left="10"/>
              <w:jc w:val="center"/>
              <w:rPr>
                <w:sz w:val="22"/>
              </w:rPr>
            </w:pPr>
            <w:r>
              <w:rPr>
                <w:w w:val="100"/>
                <w:sz w:val="22"/>
              </w:rPr>
              <w:t>—</w:t>
            </w:r>
          </w:p>
        </w:tc>
        <w:tc>
          <w:tcPr>
            <w:tcW w:w="876" w:type="dxa"/>
            <w:vAlign w:val="top"/>
          </w:tcPr>
          <w:p>
            <w:pPr>
              <w:pStyle w:val="14"/>
              <w:rPr>
                <w:rFonts w:ascii="Times New Roman"/>
                <w:sz w:val="20"/>
              </w:rPr>
            </w:pPr>
          </w:p>
        </w:tc>
      </w:tr>
    </w:tbl>
    <w:p>
      <w:pPr>
        <w:pStyle w:val="9"/>
        <w:spacing w:before="2"/>
        <w:ind w:left="731"/>
      </w:pPr>
      <w:r>
        <w:t>注：1.如不使用本市或行业建设主管部门发布的计价依据，可不填定额项目、编号等。</w:t>
      </w:r>
    </w:p>
    <w:p>
      <w:pPr>
        <w:pStyle w:val="9"/>
        <w:spacing w:before="4" w:line="242" w:lineRule="auto"/>
        <w:ind w:left="731" w:right="892" w:firstLine="439"/>
      </w:pPr>
      <w:r>
        <w:t>2.招标文件提供了暂估单价的材料，按暂估的单价填入表内“暂估单价”栏及“暂估合价”栏。</w:t>
      </w:r>
    </w:p>
    <w:p>
      <w:pPr>
        <w:spacing w:after="0" w:line="242" w:lineRule="auto"/>
        <w:sectPr>
          <w:footerReference r:id="rId16" w:type="default"/>
          <w:pgSz w:w="11910" w:h="16840"/>
          <w:pgMar w:top="1100" w:right="660" w:bottom="1200" w:left="800" w:header="878" w:footer="1003" w:gutter="0"/>
          <w:pgNumType w:start="90"/>
          <w:cols w:space="720" w:num="1"/>
        </w:sectPr>
      </w:pPr>
    </w:p>
    <w:p>
      <w:pPr>
        <w:pStyle w:val="9"/>
        <w:rPr>
          <w:sz w:val="20"/>
        </w:rPr>
      </w:pPr>
    </w:p>
    <w:p>
      <w:pPr>
        <w:pStyle w:val="9"/>
        <w:rPr>
          <w:sz w:val="20"/>
        </w:rPr>
      </w:pPr>
    </w:p>
    <w:p>
      <w:pPr>
        <w:pStyle w:val="2"/>
        <w:tabs>
          <w:tab w:val="left" w:pos="1444"/>
          <w:tab w:val="left" w:pos="2167"/>
        </w:tabs>
        <w:spacing w:before="191"/>
      </w:pPr>
      <w:bookmarkStart w:id="98" w:name="_bookmark16"/>
      <w:bookmarkEnd w:id="98"/>
      <w:bookmarkStart w:id="99" w:name="第六章  图  纸"/>
      <w:bookmarkEnd w:id="99"/>
      <w:r>
        <w:t>第六章</w:t>
      </w:r>
      <w:r>
        <w:tab/>
      </w:r>
      <w:r>
        <w:t>图</w:t>
      </w:r>
      <w:r>
        <w:tab/>
      </w:r>
      <w:r>
        <w:t>纸</w:t>
      </w:r>
    </w:p>
    <w:p>
      <w:pPr>
        <w:pStyle w:val="9"/>
        <w:spacing w:before="8"/>
        <w:rPr>
          <w:b/>
          <w:sz w:val="29"/>
        </w:rPr>
      </w:pPr>
    </w:p>
    <w:p>
      <w:pPr>
        <w:pStyle w:val="8"/>
        <w:numPr>
          <w:ilvl w:val="0"/>
          <w:numId w:val="92"/>
        </w:numPr>
        <w:tabs>
          <w:tab w:val="left" w:pos="956"/>
        </w:tabs>
        <w:spacing w:before="70" w:after="0" w:line="240" w:lineRule="auto"/>
        <w:ind w:left="955" w:right="0" w:hanging="225"/>
        <w:jc w:val="left"/>
      </w:pPr>
      <w:bookmarkStart w:id="100" w:name="1.图纸目录"/>
      <w:bookmarkEnd w:id="100"/>
      <w:r>
        <w:t>图纸目录</w:t>
      </w:r>
    </w:p>
    <w:p>
      <w:pPr>
        <w:pStyle w:val="9"/>
        <w:rPr>
          <w:b/>
          <w:sz w:val="20"/>
        </w:rPr>
      </w:pPr>
    </w:p>
    <w:p>
      <w:pPr>
        <w:pStyle w:val="9"/>
        <w:rPr>
          <w:b/>
          <w:sz w:val="10"/>
        </w:rPr>
      </w:pPr>
    </w:p>
    <w:tbl>
      <w:tblPr>
        <w:tblW w:w="8522" w:type="dxa"/>
        <w:tblInd w:w="6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1420"/>
        <w:gridCol w:w="1420"/>
        <w:gridCol w:w="1420"/>
        <w:gridCol w:w="1421"/>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420" w:type="dxa"/>
            <w:vAlign w:val="top"/>
          </w:tcPr>
          <w:p>
            <w:pPr>
              <w:pStyle w:val="14"/>
              <w:spacing w:before="15"/>
              <w:ind w:left="469" w:right="459"/>
              <w:jc w:val="center"/>
              <w:rPr>
                <w:sz w:val="22"/>
              </w:rPr>
            </w:pPr>
            <w:r>
              <w:rPr>
                <w:sz w:val="22"/>
              </w:rPr>
              <w:t>序号</w:t>
            </w:r>
          </w:p>
        </w:tc>
        <w:tc>
          <w:tcPr>
            <w:tcW w:w="1420" w:type="dxa"/>
            <w:vAlign w:val="top"/>
          </w:tcPr>
          <w:p>
            <w:pPr>
              <w:pStyle w:val="14"/>
              <w:spacing w:before="15"/>
              <w:ind w:left="469" w:right="457"/>
              <w:jc w:val="center"/>
              <w:rPr>
                <w:sz w:val="22"/>
              </w:rPr>
            </w:pPr>
            <w:r>
              <w:rPr>
                <w:sz w:val="22"/>
              </w:rPr>
              <w:t>图名</w:t>
            </w:r>
          </w:p>
        </w:tc>
        <w:tc>
          <w:tcPr>
            <w:tcW w:w="1420" w:type="dxa"/>
            <w:vAlign w:val="top"/>
          </w:tcPr>
          <w:p>
            <w:pPr>
              <w:pStyle w:val="14"/>
              <w:spacing w:before="15"/>
              <w:ind w:left="468" w:right="459"/>
              <w:jc w:val="center"/>
              <w:rPr>
                <w:sz w:val="22"/>
              </w:rPr>
            </w:pPr>
            <w:r>
              <w:rPr>
                <w:sz w:val="22"/>
              </w:rPr>
              <w:t>图号</w:t>
            </w:r>
          </w:p>
        </w:tc>
        <w:tc>
          <w:tcPr>
            <w:tcW w:w="1420" w:type="dxa"/>
            <w:vAlign w:val="top"/>
          </w:tcPr>
          <w:p>
            <w:pPr>
              <w:pStyle w:val="14"/>
              <w:spacing w:before="15"/>
              <w:ind w:left="469" w:right="459"/>
              <w:jc w:val="center"/>
              <w:rPr>
                <w:sz w:val="22"/>
              </w:rPr>
            </w:pPr>
            <w:r>
              <w:rPr>
                <w:sz w:val="22"/>
              </w:rPr>
              <w:t>版本</w:t>
            </w:r>
          </w:p>
        </w:tc>
        <w:tc>
          <w:tcPr>
            <w:tcW w:w="1421" w:type="dxa"/>
            <w:vAlign w:val="top"/>
          </w:tcPr>
          <w:p>
            <w:pPr>
              <w:pStyle w:val="14"/>
              <w:spacing w:before="15"/>
              <w:ind w:left="269"/>
              <w:rPr>
                <w:sz w:val="22"/>
              </w:rPr>
            </w:pPr>
            <w:r>
              <w:rPr>
                <w:sz w:val="22"/>
              </w:rPr>
              <w:t>出图日期</w:t>
            </w:r>
          </w:p>
        </w:tc>
        <w:tc>
          <w:tcPr>
            <w:tcW w:w="1421" w:type="dxa"/>
            <w:vAlign w:val="top"/>
          </w:tcPr>
          <w:p>
            <w:pPr>
              <w:pStyle w:val="14"/>
              <w:spacing w:before="15"/>
              <w:ind w:left="471" w:right="460"/>
              <w:jc w:val="center"/>
              <w:rPr>
                <w:sz w:val="22"/>
              </w:rPr>
            </w:pPr>
            <w:r>
              <w:rPr>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420" w:type="dxa"/>
            <w:vAlign w:val="top"/>
          </w:tcPr>
          <w:p>
            <w:pPr>
              <w:pStyle w:val="14"/>
              <w:rPr>
                <w:rFonts w:ascii="Times New Roman"/>
                <w:sz w:val="20"/>
              </w:rPr>
            </w:pPr>
          </w:p>
        </w:tc>
        <w:tc>
          <w:tcPr>
            <w:tcW w:w="1420" w:type="dxa"/>
            <w:vAlign w:val="top"/>
          </w:tcPr>
          <w:p>
            <w:pPr>
              <w:pStyle w:val="14"/>
              <w:rPr>
                <w:rFonts w:ascii="Times New Roman"/>
                <w:sz w:val="20"/>
              </w:rPr>
            </w:pPr>
          </w:p>
        </w:tc>
        <w:tc>
          <w:tcPr>
            <w:tcW w:w="1420" w:type="dxa"/>
            <w:vAlign w:val="top"/>
          </w:tcPr>
          <w:p>
            <w:pPr>
              <w:pStyle w:val="14"/>
              <w:rPr>
                <w:rFonts w:ascii="Times New Roman"/>
                <w:sz w:val="20"/>
              </w:rPr>
            </w:pPr>
          </w:p>
        </w:tc>
        <w:tc>
          <w:tcPr>
            <w:tcW w:w="1420" w:type="dxa"/>
            <w:vAlign w:val="top"/>
          </w:tcPr>
          <w:p>
            <w:pPr>
              <w:pStyle w:val="14"/>
              <w:rPr>
                <w:rFonts w:ascii="Times New Roman"/>
                <w:sz w:val="20"/>
              </w:rPr>
            </w:pPr>
          </w:p>
        </w:tc>
        <w:tc>
          <w:tcPr>
            <w:tcW w:w="1421" w:type="dxa"/>
            <w:vAlign w:val="top"/>
          </w:tcPr>
          <w:p>
            <w:pPr>
              <w:pStyle w:val="14"/>
              <w:rPr>
                <w:rFonts w:ascii="Times New Roman"/>
                <w:sz w:val="20"/>
              </w:rPr>
            </w:pPr>
          </w:p>
        </w:tc>
        <w:tc>
          <w:tcPr>
            <w:tcW w:w="142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1420" w:type="dxa"/>
            <w:vAlign w:val="top"/>
          </w:tcPr>
          <w:p>
            <w:pPr>
              <w:pStyle w:val="14"/>
              <w:rPr>
                <w:rFonts w:ascii="Times New Roman"/>
                <w:sz w:val="20"/>
              </w:rPr>
            </w:pPr>
          </w:p>
        </w:tc>
        <w:tc>
          <w:tcPr>
            <w:tcW w:w="1420" w:type="dxa"/>
            <w:vAlign w:val="top"/>
          </w:tcPr>
          <w:p>
            <w:pPr>
              <w:pStyle w:val="14"/>
              <w:rPr>
                <w:rFonts w:ascii="Times New Roman"/>
                <w:sz w:val="20"/>
              </w:rPr>
            </w:pPr>
          </w:p>
        </w:tc>
        <w:tc>
          <w:tcPr>
            <w:tcW w:w="1420" w:type="dxa"/>
            <w:vAlign w:val="top"/>
          </w:tcPr>
          <w:p>
            <w:pPr>
              <w:pStyle w:val="14"/>
              <w:rPr>
                <w:rFonts w:ascii="Times New Roman"/>
                <w:sz w:val="20"/>
              </w:rPr>
            </w:pPr>
          </w:p>
        </w:tc>
        <w:tc>
          <w:tcPr>
            <w:tcW w:w="1420" w:type="dxa"/>
            <w:vAlign w:val="top"/>
          </w:tcPr>
          <w:p>
            <w:pPr>
              <w:pStyle w:val="14"/>
              <w:rPr>
                <w:rFonts w:ascii="Times New Roman"/>
                <w:sz w:val="20"/>
              </w:rPr>
            </w:pPr>
          </w:p>
        </w:tc>
        <w:tc>
          <w:tcPr>
            <w:tcW w:w="1421" w:type="dxa"/>
            <w:vAlign w:val="top"/>
          </w:tcPr>
          <w:p>
            <w:pPr>
              <w:pStyle w:val="14"/>
              <w:rPr>
                <w:rFonts w:ascii="Times New Roman"/>
                <w:sz w:val="20"/>
              </w:rPr>
            </w:pPr>
          </w:p>
        </w:tc>
        <w:tc>
          <w:tcPr>
            <w:tcW w:w="142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420" w:type="dxa"/>
            <w:vAlign w:val="top"/>
          </w:tcPr>
          <w:p>
            <w:pPr>
              <w:pStyle w:val="14"/>
              <w:rPr>
                <w:rFonts w:ascii="Times New Roman"/>
                <w:sz w:val="20"/>
              </w:rPr>
            </w:pPr>
          </w:p>
        </w:tc>
        <w:tc>
          <w:tcPr>
            <w:tcW w:w="1420" w:type="dxa"/>
            <w:vAlign w:val="top"/>
          </w:tcPr>
          <w:p>
            <w:pPr>
              <w:pStyle w:val="14"/>
              <w:rPr>
                <w:rFonts w:ascii="Times New Roman"/>
                <w:sz w:val="20"/>
              </w:rPr>
            </w:pPr>
          </w:p>
        </w:tc>
        <w:tc>
          <w:tcPr>
            <w:tcW w:w="1420" w:type="dxa"/>
            <w:vAlign w:val="top"/>
          </w:tcPr>
          <w:p>
            <w:pPr>
              <w:pStyle w:val="14"/>
              <w:rPr>
                <w:rFonts w:ascii="Times New Roman"/>
                <w:sz w:val="20"/>
              </w:rPr>
            </w:pPr>
          </w:p>
        </w:tc>
        <w:tc>
          <w:tcPr>
            <w:tcW w:w="1420" w:type="dxa"/>
            <w:vAlign w:val="top"/>
          </w:tcPr>
          <w:p>
            <w:pPr>
              <w:pStyle w:val="14"/>
              <w:rPr>
                <w:rFonts w:ascii="Times New Roman"/>
                <w:sz w:val="20"/>
              </w:rPr>
            </w:pPr>
          </w:p>
        </w:tc>
        <w:tc>
          <w:tcPr>
            <w:tcW w:w="1421" w:type="dxa"/>
            <w:vAlign w:val="top"/>
          </w:tcPr>
          <w:p>
            <w:pPr>
              <w:pStyle w:val="14"/>
              <w:rPr>
                <w:rFonts w:ascii="Times New Roman"/>
                <w:sz w:val="20"/>
              </w:rPr>
            </w:pPr>
          </w:p>
        </w:tc>
        <w:tc>
          <w:tcPr>
            <w:tcW w:w="142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1420" w:type="dxa"/>
            <w:vAlign w:val="top"/>
          </w:tcPr>
          <w:p>
            <w:pPr>
              <w:pStyle w:val="14"/>
              <w:rPr>
                <w:rFonts w:ascii="Times New Roman"/>
                <w:sz w:val="20"/>
              </w:rPr>
            </w:pPr>
          </w:p>
        </w:tc>
        <w:tc>
          <w:tcPr>
            <w:tcW w:w="1420" w:type="dxa"/>
            <w:vAlign w:val="top"/>
          </w:tcPr>
          <w:p>
            <w:pPr>
              <w:pStyle w:val="14"/>
              <w:rPr>
                <w:rFonts w:ascii="Times New Roman"/>
                <w:sz w:val="20"/>
              </w:rPr>
            </w:pPr>
          </w:p>
        </w:tc>
        <w:tc>
          <w:tcPr>
            <w:tcW w:w="1420" w:type="dxa"/>
            <w:vAlign w:val="top"/>
          </w:tcPr>
          <w:p>
            <w:pPr>
              <w:pStyle w:val="14"/>
              <w:rPr>
                <w:rFonts w:ascii="Times New Roman"/>
                <w:sz w:val="20"/>
              </w:rPr>
            </w:pPr>
          </w:p>
        </w:tc>
        <w:tc>
          <w:tcPr>
            <w:tcW w:w="1420" w:type="dxa"/>
            <w:vAlign w:val="top"/>
          </w:tcPr>
          <w:p>
            <w:pPr>
              <w:pStyle w:val="14"/>
              <w:rPr>
                <w:rFonts w:ascii="Times New Roman"/>
                <w:sz w:val="20"/>
              </w:rPr>
            </w:pPr>
          </w:p>
        </w:tc>
        <w:tc>
          <w:tcPr>
            <w:tcW w:w="1421" w:type="dxa"/>
            <w:vAlign w:val="top"/>
          </w:tcPr>
          <w:p>
            <w:pPr>
              <w:pStyle w:val="14"/>
              <w:rPr>
                <w:rFonts w:ascii="Times New Roman"/>
                <w:sz w:val="20"/>
              </w:rPr>
            </w:pPr>
          </w:p>
        </w:tc>
        <w:tc>
          <w:tcPr>
            <w:tcW w:w="142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420" w:type="dxa"/>
            <w:vAlign w:val="top"/>
          </w:tcPr>
          <w:p>
            <w:pPr>
              <w:pStyle w:val="14"/>
              <w:rPr>
                <w:rFonts w:ascii="Times New Roman"/>
                <w:sz w:val="20"/>
              </w:rPr>
            </w:pPr>
          </w:p>
        </w:tc>
        <w:tc>
          <w:tcPr>
            <w:tcW w:w="1420" w:type="dxa"/>
            <w:vAlign w:val="top"/>
          </w:tcPr>
          <w:p>
            <w:pPr>
              <w:pStyle w:val="14"/>
              <w:rPr>
                <w:rFonts w:ascii="Times New Roman"/>
                <w:sz w:val="20"/>
              </w:rPr>
            </w:pPr>
          </w:p>
        </w:tc>
        <w:tc>
          <w:tcPr>
            <w:tcW w:w="1420" w:type="dxa"/>
            <w:vAlign w:val="top"/>
          </w:tcPr>
          <w:p>
            <w:pPr>
              <w:pStyle w:val="14"/>
              <w:rPr>
                <w:rFonts w:ascii="Times New Roman"/>
                <w:sz w:val="20"/>
              </w:rPr>
            </w:pPr>
          </w:p>
        </w:tc>
        <w:tc>
          <w:tcPr>
            <w:tcW w:w="1420" w:type="dxa"/>
            <w:vAlign w:val="top"/>
          </w:tcPr>
          <w:p>
            <w:pPr>
              <w:pStyle w:val="14"/>
              <w:rPr>
                <w:rFonts w:ascii="Times New Roman"/>
                <w:sz w:val="20"/>
              </w:rPr>
            </w:pPr>
          </w:p>
        </w:tc>
        <w:tc>
          <w:tcPr>
            <w:tcW w:w="1421" w:type="dxa"/>
            <w:vAlign w:val="top"/>
          </w:tcPr>
          <w:p>
            <w:pPr>
              <w:pStyle w:val="14"/>
              <w:rPr>
                <w:rFonts w:ascii="Times New Roman"/>
                <w:sz w:val="20"/>
              </w:rPr>
            </w:pPr>
          </w:p>
        </w:tc>
        <w:tc>
          <w:tcPr>
            <w:tcW w:w="1421" w:type="dxa"/>
            <w:vAlign w:val="top"/>
          </w:tcPr>
          <w:p>
            <w:pPr>
              <w:pStyle w:val="14"/>
              <w:rPr>
                <w:rFonts w:ascii="Times New Roman"/>
                <w:sz w:val="20"/>
              </w:rPr>
            </w:pPr>
          </w:p>
        </w:tc>
      </w:tr>
    </w:tbl>
    <w:p>
      <w:pPr>
        <w:pStyle w:val="9"/>
        <w:spacing w:before="7"/>
        <w:rPr>
          <w:b/>
          <w:sz w:val="13"/>
        </w:rPr>
      </w:pPr>
    </w:p>
    <w:p>
      <w:pPr>
        <w:pStyle w:val="8"/>
        <w:numPr>
          <w:ilvl w:val="0"/>
          <w:numId w:val="92"/>
        </w:numPr>
        <w:tabs>
          <w:tab w:val="left" w:pos="956"/>
          <w:tab w:val="left" w:pos="1393"/>
        </w:tabs>
        <w:spacing w:before="70" w:after="0" w:line="240" w:lineRule="auto"/>
        <w:ind w:left="955" w:right="0" w:hanging="225"/>
        <w:jc w:val="left"/>
      </w:pPr>
      <w:bookmarkStart w:id="101" w:name="2.图  纸"/>
      <w:bookmarkEnd w:id="101"/>
      <w:r>
        <w:t>图</w:t>
      </w:r>
      <w:r>
        <w:tab/>
      </w:r>
      <w:r>
        <w:t>纸</w:t>
      </w:r>
    </w:p>
    <w:p>
      <w:pPr>
        <w:spacing w:after="0" w:line="240" w:lineRule="auto"/>
        <w:jc w:val="left"/>
        <w:sectPr>
          <w:pgSz w:w="11910" w:h="16840"/>
          <w:pgMar w:top="1100" w:right="660" w:bottom="1200" w:left="800" w:header="878" w:footer="1003" w:gutter="0"/>
          <w:cols w:space="720" w:num="1"/>
        </w:sectPr>
      </w:pPr>
    </w:p>
    <w:p>
      <w:pPr>
        <w:pStyle w:val="9"/>
        <w:rPr>
          <w:b/>
          <w:sz w:val="20"/>
        </w:rPr>
      </w:pPr>
    </w:p>
    <w:p>
      <w:pPr>
        <w:pStyle w:val="9"/>
        <w:rPr>
          <w:b/>
          <w:sz w:val="20"/>
        </w:rPr>
      </w:pPr>
    </w:p>
    <w:p>
      <w:pPr>
        <w:pStyle w:val="9"/>
        <w:rPr>
          <w:b/>
          <w:sz w:val="20"/>
        </w:rPr>
      </w:pPr>
    </w:p>
    <w:p>
      <w:pPr>
        <w:tabs>
          <w:tab w:val="left" w:pos="1444"/>
        </w:tabs>
        <w:spacing w:before="199"/>
        <w:ind w:left="0" w:right="159" w:firstLine="0"/>
        <w:jc w:val="center"/>
        <w:rPr>
          <w:b/>
          <w:sz w:val="36"/>
        </w:rPr>
      </w:pPr>
      <w:bookmarkStart w:id="102" w:name="_bookmark17"/>
      <w:bookmarkEnd w:id="102"/>
      <w:bookmarkStart w:id="103" w:name="第七章  技术标准和要求"/>
      <w:bookmarkEnd w:id="103"/>
      <w:r>
        <w:rPr>
          <w:b/>
          <w:sz w:val="36"/>
        </w:rPr>
        <w:t>第七章</w:t>
      </w:r>
      <w:r>
        <w:rPr>
          <w:b/>
          <w:sz w:val="36"/>
        </w:rPr>
        <w:tab/>
      </w:r>
      <w:r>
        <w:rPr>
          <w:b/>
          <w:sz w:val="36"/>
        </w:rPr>
        <w:t>技术标准和要求</w:t>
      </w:r>
    </w:p>
    <w:p>
      <w:pPr>
        <w:pStyle w:val="6"/>
        <w:spacing w:before="247"/>
        <w:ind w:left="571"/>
      </w:pPr>
      <w:r>
        <w:t>第一节 一般要求</w:t>
      </w:r>
    </w:p>
    <w:p>
      <w:pPr>
        <w:pStyle w:val="9"/>
        <w:spacing w:before="8"/>
        <w:rPr>
          <w:b/>
          <w:sz w:val="25"/>
        </w:rPr>
      </w:pPr>
    </w:p>
    <w:p>
      <w:pPr>
        <w:pStyle w:val="13"/>
        <w:numPr>
          <w:ilvl w:val="0"/>
          <w:numId w:val="93"/>
        </w:numPr>
        <w:tabs>
          <w:tab w:val="left" w:pos="954"/>
        </w:tabs>
        <w:spacing w:before="70" w:after="0" w:line="240" w:lineRule="auto"/>
        <w:ind w:left="953" w:right="0" w:hanging="223"/>
        <w:jc w:val="left"/>
        <w:rPr>
          <w:sz w:val="22"/>
        </w:rPr>
      </w:pPr>
      <w:bookmarkStart w:id="104" w:name="1.工程说明"/>
      <w:bookmarkEnd w:id="104"/>
      <w:r>
        <w:rPr>
          <w:spacing w:val="-2"/>
          <w:sz w:val="22"/>
        </w:rPr>
        <w:t>工程说明</w:t>
      </w:r>
    </w:p>
    <w:p>
      <w:pPr>
        <w:pStyle w:val="9"/>
        <w:spacing w:before="4"/>
        <w:rPr>
          <w:sz w:val="21"/>
        </w:rPr>
      </w:pPr>
    </w:p>
    <w:p>
      <w:pPr>
        <w:pStyle w:val="13"/>
        <w:numPr>
          <w:ilvl w:val="1"/>
          <w:numId w:val="93"/>
        </w:numPr>
        <w:tabs>
          <w:tab w:val="left" w:pos="1171"/>
        </w:tabs>
        <w:spacing w:before="0" w:after="0" w:line="240" w:lineRule="auto"/>
        <w:ind w:left="1170" w:right="0" w:hanging="440"/>
        <w:jc w:val="both"/>
        <w:rPr>
          <w:sz w:val="22"/>
        </w:rPr>
      </w:pPr>
      <w:r>
        <w:rPr>
          <w:spacing w:val="-2"/>
          <w:sz w:val="22"/>
        </w:rPr>
        <w:t>工程概况</w:t>
      </w:r>
    </w:p>
    <w:p>
      <w:pPr>
        <w:pStyle w:val="9"/>
        <w:spacing w:before="32"/>
        <w:ind w:left="731"/>
        <w:jc w:val="both"/>
      </w:pPr>
      <w:r>
        <w:t>l.1.1 本工程基本情况如下：</w:t>
      </w:r>
    </w:p>
    <w:p>
      <w:pPr>
        <w:pStyle w:val="7"/>
        <w:numPr>
          <w:ilvl w:val="0"/>
          <w:numId w:val="3"/>
        </w:numPr>
        <w:tabs>
          <w:tab w:val="left" w:pos="574"/>
        </w:tabs>
        <w:spacing w:before="161" w:after="0" w:line="364" w:lineRule="auto"/>
        <w:ind w:left="332" w:right="493" w:firstLine="0"/>
        <w:jc w:val="left"/>
      </w:pPr>
      <w:r>
        <w:rPr>
          <w:rFonts w:hint="eastAsia" w:ascii="宋体" w:hAnsi="宋体"/>
          <w:b w:val="0"/>
          <w:bCs w:val="0"/>
          <w:i w:val="0"/>
          <w:caps w:val="0"/>
          <w:spacing w:val="0"/>
          <w:w w:val="100"/>
          <w:sz w:val="22"/>
          <w:u w:val="none"/>
          <w:lang w:val="en-US" w:eastAsia="zh-CN"/>
        </w:rPr>
        <w:t>干箱A岀口箱改造</w:t>
      </w:r>
      <w:r>
        <w:rPr>
          <w:rStyle w:val="15"/>
          <w:rFonts w:ascii="宋体" w:hAnsi="宋体"/>
          <w:b w:val="0"/>
          <w:bCs w:val="0"/>
          <w:i w:val="0"/>
          <w:caps w:val="0"/>
          <w:spacing w:val="0"/>
          <w:w w:val="100"/>
          <w:kern w:val="2"/>
          <w:sz w:val="24"/>
          <w:szCs w:val="24"/>
          <w:u w:val="none"/>
          <w:lang w:val="en-US" w:eastAsia="zh-CN" w:bidi="ar-SA"/>
        </w:rPr>
        <w:t>工程</w:t>
      </w:r>
      <w:r>
        <w:rPr>
          <w:color w:val="auto"/>
          <w:spacing w:val="-7"/>
        </w:rPr>
        <w:t>项目，详见招标文件中"工程承包范围</w:t>
      </w:r>
      <w:r>
        <w:rPr>
          <w:color w:val="auto"/>
          <w:spacing w:val="-11"/>
        </w:rPr>
        <w:t>和承包要求"，包含但不限于</w:t>
      </w:r>
      <w:r>
        <w:rPr>
          <w:color w:val="FF0000"/>
          <w:spacing w:val="-11"/>
        </w:rPr>
        <w:t>：</w:t>
      </w:r>
      <w:r>
        <w:rPr>
          <w:spacing w:val="-9"/>
        </w:rPr>
        <w:t>原有</w:t>
      </w:r>
      <w:r>
        <w:rPr>
          <w:rFonts w:hint="eastAsia"/>
          <w:spacing w:val="-9"/>
        </w:rPr>
        <w:t>地面设备基础</w:t>
      </w:r>
      <w:r>
        <w:rPr>
          <w:spacing w:val="-9"/>
        </w:rPr>
        <w:t>拆除、</w:t>
      </w:r>
      <w:r>
        <w:rPr>
          <w:rFonts w:hint="eastAsia"/>
          <w:spacing w:val="-9"/>
        </w:rPr>
        <w:t>地下管线拆除</w:t>
      </w:r>
      <w:r>
        <w:rPr>
          <w:spacing w:val="-9"/>
        </w:rPr>
        <w:t>等。具体施工要求以提供的设计图纸、招标文件有关条款为准，工程现场状况以现场实际踏勘为准。</w:t>
      </w:r>
    </w:p>
    <w:p>
      <w:pPr>
        <w:pStyle w:val="7"/>
        <w:numPr>
          <w:ilvl w:val="0"/>
          <w:numId w:val="3"/>
        </w:numPr>
        <w:tabs>
          <w:tab w:val="left" w:pos="574"/>
        </w:tabs>
        <w:spacing w:before="1" w:after="0" w:line="240" w:lineRule="auto"/>
        <w:ind w:left="573" w:right="0" w:hanging="242"/>
        <w:jc w:val="left"/>
        <w:rPr>
          <w:b w:val="0"/>
          <w:bCs w:val="0"/>
          <w:sz w:val="24"/>
          <w:szCs w:val="24"/>
        </w:rPr>
      </w:pPr>
      <w:r>
        <w:t>1.1.2</w:t>
      </w:r>
      <w:r>
        <w:rPr>
          <w:spacing w:val="-3"/>
        </w:rPr>
        <w:t xml:space="preserve"> 本工程施工场地（</w:t>
      </w:r>
      <w:r>
        <w:rPr>
          <w:spacing w:val="-5"/>
        </w:rPr>
        <w:t>以下简称“现场”</w:t>
      </w:r>
      <w:r>
        <w:rPr>
          <w:spacing w:val="-8"/>
        </w:rPr>
        <w:t>）</w:t>
      </w:r>
      <w:r>
        <w:rPr>
          <w:spacing w:val="-7"/>
        </w:rPr>
        <w:t>具体地理位置如下</w:t>
      </w:r>
      <w:r>
        <w:rPr>
          <w:spacing w:val="-7"/>
          <w:sz w:val="24"/>
          <w:szCs w:val="24"/>
        </w:rPr>
        <w:t>：</w:t>
      </w:r>
      <w:r>
        <w:rPr>
          <w:rFonts w:ascii="宋体" w:hAnsi="宋体" w:cs="宋体"/>
          <w:b w:val="0"/>
          <w:bCs w:val="0"/>
          <w:i w:val="0"/>
          <w:caps w:val="0"/>
          <w:color w:val="000000"/>
          <w:spacing w:val="0"/>
          <w:w w:val="100"/>
          <w:sz w:val="24"/>
          <w:szCs w:val="24"/>
          <w:u w:val="single" w:color="000000"/>
        </w:rPr>
        <w:t>青岛西海岸新区千山北路569号</w:t>
      </w:r>
    </w:p>
    <w:p>
      <w:pPr>
        <w:pStyle w:val="9"/>
        <w:spacing w:line="268" w:lineRule="auto"/>
        <w:ind w:left="731" w:right="892"/>
        <w:jc w:val="both"/>
        <w:rPr>
          <w:sz w:val="21"/>
          <w:szCs w:val="21"/>
        </w:rPr>
      </w:pPr>
      <w:r>
        <w:rPr>
          <w:sz w:val="21"/>
          <w:szCs w:val="21"/>
        </w:rPr>
        <w:t>。</w:t>
      </w:r>
    </w:p>
    <w:p>
      <w:pPr>
        <w:pStyle w:val="13"/>
        <w:numPr>
          <w:ilvl w:val="1"/>
          <w:numId w:val="93"/>
        </w:numPr>
        <w:tabs>
          <w:tab w:val="left" w:pos="1171"/>
        </w:tabs>
        <w:spacing w:before="0" w:after="0" w:line="279" w:lineRule="exact"/>
        <w:ind w:left="1170" w:right="0" w:hanging="440"/>
        <w:jc w:val="both"/>
        <w:rPr>
          <w:sz w:val="22"/>
        </w:rPr>
      </w:pPr>
      <w:r>
        <w:rPr>
          <w:spacing w:val="-3"/>
          <w:sz w:val="22"/>
        </w:rPr>
        <w:t>现场条件和周围环境</w:t>
      </w:r>
    </w:p>
    <w:p>
      <w:pPr>
        <w:pStyle w:val="13"/>
        <w:numPr>
          <w:ilvl w:val="2"/>
          <w:numId w:val="93"/>
        </w:numPr>
        <w:tabs>
          <w:tab w:val="left" w:pos="1869"/>
        </w:tabs>
        <w:spacing w:before="25" w:after="0" w:line="266" w:lineRule="auto"/>
        <w:ind w:left="1194" w:right="890" w:firstLine="14"/>
        <w:jc w:val="both"/>
        <w:rPr>
          <w:sz w:val="22"/>
        </w:rPr>
      </w:pPr>
      <w:r>
        <w:rPr>
          <w:spacing w:val="-6"/>
          <w:sz w:val="22"/>
        </w:rPr>
        <w:t>本工程现场已经具备施工条件。现场临时水源接口位置、临时电源接口位置、临</w:t>
      </w:r>
      <w:r>
        <w:rPr>
          <w:spacing w:val="-3"/>
          <w:sz w:val="22"/>
        </w:rPr>
        <w:t>时排污口位置、建筑红线位置、道路交通和出入口、以及现场和周围环境等情况见本章</w:t>
      </w:r>
      <w:r>
        <w:rPr>
          <w:spacing w:val="24"/>
          <w:sz w:val="22"/>
        </w:rPr>
        <w:t>附件</w:t>
      </w:r>
      <w:r>
        <w:rPr>
          <w:sz w:val="22"/>
        </w:rPr>
        <w:t>A</w:t>
      </w:r>
      <w:r>
        <w:rPr>
          <w:spacing w:val="-3"/>
          <w:sz w:val="22"/>
        </w:rPr>
        <w:t>：现场现状平面图。</w:t>
      </w:r>
    </w:p>
    <w:p>
      <w:pPr>
        <w:pStyle w:val="13"/>
        <w:numPr>
          <w:ilvl w:val="2"/>
          <w:numId w:val="93"/>
        </w:numPr>
        <w:tabs>
          <w:tab w:val="left" w:pos="1869"/>
          <w:tab w:val="left" w:pos="3810"/>
          <w:tab w:val="left" w:pos="3959"/>
          <w:tab w:val="left" w:pos="6999"/>
          <w:tab w:val="left" w:pos="7551"/>
          <w:tab w:val="left" w:pos="7589"/>
          <w:tab w:val="left" w:pos="7769"/>
          <w:tab w:val="left" w:pos="7879"/>
        </w:tabs>
        <w:spacing w:before="2" w:after="0" w:line="266" w:lineRule="auto"/>
        <w:ind w:left="1170" w:right="2342" w:firstLine="38"/>
        <w:jc w:val="left"/>
        <w:rPr>
          <w:sz w:val="22"/>
        </w:rPr>
      </w:pPr>
      <w:r>
        <w:rPr>
          <w:sz w:val="22"/>
        </w:rPr>
        <w:t>现</w:t>
      </w:r>
      <w:r>
        <w:rPr>
          <w:spacing w:val="-3"/>
          <w:sz w:val="22"/>
        </w:rPr>
        <w:t>场</w:t>
      </w:r>
      <w:r>
        <w:rPr>
          <w:sz w:val="22"/>
        </w:rPr>
        <w:t>临时</w:t>
      </w:r>
      <w:r>
        <w:rPr>
          <w:spacing w:val="-3"/>
          <w:sz w:val="22"/>
        </w:rPr>
        <w:t>供</w:t>
      </w:r>
      <w:r>
        <w:rPr>
          <w:sz w:val="22"/>
        </w:rPr>
        <w:t>水管径</w:t>
      </w:r>
      <w:r>
        <w:rPr>
          <w:sz w:val="22"/>
          <w:u w:val="single"/>
        </w:rPr>
        <w:t xml:space="preserve"> </w:t>
      </w:r>
      <w:r>
        <w:rPr>
          <w:sz w:val="22"/>
          <w:u w:val="single"/>
        </w:rPr>
        <w:tab/>
      </w:r>
      <w:r>
        <w:rPr>
          <w:sz w:val="22"/>
          <w:u w:val="single"/>
        </w:rPr>
        <w:tab/>
      </w:r>
      <w:r>
        <w:rPr>
          <w:sz w:val="22"/>
          <w:u w:val="single"/>
        </w:rPr>
        <w:t>自</w:t>
      </w:r>
      <w:r>
        <w:rPr>
          <w:spacing w:val="-3"/>
          <w:sz w:val="22"/>
          <w:u w:val="single"/>
        </w:rPr>
        <w:t>行</w:t>
      </w:r>
      <w:r>
        <w:rPr>
          <w:sz w:val="22"/>
          <w:u w:val="single"/>
        </w:rPr>
        <w:t>踏勘</w:t>
      </w:r>
      <w:r>
        <w:rPr>
          <w:sz w:val="22"/>
          <w:u w:val="single"/>
        </w:rPr>
        <w:tab/>
      </w:r>
      <w:r>
        <w:rPr>
          <w:sz w:val="22"/>
          <w:u w:val="single"/>
        </w:rPr>
        <w:tab/>
      </w:r>
      <w:r>
        <w:rPr>
          <w:sz w:val="22"/>
          <w:u w:val="single"/>
        </w:rPr>
        <w:tab/>
      </w:r>
      <w:r>
        <w:rPr>
          <w:sz w:val="22"/>
        </w:rPr>
        <w:t>。 现</w:t>
      </w:r>
      <w:r>
        <w:rPr>
          <w:spacing w:val="-3"/>
          <w:sz w:val="22"/>
        </w:rPr>
        <w:t>场</w:t>
      </w:r>
      <w:r>
        <w:rPr>
          <w:sz w:val="22"/>
        </w:rPr>
        <w:t>临时</w:t>
      </w:r>
      <w:r>
        <w:rPr>
          <w:spacing w:val="-3"/>
          <w:sz w:val="22"/>
        </w:rPr>
        <w:t>排</w:t>
      </w:r>
      <w:r>
        <w:rPr>
          <w:sz w:val="22"/>
        </w:rPr>
        <w:t>污管径</w:t>
      </w:r>
      <w:r>
        <w:rPr>
          <w:sz w:val="22"/>
          <w:u w:val="single"/>
        </w:rPr>
        <w:t xml:space="preserve"> </w:t>
      </w:r>
      <w:r>
        <w:rPr>
          <w:sz w:val="22"/>
          <w:u w:val="single"/>
        </w:rPr>
        <w:tab/>
      </w:r>
      <w:r>
        <w:rPr>
          <w:sz w:val="22"/>
          <w:u w:val="single"/>
        </w:rPr>
        <w:t>自</w:t>
      </w:r>
      <w:r>
        <w:rPr>
          <w:spacing w:val="-3"/>
          <w:sz w:val="22"/>
          <w:u w:val="single"/>
        </w:rPr>
        <w:t>行</w:t>
      </w:r>
      <w:r>
        <w:rPr>
          <w:sz w:val="22"/>
          <w:u w:val="single"/>
        </w:rPr>
        <w:t>踏勘</w:t>
      </w:r>
      <w:r>
        <w:rPr>
          <w:sz w:val="22"/>
          <w:u w:val="single"/>
        </w:rPr>
        <w:tab/>
      </w:r>
      <w:r>
        <w:rPr>
          <w:sz w:val="22"/>
          <w:u w:val="single"/>
        </w:rPr>
        <w:tab/>
      </w:r>
      <w:r>
        <w:rPr>
          <w:sz w:val="22"/>
        </w:rPr>
        <w:t>。  现</w:t>
      </w:r>
      <w:r>
        <w:rPr>
          <w:spacing w:val="-3"/>
          <w:sz w:val="22"/>
        </w:rPr>
        <w:t>场</w:t>
      </w:r>
      <w:r>
        <w:rPr>
          <w:sz w:val="22"/>
        </w:rPr>
        <w:t>临时</w:t>
      </w:r>
      <w:r>
        <w:rPr>
          <w:spacing w:val="-3"/>
          <w:sz w:val="22"/>
        </w:rPr>
        <w:t>雨</w:t>
      </w:r>
      <w:r>
        <w:rPr>
          <w:sz w:val="22"/>
        </w:rPr>
        <w:t>水管径</w:t>
      </w:r>
      <w:r>
        <w:rPr>
          <w:sz w:val="22"/>
          <w:u w:val="single"/>
        </w:rPr>
        <w:t xml:space="preserve"> </w:t>
      </w:r>
      <w:r>
        <w:rPr>
          <w:sz w:val="22"/>
          <w:u w:val="single"/>
        </w:rPr>
        <w:tab/>
      </w:r>
      <w:r>
        <w:rPr>
          <w:sz w:val="22"/>
          <w:u w:val="single"/>
        </w:rPr>
        <w:t>自</w:t>
      </w:r>
      <w:r>
        <w:rPr>
          <w:spacing w:val="-3"/>
          <w:sz w:val="22"/>
          <w:u w:val="single"/>
        </w:rPr>
        <w:t>行</w:t>
      </w:r>
      <w:r>
        <w:rPr>
          <w:sz w:val="22"/>
          <w:u w:val="single"/>
        </w:rPr>
        <w:t>踏勘</w:t>
      </w:r>
      <w:r>
        <w:rPr>
          <w:sz w:val="22"/>
          <w:u w:val="single"/>
        </w:rPr>
        <w:tab/>
      </w:r>
      <w:r>
        <w:rPr>
          <w:sz w:val="22"/>
          <w:u w:val="single"/>
        </w:rPr>
        <w:tab/>
      </w:r>
      <w:r>
        <w:rPr>
          <w:sz w:val="22"/>
          <w:u w:val="single"/>
        </w:rPr>
        <w:tab/>
      </w:r>
      <w:r>
        <w:rPr>
          <w:sz w:val="22"/>
          <w:u w:val="single"/>
        </w:rPr>
        <w:tab/>
      </w:r>
      <w:r>
        <w:rPr>
          <w:sz w:val="22"/>
        </w:rPr>
        <w:t>。现</w:t>
      </w:r>
      <w:r>
        <w:rPr>
          <w:spacing w:val="-3"/>
          <w:sz w:val="22"/>
        </w:rPr>
        <w:t>场</w:t>
      </w:r>
      <w:r>
        <w:rPr>
          <w:sz w:val="22"/>
        </w:rPr>
        <w:t>临时</w:t>
      </w:r>
      <w:r>
        <w:rPr>
          <w:spacing w:val="-3"/>
          <w:sz w:val="22"/>
        </w:rPr>
        <w:t>供</w:t>
      </w:r>
      <w:r>
        <w:rPr>
          <w:sz w:val="22"/>
        </w:rPr>
        <w:t>电容量</w:t>
      </w:r>
      <w:r>
        <w:rPr>
          <w:spacing w:val="-3"/>
          <w:sz w:val="22"/>
        </w:rPr>
        <w:t>(</w:t>
      </w:r>
      <w:r>
        <w:rPr>
          <w:sz w:val="22"/>
        </w:rPr>
        <w:t>可</w:t>
      </w:r>
      <w:r>
        <w:rPr>
          <w:spacing w:val="-3"/>
          <w:sz w:val="22"/>
        </w:rPr>
        <w:t>用</w:t>
      </w:r>
      <w:r>
        <w:rPr>
          <w:sz w:val="22"/>
        </w:rPr>
        <w:t>于本</w:t>
      </w:r>
      <w:r>
        <w:rPr>
          <w:spacing w:val="-3"/>
          <w:sz w:val="22"/>
        </w:rPr>
        <w:t>工</w:t>
      </w:r>
      <w:r>
        <w:rPr>
          <w:sz w:val="22"/>
        </w:rPr>
        <w:t>程的</w:t>
      </w:r>
      <w:r>
        <w:rPr>
          <w:spacing w:val="-3"/>
          <w:sz w:val="22"/>
        </w:rPr>
        <w:t>变</w:t>
      </w:r>
      <w:r>
        <w:rPr>
          <w:sz w:val="22"/>
        </w:rPr>
        <w:t>压器</w:t>
      </w:r>
      <w:r>
        <w:rPr>
          <w:spacing w:val="-3"/>
          <w:sz w:val="22"/>
        </w:rPr>
        <w:t>总</w:t>
      </w:r>
      <w:r>
        <w:rPr>
          <w:sz w:val="22"/>
        </w:rPr>
        <w:t>输出</w:t>
      </w:r>
      <w:r>
        <w:rPr>
          <w:spacing w:val="-3"/>
          <w:sz w:val="22"/>
        </w:rPr>
        <w:t>功</w:t>
      </w:r>
      <w:r>
        <w:rPr>
          <w:sz w:val="22"/>
        </w:rPr>
        <w:t>率)</w:t>
      </w:r>
      <w:r>
        <w:rPr>
          <w:sz w:val="22"/>
          <w:u w:val="single"/>
        </w:rPr>
        <w:t xml:space="preserve"> </w:t>
      </w:r>
      <w:r>
        <w:rPr>
          <w:sz w:val="22"/>
          <w:u w:val="single"/>
        </w:rPr>
        <w:tab/>
      </w:r>
      <w:r>
        <w:rPr>
          <w:sz w:val="22"/>
          <w:u w:val="single"/>
        </w:rPr>
        <w:t>/</w:t>
      </w:r>
      <w:r>
        <w:rPr>
          <w:sz w:val="22"/>
          <w:u w:val="single"/>
        </w:rPr>
        <w:tab/>
      </w:r>
      <w:r>
        <w:rPr>
          <w:sz w:val="22"/>
          <w:u w:val="single"/>
        </w:rPr>
        <w:tab/>
      </w:r>
      <w:r>
        <w:rPr>
          <w:sz w:val="22"/>
          <w:u w:val="single"/>
        </w:rPr>
        <w:tab/>
      </w:r>
      <w:r>
        <w:rPr>
          <w:sz w:val="22"/>
          <w:u w:val="single"/>
        </w:rPr>
        <w:tab/>
      </w:r>
      <w:r>
        <w:rPr>
          <w:spacing w:val="-16"/>
          <w:sz w:val="22"/>
        </w:rPr>
        <w:t>。</w:t>
      </w:r>
    </w:p>
    <w:p>
      <w:pPr>
        <w:pStyle w:val="13"/>
        <w:numPr>
          <w:ilvl w:val="2"/>
          <w:numId w:val="93"/>
        </w:numPr>
        <w:tabs>
          <w:tab w:val="left" w:pos="1869"/>
          <w:tab w:val="left" w:pos="8579"/>
        </w:tabs>
        <w:spacing w:before="5" w:after="0" w:line="240" w:lineRule="auto"/>
        <w:ind w:left="1868" w:right="0" w:hanging="661"/>
        <w:jc w:val="left"/>
        <w:rPr>
          <w:sz w:val="24"/>
        </w:rPr>
      </w:pPr>
      <w:r>
        <w:rPr>
          <w:sz w:val="22"/>
        </w:rPr>
        <w:t>现</w:t>
      </w:r>
      <w:r>
        <w:rPr>
          <w:spacing w:val="-3"/>
          <w:sz w:val="22"/>
        </w:rPr>
        <w:t>场</w:t>
      </w:r>
      <w:r>
        <w:rPr>
          <w:sz w:val="22"/>
        </w:rPr>
        <w:t>条件</w:t>
      </w:r>
      <w:r>
        <w:rPr>
          <w:spacing w:val="-3"/>
          <w:sz w:val="22"/>
        </w:rPr>
        <w:t>和</w:t>
      </w:r>
      <w:r>
        <w:rPr>
          <w:sz w:val="22"/>
        </w:rPr>
        <w:t>周围</w:t>
      </w:r>
      <w:r>
        <w:rPr>
          <w:spacing w:val="-3"/>
          <w:sz w:val="22"/>
        </w:rPr>
        <w:t>环</w:t>
      </w:r>
      <w:r>
        <w:rPr>
          <w:sz w:val="22"/>
        </w:rPr>
        <w:t>境的</w:t>
      </w:r>
      <w:r>
        <w:rPr>
          <w:spacing w:val="-3"/>
          <w:sz w:val="22"/>
        </w:rPr>
        <w:t>其</w:t>
      </w:r>
      <w:r>
        <w:rPr>
          <w:sz w:val="22"/>
        </w:rPr>
        <w:t>他资</w:t>
      </w:r>
      <w:r>
        <w:rPr>
          <w:spacing w:val="-3"/>
          <w:sz w:val="22"/>
        </w:rPr>
        <w:t>料</w:t>
      </w:r>
      <w:r>
        <w:rPr>
          <w:sz w:val="22"/>
        </w:rPr>
        <w:t>和信</w:t>
      </w:r>
      <w:r>
        <w:rPr>
          <w:spacing w:val="-3"/>
          <w:sz w:val="22"/>
        </w:rPr>
        <w:t>息</w:t>
      </w:r>
      <w:r>
        <w:rPr>
          <w:sz w:val="22"/>
        </w:rPr>
        <w:t>数据</w:t>
      </w:r>
      <w:r>
        <w:rPr>
          <w:spacing w:val="-3"/>
          <w:sz w:val="22"/>
        </w:rPr>
        <w:t>如</w:t>
      </w:r>
      <w:r>
        <w:rPr>
          <w:sz w:val="22"/>
        </w:rPr>
        <w:t>下：</w:t>
      </w:r>
      <w:r>
        <w:rPr>
          <w:sz w:val="22"/>
          <w:u w:val="single"/>
        </w:rPr>
        <w:t xml:space="preserve"> </w:t>
      </w:r>
      <w:r>
        <w:rPr>
          <w:sz w:val="22"/>
          <w:u w:val="single"/>
        </w:rPr>
        <w:tab/>
      </w:r>
      <w:r>
        <w:rPr>
          <w:sz w:val="24"/>
          <w:u w:val="single"/>
        </w:rPr>
        <w:t>。</w:t>
      </w:r>
    </w:p>
    <w:p>
      <w:pPr>
        <w:pStyle w:val="13"/>
        <w:numPr>
          <w:ilvl w:val="2"/>
          <w:numId w:val="93"/>
        </w:numPr>
        <w:tabs>
          <w:tab w:val="left" w:pos="1836"/>
        </w:tabs>
        <w:spacing w:before="34" w:after="0" w:line="268" w:lineRule="auto"/>
        <w:ind w:left="731" w:right="890" w:firstLine="499"/>
        <w:jc w:val="left"/>
        <w:rPr>
          <w:sz w:val="22"/>
        </w:rPr>
      </w:pPr>
      <w:r>
        <w:rPr>
          <w:spacing w:val="-3"/>
          <w:sz w:val="22"/>
        </w:rPr>
        <w:t>承包人被认为已在本工程投标阶段踏勘现场时充分了解本工程现场条件和周围环境，并已在其投标时就此给予了充分的考虑。</w:t>
      </w:r>
    </w:p>
    <w:p>
      <w:pPr>
        <w:pStyle w:val="13"/>
        <w:numPr>
          <w:ilvl w:val="1"/>
          <w:numId w:val="93"/>
        </w:numPr>
        <w:tabs>
          <w:tab w:val="left" w:pos="1171"/>
        </w:tabs>
        <w:spacing w:before="0" w:after="0" w:line="277" w:lineRule="exact"/>
        <w:ind w:left="1170" w:right="0" w:hanging="440"/>
        <w:jc w:val="left"/>
        <w:rPr>
          <w:sz w:val="22"/>
        </w:rPr>
      </w:pPr>
      <w:r>
        <w:rPr>
          <w:spacing w:val="-3"/>
          <w:sz w:val="22"/>
        </w:rPr>
        <w:t>地质及水文资料</w:t>
      </w:r>
    </w:p>
    <w:p>
      <w:pPr>
        <w:pStyle w:val="13"/>
        <w:numPr>
          <w:ilvl w:val="2"/>
          <w:numId w:val="93"/>
        </w:numPr>
        <w:tabs>
          <w:tab w:val="left" w:pos="1869"/>
        </w:tabs>
        <w:spacing w:before="33" w:after="0" w:line="240" w:lineRule="auto"/>
        <w:ind w:left="1868" w:right="0" w:hanging="661"/>
        <w:jc w:val="left"/>
        <w:rPr>
          <w:sz w:val="22"/>
        </w:rPr>
      </w:pPr>
      <w:r>
        <w:rPr>
          <w:spacing w:val="-3"/>
          <w:sz w:val="22"/>
        </w:rPr>
        <w:t>现场地质及水文资料和信息数据如下：</w:t>
      </w:r>
    </w:p>
    <w:p>
      <w:pPr>
        <w:pStyle w:val="9"/>
        <w:rPr>
          <w:sz w:val="27"/>
        </w:rPr>
      </w:pPr>
    </w:p>
    <w:p>
      <w:pPr>
        <w:pStyle w:val="13"/>
        <w:numPr>
          <w:ilvl w:val="1"/>
          <w:numId w:val="93"/>
        </w:numPr>
        <w:tabs>
          <w:tab w:val="left" w:pos="1171"/>
        </w:tabs>
        <w:spacing w:before="1" w:after="0" w:line="240" w:lineRule="auto"/>
        <w:ind w:left="1170" w:right="0" w:hanging="440"/>
        <w:jc w:val="both"/>
        <w:rPr>
          <w:sz w:val="22"/>
        </w:rPr>
      </w:pPr>
      <w:r>
        <w:rPr>
          <w:spacing w:val="-3"/>
          <w:sz w:val="22"/>
        </w:rPr>
        <w:t>资料和信息的使用</w:t>
      </w:r>
    </w:p>
    <w:p>
      <w:pPr>
        <w:pStyle w:val="13"/>
        <w:numPr>
          <w:ilvl w:val="2"/>
          <w:numId w:val="93"/>
        </w:numPr>
        <w:tabs>
          <w:tab w:val="left" w:pos="1828"/>
        </w:tabs>
        <w:spacing w:before="30" w:after="0" w:line="268" w:lineRule="auto"/>
        <w:ind w:left="726" w:right="890" w:firstLine="441"/>
        <w:jc w:val="both"/>
        <w:rPr>
          <w:sz w:val="22"/>
        </w:rPr>
      </w:pPr>
      <w:r>
        <w:rPr>
          <w:spacing w:val="-2"/>
          <w:sz w:val="22"/>
        </w:rPr>
        <w:t>涉及本工程现场条件、周围环境、地质及水文等情况的资料和信息数据，是发包</w:t>
      </w:r>
      <w:r>
        <w:rPr>
          <w:spacing w:val="-3"/>
          <w:sz w:val="22"/>
        </w:rPr>
        <w:t>人现有的和客观的，发包人保证有关资料和信息数据的真实、准确。但承包人据此作出的推论、判断和决策，由承包人自行负责。</w:t>
      </w:r>
    </w:p>
    <w:p>
      <w:pPr>
        <w:pStyle w:val="9"/>
        <w:spacing w:before="5"/>
        <w:rPr>
          <w:sz w:val="18"/>
        </w:rPr>
      </w:pPr>
    </w:p>
    <w:p>
      <w:pPr>
        <w:pStyle w:val="13"/>
        <w:numPr>
          <w:ilvl w:val="0"/>
          <w:numId w:val="93"/>
        </w:numPr>
        <w:tabs>
          <w:tab w:val="left" w:pos="954"/>
        </w:tabs>
        <w:spacing w:before="0" w:after="0" w:line="240" w:lineRule="auto"/>
        <w:ind w:left="953" w:right="0" w:hanging="223"/>
        <w:jc w:val="left"/>
        <w:rPr>
          <w:sz w:val="22"/>
        </w:rPr>
      </w:pPr>
      <w:bookmarkStart w:id="105" w:name="2.承包范围"/>
      <w:bookmarkEnd w:id="105"/>
      <w:r>
        <w:rPr>
          <w:spacing w:val="-2"/>
          <w:sz w:val="22"/>
        </w:rPr>
        <w:t>承包范围</w:t>
      </w:r>
    </w:p>
    <w:p>
      <w:pPr>
        <w:pStyle w:val="9"/>
        <w:spacing w:before="1"/>
        <w:rPr>
          <w:sz w:val="21"/>
        </w:rPr>
      </w:pPr>
    </w:p>
    <w:p>
      <w:pPr>
        <w:pStyle w:val="13"/>
        <w:numPr>
          <w:ilvl w:val="1"/>
          <w:numId w:val="93"/>
        </w:numPr>
        <w:tabs>
          <w:tab w:val="left" w:pos="1171"/>
        </w:tabs>
        <w:spacing w:before="0" w:after="0" w:line="240" w:lineRule="auto"/>
        <w:ind w:left="1170" w:right="0" w:hanging="440"/>
        <w:jc w:val="both"/>
        <w:rPr>
          <w:sz w:val="22"/>
        </w:rPr>
      </w:pPr>
      <w:r>
        <w:rPr>
          <w:spacing w:val="-2"/>
          <w:sz w:val="22"/>
        </w:rPr>
        <w:t>承包范围</w:t>
      </w:r>
    </w:p>
    <w:p>
      <w:pPr>
        <w:pStyle w:val="13"/>
        <w:numPr>
          <w:ilvl w:val="2"/>
          <w:numId w:val="93"/>
        </w:numPr>
        <w:tabs>
          <w:tab w:val="left" w:pos="1869"/>
        </w:tabs>
        <w:spacing w:before="33" w:after="0" w:line="240" w:lineRule="auto"/>
        <w:ind w:left="1868" w:right="0" w:hanging="661"/>
        <w:jc w:val="both"/>
        <w:rPr>
          <w:sz w:val="22"/>
        </w:rPr>
      </w:pPr>
      <w:r>
        <w:rPr>
          <w:spacing w:val="-3"/>
          <w:sz w:val="22"/>
        </w:rPr>
        <w:t>承包人总承包范围</w:t>
      </w:r>
    </w:p>
    <w:p>
      <w:pPr>
        <w:pStyle w:val="9"/>
        <w:spacing w:before="32" w:line="268" w:lineRule="auto"/>
        <w:ind w:left="731" w:right="890" w:firstLine="424"/>
        <w:jc w:val="both"/>
      </w:pPr>
      <w:r>
        <w:t>此处所述的工程范围只是概括，并不能视为完整无缺的。承包人须研究有关文件、技术规范、国家的有关规定和范围、图纸等并踏勘工程现场、完全了解本工程的实际范围。本工程包括但不限于以下：</w:t>
      </w:r>
    </w:p>
    <w:p>
      <w:pPr>
        <w:pStyle w:val="13"/>
        <w:numPr>
          <w:ilvl w:val="0"/>
          <w:numId w:val="94"/>
        </w:numPr>
        <w:tabs>
          <w:tab w:val="left" w:pos="1876"/>
        </w:tabs>
        <w:spacing w:before="0" w:after="0" w:line="276" w:lineRule="exact"/>
        <w:ind w:left="1876" w:right="0" w:hanging="720"/>
        <w:jc w:val="both"/>
        <w:rPr>
          <w:sz w:val="22"/>
        </w:rPr>
      </w:pPr>
      <w:r>
        <w:rPr>
          <w:spacing w:val="-3"/>
          <w:sz w:val="22"/>
        </w:rPr>
        <w:t>建筑及结构工程；</w:t>
      </w:r>
    </w:p>
    <w:p>
      <w:pPr>
        <w:pStyle w:val="13"/>
        <w:numPr>
          <w:ilvl w:val="0"/>
          <w:numId w:val="94"/>
        </w:numPr>
        <w:tabs>
          <w:tab w:val="left" w:pos="1876"/>
        </w:tabs>
        <w:spacing w:before="33" w:after="0" w:line="240" w:lineRule="auto"/>
        <w:ind w:left="1876" w:right="0" w:hanging="720"/>
        <w:jc w:val="both"/>
        <w:rPr>
          <w:sz w:val="22"/>
        </w:rPr>
      </w:pPr>
      <w:r>
        <w:rPr>
          <w:spacing w:val="-3"/>
          <w:sz w:val="22"/>
        </w:rPr>
        <w:t>装修装修工程；</w:t>
      </w:r>
    </w:p>
    <w:p>
      <w:pPr>
        <w:spacing w:after="0" w:line="240" w:lineRule="auto"/>
        <w:jc w:val="both"/>
        <w:rPr>
          <w:sz w:val="22"/>
        </w:rPr>
        <w:sectPr>
          <w:pgSz w:w="11910" w:h="16840"/>
          <w:pgMar w:top="1100" w:right="660" w:bottom="1200" w:left="800" w:header="878" w:footer="1003" w:gutter="0"/>
          <w:cols w:space="720" w:num="1"/>
        </w:sectPr>
      </w:pPr>
    </w:p>
    <w:p>
      <w:pPr>
        <w:pStyle w:val="9"/>
        <w:spacing w:before="1"/>
        <w:rPr>
          <w:sz w:val="18"/>
        </w:rPr>
      </w:pPr>
    </w:p>
    <w:p>
      <w:pPr>
        <w:pStyle w:val="13"/>
        <w:numPr>
          <w:ilvl w:val="0"/>
          <w:numId w:val="94"/>
        </w:numPr>
        <w:tabs>
          <w:tab w:val="left" w:pos="1876"/>
        </w:tabs>
        <w:spacing w:before="70" w:after="0" w:line="240" w:lineRule="auto"/>
        <w:ind w:left="1876" w:right="0" w:hanging="720"/>
        <w:jc w:val="left"/>
        <w:rPr>
          <w:sz w:val="22"/>
        </w:rPr>
      </w:pPr>
      <w:r>
        <w:rPr>
          <w:spacing w:val="-3"/>
          <w:sz w:val="22"/>
        </w:rPr>
        <w:t>机电安装工程；</w:t>
      </w:r>
    </w:p>
    <w:p>
      <w:pPr>
        <w:pStyle w:val="13"/>
        <w:numPr>
          <w:ilvl w:val="0"/>
          <w:numId w:val="94"/>
        </w:numPr>
        <w:tabs>
          <w:tab w:val="left" w:pos="1876"/>
        </w:tabs>
        <w:spacing w:before="30" w:after="0" w:line="240" w:lineRule="auto"/>
        <w:ind w:left="1876" w:right="0" w:hanging="720"/>
        <w:jc w:val="left"/>
        <w:rPr>
          <w:sz w:val="22"/>
        </w:rPr>
      </w:pPr>
      <w:r>
        <w:rPr>
          <w:spacing w:val="-3"/>
          <w:sz w:val="22"/>
        </w:rPr>
        <w:t>垃圾清运及现场清理；</w:t>
      </w:r>
    </w:p>
    <w:p>
      <w:pPr>
        <w:pStyle w:val="13"/>
        <w:numPr>
          <w:ilvl w:val="0"/>
          <w:numId w:val="94"/>
        </w:numPr>
        <w:tabs>
          <w:tab w:val="left" w:pos="1876"/>
        </w:tabs>
        <w:spacing w:before="33" w:after="0" w:line="268" w:lineRule="auto"/>
        <w:ind w:left="1876" w:right="890" w:hanging="720"/>
        <w:jc w:val="left"/>
        <w:rPr>
          <w:sz w:val="22"/>
        </w:rPr>
      </w:pPr>
      <w:r>
        <w:rPr>
          <w:spacing w:val="-6"/>
          <w:sz w:val="22"/>
        </w:rPr>
        <w:t>完工时拆除所有临时设施、清理施工场地和保持现场整洁，并做好竣工资料，按</w:t>
      </w:r>
      <w:r>
        <w:rPr>
          <w:spacing w:val="-3"/>
          <w:sz w:val="22"/>
        </w:rPr>
        <w:t>时交付发包人，整理现场施工记录并交付发包人归档；</w:t>
      </w:r>
    </w:p>
    <w:p>
      <w:pPr>
        <w:pStyle w:val="13"/>
        <w:numPr>
          <w:ilvl w:val="0"/>
          <w:numId w:val="94"/>
        </w:numPr>
        <w:tabs>
          <w:tab w:val="left" w:pos="1876"/>
        </w:tabs>
        <w:spacing w:before="0" w:after="0" w:line="279" w:lineRule="exact"/>
        <w:ind w:left="1876" w:right="0" w:hanging="720"/>
        <w:jc w:val="left"/>
        <w:rPr>
          <w:sz w:val="22"/>
        </w:rPr>
      </w:pPr>
      <w:r>
        <w:rPr>
          <w:spacing w:val="-3"/>
          <w:sz w:val="22"/>
        </w:rPr>
        <w:t>发包人认为需要施工的属于本项目的其他零星工程；</w:t>
      </w:r>
    </w:p>
    <w:p>
      <w:pPr>
        <w:pStyle w:val="13"/>
        <w:numPr>
          <w:ilvl w:val="0"/>
          <w:numId w:val="94"/>
        </w:numPr>
        <w:tabs>
          <w:tab w:val="left" w:pos="1876"/>
        </w:tabs>
        <w:spacing w:before="32" w:after="0" w:line="240" w:lineRule="auto"/>
        <w:ind w:left="1876" w:right="0" w:hanging="720"/>
        <w:jc w:val="left"/>
        <w:rPr>
          <w:sz w:val="22"/>
        </w:rPr>
      </w:pPr>
      <w:r>
        <w:rPr>
          <w:spacing w:val="-3"/>
          <w:sz w:val="22"/>
        </w:rPr>
        <w:t>所有设计与工程规范要求以及为取得政府主管部门批准所需的相关检测及要求；</w:t>
      </w:r>
    </w:p>
    <w:p>
      <w:pPr>
        <w:pStyle w:val="13"/>
        <w:numPr>
          <w:ilvl w:val="0"/>
          <w:numId w:val="94"/>
        </w:numPr>
        <w:tabs>
          <w:tab w:val="left" w:pos="1876"/>
        </w:tabs>
        <w:spacing w:before="30" w:after="0" w:line="268" w:lineRule="auto"/>
        <w:ind w:left="1876" w:right="890" w:hanging="720"/>
        <w:jc w:val="both"/>
        <w:rPr>
          <w:sz w:val="22"/>
        </w:rPr>
      </w:pPr>
      <w:r>
        <w:rPr>
          <w:spacing w:val="-4"/>
          <w:sz w:val="22"/>
        </w:rPr>
        <w:t>招标单位保留对部分专业工程分包给其他承包人进行施工的绝对权利，惟招标单</w:t>
      </w:r>
      <w:r>
        <w:rPr>
          <w:spacing w:val="-6"/>
          <w:sz w:val="22"/>
        </w:rPr>
        <w:t>位行使该权利时，并不解除承包人对本工程提供基本措施服务及承包人对分承包人及/</w:t>
      </w:r>
      <w:r>
        <w:rPr>
          <w:spacing w:val="-3"/>
          <w:sz w:val="22"/>
        </w:rPr>
        <w:t>或政府相关部门进行配合与协调管理的职责；</w:t>
      </w:r>
    </w:p>
    <w:p>
      <w:pPr>
        <w:pStyle w:val="13"/>
        <w:numPr>
          <w:ilvl w:val="0"/>
          <w:numId w:val="94"/>
        </w:numPr>
        <w:tabs>
          <w:tab w:val="left" w:pos="1876"/>
        </w:tabs>
        <w:spacing w:before="0" w:after="0" w:line="266" w:lineRule="auto"/>
        <w:ind w:left="1876" w:right="890" w:hanging="720"/>
        <w:jc w:val="both"/>
        <w:rPr>
          <w:sz w:val="22"/>
        </w:rPr>
      </w:pPr>
      <w:r>
        <w:rPr>
          <w:spacing w:val="-5"/>
          <w:sz w:val="22"/>
        </w:rPr>
        <w:t>承包人必须负责与分包工程、招标单位自行发包的独立承包工程的分承包人及指</w:t>
      </w:r>
      <w:r>
        <w:rPr>
          <w:spacing w:val="-3"/>
          <w:sz w:val="22"/>
        </w:rPr>
        <w:t>定材料供应商联系，并提供施工条件、施工设施及统筹工作等直至工程完成；</w:t>
      </w:r>
    </w:p>
    <w:p>
      <w:pPr>
        <w:pStyle w:val="13"/>
        <w:numPr>
          <w:ilvl w:val="0"/>
          <w:numId w:val="94"/>
        </w:numPr>
        <w:tabs>
          <w:tab w:val="left" w:pos="1876"/>
        </w:tabs>
        <w:spacing w:before="0" w:after="0" w:line="268" w:lineRule="auto"/>
        <w:ind w:left="1876" w:right="890" w:hanging="720"/>
        <w:jc w:val="both"/>
        <w:rPr>
          <w:sz w:val="22"/>
        </w:rPr>
      </w:pPr>
      <w:r>
        <w:rPr>
          <w:spacing w:val="-3"/>
          <w:sz w:val="22"/>
        </w:rPr>
        <w:t>在招标文件内所说明及</w:t>
      </w:r>
      <w:r>
        <w:rPr>
          <w:sz w:val="22"/>
        </w:rPr>
        <w:t>/</w:t>
      </w:r>
      <w:r>
        <w:rPr>
          <w:spacing w:val="-3"/>
          <w:sz w:val="22"/>
        </w:rPr>
        <w:t>或招标期间所增减及</w:t>
      </w:r>
      <w:r>
        <w:rPr>
          <w:sz w:val="22"/>
        </w:rPr>
        <w:t>/</w:t>
      </w:r>
      <w:r>
        <w:rPr>
          <w:spacing w:val="-5"/>
          <w:sz w:val="22"/>
        </w:rPr>
        <w:t>或承包人所确认的工程内容、所有</w:t>
      </w:r>
      <w:r>
        <w:rPr>
          <w:spacing w:val="-3"/>
          <w:sz w:val="22"/>
        </w:rPr>
        <w:t>在合同文件中及扩初设计、工程施工图中所提到和反映的工作。</w:t>
      </w:r>
    </w:p>
    <w:p>
      <w:pPr>
        <w:pStyle w:val="13"/>
        <w:numPr>
          <w:ilvl w:val="1"/>
          <w:numId w:val="93"/>
        </w:numPr>
        <w:tabs>
          <w:tab w:val="left" w:pos="1116"/>
        </w:tabs>
        <w:spacing w:before="0" w:after="0" w:line="277" w:lineRule="exact"/>
        <w:ind w:left="1115" w:right="0" w:hanging="385"/>
        <w:jc w:val="both"/>
        <w:rPr>
          <w:sz w:val="22"/>
        </w:rPr>
      </w:pPr>
      <w:r>
        <w:rPr>
          <w:spacing w:val="-3"/>
          <w:sz w:val="22"/>
        </w:rPr>
        <w:t>总承包方式及管理职责</w:t>
      </w:r>
    </w:p>
    <w:p>
      <w:pPr>
        <w:pStyle w:val="13"/>
        <w:numPr>
          <w:ilvl w:val="2"/>
          <w:numId w:val="93"/>
        </w:numPr>
        <w:tabs>
          <w:tab w:val="left" w:pos="1876"/>
        </w:tabs>
        <w:spacing w:before="29" w:after="0" w:line="268" w:lineRule="auto"/>
        <w:ind w:left="1876" w:right="866" w:hanging="720"/>
        <w:jc w:val="both"/>
        <w:rPr>
          <w:sz w:val="22"/>
        </w:rPr>
      </w:pPr>
      <w:r>
        <w:rPr>
          <w:spacing w:val="-3"/>
          <w:sz w:val="22"/>
        </w:rPr>
        <w:t>本工程的承包方式按本招标文件规定的承包范围内包工包料、包工期、包质量、包安全、包文明施工和包协调管理的施工总承包的工程承包方式；</w:t>
      </w:r>
    </w:p>
    <w:p>
      <w:pPr>
        <w:pStyle w:val="13"/>
        <w:numPr>
          <w:ilvl w:val="2"/>
          <w:numId w:val="93"/>
        </w:numPr>
        <w:tabs>
          <w:tab w:val="left" w:pos="1876"/>
        </w:tabs>
        <w:spacing w:before="0" w:after="0" w:line="268" w:lineRule="auto"/>
        <w:ind w:left="1876" w:right="890" w:hanging="720"/>
        <w:jc w:val="both"/>
        <w:rPr>
          <w:sz w:val="22"/>
        </w:rPr>
      </w:pPr>
      <w:r>
        <w:rPr>
          <w:spacing w:val="-4"/>
          <w:sz w:val="22"/>
        </w:rPr>
        <w:t>本项目的承包人对该项目负有全面和不可推卸的责任。承包人作为本项目的施工</w:t>
      </w:r>
      <w:r>
        <w:rPr>
          <w:spacing w:val="-5"/>
          <w:sz w:val="22"/>
        </w:rPr>
        <w:t>承包单位，应加强对材料、制品供应商的沟通、管理、协调和配合，对本项目的</w:t>
      </w:r>
      <w:r>
        <w:rPr>
          <w:spacing w:val="-3"/>
          <w:sz w:val="22"/>
        </w:rPr>
        <w:t>质量、进度、安全、文明施工等负责；</w:t>
      </w:r>
    </w:p>
    <w:p>
      <w:pPr>
        <w:pStyle w:val="13"/>
        <w:numPr>
          <w:ilvl w:val="2"/>
          <w:numId w:val="93"/>
        </w:numPr>
        <w:tabs>
          <w:tab w:val="left" w:pos="1876"/>
        </w:tabs>
        <w:spacing w:before="0" w:after="0" w:line="266" w:lineRule="auto"/>
        <w:ind w:left="1876" w:right="890" w:hanging="720"/>
        <w:jc w:val="both"/>
        <w:rPr>
          <w:sz w:val="22"/>
        </w:rPr>
      </w:pPr>
      <w:r>
        <w:rPr>
          <w:spacing w:val="-4"/>
          <w:sz w:val="22"/>
        </w:rPr>
        <w:t>本项目保留对专业工程分包给其他承包人的权利，项目实施过程中如发包人保留</w:t>
      </w:r>
      <w:r>
        <w:rPr>
          <w:spacing w:val="-6"/>
          <w:sz w:val="22"/>
        </w:rPr>
        <w:t>专业分包的工程，承包人应提供对分包单位的总包管理、配合及协调服务，并承担总承包责任，总承包服务费按相关规定计取。具体施工现场总分包单位的工作界面划分，最终以发包人认定为准。专业分承包人的招标由发包人和总承认依法</w:t>
      </w:r>
      <w:r>
        <w:rPr>
          <w:spacing w:val="-3"/>
          <w:sz w:val="22"/>
        </w:rPr>
        <w:t>组织实施；</w:t>
      </w:r>
    </w:p>
    <w:p>
      <w:pPr>
        <w:pStyle w:val="13"/>
        <w:numPr>
          <w:ilvl w:val="2"/>
          <w:numId w:val="93"/>
        </w:numPr>
        <w:tabs>
          <w:tab w:val="left" w:pos="1876"/>
        </w:tabs>
        <w:spacing w:before="0" w:after="0" w:line="266" w:lineRule="auto"/>
        <w:ind w:left="1876" w:right="890" w:hanging="720"/>
        <w:jc w:val="both"/>
        <w:rPr>
          <w:sz w:val="22"/>
        </w:rPr>
      </w:pPr>
      <w:r>
        <w:rPr>
          <w:spacing w:val="-5"/>
          <w:sz w:val="22"/>
        </w:rPr>
        <w:t>中标单位对本项目承担施工总承包管理责任，须加强对分包单位的管理、及时协</w:t>
      </w:r>
      <w:r>
        <w:rPr>
          <w:spacing w:val="-6"/>
          <w:sz w:val="22"/>
        </w:rPr>
        <w:t>调、密切配合直至工程竣工。中标单位对分包单位的管理配合工作包括但不限于</w:t>
      </w:r>
      <w:r>
        <w:rPr>
          <w:spacing w:val="-5"/>
          <w:sz w:val="22"/>
        </w:rPr>
        <w:t>以下项目：提供临时用水、用电、爬梯、脚手架、垂直运输机械、施工道路、场地、卫生设施、垃圾堆放地、工地上现有的机械设备、建筑表面修复、提供标高</w:t>
      </w:r>
      <w:r>
        <w:rPr>
          <w:spacing w:val="-6"/>
          <w:sz w:val="22"/>
        </w:rPr>
        <w:t>和定位的基本点线、核对相关预留孔洞的尺寸形状、对分包单位的施工安全及档</w:t>
      </w:r>
      <w:r>
        <w:rPr>
          <w:spacing w:val="-3"/>
          <w:sz w:val="22"/>
        </w:rPr>
        <w:t>案资料进行管理，向政府部门办理有关手续及监督分包单位办理相关手续。</w:t>
      </w:r>
    </w:p>
    <w:p>
      <w:pPr>
        <w:pStyle w:val="13"/>
        <w:numPr>
          <w:ilvl w:val="2"/>
          <w:numId w:val="93"/>
        </w:numPr>
        <w:tabs>
          <w:tab w:val="left" w:pos="1876"/>
        </w:tabs>
        <w:spacing w:before="3" w:after="0" w:line="266" w:lineRule="auto"/>
        <w:ind w:left="1876" w:right="890" w:hanging="720"/>
        <w:jc w:val="both"/>
        <w:rPr>
          <w:sz w:val="22"/>
        </w:rPr>
      </w:pPr>
      <w:r>
        <w:rPr>
          <w:spacing w:val="-5"/>
          <w:sz w:val="22"/>
        </w:rPr>
        <w:t>承包人作为本项目的施工总承包单位，对于所有总承包范围内的工程</w:t>
      </w:r>
      <w:r>
        <w:rPr>
          <w:sz w:val="22"/>
        </w:rPr>
        <w:t>（</w:t>
      </w:r>
      <w:r>
        <w:rPr>
          <w:spacing w:val="-2"/>
          <w:sz w:val="22"/>
        </w:rPr>
        <w:t>包括所有分包工程</w:t>
      </w:r>
      <w:r>
        <w:rPr>
          <w:spacing w:val="-10"/>
          <w:sz w:val="22"/>
        </w:rPr>
        <w:t>）</w:t>
      </w:r>
      <w:r>
        <w:rPr>
          <w:spacing w:val="-5"/>
          <w:sz w:val="22"/>
        </w:rPr>
        <w:t>，承包人必须承担总承包管理和配合职责。需要为本项目的专业分包</w:t>
      </w:r>
      <w:r>
        <w:rPr>
          <w:spacing w:val="-6"/>
          <w:sz w:val="22"/>
        </w:rPr>
        <w:t>人、发包人供应材料设备商提供相应的管理、协调、配合、服务工作。承包人应</w:t>
      </w:r>
      <w:r>
        <w:rPr>
          <w:spacing w:val="-5"/>
          <w:sz w:val="22"/>
        </w:rPr>
        <w:t>在分包场地派驻相应管理人员，保证本合同的履行。其中分包人的任何违约行为</w:t>
      </w:r>
      <w:r>
        <w:rPr>
          <w:spacing w:val="-3"/>
          <w:sz w:val="22"/>
        </w:rPr>
        <w:t>或疏忽导致工程损害或给发包人造成其他损失，承包人承担连带责任。</w:t>
      </w:r>
    </w:p>
    <w:p>
      <w:pPr>
        <w:pStyle w:val="13"/>
        <w:numPr>
          <w:ilvl w:val="2"/>
          <w:numId w:val="93"/>
        </w:numPr>
        <w:tabs>
          <w:tab w:val="left" w:pos="1876"/>
        </w:tabs>
        <w:spacing w:before="6" w:after="0" w:line="266" w:lineRule="auto"/>
        <w:ind w:left="1876" w:right="890" w:hanging="720"/>
        <w:jc w:val="both"/>
        <w:rPr>
          <w:sz w:val="22"/>
        </w:rPr>
      </w:pPr>
      <w:r>
        <w:rPr>
          <w:spacing w:val="-12"/>
          <w:sz w:val="22"/>
        </w:rPr>
        <w:t xml:space="preserve">除上述第 </w:t>
      </w:r>
      <w:r>
        <w:rPr>
          <w:sz w:val="22"/>
        </w:rPr>
        <w:t>2.2.3</w:t>
      </w:r>
      <w:r>
        <w:rPr>
          <w:spacing w:val="-11"/>
          <w:sz w:val="22"/>
        </w:rPr>
        <w:t xml:space="preserve"> 款所述的专业分包外，投标单位在投标文件中须注明拟自行分包</w:t>
      </w:r>
      <w:r>
        <w:rPr>
          <w:spacing w:val="-6"/>
          <w:sz w:val="22"/>
        </w:rPr>
        <w:t>的专业工程，并提供相应施工单位的专业资格证书。具体项目实施过程中，中标</w:t>
      </w:r>
      <w:r>
        <w:rPr>
          <w:spacing w:val="-5"/>
          <w:sz w:val="22"/>
        </w:rPr>
        <w:t>单位拟对专业工程自行分包的，该分包工程在实施前需提供实施单位的业绩、资</w:t>
      </w:r>
      <w:r>
        <w:rPr>
          <w:spacing w:val="-7"/>
          <w:sz w:val="22"/>
        </w:rPr>
        <w:t>质、信誉等相关资料，经监理单位审核招标单位书面确认后，方可承接该分包任务，否则招标单位有权责令分包单位退场，由此而造成成的经济损失，由中标单</w:t>
      </w:r>
      <w:r>
        <w:rPr>
          <w:spacing w:val="-3"/>
          <w:sz w:val="22"/>
        </w:rPr>
        <w:t>位负责承担。</w:t>
      </w:r>
    </w:p>
    <w:p>
      <w:pPr>
        <w:pStyle w:val="13"/>
        <w:numPr>
          <w:ilvl w:val="1"/>
          <w:numId w:val="93"/>
        </w:numPr>
        <w:tabs>
          <w:tab w:val="left" w:pos="1171"/>
        </w:tabs>
        <w:spacing w:before="4" w:after="0" w:line="240" w:lineRule="auto"/>
        <w:ind w:left="1170" w:right="0" w:hanging="440"/>
        <w:jc w:val="both"/>
        <w:rPr>
          <w:sz w:val="22"/>
        </w:rPr>
      </w:pPr>
      <w:r>
        <w:rPr>
          <w:spacing w:val="-3"/>
          <w:sz w:val="22"/>
        </w:rPr>
        <w:t>承包人与发包人发包专业工程承包人的工作界面</w:t>
      </w:r>
    </w:p>
    <w:p>
      <w:pPr>
        <w:pStyle w:val="13"/>
        <w:numPr>
          <w:ilvl w:val="2"/>
          <w:numId w:val="93"/>
        </w:numPr>
        <w:tabs>
          <w:tab w:val="left" w:pos="1869"/>
        </w:tabs>
        <w:spacing w:before="32" w:after="0" w:line="268" w:lineRule="auto"/>
        <w:ind w:left="731" w:right="1315" w:firstLine="477"/>
        <w:jc w:val="both"/>
        <w:rPr>
          <w:sz w:val="22"/>
        </w:rPr>
      </w:pPr>
      <w:r>
        <w:rPr>
          <w:spacing w:val="-3"/>
          <w:sz w:val="22"/>
        </w:rPr>
        <w:t>承包人与发包人发包专业工程承包人以及与发包人提供的材料和设备的供应商之间的工作界面划分如下：</w:t>
      </w:r>
      <w:r>
        <w:rPr>
          <w:spacing w:val="-3"/>
          <w:sz w:val="22"/>
          <w:u w:val="single"/>
        </w:rPr>
        <w:t xml:space="preserve"> 具体根据施工现场情况由发包人确认</w:t>
      </w:r>
      <w:r>
        <w:rPr>
          <w:sz w:val="22"/>
        </w:rPr>
        <w:t>。</w:t>
      </w:r>
    </w:p>
    <w:p>
      <w:pPr>
        <w:spacing w:after="0" w:line="268" w:lineRule="auto"/>
        <w:jc w:val="both"/>
        <w:rPr>
          <w:sz w:val="22"/>
        </w:rPr>
        <w:sectPr>
          <w:pgSz w:w="11910" w:h="16840"/>
          <w:pgMar w:top="1100" w:right="660" w:bottom="1200" w:left="800" w:header="878" w:footer="1003" w:gutter="0"/>
          <w:cols w:space="720" w:num="1"/>
        </w:sectPr>
      </w:pPr>
    </w:p>
    <w:p>
      <w:pPr>
        <w:pStyle w:val="9"/>
        <w:spacing w:before="1"/>
        <w:rPr>
          <w:sz w:val="18"/>
        </w:rPr>
      </w:pPr>
    </w:p>
    <w:p>
      <w:pPr>
        <w:pStyle w:val="13"/>
        <w:numPr>
          <w:ilvl w:val="1"/>
          <w:numId w:val="93"/>
        </w:numPr>
        <w:tabs>
          <w:tab w:val="left" w:pos="1171"/>
        </w:tabs>
        <w:spacing w:before="70" w:after="0" w:line="240" w:lineRule="auto"/>
        <w:ind w:left="1170" w:right="0" w:hanging="440"/>
        <w:jc w:val="left"/>
        <w:rPr>
          <w:sz w:val="22"/>
        </w:rPr>
      </w:pPr>
      <w:r>
        <w:rPr>
          <w:spacing w:val="-3"/>
          <w:sz w:val="22"/>
        </w:rPr>
        <w:t>材料及设备供应原则</w:t>
      </w:r>
    </w:p>
    <w:p>
      <w:pPr>
        <w:pStyle w:val="9"/>
        <w:spacing w:before="30"/>
        <w:ind w:left="1204"/>
      </w:pPr>
      <w:r>
        <w:t>本项目所需材料、制品、设备（除甲供设备）原则上均由承包人负责采购。</w:t>
      </w:r>
    </w:p>
    <w:p>
      <w:pPr>
        <w:spacing w:before="0" w:line="364" w:lineRule="auto"/>
        <w:ind w:left="731" w:right="861" w:firstLine="0"/>
        <w:jc w:val="both"/>
        <w:rPr>
          <w:rFonts w:hint="eastAsia" w:ascii="仿宋" w:eastAsia="仿宋"/>
          <w:b/>
          <w:sz w:val="21"/>
        </w:rPr>
      </w:pPr>
    </w:p>
    <w:p>
      <w:pPr>
        <w:pStyle w:val="13"/>
        <w:numPr>
          <w:ilvl w:val="0"/>
          <w:numId w:val="93"/>
        </w:numPr>
        <w:tabs>
          <w:tab w:val="left" w:pos="954"/>
        </w:tabs>
        <w:spacing w:before="1" w:after="0" w:line="240" w:lineRule="auto"/>
        <w:ind w:left="953" w:right="0" w:hanging="223"/>
        <w:jc w:val="left"/>
        <w:rPr>
          <w:sz w:val="22"/>
        </w:rPr>
      </w:pPr>
      <w:bookmarkStart w:id="106" w:name="3.工期要求"/>
      <w:bookmarkEnd w:id="106"/>
      <w:r>
        <w:rPr>
          <w:spacing w:val="-2"/>
          <w:sz w:val="22"/>
        </w:rPr>
        <w:t>工期要求</w:t>
      </w:r>
    </w:p>
    <w:p>
      <w:pPr>
        <w:pStyle w:val="9"/>
        <w:spacing w:before="3"/>
        <w:rPr>
          <w:sz w:val="21"/>
        </w:rPr>
      </w:pPr>
    </w:p>
    <w:p>
      <w:pPr>
        <w:pStyle w:val="13"/>
        <w:numPr>
          <w:ilvl w:val="1"/>
          <w:numId w:val="93"/>
        </w:numPr>
        <w:tabs>
          <w:tab w:val="left" w:pos="1116"/>
        </w:tabs>
        <w:spacing w:before="0" w:after="0" w:line="240" w:lineRule="auto"/>
        <w:ind w:left="1115" w:right="0" w:hanging="385"/>
        <w:jc w:val="both"/>
        <w:rPr>
          <w:sz w:val="22"/>
        </w:rPr>
      </w:pPr>
      <w:r>
        <w:rPr>
          <w:spacing w:val="-2"/>
          <w:sz w:val="22"/>
        </w:rPr>
        <w:t>合同工期</w:t>
      </w:r>
    </w:p>
    <w:p>
      <w:pPr>
        <w:pStyle w:val="9"/>
        <w:spacing w:before="30" w:line="268" w:lineRule="auto"/>
        <w:ind w:left="731" w:right="782" w:firstLine="439"/>
        <w:jc w:val="both"/>
      </w:pPr>
      <w:r>
        <w:rPr>
          <w:spacing w:val="-3"/>
        </w:rPr>
        <w:t>本工程合同工期和计划开、竣工日期为承包人在《投标函及投标函附录》和《</w:t>
      </w:r>
      <w:r>
        <w:rPr>
          <w:rFonts w:hint="eastAsia"/>
          <w:color w:val="FF0000"/>
          <w:spacing w:val="-3"/>
        </w:rPr>
        <w:t>青岛</w:t>
      </w:r>
      <w:r>
        <w:rPr>
          <w:spacing w:val="-3"/>
        </w:rPr>
        <w:t>市建设工程施工投标标书情况汇总表》中承诺的工期和计划开、竣工日期，并在合同协议书中载</w:t>
      </w:r>
      <w:r>
        <w:rPr>
          <w:spacing w:val="-11"/>
        </w:rPr>
        <w:t>明。关键工期节点：自开工之日起</w:t>
      </w:r>
      <w:r>
        <w:rPr>
          <w:spacing w:val="-11"/>
          <w:u w:val="single"/>
        </w:rPr>
        <w:t xml:space="preserve"> </w:t>
      </w:r>
      <w:r>
        <w:rPr>
          <w:spacing w:val="-7"/>
        </w:rPr>
        <w:t>日历天内完成本项目地下部分</w:t>
      </w:r>
      <w:r>
        <w:rPr>
          <w:spacing w:val="-3"/>
        </w:rPr>
        <w:t>（</w:t>
      </w:r>
      <w:r>
        <w:rPr>
          <w:spacing w:val="-2"/>
        </w:rPr>
        <w:t>即正负零</w:t>
      </w:r>
      <w:r>
        <w:rPr>
          <w:spacing w:val="-51"/>
        </w:rPr>
        <w:t>）</w:t>
      </w:r>
      <w:r>
        <w:rPr>
          <w:spacing w:val="-3"/>
        </w:rPr>
        <w:t>的工作量。</w:t>
      </w:r>
    </w:p>
    <w:p>
      <w:pPr>
        <w:spacing w:after="0" w:line="268" w:lineRule="auto"/>
        <w:jc w:val="both"/>
        <w:sectPr>
          <w:pgSz w:w="11910" w:h="16840"/>
          <w:pgMar w:top="1100" w:right="660" w:bottom="1200" w:left="800" w:header="878" w:footer="1003" w:gutter="0"/>
          <w:cols w:space="720" w:num="1"/>
        </w:sectPr>
      </w:pPr>
    </w:p>
    <w:p>
      <w:pPr>
        <w:pStyle w:val="9"/>
        <w:spacing w:before="1"/>
        <w:rPr>
          <w:sz w:val="18"/>
        </w:rPr>
      </w:pPr>
    </w:p>
    <w:p>
      <w:pPr>
        <w:pStyle w:val="13"/>
        <w:numPr>
          <w:ilvl w:val="1"/>
          <w:numId w:val="93"/>
        </w:numPr>
        <w:tabs>
          <w:tab w:val="left" w:pos="1116"/>
        </w:tabs>
        <w:spacing w:before="70" w:after="0" w:line="240" w:lineRule="auto"/>
        <w:ind w:left="1115" w:right="0" w:hanging="385"/>
        <w:jc w:val="both"/>
        <w:rPr>
          <w:sz w:val="22"/>
        </w:rPr>
      </w:pPr>
      <w:r>
        <w:rPr>
          <w:spacing w:val="-3"/>
          <w:sz w:val="22"/>
        </w:rPr>
        <w:t>关于工期的其他规定</w:t>
      </w:r>
    </w:p>
    <w:p>
      <w:pPr>
        <w:pStyle w:val="13"/>
        <w:numPr>
          <w:ilvl w:val="2"/>
          <w:numId w:val="93"/>
        </w:numPr>
        <w:tabs>
          <w:tab w:val="left" w:pos="1778"/>
        </w:tabs>
        <w:spacing w:before="30" w:after="0" w:line="268" w:lineRule="auto"/>
        <w:ind w:left="731" w:right="892" w:firstLine="439"/>
        <w:jc w:val="both"/>
        <w:rPr>
          <w:sz w:val="22"/>
        </w:rPr>
      </w:pPr>
      <w:r>
        <w:rPr>
          <w:sz w:val="22"/>
        </w:rPr>
        <w:t>本工程具体开工日期由建设单位按照现场实际情况书面通知中标单位。中标单位</w:t>
      </w:r>
      <w:r>
        <w:rPr>
          <w:spacing w:val="-6"/>
          <w:sz w:val="22"/>
        </w:rPr>
        <w:t xml:space="preserve">在接到招标人的开工令后 </w:t>
      </w:r>
      <w:r>
        <w:rPr>
          <w:sz w:val="22"/>
        </w:rPr>
        <w:t>3</w:t>
      </w:r>
      <w:r>
        <w:rPr>
          <w:spacing w:val="-8"/>
          <w:sz w:val="22"/>
        </w:rPr>
        <w:t xml:space="preserve"> 天内必须进场开工，对此工期要求请各投标单位务必加以重视， </w:t>
      </w:r>
      <w:r>
        <w:rPr>
          <w:spacing w:val="-5"/>
          <w:sz w:val="22"/>
        </w:rPr>
        <w:t xml:space="preserve">中标单位应及时做好准备工作，针对自报工期若每延迟一天按 </w:t>
      </w:r>
      <w:r>
        <w:rPr>
          <w:sz w:val="22"/>
        </w:rPr>
        <w:t>3000</w:t>
      </w:r>
      <w:r>
        <w:rPr>
          <w:spacing w:val="-29"/>
          <w:sz w:val="22"/>
        </w:rPr>
        <w:t xml:space="preserve"> 元</w:t>
      </w:r>
      <w:r>
        <w:rPr>
          <w:sz w:val="22"/>
        </w:rPr>
        <w:t>/</w:t>
      </w:r>
      <w:r>
        <w:rPr>
          <w:spacing w:val="-3"/>
          <w:sz w:val="22"/>
        </w:rPr>
        <w:t>天予以扣罚。</w:t>
      </w:r>
    </w:p>
    <w:p>
      <w:pPr>
        <w:pStyle w:val="13"/>
        <w:numPr>
          <w:ilvl w:val="2"/>
          <w:numId w:val="93"/>
        </w:numPr>
        <w:tabs>
          <w:tab w:val="left" w:pos="1778"/>
        </w:tabs>
        <w:spacing w:before="0" w:after="0" w:line="266" w:lineRule="auto"/>
        <w:ind w:left="731" w:right="777" w:firstLine="439"/>
        <w:jc w:val="left"/>
        <w:rPr>
          <w:sz w:val="22"/>
        </w:rPr>
      </w:pPr>
      <w:r>
        <w:rPr>
          <w:sz w:val="22"/>
        </w:rPr>
        <w:t>承包人可根据各自优势和其他可能影响工期的因素，包括但不限于农忙和节假日</w:t>
      </w:r>
      <w:r>
        <w:rPr>
          <w:spacing w:val="-3"/>
          <w:sz w:val="22"/>
        </w:rPr>
        <w:t>劳动力短缺、可预料的与最近十年内上海地区曾出现过的恶劣天气</w:t>
      </w:r>
      <w:r>
        <w:rPr>
          <w:sz w:val="22"/>
        </w:rPr>
        <w:t>（</w:t>
      </w:r>
      <w:r>
        <w:rPr>
          <w:spacing w:val="-1"/>
          <w:sz w:val="22"/>
        </w:rPr>
        <w:t>如台风、浓雾、梅雨、</w:t>
      </w:r>
      <w:r>
        <w:rPr>
          <w:spacing w:val="-3"/>
          <w:sz w:val="22"/>
        </w:rPr>
        <w:t>暴雨、潮水、高温、低温、大雪</w:t>
      </w:r>
      <w:r>
        <w:rPr>
          <w:sz w:val="22"/>
        </w:rPr>
        <w:t>）</w:t>
      </w:r>
      <w:r>
        <w:rPr>
          <w:spacing w:val="-2"/>
          <w:sz w:val="22"/>
        </w:rPr>
        <w:t>相当的天气条件等，结合承包人自身技术、装备、管理等</w:t>
      </w:r>
      <w:r>
        <w:rPr>
          <w:spacing w:val="-10"/>
          <w:sz w:val="22"/>
        </w:rPr>
        <w:t xml:space="preserve">水平，确定投标工期，并作出有依据的施工进度计划表，一旦中标，投标工期即为合同工期， </w:t>
      </w:r>
      <w:r>
        <w:rPr>
          <w:spacing w:val="-7"/>
          <w:sz w:val="22"/>
        </w:rPr>
        <w:t xml:space="preserve">中标后作为签订合同的依据。对延期竣工的承包人按 </w:t>
      </w:r>
      <w:r>
        <w:rPr>
          <w:sz w:val="22"/>
        </w:rPr>
        <w:t>3000</w:t>
      </w:r>
      <w:r>
        <w:rPr>
          <w:spacing w:val="-29"/>
          <w:sz w:val="22"/>
        </w:rPr>
        <w:t xml:space="preserve"> 元</w:t>
      </w:r>
      <w:r>
        <w:rPr>
          <w:sz w:val="22"/>
        </w:rPr>
        <w:t>/</w:t>
      </w:r>
      <w:r>
        <w:rPr>
          <w:spacing w:val="-3"/>
          <w:sz w:val="22"/>
        </w:rPr>
        <w:t>天处以经济处罚。</w:t>
      </w:r>
    </w:p>
    <w:p>
      <w:pPr>
        <w:pStyle w:val="13"/>
        <w:numPr>
          <w:ilvl w:val="2"/>
          <w:numId w:val="93"/>
        </w:numPr>
        <w:tabs>
          <w:tab w:val="left" w:pos="1838"/>
        </w:tabs>
        <w:spacing w:before="1" w:after="0" w:line="266" w:lineRule="auto"/>
        <w:ind w:left="731" w:right="890" w:firstLine="501"/>
        <w:jc w:val="both"/>
        <w:rPr>
          <w:sz w:val="22"/>
        </w:rPr>
      </w:pPr>
      <w:r>
        <w:rPr>
          <w:spacing w:val="-3"/>
          <w:sz w:val="22"/>
        </w:rPr>
        <w:t>工程竣工，承包人按发包人确认的施工图纸要求完成承包范围内的所有工程的施工并备齐竣工备案的全部竣工资料后，向发包人提交竣工验收报告，报请发包人组织验收， 验收时间不作为工期累计。如无需整改而获得通过的，以施工单位报请验收之日为竣工日； 验收不合格，经整改后报请验收获得验收通过的，则返工日期作为工期累计，已整改完毕后报请验收之日为竣工日。</w:t>
      </w:r>
    </w:p>
    <w:p>
      <w:pPr>
        <w:pStyle w:val="13"/>
        <w:numPr>
          <w:ilvl w:val="0"/>
          <w:numId w:val="93"/>
        </w:numPr>
        <w:tabs>
          <w:tab w:val="left" w:pos="954"/>
        </w:tabs>
        <w:spacing w:before="0" w:after="0" w:line="277" w:lineRule="exact"/>
        <w:ind w:left="953" w:right="0" w:hanging="223"/>
        <w:jc w:val="left"/>
        <w:rPr>
          <w:sz w:val="22"/>
        </w:rPr>
      </w:pPr>
      <w:bookmarkStart w:id="107" w:name="4.质量要求"/>
      <w:bookmarkEnd w:id="107"/>
      <w:r>
        <w:rPr>
          <w:spacing w:val="-2"/>
          <w:sz w:val="22"/>
        </w:rPr>
        <w:t>质量要求</w:t>
      </w:r>
    </w:p>
    <w:p>
      <w:pPr>
        <w:pStyle w:val="9"/>
        <w:spacing w:before="1"/>
        <w:rPr>
          <w:sz w:val="21"/>
        </w:rPr>
      </w:pPr>
    </w:p>
    <w:p>
      <w:pPr>
        <w:pStyle w:val="13"/>
        <w:numPr>
          <w:ilvl w:val="1"/>
          <w:numId w:val="93"/>
        </w:numPr>
        <w:tabs>
          <w:tab w:val="left" w:pos="1116"/>
        </w:tabs>
        <w:spacing w:before="0" w:after="0" w:line="240" w:lineRule="auto"/>
        <w:ind w:left="1115" w:right="0" w:hanging="385"/>
        <w:jc w:val="both"/>
        <w:rPr>
          <w:sz w:val="22"/>
        </w:rPr>
      </w:pPr>
      <w:r>
        <w:rPr>
          <w:spacing w:val="-2"/>
          <w:sz w:val="22"/>
        </w:rPr>
        <w:t>质量标准</w:t>
      </w:r>
    </w:p>
    <w:p>
      <w:pPr>
        <w:pStyle w:val="13"/>
        <w:numPr>
          <w:ilvl w:val="2"/>
          <w:numId w:val="93"/>
        </w:numPr>
        <w:tabs>
          <w:tab w:val="left" w:pos="1900"/>
        </w:tabs>
        <w:spacing w:before="33" w:after="0" w:line="268" w:lineRule="auto"/>
        <w:ind w:left="731" w:right="890" w:firstLine="564"/>
        <w:jc w:val="both"/>
        <w:rPr>
          <w:sz w:val="22"/>
        </w:rPr>
      </w:pPr>
      <w:r>
        <w:rPr>
          <w:spacing w:val="-6"/>
          <w:sz w:val="22"/>
        </w:rPr>
        <w:t>本工程要求的质量标准为符合现行国家、本市有关工程施工验收规范和标准。其</w:t>
      </w:r>
      <w:r>
        <w:rPr>
          <w:spacing w:val="-3"/>
          <w:sz w:val="22"/>
        </w:rPr>
        <w:t>他请按照施工图设计图纸要求及相关规范标准执行。</w:t>
      </w:r>
    </w:p>
    <w:p>
      <w:pPr>
        <w:pStyle w:val="13"/>
        <w:numPr>
          <w:ilvl w:val="2"/>
          <w:numId w:val="93"/>
        </w:numPr>
        <w:tabs>
          <w:tab w:val="left" w:pos="1900"/>
        </w:tabs>
        <w:spacing w:before="0" w:after="0" w:line="266" w:lineRule="auto"/>
        <w:ind w:left="731" w:right="782" w:firstLine="564"/>
        <w:jc w:val="both"/>
        <w:rPr>
          <w:sz w:val="22"/>
        </w:rPr>
      </w:pPr>
      <w:r>
        <w:rPr>
          <w:spacing w:val="-5"/>
          <w:sz w:val="22"/>
        </w:rPr>
        <w:t>本节中提出的各项功能要求和技术指标是对工程的最基本的要求，并未对一切细节做出全部详细规定，也并未充分引述有关标准和规范的条文，投标方所有与本项工程施工</w:t>
      </w:r>
      <w:r>
        <w:rPr>
          <w:spacing w:val="-7"/>
          <w:sz w:val="22"/>
        </w:rPr>
        <w:t>有关的技术要求均应符合招标时已颁布的中国国家和行业标准，或相应国际标准的有关条文。</w:t>
      </w:r>
    </w:p>
    <w:p>
      <w:pPr>
        <w:pStyle w:val="13"/>
        <w:numPr>
          <w:ilvl w:val="1"/>
          <w:numId w:val="93"/>
        </w:numPr>
        <w:tabs>
          <w:tab w:val="left" w:pos="1116"/>
        </w:tabs>
        <w:spacing w:before="23" w:after="0" w:line="240" w:lineRule="auto"/>
        <w:ind w:left="1115" w:right="0" w:hanging="385"/>
        <w:jc w:val="both"/>
        <w:rPr>
          <w:sz w:val="22"/>
        </w:rPr>
      </w:pPr>
      <w:r>
        <w:rPr>
          <w:spacing w:val="-2"/>
          <w:sz w:val="22"/>
        </w:rPr>
        <w:t>质量要求</w:t>
      </w:r>
    </w:p>
    <w:p>
      <w:pPr>
        <w:pStyle w:val="13"/>
        <w:numPr>
          <w:ilvl w:val="2"/>
          <w:numId w:val="93"/>
        </w:numPr>
        <w:tabs>
          <w:tab w:val="left" w:pos="1900"/>
        </w:tabs>
        <w:spacing w:before="54" w:after="0" w:line="268" w:lineRule="auto"/>
        <w:ind w:left="731" w:right="890" w:firstLine="564"/>
        <w:jc w:val="both"/>
        <w:rPr>
          <w:sz w:val="22"/>
        </w:rPr>
      </w:pPr>
      <w:r>
        <w:rPr>
          <w:spacing w:val="-6"/>
          <w:sz w:val="22"/>
        </w:rPr>
        <w:t>本工程质量必须满足设计要求，并达到国家颁发的有关质量检验规范，建设单位</w:t>
      </w:r>
      <w:r>
        <w:rPr>
          <w:spacing w:val="-7"/>
          <w:sz w:val="22"/>
        </w:rPr>
        <w:t xml:space="preserve">对本工程的质量目标要求是：一次性验收合格率 </w:t>
      </w:r>
      <w:r>
        <w:rPr>
          <w:sz w:val="22"/>
        </w:rPr>
        <w:t>100</w:t>
      </w:r>
      <w:r>
        <w:rPr>
          <w:spacing w:val="-5"/>
          <w:sz w:val="22"/>
        </w:rPr>
        <w:t>%。经济处罚的要求：达不到工程质量目</w:t>
      </w:r>
      <w:r>
        <w:rPr>
          <w:spacing w:val="-3"/>
          <w:sz w:val="22"/>
        </w:rPr>
        <w:t>标，承包人应按发包人要求的时间修复或拆除重建直到符合验收标准，并将处以不低于工程结算造价的百分之二的工程质量违约金。</w:t>
      </w:r>
    </w:p>
    <w:p>
      <w:pPr>
        <w:pStyle w:val="13"/>
        <w:numPr>
          <w:ilvl w:val="2"/>
          <w:numId w:val="93"/>
        </w:numPr>
        <w:tabs>
          <w:tab w:val="left" w:pos="1956"/>
        </w:tabs>
        <w:spacing w:before="0" w:after="0" w:line="266" w:lineRule="auto"/>
        <w:ind w:left="731" w:right="890" w:firstLine="564"/>
        <w:jc w:val="both"/>
        <w:rPr>
          <w:sz w:val="22"/>
        </w:rPr>
      </w:pPr>
      <w:r>
        <w:rPr>
          <w:spacing w:val="-11"/>
          <w:sz w:val="22"/>
        </w:rPr>
        <w:t>为了保证工程质量，承包人应接受现场监理和质量监督部门的监督和检查，直至</w:t>
      </w:r>
      <w:r>
        <w:rPr>
          <w:spacing w:val="-3"/>
          <w:sz w:val="22"/>
        </w:rPr>
        <w:t>工程竣工验收。如承包人违章施工，使用不合格材料或工程质量不合格，监理单位有权要求返工或停止施工，由此造成的损失和工期延误由承包人负责。因承包人原因达不到工程验收标准，由承包人承担修复或拆除重建的费用，工期不予顺延，拆除重建后仍达不到合格标准的，承包人应承担违约责任。</w:t>
      </w:r>
    </w:p>
    <w:p>
      <w:pPr>
        <w:pStyle w:val="13"/>
        <w:numPr>
          <w:ilvl w:val="2"/>
          <w:numId w:val="93"/>
        </w:numPr>
        <w:tabs>
          <w:tab w:val="left" w:pos="1956"/>
        </w:tabs>
        <w:spacing w:before="0" w:after="0" w:line="266" w:lineRule="auto"/>
        <w:ind w:left="731" w:right="782" w:firstLine="564"/>
        <w:jc w:val="both"/>
        <w:rPr>
          <w:sz w:val="22"/>
        </w:rPr>
      </w:pPr>
      <w:r>
        <w:rPr>
          <w:spacing w:val="-8"/>
          <w:sz w:val="22"/>
        </w:rPr>
        <w:t>承包人必须严格按照国家现行的工程施工及验收规范、质量评定标准和本市有关</w:t>
      </w:r>
      <w:r>
        <w:rPr>
          <w:spacing w:val="-6"/>
          <w:sz w:val="22"/>
        </w:rPr>
        <w:t>保证工程质量的若干规定进行施工。招标人将组织设计、勘察、监理和中标单位等有关部门</w:t>
      </w:r>
      <w:r>
        <w:rPr>
          <w:spacing w:val="-7"/>
          <w:sz w:val="22"/>
        </w:rPr>
        <w:t>按照国家施工及质量验收规范和本市有关规定进行验收，报建设工程质量监督管理部门备案。</w:t>
      </w:r>
    </w:p>
    <w:p>
      <w:pPr>
        <w:pStyle w:val="9"/>
        <w:spacing w:before="12"/>
        <w:rPr>
          <w:sz w:val="18"/>
        </w:rPr>
      </w:pPr>
    </w:p>
    <w:p>
      <w:pPr>
        <w:pStyle w:val="13"/>
        <w:numPr>
          <w:ilvl w:val="0"/>
          <w:numId w:val="93"/>
        </w:numPr>
        <w:tabs>
          <w:tab w:val="left" w:pos="954"/>
        </w:tabs>
        <w:spacing w:before="0" w:after="0" w:line="240" w:lineRule="auto"/>
        <w:ind w:left="953" w:right="0" w:hanging="223"/>
        <w:jc w:val="left"/>
        <w:rPr>
          <w:sz w:val="22"/>
        </w:rPr>
      </w:pPr>
      <w:bookmarkStart w:id="108" w:name="5.适用规范和标准"/>
      <w:bookmarkEnd w:id="108"/>
      <w:r>
        <w:rPr>
          <w:spacing w:val="-3"/>
          <w:sz w:val="22"/>
        </w:rPr>
        <w:t>适用规范和标准</w:t>
      </w:r>
    </w:p>
    <w:p>
      <w:pPr>
        <w:pStyle w:val="9"/>
        <w:spacing w:before="1"/>
        <w:rPr>
          <w:sz w:val="21"/>
        </w:rPr>
      </w:pPr>
    </w:p>
    <w:p>
      <w:pPr>
        <w:pStyle w:val="13"/>
        <w:numPr>
          <w:ilvl w:val="1"/>
          <w:numId w:val="93"/>
        </w:numPr>
        <w:tabs>
          <w:tab w:val="left" w:pos="1116"/>
        </w:tabs>
        <w:spacing w:before="0" w:after="0" w:line="240" w:lineRule="auto"/>
        <w:ind w:left="1115" w:right="0" w:hanging="385"/>
        <w:jc w:val="left"/>
        <w:rPr>
          <w:sz w:val="22"/>
        </w:rPr>
      </w:pPr>
      <w:r>
        <w:rPr>
          <w:spacing w:val="-3"/>
          <w:sz w:val="22"/>
        </w:rPr>
        <w:t>适用的规范、标准和规程</w:t>
      </w:r>
    </w:p>
    <w:p>
      <w:pPr>
        <w:pStyle w:val="13"/>
        <w:numPr>
          <w:ilvl w:val="2"/>
          <w:numId w:val="93"/>
        </w:numPr>
        <w:tabs>
          <w:tab w:val="left" w:pos="1836"/>
        </w:tabs>
        <w:spacing w:before="56" w:after="0" w:line="268" w:lineRule="auto"/>
        <w:ind w:left="731" w:right="907" w:firstLine="499"/>
        <w:jc w:val="left"/>
        <w:rPr>
          <w:sz w:val="22"/>
        </w:rPr>
      </w:pPr>
      <w:r>
        <w:rPr>
          <w:spacing w:val="-3"/>
          <w:sz w:val="22"/>
        </w:rPr>
        <w:t>除合同另有约定外，本工程适用现行国家、行业和本市规范、标准和规程、及各类专业标准图集，构成合同文件的任何内容与适用的规范、标准和规程之间出现矛盾，承包</w:t>
      </w:r>
    </w:p>
    <w:p>
      <w:pPr>
        <w:spacing w:after="0" w:line="268" w:lineRule="auto"/>
        <w:jc w:val="left"/>
        <w:rPr>
          <w:sz w:val="22"/>
        </w:rPr>
        <w:sectPr>
          <w:pgSz w:w="11910" w:h="16840"/>
          <w:pgMar w:top="1100" w:right="660" w:bottom="1200" w:left="800" w:header="878" w:footer="1003" w:gutter="0"/>
          <w:cols w:space="720" w:num="1"/>
        </w:sectPr>
      </w:pPr>
    </w:p>
    <w:p>
      <w:pPr>
        <w:pStyle w:val="9"/>
        <w:spacing w:before="1"/>
        <w:rPr>
          <w:sz w:val="18"/>
        </w:rPr>
      </w:pPr>
    </w:p>
    <w:p>
      <w:pPr>
        <w:pStyle w:val="9"/>
        <w:spacing w:before="70" w:line="266" w:lineRule="auto"/>
        <w:ind w:left="731" w:right="912"/>
      </w:pPr>
      <w:r>
        <w:t>人应书面要求工程师予以澄清，除工程师有特别指示外，承包人应按照其中要求最严格的标准执行。</w:t>
      </w:r>
    </w:p>
    <w:p>
      <w:pPr>
        <w:pStyle w:val="13"/>
        <w:numPr>
          <w:ilvl w:val="2"/>
          <w:numId w:val="93"/>
        </w:numPr>
        <w:tabs>
          <w:tab w:val="left" w:pos="1836"/>
        </w:tabs>
        <w:spacing w:before="1" w:after="0" w:line="268" w:lineRule="auto"/>
        <w:ind w:left="731" w:right="890" w:firstLine="499"/>
        <w:jc w:val="both"/>
        <w:rPr>
          <w:sz w:val="22"/>
        </w:rPr>
      </w:pPr>
      <w:r>
        <w:rPr>
          <w:spacing w:val="-3"/>
          <w:sz w:val="22"/>
        </w:rPr>
        <w:t>除合同另有约定外，材料、施工工艺和本工程都应依照本技术标准和要求及适用的现行规范、标准和规程的最新版本执行。若适用的现行规范、标准和规程的最新版本是在基准日后颁布的，且相应标准发生变更并成为合同文件中最严格的标准，则应按合同条款的</w:t>
      </w:r>
      <w:r>
        <w:rPr>
          <w:spacing w:val="-2"/>
          <w:sz w:val="22"/>
        </w:rPr>
        <w:t>约定办理。</w:t>
      </w:r>
    </w:p>
    <w:p>
      <w:pPr>
        <w:pStyle w:val="13"/>
        <w:numPr>
          <w:ilvl w:val="1"/>
          <w:numId w:val="93"/>
        </w:numPr>
        <w:tabs>
          <w:tab w:val="left" w:pos="1116"/>
        </w:tabs>
        <w:spacing w:before="16" w:after="0" w:line="240" w:lineRule="auto"/>
        <w:ind w:left="1115" w:right="0" w:hanging="385"/>
        <w:jc w:val="both"/>
        <w:rPr>
          <w:sz w:val="22"/>
        </w:rPr>
      </w:pPr>
      <w:r>
        <w:rPr>
          <w:spacing w:val="-3"/>
          <w:sz w:val="22"/>
        </w:rPr>
        <w:t>特殊技术标准和要求</w:t>
      </w:r>
    </w:p>
    <w:p>
      <w:pPr>
        <w:pStyle w:val="13"/>
        <w:numPr>
          <w:ilvl w:val="2"/>
          <w:numId w:val="93"/>
        </w:numPr>
        <w:tabs>
          <w:tab w:val="left" w:pos="1816"/>
        </w:tabs>
        <w:spacing w:before="56" w:after="0" w:line="240" w:lineRule="auto"/>
        <w:ind w:left="1816" w:right="0" w:hanging="608"/>
        <w:jc w:val="both"/>
        <w:rPr>
          <w:sz w:val="22"/>
        </w:rPr>
      </w:pPr>
      <w:r>
        <w:rPr>
          <w:spacing w:val="-3"/>
          <w:sz w:val="22"/>
        </w:rPr>
        <w:t>适用本工程的特殊技术标准和要求见本章第二节。</w:t>
      </w:r>
    </w:p>
    <w:p>
      <w:pPr>
        <w:pStyle w:val="13"/>
        <w:numPr>
          <w:ilvl w:val="2"/>
          <w:numId w:val="93"/>
        </w:numPr>
        <w:tabs>
          <w:tab w:val="left" w:pos="1816"/>
        </w:tabs>
        <w:spacing w:before="33" w:after="0" w:line="472" w:lineRule="auto"/>
        <w:ind w:left="731" w:right="1367" w:firstLine="477"/>
        <w:jc w:val="both"/>
        <w:rPr>
          <w:sz w:val="22"/>
        </w:rPr>
      </w:pPr>
      <w:r>
        <w:rPr>
          <w:spacing w:val="-3"/>
          <w:sz w:val="22"/>
        </w:rPr>
        <w:t>有合同约束力的图纸和其他设计文件中的有关文字说明是本节的组成内容。</w:t>
      </w:r>
      <w:bookmarkStart w:id="109" w:name="6.安全文明施工"/>
      <w:bookmarkEnd w:id="109"/>
      <w:r>
        <w:rPr>
          <w:spacing w:val="-3"/>
          <w:sz w:val="22"/>
        </w:rPr>
        <w:t>6.安全文明施工</w:t>
      </w:r>
    </w:p>
    <w:p>
      <w:pPr>
        <w:pStyle w:val="13"/>
        <w:numPr>
          <w:ilvl w:val="1"/>
          <w:numId w:val="95"/>
        </w:numPr>
        <w:tabs>
          <w:tab w:val="left" w:pos="1116"/>
        </w:tabs>
        <w:spacing w:before="0" w:after="0" w:line="278" w:lineRule="exact"/>
        <w:ind w:left="1115" w:right="0" w:hanging="385"/>
        <w:jc w:val="both"/>
        <w:rPr>
          <w:sz w:val="22"/>
        </w:rPr>
      </w:pPr>
      <w:r>
        <w:rPr>
          <w:spacing w:val="-2"/>
          <w:sz w:val="22"/>
        </w:rPr>
        <w:t>安全防护</w:t>
      </w:r>
    </w:p>
    <w:p>
      <w:pPr>
        <w:pStyle w:val="13"/>
        <w:numPr>
          <w:ilvl w:val="2"/>
          <w:numId w:val="95"/>
        </w:numPr>
        <w:tabs>
          <w:tab w:val="left" w:pos="1838"/>
        </w:tabs>
        <w:spacing w:before="32" w:after="0" w:line="266" w:lineRule="auto"/>
        <w:ind w:left="731" w:right="890" w:firstLine="501"/>
        <w:jc w:val="both"/>
        <w:rPr>
          <w:sz w:val="22"/>
        </w:rPr>
      </w:pPr>
      <w:r>
        <w:rPr>
          <w:spacing w:val="-3"/>
          <w:sz w:val="22"/>
        </w:rPr>
        <w:t>在工程施工、竣工、交付及修补任何缺陷的过程中，承包人应当始终遵守国家和上海市有关安全生产的法律、法规、规范、标准和规程等，按照合同条款的约定履行其安全</w:t>
      </w:r>
      <w:r>
        <w:rPr>
          <w:spacing w:val="-2"/>
          <w:sz w:val="22"/>
        </w:rPr>
        <w:t>施工职责。</w:t>
      </w:r>
    </w:p>
    <w:p>
      <w:pPr>
        <w:pStyle w:val="13"/>
        <w:numPr>
          <w:ilvl w:val="2"/>
          <w:numId w:val="95"/>
        </w:numPr>
        <w:tabs>
          <w:tab w:val="left" w:pos="1778"/>
        </w:tabs>
        <w:spacing w:before="3" w:after="0" w:line="268" w:lineRule="auto"/>
        <w:ind w:left="731" w:right="890" w:firstLine="439"/>
        <w:jc w:val="both"/>
        <w:rPr>
          <w:sz w:val="22"/>
        </w:rPr>
      </w:pPr>
      <w:r>
        <w:rPr>
          <w:sz w:val="22"/>
        </w:rPr>
        <w:t>承包人应坚持“安全第一，预防为主”的方针，建立、健全安全生产责任制度和</w:t>
      </w:r>
      <w:r>
        <w:rPr>
          <w:spacing w:val="-3"/>
          <w:sz w:val="22"/>
        </w:rPr>
        <w:t>安全生产教育培训制度。在整个工程施工期间，承包人应在现场设立、提供和维护并在有关工作完成或竣工后撤除：</w:t>
      </w:r>
    </w:p>
    <w:p>
      <w:pPr>
        <w:pStyle w:val="9"/>
        <w:spacing w:line="266" w:lineRule="auto"/>
        <w:ind w:left="731" w:right="890" w:firstLine="549"/>
        <w:jc w:val="both"/>
      </w:pPr>
      <w:r>
        <w:t>（1）设立在现场入口显著位置的现场施工总平面图、总平面管理、安全生产、文明施工、环境保护、质量控制、材料管理等的规章制度和主要参建单位名称和工程概况等说明的图板；</w:t>
      </w:r>
    </w:p>
    <w:p>
      <w:pPr>
        <w:pStyle w:val="13"/>
        <w:numPr>
          <w:ilvl w:val="0"/>
          <w:numId w:val="96"/>
        </w:numPr>
        <w:tabs>
          <w:tab w:val="left" w:pos="1724"/>
        </w:tabs>
        <w:spacing w:before="0" w:after="0" w:line="268" w:lineRule="auto"/>
        <w:ind w:left="731" w:right="776" w:firstLine="439"/>
        <w:jc w:val="left"/>
        <w:rPr>
          <w:sz w:val="22"/>
        </w:rPr>
      </w:pPr>
      <w:r>
        <w:rPr>
          <w:spacing w:val="-11"/>
          <w:sz w:val="22"/>
        </w:rPr>
        <w:t xml:space="preserve">为确保工程安全施工须设立的足够的标志、宣传画、标语、指示牌、警告牌、火警 </w:t>
      </w:r>
      <w:r>
        <w:rPr>
          <w:spacing w:val="-6"/>
          <w:sz w:val="22"/>
        </w:rPr>
        <w:t>、匪警和急救电话提示牌等；</w:t>
      </w:r>
    </w:p>
    <w:p>
      <w:pPr>
        <w:pStyle w:val="13"/>
        <w:numPr>
          <w:ilvl w:val="0"/>
          <w:numId w:val="96"/>
        </w:numPr>
        <w:tabs>
          <w:tab w:val="left" w:pos="1724"/>
        </w:tabs>
        <w:spacing w:before="0" w:after="0" w:line="266" w:lineRule="auto"/>
        <w:ind w:left="731" w:right="890" w:firstLine="439"/>
        <w:jc w:val="left"/>
        <w:rPr>
          <w:sz w:val="22"/>
        </w:rPr>
      </w:pPr>
      <w:r>
        <w:rPr>
          <w:spacing w:val="-8"/>
          <w:sz w:val="22"/>
        </w:rPr>
        <w:t>洞口和临边位置的安全防护设施，包括护身栏杆、脚手架、洞口盖板和加筋、竖井</w:t>
      </w:r>
      <w:r>
        <w:rPr>
          <w:spacing w:val="-3"/>
          <w:sz w:val="22"/>
        </w:rPr>
        <w:t>防护栏杆、防护棚、防护网、坡道等；</w:t>
      </w:r>
    </w:p>
    <w:p>
      <w:pPr>
        <w:pStyle w:val="13"/>
        <w:numPr>
          <w:ilvl w:val="0"/>
          <w:numId w:val="96"/>
        </w:numPr>
        <w:tabs>
          <w:tab w:val="left" w:pos="1724"/>
        </w:tabs>
        <w:spacing w:before="0" w:after="0" w:line="268" w:lineRule="auto"/>
        <w:ind w:left="731" w:right="890" w:firstLine="439"/>
        <w:jc w:val="left"/>
        <w:rPr>
          <w:sz w:val="22"/>
        </w:rPr>
      </w:pPr>
      <w:r>
        <w:rPr>
          <w:spacing w:val="-11"/>
          <w:sz w:val="22"/>
        </w:rPr>
        <w:t>安全带、安全绳、安全帽、安全网、绝缘鞋、绝缘手套、防护口罩和防护衣等安全</w:t>
      </w:r>
      <w:r>
        <w:rPr>
          <w:spacing w:val="-4"/>
          <w:sz w:val="22"/>
        </w:rPr>
        <w:t>生产用品；</w:t>
      </w:r>
    </w:p>
    <w:p>
      <w:pPr>
        <w:pStyle w:val="13"/>
        <w:numPr>
          <w:ilvl w:val="0"/>
          <w:numId w:val="96"/>
        </w:numPr>
        <w:tabs>
          <w:tab w:val="left" w:pos="1724"/>
        </w:tabs>
        <w:spacing w:before="0" w:after="0" w:line="277" w:lineRule="exact"/>
        <w:ind w:left="1723" w:right="0" w:hanging="554"/>
        <w:jc w:val="left"/>
        <w:rPr>
          <w:sz w:val="22"/>
        </w:rPr>
      </w:pPr>
      <w:r>
        <w:rPr>
          <w:spacing w:val="-3"/>
          <w:sz w:val="22"/>
        </w:rPr>
        <w:t>所有机械设备包括各类电动工具的安全保护和接地装置和操作说明；</w:t>
      </w:r>
    </w:p>
    <w:p>
      <w:pPr>
        <w:pStyle w:val="13"/>
        <w:numPr>
          <w:ilvl w:val="0"/>
          <w:numId w:val="96"/>
        </w:numPr>
        <w:tabs>
          <w:tab w:val="left" w:pos="1724"/>
        </w:tabs>
        <w:spacing w:before="28" w:after="0" w:line="240" w:lineRule="auto"/>
        <w:ind w:left="1723" w:right="0" w:hanging="554"/>
        <w:jc w:val="left"/>
        <w:rPr>
          <w:sz w:val="22"/>
        </w:rPr>
      </w:pPr>
      <w:r>
        <w:rPr>
          <w:spacing w:val="-3"/>
          <w:sz w:val="22"/>
        </w:rPr>
        <w:t>装备良好的临时急救站和配备称职的医护人员；</w:t>
      </w:r>
    </w:p>
    <w:p>
      <w:pPr>
        <w:pStyle w:val="13"/>
        <w:numPr>
          <w:ilvl w:val="0"/>
          <w:numId w:val="96"/>
        </w:numPr>
        <w:tabs>
          <w:tab w:val="left" w:pos="1724"/>
        </w:tabs>
        <w:spacing w:before="33" w:after="0" w:line="268" w:lineRule="auto"/>
        <w:ind w:left="731" w:right="890" w:firstLine="439"/>
        <w:jc w:val="left"/>
        <w:rPr>
          <w:sz w:val="22"/>
        </w:rPr>
      </w:pPr>
      <w:r>
        <w:rPr>
          <w:spacing w:val="-7"/>
          <w:sz w:val="22"/>
        </w:rPr>
        <w:t xml:space="preserve">主要作业场所和临时安全疏散通道 </w:t>
      </w:r>
      <w:r>
        <w:rPr>
          <w:sz w:val="22"/>
        </w:rPr>
        <w:t>24</w:t>
      </w:r>
      <w:r>
        <w:rPr>
          <w:spacing w:val="-28"/>
          <w:sz w:val="22"/>
        </w:rPr>
        <w:t xml:space="preserve"> 小时 </w:t>
      </w:r>
      <w:r>
        <w:rPr>
          <w:sz w:val="22"/>
        </w:rPr>
        <w:t>36</w:t>
      </w:r>
      <w:r>
        <w:rPr>
          <w:spacing w:val="-9"/>
          <w:sz w:val="22"/>
        </w:rPr>
        <w:t xml:space="preserve"> 伏安全照明和必要的警示等以防止</w:t>
      </w:r>
      <w:r>
        <w:rPr>
          <w:spacing w:val="-5"/>
          <w:sz w:val="22"/>
        </w:rPr>
        <w:t>各种可能的事故；</w:t>
      </w:r>
    </w:p>
    <w:p>
      <w:pPr>
        <w:pStyle w:val="13"/>
        <w:numPr>
          <w:ilvl w:val="0"/>
          <w:numId w:val="96"/>
        </w:numPr>
        <w:tabs>
          <w:tab w:val="left" w:pos="1724"/>
        </w:tabs>
        <w:spacing w:before="0" w:after="0" w:line="279" w:lineRule="exact"/>
        <w:ind w:left="1723" w:right="0" w:hanging="554"/>
        <w:jc w:val="left"/>
        <w:rPr>
          <w:sz w:val="22"/>
        </w:rPr>
      </w:pPr>
      <w:r>
        <w:rPr>
          <w:spacing w:val="-3"/>
          <w:sz w:val="22"/>
        </w:rPr>
        <w:t>足够数量的和合格的手提灭火器；</w:t>
      </w:r>
    </w:p>
    <w:p>
      <w:pPr>
        <w:pStyle w:val="13"/>
        <w:numPr>
          <w:ilvl w:val="0"/>
          <w:numId w:val="96"/>
        </w:numPr>
        <w:tabs>
          <w:tab w:val="left" w:pos="1724"/>
        </w:tabs>
        <w:spacing w:before="33" w:after="0" w:line="240" w:lineRule="auto"/>
        <w:ind w:left="1723" w:right="0" w:hanging="554"/>
        <w:jc w:val="left"/>
        <w:rPr>
          <w:sz w:val="22"/>
        </w:rPr>
      </w:pPr>
      <w:r>
        <w:rPr>
          <w:spacing w:val="-3"/>
          <w:sz w:val="22"/>
        </w:rPr>
        <w:t>装备良好的易燃易爆物品仓库和相应的使用管理制度；</w:t>
      </w:r>
    </w:p>
    <w:p>
      <w:pPr>
        <w:pStyle w:val="13"/>
        <w:numPr>
          <w:ilvl w:val="0"/>
          <w:numId w:val="96"/>
        </w:numPr>
        <w:tabs>
          <w:tab w:val="left" w:pos="1834"/>
        </w:tabs>
        <w:spacing w:before="30" w:after="0" w:line="240" w:lineRule="auto"/>
        <w:ind w:left="1834" w:right="0" w:hanging="664"/>
        <w:jc w:val="left"/>
        <w:rPr>
          <w:sz w:val="22"/>
        </w:rPr>
      </w:pPr>
      <w:r>
        <w:rPr>
          <w:spacing w:val="-3"/>
          <w:sz w:val="22"/>
        </w:rPr>
        <w:t>对涉及明火施工的工作制定诸如用火证等的管理制度；</w:t>
      </w:r>
    </w:p>
    <w:p>
      <w:pPr>
        <w:pStyle w:val="13"/>
        <w:numPr>
          <w:ilvl w:val="0"/>
          <w:numId w:val="96"/>
        </w:numPr>
        <w:tabs>
          <w:tab w:val="left" w:pos="1834"/>
        </w:tabs>
        <w:spacing w:before="32" w:after="0" w:line="266" w:lineRule="auto"/>
        <w:ind w:left="731" w:right="801" w:firstLine="439"/>
        <w:jc w:val="left"/>
        <w:rPr>
          <w:sz w:val="22"/>
        </w:rPr>
      </w:pPr>
      <w:r>
        <w:rPr>
          <w:spacing w:val="-2"/>
          <w:sz w:val="22"/>
        </w:rPr>
        <w:t>其他：</w:t>
      </w:r>
      <w:r>
        <w:rPr>
          <w:spacing w:val="-3"/>
          <w:sz w:val="22"/>
          <w:u w:val="single"/>
        </w:rPr>
        <w:t>承包人在投标文件中承诺选定的工程项目经理及相关的工程安全、技术、</w:t>
      </w:r>
      <w:r>
        <w:rPr>
          <w:spacing w:val="-119"/>
          <w:sz w:val="22"/>
          <w:u w:val="single"/>
        </w:rPr>
        <w:t>经</w:t>
      </w:r>
      <w:r>
        <w:rPr>
          <w:spacing w:val="-3"/>
          <w:sz w:val="22"/>
          <w:u w:val="single"/>
        </w:rPr>
        <w:t>济、管理、资料等人员应按约定进场组织施工，不得以挂名形式出现，未经发包人同意不</w:t>
      </w:r>
      <w:r>
        <w:rPr>
          <w:spacing w:val="-101"/>
          <w:sz w:val="22"/>
          <w:u w:val="single"/>
        </w:rPr>
        <w:t>得任</w:t>
      </w:r>
      <w:r>
        <w:rPr>
          <w:spacing w:val="-15"/>
          <w:sz w:val="22"/>
          <w:u w:val="single"/>
        </w:rPr>
        <w:t>意调换和撤离，否则发包人有权立即终止合同，承包人应无条件的退场，并承担所引起的一</w:t>
      </w:r>
      <w:r>
        <w:rPr>
          <w:spacing w:val="-8"/>
          <w:sz w:val="22"/>
          <w:u w:val="single"/>
        </w:rPr>
        <w:t xml:space="preserve">切后果。项目经理、技术总负责人在本工程施工现场工作的时间每周不得少于 </w:t>
      </w:r>
      <w:r>
        <w:rPr>
          <w:sz w:val="22"/>
          <w:u w:val="single"/>
        </w:rPr>
        <w:t>5</w:t>
      </w:r>
      <w:r>
        <w:rPr>
          <w:spacing w:val="-11"/>
          <w:sz w:val="22"/>
          <w:u w:val="single"/>
        </w:rPr>
        <w:t xml:space="preserve"> 天，否则每人每天按 </w:t>
      </w:r>
      <w:r>
        <w:rPr>
          <w:sz w:val="22"/>
          <w:u w:val="single"/>
        </w:rPr>
        <w:t>5000</w:t>
      </w:r>
      <w:r>
        <w:rPr>
          <w:spacing w:val="-9"/>
          <w:sz w:val="22"/>
          <w:u w:val="single"/>
        </w:rPr>
        <w:t xml:space="preserve"> 元扣罚。工程施工过程中，如项目班子有不能胜任本职工作的工作人员，发包</w:t>
      </w:r>
      <w:r>
        <w:rPr>
          <w:spacing w:val="-3"/>
          <w:sz w:val="22"/>
          <w:u w:val="single"/>
        </w:rPr>
        <w:t>人有权要求限期改正，直至撤换相关人员。</w:t>
      </w:r>
      <w:r>
        <w:rPr>
          <w:spacing w:val="-1"/>
          <w:sz w:val="22"/>
        </w:rPr>
        <w:t xml:space="preserve"> 。</w:t>
      </w:r>
    </w:p>
    <w:p>
      <w:pPr>
        <w:pStyle w:val="13"/>
        <w:numPr>
          <w:ilvl w:val="2"/>
          <w:numId w:val="95"/>
        </w:numPr>
        <w:tabs>
          <w:tab w:val="left" w:pos="1869"/>
        </w:tabs>
        <w:spacing w:before="4" w:after="0" w:line="268" w:lineRule="auto"/>
        <w:ind w:left="731" w:right="890" w:firstLine="477"/>
        <w:jc w:val="left"/>
        <w:rPr>
          <w:sz w:val="22"/>
        </w:rPr>
      </w:pPr>
      <w:r>
        <w:rPr>
          <w:spacing w:val="-5"/>
          <w:sz w:val="22"/>
        </w:rPr>
        <w:t>安全文明施工费用必须专款专用，承包人应对其由于安全文明施工费用和施工安</w:t>
      </w:r>
      <w:r>
        <w:rPr>
          <w:spacing w:val="-3"/>
          <w:sz w:val="22"/>
        </w:rPr>
        <w:t>全措施不到位而发生的安全事故承担全部责任。</w:t>
      </w:r>
    </w:p>
    <w:p>
      <w:pPr>
        <w:pStyle w:val="13"/>
        <w:numPr>
          <w:ilvl w:val="2"/>
          <w:numId w:val="95"/>
        </w:numPr>
        <w:tabs>
          <w:tab w:val="left" w:pos="1891"/>
        </w:tabs>
        <w:spacing w:before="0" w:after="0" w:line="268" w:lineRule="auto"/>
        <w:ind w:left="731" w:right="890" w:firstLine="499"/>
        <w:jc w:val="left"/>
        <w:rPr>
          <w:sz w:val="22"/>
        </w:rPr>
      </w:pPr>
      <w:r>
        <w:rPr>
          <w:spacing w:val="-5"/>
          <w:sz w:val="22"/>
        </w:rPr>
        <w:t>承包人应建立专门的现场安全生产管理机构，配备足够数量的和符合有关规定的</w:t>
      </w:r>
      <w:r>
        <w:rPr>
          <w:spacing w:val="-3"/>
          <w:sz w:val="22"/>
        </w:rPr>
        <w:t>专职安全生产管理人员，负责日常安全生产巡查和专项检查，召集和主持现场全体人员参加</w:t>
      </w:r>
    </w:p>
    <w:p>
      <w:pPr>
        <w:spacing w:after="0" w:line="268" w:lineRule="auto"/>
        <w:jc w:val="left"/>
        <w:rPr>
          <w:sz w:val="22"/>
        </w:rPr>
        <w:sectPr>
          <w:pgSz w:w="11910" w:h="16840"/>
          <w:pgMar w:top="1100" w:right="660" w:bottom="1200" w:left="800" w:header="878" w:footer="1003" w:gutter="0"/>
          <w:cols w:space="720" w:num="1"/>
        </w:sectPr>
      </w:pPr>
    </w:p>
    <w:p>
      <w:pPr>
        <w:pStyle w:val="9"/>
        <w:spacing w:before="1"/>
        <w:rPr>
          <w:sz w:val="18"/>
        </w:rPr>
      </w:pPr>
    </w:p>
    <w:p>
      <w:pPr>
        <w:pStyle w:val="9"/>
        <w:spacing w:before="70" w:line="266" w:lineRule="auto"/>
        <w:ind w:left="731" w:right="890"/>
        <w:jc w:val="both"/>
      </w:pPr>
      <w:r>
        <w:t>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负责人和专职安全生产管理人员均应当具备有效的安全生产考核合格证书。</w:t>
      </w:r>
    </w:p>
    <w:p>
      <w:pPr>
        <w:pStyle w:val="13"/>
        <w:numPr>
          <w:ilvl w:val="2"/>
          <w:numId w:val="95"/>
        </w:numPr>
        <w:tabs>
          <w:tab w:val="left" w:pos="1836"/>
        </w:tabs>
        <w:spacing w:before="4" w:after="0" w:line="266" w:lineRule="auto"/>
        <w:ind w:left="731" w:right="890" w:firstLine="499"/>
        <w:jc w:val="both"/>
        <w:rPr>
          <w:sz w:val="22"/>
        </w:rPr>
      </w:pPr>
      <w:r>
        <w:rPr>
          <w:spacing w:val="-3"/>
          <w:sz w:val="22"/>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pStyle w:val="13"/>
        <w:numPr>
          <w:ilvl w:val="2"/>
          <w:numId w:val="95"/>
        </w:numPr>
        <w:tabs>
          <w:tab w:val="left" w:pos="1893"/>
        </w:tabs>
        <w:spacing w:before="5" w:after="0" w:line="266" w:lineRule="auto"/>
        <w:ind w:left="731" w:right="777" w:firstLine="501"/>
        <w:jc w:val="left"/>
        <w:rPr>
          <w:sz w:val="22"/>
        </w:rPr>
      </w:pPr>
      <w:r>
        <w:rPr>
          <w:spacing w:val="-5"/>
          <w:sz w:val="22"/>
        </w:rPr>
        <w:t>承包人应为其进场施工人员配备必需的安全防护设施和设备，承包人还应为现场</w:t>
      </w:r>
      <w:r>
        <w:rPr>
          <w:spacing w:val="-8"/>
          <w:sz w:val="22"/>
        </w:rPr>
        <w:t>邻近地区的所有者和占有者、公众和其他人员，提供一切必要的临时道路、人行道、防护棚、</w:t>
      </w:r>
      <w:r>
        <w:rPr>
          <w:spacing w:val="-3"/>
          <w:sz w:val="22"/>
        </w:rPr>
        <w:t>围栏及警告等，以确保财产和人身安全以及最大程度地降低施工可能造成的不便。</w:t>
      </w:r>
    </w:p>
    <w:p>
      <w:pPr>
        <w:pStyle w:val="13"/>
        <w:numPr>
          <w:ilvl w:val="2"/>
          <w:numId w:val="95"/>
        </w:numPr>
        <w:tabs>
          <w:tab w:val="left" w:pos="1893"/>
        </w:tabs>
        <w:spacing w:before="2" w:after="0" w:line="266" w:lineRule="auto"/>
        <w:ind w:left="731" w:right="849" w:firstLine="501"/>
        <w:jc w:val="both"/>
        <w:rPr>
          <w:sz w:val="22"/>
        </w:rPr>
      </w:pPr>
      <w:r>
        <w:rPr>
          <w:spacing w:val="-3"/>
          <w:sz w:val="22"/>
        </w:rPr>
        <w:t>承包人应在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工程师的指示，经常补充或更换失效的警示和标志。</w:t>
      </w:r>
    </w:p>
    <w:p>
      <w:pPr>
        <w:pStyle w:val="13"/>
        <w:numPr>
          <w:ilvl w:val="2"/>
          <w:numId w:val="95"/>
        </w:numPr>
        <w:tabs>
          <w:tab w:val="left" w:pos="1893"/>
        </w:tabs>
        <w:spacing w:before="5" w:after="0" w:line="266" w:lineRule="auto"/>
        <w:ind w:left="731" w:right="890" w:firstLine="501"/>
        <w:jc w:val="both"/>
        <w:rPr>
          <w:sz w:val="22"/>
        </w:rPr>
      </w:pPr>
      <w:r>
        <w:rPr>
          <w:spacing w:val="-5"/>
          <w:sz w:val="22"/>
        </w:rPr>
        <w:t>承包人应对现场内由其提供并安装的所有提升架、外用电梯和塔吊等垂直和水平</w:t>
      </w:r>
      <w:r>
        <w:rPr>
          <w:spacing w:val="-3"/>
          <w:sz w:val="22"/>
        </w:rPr>
        <w:t>运输机械进行安全围护，包括卸料平台门的安全开关、警示铃和警示灯，卸料平台的护身栏杆，脚手架和安全网等等；所有的机械设备应设置安全操作防护罩，并在醒目位置张挂详细的安全操作要点等。</w:t>
      </w:r>
    </w:p>
    <w:p>
      <w:pPr>
        <w:pStyle w:val="13"/>
        <w:numPr>
          <w:ilvl w:val="2"/>
          <w:numId w:val="95"/>
        </w:numPr>
        <w:tabs>
          <w:tab w:val="left" w:pos="1893"/>
        </w:tabs>
        <w:spacing w:before="4" w:after="0" w:line="266" w:lineRule="auto"/>
        <w:ind w:left="731" w:right="887" w:firstLine="501"/>
        <w:jc w:val="both"/>
        <w:rPr>
          <w:sz w:val="22"/>
        </w:rPr>
      </w:pPr>
      <w:r>
        <w:rPr>
          <w:spacing w:val="-7"/>
          <w:sz w:val="22"/>
        </w:rPr>
        <w:t>承包人应对所有用于提升的挂钩、挂环、钢丝绳、铁扁担等进行定期检测、检查</w:t>
      </w:r>
      <w:r>
        <w:rPr>
          <w:spacing w:val="-3"/>
          <w:sz w:val="22"/>
        </w:rPr>
        <w:t>和标定；如果工程师认为，任何此类设施已经损坏或有使用不当之处，承包人应立即以合格的产品进行更换或纠正当之处；所有垂直和水平运输机械的搭设、顶升、使用和拆除必须严格依照现行有关法规、规章、规范、标准和规程等的要求。</w:t>
      </w:r>
    </w:p>
    <w:p>
      <w:pPr>
        <w:pStyle w:val="13"/>
        <w:numPr>
          <w:ilvl w:val="2"/>
          <w:numId w:val="95"/>
        </w:numPr>
        <w:tabs>
          <w:tab w:val="left" w:pos="2052"/>
        </w:tabs>
        <w:spacing w:before="3" w:after="0" w:line="266" w:lineRule="auto"/>
        <w:ind w:left="731" w:right="890" w:firstLine="549"/>
        <w:jc w:val="both"/>
        <w:rPr>
          <w:sz w:val="22"/>
        </w:rPr>
      </w:pPr>
      <w:r>
        <w:rPr>
          <w:spacing w:val="-3"/>
          <w:sz w:val="22"/>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pStyle w:val="13"/>
        <w:numPr>
          <w:ilvl w:val="2"/>
          <w:numId w:val="95"/>
        </w:numPr>
        <w:tabs>
          <w:tab w:val="left" w:pos="1948"/>
        </w:tabs>
        <w:spacing w:before="3" w:after="0" w:line="268" w:lineRule="auto"/>
        <w:ind w:left="731" w:right="890" w:firstLine="501"/>
        <w:jc w:val="both"/>
        <w:rPr>
          <w:sz w:val="22"/>
        </w:rPr>
      </w:pPr>
      <w:r>
        <w:rPr>
          <w:spacing w:val="-9"/>
          <w:sz w:val="22"/>
        </w:rPr>
        <w:t>在永久工程和施工边坡、建筑物基坑、地下洞室等的开挖过程中，应根据其施工</w:t>
      </w:r>
      <w:r>
        <w:rPr>
          <w:spacing w:val="-3"/>
          <w:sz w:val="22"/>
        </w:rPr>
        <w:t>安全的需要和(或)工程师指示，安装必要的施工安全监测仪器，及时进行必要的施工安全监测，并定期将安全监测成果提交工程师，以防止引起可能导致安全事故或影响正常施工进度的沉降、变形或其他损害。</w:t>
      </w:r>
    </w:p>
    <w:p>
      <w:pPr>
        <w:pStyle w:val="13"/>
        <w:numPr>
          <w:ilvl w:val="2"/>
          <w:numId w:val="95"/>
        </w:numPr>
        <w:tabs>
          <w:tab w:val="left" w:pos="1948"/>
        </w:tabs>
        <w:spacing w:before="0" w:after="0" w:line="268" w:lineRule="auto"/>
        <w:ind w:left="731" w:right="890" w:firstLine="501"/>
        <w:jc w:val="both"/>
        <w:rPr>
          <w:sz w:val="22"/>
        </w:rPr>
      </w:pPr>
      <w:r>
        <w:rPr>
          <w:spacing w:val="-7"/>
          <w:sz w:val="22"/>
        </w:rPr>
        <w:t>承包人应对任何施工中的永久工程进行必要的支撑或临时加固。除非承包人已获</w:t>
      </w:r>
      <w:r>
        <w:rPr>
          <w:spacing w:val="-3"/>
          <w:sz w:val="22"/>
        </w:rPr>
        <w:t>得工程师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pStyle w:val="13"/>
        <w:numPr>
          <w:ilvl w:val="2"/>
          <w:numId w:val="95"/>
        </w:numPr>
        <w:tabs>
          <w:tab w:val="left" w:pos="1941"/>
        </w:tabs>
        <w:spacing w:before="0" w:after="0" w:line="268" w:lineRule="auto"/>
        <w:ind w:left="731" w:right="890" w:firstLine="439"/>
        <w:jc w:val="both"/>
        <w:rPr>
          <w:sz w:val="22"/>
        </w:rPr>
      </w:pPr>
      <w:r>
        <w:rPr>
          <w:spacing w:val="-9"/>
          <w:sz w:val="22"/>
        </w:rPr>
        <w:t>承包人应成立应急救援小组，配备必要的应急救援器材和设备，制定灾害和生产</w:t>
      </w:r>
      <w:r>
        <w:rPr>
          <w:spacing w:val="-3"/>
          <w:sz w:val="22"/>
        </w:rPr>
        <w:t>安全事故的应急救援预案，并将应急救援预案报送工程师。应急救援预案应能随时组织应救专职人员、并定期组织演练。</w:t>
      </w:r>
    </w:p>
    <w:p>
      <w:pPr>
        <w:pStyle w:val="13"/>
        <w:numPr>
          <w:ilvl w:val="2"/>
          <w:numId w:val="95"/>
        </w:numPr>
        <w:tabs>
          <w:tab w:val="left" w:pos="1932"/>
        </w:tabs>
        <w:spacing w:before="0" w:after="0" w:line="268" w:lineRule="auto"/>
        <w:ind w:left="731" w:right="890" w:firstLine="429"/>
        <w:jc w:val="both"/>
        <w:rPr>
          <w:sz w:val="22"/>
        </w:rPr>
      </w:pPr>
      <w:r>
        <w:rPr>
          <w:spacing w:val="-6"/>
          <w:sz w:val="22"/>
        </w:rPr>
        <w:t>施工过程中需要使用爆破或带炸药的工具等危险性施工方法时，承包人应提前通</w:t>
      </w:r>
      <w:r>
        <w:rPr>
          <w:spacing w:val="-3"/>
          <w:sz w:val="22"/>
        </w:rPr>
        <w:t>知工程师。经工程师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w:t>
      </w:r>
    </w:p>
    <w:p>
      <w:pPr>
        <w:spacing w:after="0" w:line="268" w:lineRule="auto"/>
        <w:jc w:val="both"/>
        <w:rPr>
          <w:sz w:val="22"/>
        </w:rPr>
        <w:sectPr>
          <w:pgSz w:w="11910" w:h="16840"/>
          <w:pgMar w:top="1100" w:right="660" w:bottom="1200" w:left="800" w:header="878" w:footer="1003" w:gutter="0"/>
          <w:cols w:space="720" w:num="1"/>
        </w:sectPr>
      </w:pPr>
    </w:p>
    <w:p>
      <w:pPr>
        <w:pStyle w:val="9"/>
        <w:spacing w:before="1"/>
        <w:rPr>
          <w:sz w:val="18"/>
        </w:rPr>
      </w:pPr>
    </w:p>
    <w:p>
      <w:pPr>
        <w:pStyle w:val="9"/>
        <w:spacing w:before="70"/>
        <w:ind w:left="731"/>
      </w:pPr>
      <w:r>
        <w:t>方法。</w:t>
      </w:r>
    </w:p>
    <w:p>
      <w:pPr>
        <w:pStyle w:val="13"/>
        <w:numPr>
          <w:ilvl w:val="2"/>
          <w:numId w:val="95"/>
        </w:numPr>
        <w:tabs>
          <w:tab w:val="left" w:pos="1876"/>
        </w:tabs>
        <w:spacing w:before="30" w:after="0" w:line="268" w:lineRule="auto"/>
        <w:ind w:left="731" w:right="782" w:firstLine="429"/>
        <w:jc w:val="left"/>
        <w:rPr>
          <w:sz w:val="22"/>
        </w:rPr>
      </w:pPr>
      <w:r>
        <w:rPr>
          <w:spacing w:val="-11"/>
          <w:sz w:val="22"/>
        </w:rPr>
        <w:t>当基坑支护与降水工程、土方开挖工程、模板工程、起重吊装工程、脚手架工程、</w:t>
      </w:r>
      <w:r>
        <w:rPr>
          <w:spacing w:val="-7"/>
          <w:sz w:val="22"/>
        </w:rPr>
        <w:t>拆除工程和爆破工程等达到一定规模时，在实施这些工程和其他危险性较大的分部分项工程</w:t>
      </w:r>
      <w:r>
        <w:rPr>
          <w:spacing w:val="-6"/>
          <w:sz w:val="22"/>
        </w:rPr>
        <w:t>之前，承包人应当编制专项施工方案，其中深基坑、地下暗挖和高大模板工程的专项施工方</w:t>
      </w:r>
      <w:r>
        <w:rPr>
          <w:spacing w:val="-3"/>
          <w:sz w:val="22"/>
        </w:rPr>
        <w:t>案，还应组织专家进行论证和审查。</w:t>
      </w:r>
    </w:p>
    <w:p>
      <w:pPr>
        <w:pStyle w:val="13"/>
        <w:numPr>
          <w:ilvl w:val="2"/>
          <w:numId w:val="95"/>
        </w:numPr>
        <w:tabs>
          <w:tab w:val="left" w:pos="1876"/>
        </w:tabs>
        <w:spacing w:before="0" w:after="0" w:line="266" w:lineRule="auto"/>
        <w:ind w:left="731" w:right="890" w:firstLine="429"/>
        <w:jc w:val="both"/>
        <w:rPr>
          <w:sz w:val="22"/>
        </w:rPr>
      </w:pPr>
      <w:r>
        <w:rPr>
          <w:spacing w:val="-4"/>
          <w:sz w:val="22"/>
        </w:rPr>
        <w:t>承包人应按照合同约定的条款处理本工程施工过程中发生的事故。发生施工安全</w:t>
      </w:r>
      <w:r>
        <w:rPr>
          <w:spacing w:val="-3"/>
          <w:sz w:val="22"/>
        </w:rPr>
        <w:t>事故后，承包人必须立即报告工程师和发包人，并在事故发生后一小时内向发包人提交事故情况书面报告，并根据《生产安全事故报告和调查处理条例》的规定，及时向本市工程所在地县级以上地方人民政府安全生产监督管理部门和建设行政主管部门报告。情况紧急时，事故现场有关人员可以直接向本市工程所在地县级以上地方人民政府安全生产监督管理部门和建设行政主管部门报告。</w:t>
      </w:r>
    </w:p>
    <w:p>
      <w:pPr>
        <w:pStyle w:val="13"/>
        <w:numPr>
          <w:ilvl w:val="2"/>
          <w:numId w:val="95"/>
        </w:numPr>
        <w:tabs>
          <w:tab w:val="left" w:pos="1876"/>
        </w:tabs>
        <w:spacing w:before="0" w:after="0" w:line="266" w:lineRule="auto"/>
        <w:ind w:left="731" w:right="890" w:firstLine="429"/>
        <w:jc w:val="both"/>
        <w:rPr>
          <w:sz w:val="22"/>
        </w:rPr>
      </w:pPr>
      <w:r>
        <w:rPr>
          <w:spacing w:val="-6"/>
          <w:sz w:val="22"/>
        </w:rPr>
        <w:t>承包人还应根据有关法律、法规、规定和条例等的要求，制定一套安全生产应急</w:t>
      </w:r>
      <w:r>
        <w:rPr>
          <w:spacing w:val="-3"/>
          <w:sz w:val="22"/>
        </w:rPr>
        <w:t>措施和程序，保证一旦出现任何安全事故，能立即保护好现场，抢救伤员和财产，保证施工生产的正常进行，防止损失扩大。</w:t>
      </w:r>
    </w:p>
    <w:p>
      <w:pPr>
        <w:pStyle w:val="13"/>
        <w:numPr>
          <w:ilvl w:val="2"/>
          <w:numId w:val="95"/>
        </w:numPr>
        <w:tabs>
          <w:tab w:val="left" w:pos="1924"/>
        </w:tabs>
        <w:spacing w:before="1" w:after="0" w:line="240" w:lineRule="auto"/>
        <w:ind w:left="1924" w:right="0" w:hanging="716"/>
        <w:jc w:val="both"/>
        <w:rPr>
          <w:sz w:val="22"/>
        </w:rPr>
      </w:pPr>
      <w:r>
        <w:rPr>
          <w:spacing w:val="-3"/>
          <w:sz w:val="22"/>
        </w:rPr>
        <w:t>安全防护方面的其他要求如下：</w:t>
      </w:r>
    </w:p>
    <w:p>
      <w:pPr>
        <w:pStyle w:val="9"/>
        <w:spacing w:before="33" w:line="268" w:lineRule="auto"/>
        <w:ind w:left="1156" w:right="892"/>
        <w:jc w:val="both"/>
      </w:pPr>
      <w:r>
        <w:rPr>
          <w:spacing w:val="-4"/>
          <w:u w:val="single"/>
        </w:rPr>
        <w:t xml:space="preserve">工程的安全生产必须按国务院令第 </w:t>
      </w:r>
      <w:r>
        <w:rPr>
          <w:u w:val="single"/>
        </w:rPr>
        <w:t>393</w:t>
      </w:r>
      <w:r>
        <w:rPr>
          <w:spacing w:val="-8"/>
          <w:u w:val="single"/>
        </w:rPr>
        <w:t xml:space="preserve"> 号《建设工程安全生产管理条例》进行施工，如</w:t>
      </w:r>
      <w:r>
        <w:rPr>
          <w:spacing w:val="-3"/>
          <w:u w:val="single"/>
        </w:rPr>
        <w:t>发生违反本条例规定的将承担相应责任。</w:t>
      </w:r>
      <w:r>
        <w:rPr>
          <w:spacing w:val="-1"/>
          <w:u w:val="single"/>
        </w:rPr>
        <w:t xml:space="preserve"> </w:t>
      </w:r>
    </w:p>
    <w:p>
      <w:pPr>
        <w:pStyle w:val="9"/>
        <w:spacing w:line="266" w:lineRule="auto"/>
        <w:ind w:left="1156" w:right="892"/>
        <w:jc w:val="both"/>
      </w:pPr>
      <w:r>
        <w:rPr>
          <w:spacing w:val="-1"/>
          <w:u w:val="single"/>
        </w:rPr>
        <w:t>承包人在签订工程施工合同的同时，必须根据《建筑安全生产监督管理规定》和《</w:t>
      </w:r>
      <w:r>
        <w:rPr>
          <w:rFonts w:hint="eastAsia"/>
          <w:spacing w:val="-1"/>
          <w:u w:val="single"/>
        </w:rPr>
        <w:t>青岛</w:t>
      </w:r>
      <w:r>
        <w:rPr>
          <w:spacing w:val="-211"/>
          <w:u w:val="single"/>
        </w:rPr>
        <w:t>市</w:t>
      </w:r>
      <w:r>
        <w:rPr>
          <w:spacing w:val="-1"/>
          <w:u w:val="single"/>
        </w:rPr>
        <w:t>建设工程文明施工管理暂行规定》的规定要求，与发包人签订安全生产和治安消防协议书、文明施工协议书、廉洁协议书，承包人若违反规定野蛮施工、违章作业等，招标</w:t>
      </w:r>
      <w:r>
        <w:rPr>
          <w:spacing w:val="-107"/>
          <w:u w:val="single"/>
        </w:rPr>
        <w:t>人有</w:t>
      </w:r>
      <w:r>
        <w:rPr>
          <w:spacing w:val="-3"/>
          <w:u w:val="single"/>
        </w:rPr>
        <w:t>权限令停工整改，一切损失由承包人承担。</w:t>
      </w:r>
    </w:p>
    <w:p>
      <w:pPr>
        <w:pStyle w:val="9"/>
        <w:spacing w:before="1" w:line="266" w:lineRule="auto"/>
        <w:ind w:left="1156" w:right="892"/>
        <w:jc w:val="both"/>
      </w:pPr>
      <w:r>
        <w:rPr>
          <w:spacing w:val="-1"/>
          <w:u w:val="single"/>
        </w:rPr>
        <w:t>杜绝重大恶性事故发生，杜绝重大伤亡事故，控制工伤年频率，无重大设备事故、管线事故。必须达到安全达标工地，如未达到，建设单位将参照施工合同专用条款的约定进</w:t>
      </w:r>
      <w:r>
        <w:rPr>
          <w:spacing w:val="-206"/>
          <w:u w:val="single"/>
        </w:rPr>
        <w:t>行处</w:t>
      </w:r>
      <w:r>
        <w:rPr>
          <w:spacing w:val="-2"/>
          <w:u w:val="single"/>
        </w:rPr>
        <w:t>罚。如发生安全伤亡事故，由承包人承担全部责任。除相关部门处罚以罚款外，招标人</w:t>
      </w:r>
      <w:r>
        <w:rPr>
          <w:spacing w:val="-7"/>
          <w:u w:val="single"/>
        </w:rPr>
        <w:t xml:space="preserve">另按每死亡一人扣除合同总价的 </w:t>
      </w:r>
      <w:r>
        <w:rPr>
          <w:u w:val="single"/>
        </w:rPr>
        <w:t>5%</w:t>
      </w:r>
      <w:r>
        <w:rPr>
          <w:spacing w:val="-3"/>
          <w:u w:val="single"/>
        </w:rPr>
        <w:t>的标准对承包人进行处罚。</w:t>
      </w:r>
    </w:p>
    <w:p>
      <w:pPr>
        <w:pStyle w:val="13"/>
        <w:numPr>
          <w:ilvl w:val="1"/>
          <w:numId w:val="95"/>
        </w:numPr>
        <w:tabs>
          <w:tab w:val="left" w:pos="1116"/>
        </w:tabs>
        <w:spacing w:before="76" w:after="0" w:line="240" w:lineRule="auto"/>
        <w:ind w:left="1115" w:right="0" w:hanging="385"/>
        <w:jc w:val="both"/>
        <w:rPr>
          <w:sz w:val="22"/>
        </w:rPr>
      </w:pPr>
      <w:r>
        <w:rPr>
          <w:spacing w:val="-2"/>
          <w:sz w:val="22"/>
        </w:rPr>
        <w:t>临时消防</w:t>
      </w:r>
    </w:p>
    <w:p>
      <w:pPr>
        <w:pStyle w:val="13"/>
        <w:numPr>
          <w:ilvl w:val="2"/>
          <w:numId w:val="95"/>
        </w:numPr>
        <w:tabs>
          <w:tab w:val="left" w:pos="1821"/>
        </w:tabs>
        <w:spacing w:before="102" w:after="0" w:line="268" w:lineRule="auto"/>
        <w:ind w:left="731" w:right="890" w:firstLine="429"/>
        <w:jc w:val="both"/>
        <w:rPr>
          <w:sz w:val="22"/>
        </w:rPr>
      </w:pPr>
      <w:r>
        <w:rPr>
          <w:spacing w:val="-1"/>
          <w:sz w:val="22"/>
        </w:rPr>
        <w:t>承包人应建立消防安全责任制度，制定用火、用电和使用易燃易爆等危险品的消</w:t>
      </w:r>
      <w:r>
        <w:rPr>
          <w:spacing w:val="-3"/>
          <w:sz w:val="22"/>
        </w:rPr>
        <w:t>防安全管理制度和操作规程。各项制度和规程等应满足相关法律法规和政府消防管理部门的</w:t>
      </w:r>
      <w:r>
        <w:rPr>
          <w:spacing w:val="-2"/>
          <w:sz w:val="22"/>
        </w:rPr>
        <w:t>要求。</w:t>
      </w:r>
    </w:p>
    <w:p>
      <w:pPr>
        <w:pStyle w:val="13"/>
        <w:numPr>
          <w:ilvl w:val="2"/>
          <w:numId w:val="95"/>
        </w:numPr>
        <w:tabs>
          <w:tab w:val="left" w:pos="1821"/>
        </w:tabs>
        <w:spacing w:before="0" w:after="0" w:line="266" w:lineRule="auto"/>
        <w:ind w:left="731" w:right="779" w:firstLine="429"/>
        <w:jc w:val="left"/>
        <w:rPr>
          <w:sz w:val="22"/>
        </w:rPr>
      </w:pPr>
      <w:r>
        <w:rPr>
          <w:sz w:val="22"/>
        </w:rPr>
        <w:t>承包人应根据相关法律法规和消防管理部门的要求，为施工中的永久工程和所有</w:t>
      </w:r>
      <w:r>
        <w:rPr>
          <w:spacing w:val="-3"/>
          <w:sz w:val="22"/>
        </w:rPr>
        <w:t>临时工程提供必要的临时消防和紧急疏散设施，包括提供并维持畅通的消防通道、临时消火</w:t>
      </w:r>
      <w:r>
        <w:rPr>
          <w:spacing w:val="-12"/>
          <w:sz w:val="22"/>
        </w:rPr>
        <w:t>栓、灭火器、水龙带、灭火桶、灭火铲、灭火斧、消防水管、阀门、检查井、临时消防水箱、</w:t>
      </w:r>
      <w:r>
        <w:rPr>
          <w:spacing w:val="-8"/>
          <w:sz w:val="22"/>
        </w:rPr>
        <w:t>泵房和紧随工作面的临时疏散楼梯或疏散设施，消防设施的设立和消防设备的型号和功率应</w:t>
      </w:r>
      <w:r>
        <w:rPr>
          <w:spacing w:val="-6"/>
          <w:sz w:val="22"/>
        </w:rPr>
        <w:t>满足消防任务的需要，始终保持能够随时投入正常使用的状态，并设立明显标志。承包人的</w:t>
      </w:r>
      <w:r>
        <w:rPr>
          <w:spacing w:val="-5"/>
          <w:sz w:val="22"/>
        </w:rPr>
        <w:t>临时消防系统和配置应分别经过工程师和消防管理部门的审批和验收；承包人还应自费获得消防管理部门的临时消防证书。所有的临时消防设施属于承包人所有，至工程实际竣工时且</w:t>
      </w:r>
      <w:r>
        <w:rPr>
          <w:spacing w:val="-3"/>
          <w:sz w:val="22"/>
        </w:rPr>
        <w:t>永久性消防系统投入使用后从现场拆除。</w:t>
      </w:r>
    </w:p>
    <w:p>
      <w:pPr>
        <w:pStyle w:val="13"/>
        <w:numPr>
          <w:ilvl w:val="2"/>
          <w:numId w:val="95"/>
        </w:numPr>
        <w:tabs>
          <w:tab w:val="left" w:pos="1821"/>
        </w:tabs>
        <w:spacing w:before="3" w:after="0" w:line="266" w:lineRule="auto"/>
        <w:ind w:left="731" w:right="779" w:firstLine="429"/>
        <w:jc w:val="left"/>
        <w:rPr>
          <w:sz w:val="22"/>
        </w:rPr>
      </w:pPr>
      <w:r>
        <w:rPr>
          <w:sz w:val="22"/>
        </w:rPr>
        <w:t>承包人应当成立由项目主要负责人担任组长的临时消防组或消防队，宣传消防基</w:t>
      </w:r>
      <w:r>
        <w:rPr>
          <w:spacing w:val="-8"/>
          <w:sz w:val="22"/>
        </w:rPr>
        <w:t xml:space="preserve">本知识和进行消防基本操作培训，组织消防演练，保证一旦发生火灾，能够组织有效的自救， </w:t>
      </w:r>
      <w:r>
        <w:rPr>
          <w:spacing w:val="-3"/>
          <w:sz w:val="22"/>
        </w:rPr>
        <w:t>保护生命和财产安全。</w:t>
      </w:r>
    </w:p>
    <w:p>
      <w:pPr>
        <w:pStyle w:val="13"/>
        <w:numPr>
          <w:ilvl w:val="2"/>
          <w:numId w:val="95"/>
        </w:numPr>
        <w:tabs>
          <w:tab w:val="left" w:pos="1821"/>
        </w:tabs>
        <w:spacing w:before="2" w:after="0" w:line="268" w:lineRule="auto"/>
        <w:ind w:left="731" w:right="890" w:firstLine="429"/>
        <w:jc w:val="both"/>
        <w:rPr>
          <w:sz w:val="22"/>
        </w:rPr>
      </w:pPr>
      <w:r>
        <w:rPr>
          <w:spacing w:val="-1"/>
          <w:sz w:val="22"/>
        </w:rPr>
        <w:t>现场内的易燃、易爆物品应单独和安全地存放，设专人进行存放和领用管理。现</w:t>
      </w:r>
      <w:r>
        <w:rPr>
          <w:spacing w:val="-3"/>
          <w:sz w:val="22"/>
        </w:rPr>
        <w:t>场储有或正在使用易燃、易爆或可燃材料时或要进行有明火施工的工序时，应当实行严格的“用火证”管理制度。</w:t>
      </w:r>
    </w:p>
    <w:p>
      <w:pPr>
        <w:pStyle w:val="13"/>
        <w:numPr>
          <w:ilvl w:val="2"/>
          <w:numId w:val="95"/>
        </w:numPr>
        <w:tabs>
          <w:tab w:val="left" w:pos="1869"/>
        </w:tabs>
        <w:spacing w:before="0" w:after="0" w:line="278" w:lineRule="exact"/>
        <w:ind w:left="1868" w:right="0" w:hanging="661"/>
        <w:jc w:val="both"/>
        <w:rPr>
          <w:sz w:val="22"/>
        </w:rPr>
      </w:pPr>
      <w:r>
        <w:rPr>
          <w:spacing w:val="-3"/>
          <w:sz w:val="22"/>
        </w:rPr>
        <w:t>临时消防方面的其他要求如下：</w:t>
      </w:r>
      <w:r>
        <w:rPr>
          <w:spacing w:val="109"/>
          <w:sz w:val="22"/>
          <w:u w:val="single"/>
        </w:rPr>
        <w:t xml:space="preserve"> </w:t>
      </w:r>
      <w:r>
        <w:rPr>
          <w:sz w:val="22"/>
          <w:u w:val="single"/>
        </w:rPr>
        <w:t xml:space="preserve">/ </w:t>
      </w:r>
      <w:r>
        <w:rPr>
          <w:sz w:val="22"/>
        </w:rPr>
        <w:t xml:space="preserve"> 。</w:t>
      </w:r>
    </w:p>
    <w:p>
      <w:pPr>
        <w:spacing w:after="0" w:line="278" w:lineRule="exact"/>
        <w:jc w:val="both"/>
        <w:rPr>
          <w:sz w:val="22"/>
        </w:rPr>
        <w:sectPr>
          <w:pgSz w:w="11910" w:h="16840"/>
          <w:pgMar w:top="1100" w:right="660" w:bottom="1200" w:left="800" w:header="878" w:footer="1003" w:gutter="0"/>
          <w:cols w:space="720" w:num="1"/>
        </w:sectPr>
      </w:pPr>
    </w:p>
    <w:p>
      <w:pPr>
        <w:pStyle w:val="9"/>
        <w:spacing w:before="1"/>
        <w:rPr>
          <w:sz w:val="18"/>
        </w:rPr>
      </w:pPr>
    </w:p>
    <w:p>
      <w:pPr>
        <w:pStyle w:val="13"/>
        <w:numPr>
          <w:ilvl w:val="1"/>
          <w:numId w:val="95"/>
        </w:numPr>
        <w:tabs>
          <w:tab w:val="left" w:pos="1171"/>
        </w:tabs>
        <w:spacing w:before="70" w:after="0" w:line="240" w:lineRule="auto"/>
        <w:ind w:left="1170" w:right="0" w:hanging="440"/>
        <w:jc w:val="left"/>
        <w:rPr>
          <w:sz w:val="22"/>
        </w:rPr>
      </w:pPr>
      <w:r>
        <w:rPr>
          <w:spacing w:val="-2"/>
          <w:sz w:val="22"/>
        </w:rPr>
        <w:t>临时供电</w:t>
      </w:r>
    </w:p>
    <w:p>
      <w:pPr>
        <w:pStyle w:val="13"/>
        <w:numPr>
          <w:ilvl w:val="2"/>
          <w:numId w:val="95"/>
        </w:numPr>
        <w:tabs>
          <w:tab w:val="left" w:pos="1768"/>
        </w:tabs>
        <w:spacing w:before="102" w:after="0" w:line="268" w:lineRule="auto"/>
        <w:ind w:left="731" w:right="779" w:firstLine="429"/>
        <w:jc w:val="left"/>
        <w:rPr>
          <w:sz w:val="22"/>
        </w:rPr>
      </w:pPr>
      <w:r>
        <w:rPr>
          <w:sz w:val="22"/>
        </w:rPr>
        <w:t>承包人应当根据《施工现场临时用电安全技术规范》(JGJ</w:t>
      </w:r>
      <w:r>
        <w:rPr>
          <w:spacing w:val="29"/>
          <w:sz w:val="22"/>
        </w:rPr>
        <w:t xml:space="preserve"> </w:t>
      </w:r>
      <w:r>
        <w:rPr>
          <w:sz w:val="22"/>
        </w:rPr>
        <w:t>46—2005)及其适用的</w:t>
      </w:r>
      <w:r>
        <w:rPr>
          <w:spacing w:val="-7"/>
          <w:sz w:val="22"/>
        </w:rPr>
        <w:t>修订版本的规定和施工要求编制施工临时用电方案。临时用电方案及其变更必须履行“编制、</w:t>
      </w:r>
      <w:r>
        <w:rPr>
          <w:spacing w:val="-6"/>
          <w:sz w:val="22"/>
        </w:rPr>
        <w:t>审核、批准”程序。施工临时用电方案应当由电气工程技术人员组织编制，经企业技术负责</w:t>
      </w:r>
      <w:r>
        <w:rPr>
          <w:spacing w:val="-3"/>
          <w:sz w:val="22"/>
        </w:rPr>
        <w:t>人批准后实施，经编制、审核、批准部门和使用单位共同验收合格后方可投入使用。</w:t>
      </w:r>
    </w:p>
    <w:p>
      <w:pPr>
        <w:pStyle w:val="13"/>
        <w:numPr>
          <w:ilvl w:val="2"/>
          <w:numId w:val="95"/>
        </w:numPr>
        <w:tabs>
          <w:tab w:val="left" w:pos="1821"/>
        </w:tabs>
        <w:spacing w:before="0" w:after="0" w:line="266" w:lineRule="auto"/>
        <w:ind w:left="731" w:right="890" w:firstLine="429"/>
        <w:jc w:val="both"/>
        <w:rPr>
          <w:sz w:val="22"/>
        </w:rPr>
      </w:pPr>
      <w:r>
        <w:rPr>
          <w:spacing w:val="-1"/>
          <w:sz w:val="22"/>
        </w:rPr>
        <w:t>承包人应为现场，包括为工程楼层或者各区域，提供、设立和维护必要的临时电</w:t>
      </w:r>
      <w:r>
        <w:rPr>
          <w:spacing w:val="-3"/>
          <w:sz w:val="22"/>
        </w:rPr>
        <w:t>力供应系统，并保证电力供应系统始终处于满足供电管理部门要求和正常施工生产所要求的状态，并在工程实际竣工和相应永久系统投入使用后从现场拆除。</w:t>
      </w:r>
    </w:p>
    <w:p>
      <w:pPr>
        <w:pStyle w:val="13"/>
        <w:numPr>
          <w:ilvl w:val="2"/>
          <w:numId w:val="95"/>
        </w:numPr>
        <w:tabs>
          <w:tab w:val="left" w:pos="1821"/>
        </w:tabs>
        <w:spacing w:before="0" w:after="0" w:line="266" w:lineRule="auto"/>
        <w:ind w:left="731" w:right="890" w:firstLine="429"/>
        <w:jc w:val="both"/>
        <w:rPr>
          <w:sz w:val="22"/>
        </w:rPr>
      </w:pPr>
      <w:r>
        <w:rPr>
          <w:spacing w:val="-1"/>
          <w:sz w:val="22"/>
        </w:rPr>
        <w:t>临时供电系统的电缆、电线、配电箱、控制柜、开关箱、漏电保护器等材料设备</w:t>
      </w:r>
      <w:r>
        <w:rPr>
          <w:spacing w:val="-3"/>
          <w:sz w:val="22"/>
        </w:rPr>
        <w:t>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沿地面明设，并应避免机械损伤和介质腐蚀。埋地电缆路径应设方位标志。各种配电设备均设有防止漏电和防雨防水设施。</w:t>
      </w:r>
    </w:p>
    <w:p>
      <w:pPr>
        <w:pStyle w:val="13"/>
        <w:numPr>
          <w:ilvl w:val="2"/>
          <w:numId w:val="95"/>
        </w:numPr>
        <w:tabs>
          <w:tab w:val="left" w:pos="1821"/>
        </w:tabs>
        <w:spacing w:before="1" w:after="0" w:line="268" w:lineRule="auto"/>
        <w:ind w:left="731" w:right="782" w:firstLine="429"/>
        <w:jc w:val="left"/>
        <w:rPr>
          <w:sz w:val="22"/>
        </w:rPr>
      </w:pPr>
      <w:r>
        <w:rPr>
          <w:spacing w:val="-9"/>
          <w:sz w:val="22"/>
        </w:rPr>
        <w:t xml:space="preserve">承包人应在施工作业区、施工道路、临时设施、办公区和生活区设置足够的照明， </w:t>
      </w:r>
      <w:r>
        <w:rPr>
          <w:spacing w:val="-11"/>
          <w:sz w:val="22"/>
        </w:rPr>
        <w:t xml:space="preserve">地下工程照明系统的电压不得高于 </w:t>
      </w:r>
      <w:r>
        <w:rPr>
          <w:sz w:val="22"/>
        </w:rPr>
        <w:t>36V，在潮湿和易触及带电体场所的照明供电电压不应大</w:t>
      </w:r>
      <w:r>
        <w:rPr>
          <w:spacing w:val="-29"/>
          <w:sz w:val="22"/>
        </w:rPr>
        <w:t xml:space="preserve">于 </w:t>
      </w:r>
      <w:r>
        <w:rPr>
          <w:sz w:val="22"/>
        </w:rPr>
        <w:t>24V</w:t>
      </w:r>
      <w:r>
        <w:rPr>
          <w:spacing w:val="-3"/>
          <w:sz w:val="22"/>
        </w:rPr>
        <w:t>。不便于使用电器照明的工作面应采用特殊照明设施。</w:t>
      </w:r>
    </w:p>
    <w:p>
      <w:pPr>
        <w:pStyle w:val="13"/>
        <w:numPr>
          <w:ilvl w:val="2"/>
          <w:numId w:val="95"/>
        </w:numPr>
        <w:tabs>
          <w:tab w:val="left" w:pos="1821"/>
        </w:tabs>
        <w:spacing w:before="0" w:after="0" w:line="268" w:lineRule="auto"/>
        <w:ind w:left="731" w:right="892" w:firstLine="429"/>
        <w:jc w:val="left"/>
        <w:rPr>
          <w:sz w:val="22"/>
        </w:rPr>
      </w:pPr>
      <w:r>
        <w:rPr>
          <w:spacing w:val="-1"/>
          <w:sz w:val="22"/>
        </w:rPr>
        <w:t>凡可能漏电伤人或易受雷击的电器及建筑物均应设置接地和避雷装置。承包人应</w:t>
      </w:r>
      <w:r>
        <w:rPr>
          <w:spacing w:val="-3"/>
          <w:sz w:val="22"/>
        </w:rPr>
        <w:t>负责避雷装置的采购、安装、管理和维修，并建立定期检查制度。</w:t>
      </w:r>
    </w:p>
    <w:p>
      <w:pPr>
        <w:pStyle w:val="13"/>
        <w:numPr>
          <w:ilvl w:val="2"/>
          <w:numId w:val="95"/>
        </w:numPr>
        <w:tabs>
          <w:tab w:val="left" w:pos="1869"/>
          <w:tab w:val="left" w:pos="5389"/>
          <w:tab w:val="left" w:pos="6159"/>
        </w:tabs>
        <w:spacing w:before="0" w:after="0" w:line="277" w:lineRule="exact"/>
        <w:ind w:left="1868" w:right="0" w:hanging="661"/>
        <w:jc w:val="left"/>
        <w:rPr>
          <w:sz w:val="22"/>
        </w:rPr>
      </w:pPr>
      <w:r>
        <w:rPr>
          <w:sz w:val="22"/>
        </w:rPr>
        <w:t>临</w:t>
      </w:r>
      <w:r>
        <w:rPr>
          <w:spacing w:val="-3"/>
          <w:sz w:val="22"/>
        </w:rPr>
        <w:t>时</w:t>
      </w:r>
      <w:r>
        <w:rPr>
          <w:sz w:val="22"/>
        </w:rPr>
        <w:t>用电</w:t>
      </w:r>
      <w:r>
        <w:rPr>
          <w:spacing w:val="-3"/>
          <w:sz w:val="22"/>
        </w:rPr>
        <w:t>方</w:t>
      </w:r>
      <w:r>
        <w:rPr>
          <w:sz w:val="22"/>
        </w:rPr>
        <w:t>面的</w:t>
      </w:r>
      <w:r>
        <w:rPr>
          <w:spacing w:val="-3"/>
          <w:sz w:val="22"/>
        </w:rPr>
        <w:t>其</w:t>
      </w:r>
      <w:r>
        <w:rPr>
          <w:sz w:val="22"/>
        </w:rPr>
        <w:t>他要</w:t>
      </w:r>
      <w:r>
        <w:rPr>
          <w:spacing w:val="-3"/>
          <w:sz w:val="22"/>
        </w:rPr>
        <w:t>求</w:t>
      </w:r>
      <w:r>
        <w:rPr>
          <w:sz w:val="22"/>
        </w:rPr>
        <w:t>如下：</w:t>
      </w:r>
      <w:r>
        <w:rPr>
          <w:sz w:val="22"/>
          <w:u w:val="single"/>
        </w:rPr>
        <w:t xml:space="preserve"> </w:t>
      </w:r>
      <w:r>
        <w:rPr>
          <w:sz w:val="22"/>
          <w:u w:val="single"/>
        </w:rPr>
        <w:tab/>
      </w:r>
      <w:r>
        <w:rPr>
          <w:sz w:val="22"/>
          <w:u w:val="single"/>
        </w:rPr>
        <w:t>/</w:t>
      </w:r>
      <w:r>
        <w:rPr>
          <w:sz w:val="22"/>
          <w:u w:val="single"/>
        </w:rPr>
        <w:tab/>
      </w:r>
      <w:r>
        <w:rPr>
          <w:sz w:val="22"/>
        </w:rPr>
        <w:t>。</w:t>
      </w:r>
    </w:p>
    <w:p>
      <w:pPr>
        <w:pStyle w:val="13"/>
        <w:numPr>
          <w:ilvl w:val="1"/>
          <w:numId w:val="95"/>
        </w:numPr>
        <w:tabs>
          <w:tab w:val="left" w:pos="1171"/>
        </w:tabs>
        <w:spacing w:before="29" w:after="0" w:line="240" w:lineRule="auto"/>
        <w:ind w:left="1170" w:right="0" w:hanging="440"/>
        <w:jc w:val="left"/>
        <w:rPr>
          <w:sz w:val="22"/>
        </w:rPr>
      </w:pPr>
      <w:r>
        <w:rPr>
          <w:spacing w:val="-2"/>
          <w:sz w:val="22"/>
        </w:rPr>
        <w:t>劳动保护</w:t>
      </w:r>
    </w:p>
    <w:p>
      <w:pPr>
        <w:pStyle w:val="13"/>
        <w:numPr>
          <w:ilvl w:val="2"/>
          <w:numId w:val="95"/>
        </w:numPr>
        <w:tabs>
          <w:tab w:val="left" w:pos="1821"/>
        </w:tabs>
        <w:spacing w:before="32" w:after="0" w:line="266" w:lineRule="auto"/>
        <w:ind w:left="731" w:right="890" w:firstLine="429"/>
        <w:jc w:val="both"/>
        <w:rPr>
          <w:sz w:val="22"/>
        </w:rPr>
      </w:pPr>
      <w:r>
        <w:rPr>
          <w:spacing w:val="-1"/>
          <w:sz w:val="22"/>
        </w:rPr>
        <w:t>承包人应遵守所有适用于本合同的劳动法规及其他有关法律、法规、规章和规定</w:t>
      </w:r>
      <w:r>
        <w:rPr>
          <w:spacing w:val="-3"/>
          <w:sz w:val="22"/>
        </w:rPr>
        <w:t>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pStyle w:val="13"/>
        <w:numPr>
          <w:ilvl w:val="2"/>
          <w:numId w:val="95"/>
        </w:numPr>
        <w:tabs>
          <w:tab w:val="left" w:pos="1821"/>
        </w:tabs>
        <w:spacing w:before="5" w:after="0" w:line="268" w:lineRule="auto"/>
        <w:ind w:left="731" w:right="890" w:firstLine="429"/>
        <w:jc w:val="both"/>
        <w:rPr>
          <w:sz w:val="22"/>
        </w:rPr>
      </w:pPr>
      <w:r>
        <w:rPr>
          <w:spacing w:val="-1"/>
          <w:sz w:val="22"/>
        </w:rPr>
        <w:t>承包人应按照国家《中华人民共和国劳动保护法》的规定，保障现场施工人员的</w:t>
      </w:r>
      <w:r>
        <w:rPr>
          <w:spacing w:val="-3"/>
          <w:sz w:val="22"/>
        </w:rPr>
        <w:t>劳动安全。承包人应为本合同下雇佣的职员和工人提供适当和充分的劳动保护，包括但不限于安全防护、防寒、防雨、防尘、绝缘保护、常用药品、急救设备、传染病预防等。</w:t>
      </w:r>
    </w:p>
    <w:p>
      <w:pPr>
        <w:pStyle w:val="13"/>
        <w:numPr>
          <w:ilvl w:val="2"/>
          <w:numId w:val="95"/>
        </w:numPr>
        <w:tabs>
          <w:tab w:val="left" w:pos="1821"/>
        </w:tabs>
        <w:spacing w:before="0" w:after="0" w:line="266" w:lineRule="auto"/>
        <w:ind w:left="731" w:right="890" w:firstLine="429"/>
        <w:jc w:val="both"/>
        <w:rPr>
          <w:sz w:val="22"/>
        </w:rPr>
      </w:pPr>
      <w:r>
        <w:rPr>
          <w:spacing w:val="-1"/>
          <w:sz w:val="22"/>
        </w:rPr>
        <w:t>承包人应为其履行本合同所雇佣的职员和工人提供和维护任何必要的膳宿条件和</w:t>
      </w:r>
      <w:r>
        <w:rPr>
          <w:spacing w:val="-3"/>
          <w:sz w:val="22"/>
        </w:rPr>
        <w:t>生活环境，包括但不限于宿舍、围栏、供水(饮用及其他目的用水)、供电、卫生设备、食堂及炊具、防火及灭火设备、供热、家具及其他正常膳宿条件和生活环境所需的必需品，并应考虑宗教和民族习惯。</w:t>
      </w:r>
    </w:p>
    <w:p>
      <w:pPr>
        <w:pStyle w:val="13"/>
        <w:numPr>
          <w:ilvl w:val="2"/>
          <w:numId w:val="95"/>
        </w:numPr>
        <w:tabs>
          <w:tab w:val="left" w:pos="1821"/>
        </w:tabs>
        <w:spacing w:before="0" w:after="0" w:line="266" w:lineRule="auto"/>
        <w:ind w:left="731" w:right="890" w:firstLine="429"/>
        <w:jc w:val="both"/>
        <w:rPr>
          <w:sz w:val="22"/>
        </w:rPr>
      </w:pPr>
      <w:r>
        <w:rPr>
          <w:spacing w:val="-1"/>
          <w:sz w:val="22"/>
        </w:rPr>
        <w:t>承包人应为现场工人提供符合政府卫生规定的生活条件并获得必要的许可，保证</w:t>
      </w:r>
      <w:r>
        <w:rPr>
          <w:spacing w:val="-3"/>
          <w:sz w:val="22"/>
        </w:rPr>
        <w:t>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pStyle w:val="13"/>
        <w:numPr>
          <w:ilvl w:val="2"/>
          <w:numId w:val="95"/>
        </w:numPr>
        <w:tabs>
          <w:tab w:val="left" w:pos="1768"/>
        </w:tabs>
        <w:spacing w:before="3" w:after="0" w:line="266" w:lineRule="auto"/>
        <w:ind w:left="731" w:right="892" w:firstLine="429"/>
        <w:jc w:val="both"/>
        <w:rPr>
          <w:sz w:val="22"/>
        </w:rPr>
      </w:pPr>
      <w:r>
        <w:rPr>
          <w:sz w:val="22"/>
        </w:rPr>
        <w:t>承包人应在现场设立专门的临时医疗站，配备足够的设施、药物和称职的医务人</w:t>
      </w:r>
      <w:r>
        <w:rPr>
          <w:spacing w:val="-3"/>
          <w:sz w:val="22"/>
        </w:rPr>
        <w:t>员，承包人还应准备急救担架，用于一旦发生安全事故时对受伤人员的急救。</w:t>
      </w:r>
    </w:p>
    <w:p>
      <w:pPr>
        <w:pStyle w:val="13"/>
        <w:numPr>
          <w:ilvl w:val="2"/>
          <w:numId w:val="95"/>
        </w:numPr>
        <w:tabs>
          <w:tab w:val="left" w:pos="1869"/>
        </w:tabs>
        <w:spacing w:before="1" w:after="0" w:line="240" w:lineRule="auto"/>
        <w:ind w:left="1868" w:right="0" w:hanging="661"/>
        <w:jc w:val="both"/>
        <w:rPr>
          <w:sz w:val="22"/>
        </w:rPr>
      </w:pPr>
      <w:r>
        <w:rPr>
          <w:spacing w:val="-3"/>
          <w:sz w:val="22"/>
        </w:rPr>
        <w:t>劳动保护方面的其他要求如下：</w:t>
      </w:r>
      <w:r>
        <w:rPr>
          <w:spacing w:val="109"/>
          <w:sz w:val="22"/>
          <w:u w:val="single"/>
        </w:rPr>
        <w:t xml:space="preserve"> </w:t>
      </w:r>
      <w:r>
        <w:rPr>
          <w:sz w:val="22"/>
          <w:u w:val="single"/>
        </w:rPr>
        <w:t xml:space="preserve">/ </w:t>
      </w:r>
      <w:r>
        <w:rPr>
          <w:sz w:val="22"/>
        </w:rPr>
        <w:t xml:space="preserve"> 。</w:t>
      </w:r>
    </w:p>
    <w:p>
      <w:pPr>
        <w:pStyle w:val="13"/>
        <w:numPr>
          <w:ilvl w:val="1"/>
          <w:numId w:val="95"/>
        </w:numPr>
        <w:tabs>
          <w:tab w:val="left" w:pos="1171"/>
        </w:tabs>
        <w:spacing w:before="32" w:after="0" w:line="240" w:lineRule="auto"/>
        <w:ind w:left="1170" w:right="0" w:hanging="440"/>
        <w:jc w:val="both"/>
        <w:rPr>
          <w:sz w:val="22"/>
        </w:rPr>
      </w:pPr>
      <w:r>
        <w:rPr>
          <w:spacing w:val="-2"/>
          <w:sz w:val="22"/>
        </w:rPr>
        <w:t>脚手架</w:t>
      </w:r>
    </w:p>
    <w:p>
      <w:pPr>
        <w:pStyle w:val="13"/>
        <w:numPr>
          <w:ilvl w:val="2"/>
          <w:numId w:val="95"/>
        </w:numPr>
        <w:tabs>
          <w:tab w:val="left" w:pos="1821"/>
        </w:tabs>
        <w:spacing w:before="33" w:after="0" w:line="268" w:lineRule="auto"/>
        <w:ind w:left="731" w:right="779" w:firstLine="429"/>
        <w:jc w:val="both"/>
        <w:rPr>
          <w:sz w:val="22"/>
        </w:rPr>
      </w:pPr>
      <w:r>
        <w:rPr>
          <w:sz w:val="22"/>
        </w:rPr>
        <w:t>承包人应搭设并维护一切必要的临时脚手架、挑平台并配以脚手板、安全网、护</w:t>
      </w:r>
      <w:r>
        <w:rPr>
          <w:spacing w:val="-11"/>
          <w:sz w:val="22"/>
        </w:rPr>
        <w:t>身栏杆、门架、马道、坡道、爬梯等等。脚手架和挑平台的搭设应满足有关安全生产的法律、</w:t>
      </w:r>
    </w:p>
    <w:p>
      <w:pPr>
        <w:spacing w:after="0" w:line="268" w:lineRule="auto"/>
        <w:jc w:val="both"/>
        <w:rPr>
          <w:sz w:val="22"/>
        </w:rPr>
        <w:sectPr>
          <w:footerReference r:id="rId17" w:type="default"/>
          <w:pgSz w:w="11910" w:h="16840"/>
          <w:pgMar w:top="1100" w:right="660" w:bottom="1200" w:left="800" w:header="878" w:footer="1003" w:gutter="0"/>
          <w:pgNumType w:start="100"/>
          <w:cols w:space="720" w:num="1"/>
        </w:sectPr>
      </w:pPr>
    </w:p>
    <w:p>
      <w:pPr>
        <w:pStyle w:val="9"/>
        <w:spacing w:before="1"/>
        <w:rPr>
          <w:sz w:val="18"/>
        </w:rPr>
      </w:pPr>
    </w:p>
    <w:p>
      <w:pPr>
        <w:pStyle w:val="9"/>
        <w:spacing w:before="70" w:line="266" w:lineRule="auto"/>
        <w:ind w:left="731" w:right="890"/>
      </w:pPr>
      <w:r>
        <w:t>法规、规范、标准和规程等的要求。新搭设的脚手架投入使用前，承包人必须组织安全检查和验收，并对使用脚手架的作业人员进行安全交底。</w:t>
      </w:r>
    </w:p>
    <w:p>
      <w:pPr>
        <w:pStyle w:val="13"/>
        <w:numPr>
          <w:ilvl w:val="2"/>
          <w:numId w:val="95"/>
        </w:numPr>
        <w:tabs>
          <w:tab w:val="left" w:pos="1821"/>
        </w:tabs>
        <w:spacing w:before="1" w:after="0" w:line="268" w:lineRule="auto"/>
        <w:ind w:left="731" w:right="892" w:firstLine="429"/>
        <w:jc w:val="both"/>
        <w:rPr>
          <w:sz w:val="22"/>
        </w:rPr>
      </w:pPr>
      <w:r>
        <w:rPr>
          <w:spacing w:val="-1"/>
          <w:sz w:val="22"/>
        </w:rPr>
        <w:t xml:space="preserve">所有脚手架，尤其是大型、复杂、高耸和非常规脚手架，要编制专项施工方案， </w:t>
      </w:r>
      <w:r>
        <w:rPr>
          <w:spacing w:val="-3"/>
          <w:sz w:val="22"/>
        </w:rPr>
        <w:t>还应当经过安全验算，脚手架安全验算结果必须报送工程师核查后方可实施。</w:t>
      </w:r>
    </w:p>
    <w:p>
      <w:pPr>
        <w:pStyle w:val="13"/>
        <w:numPr>
          <w:ilvl w:val="2"/>
          <w:numId w:val="95"/>
        </w:numPr>
        <w:tabs>
          <w:tab w:val="left" w:pos="1821"/>
        </w:tabs>
        <w:spacing w:before="0" w:after="0" w:line="266" w:lineRule="auto"/>
        <w:ind w:left="731" w:right="890" w:firstLine="429"/>
        <w:jc w:val="both"/>
        <w:rPr>
          <w:sz w:val="22"/>
        </w:rPr>
      </w:pPr>
      <w:r>
        <w:rPr>
          <w:spacing w:val="-1"/>
          <w:sz w:val="22"/>
        </w:rPr>
        <w:t>搭设爬架、挂架、超高脚手架等特种或新型脚手架时，承包人应确保此类脚手架</w:t>
      </w:r>
      <w:r>
        <w:rPr>
          <w:spacing w:val="-3"/>
          <w:sz w:val="22"/>
        </w:rPr>
        <w:t>的安全性和保证此类脚手架已经过有关行政管理部门允许使用的批准，并承担与此有关的一</w:t>
      </w:r>
      <w:r>
        <w:rPr>
          <w:spacing w:val="-2"/>
          <w:sz w:val="22"/>
        </w:rPr>
        <w:t>切费用。</w:t>
      </w:r>
    </w:p>
    <w:p>
      <w:pPr>
        <w:pStyle w:val="13"/>
        <w:numPr>
          <w:ilvl w:val="2"/>
          <w:numId w:val="95"/>
        </w:numPr>
        <w:tabs>
          <w:tab w:val="left" w:pos="1821"/>
        </w:tabs>
        <w:spacing w:before="0" w:after="0" w:line="268" w:lineRule="auto"/>
        <w:ind w:left="731" w:right="890" w:firstLine="429"/>
        <w:jc w:val="both"/>
        <w:rPr>
          <w:sz w:val="22"/>
        </w:rPr>
      </w:pPr>
      <w:r>
        <w:rPr>
          <w:spacing w:val="-1"/>
          <w:sz w:val="22"/>
        </w:rPr>
        <w:t>承包人应当加强脚手架的日常安全巡查，及时对其中的安全隐患进行整改，确保</w:t>
      </w:r>
      <w:r>
        <w:rPr>
          <w:spacing w:val="-3"/>
          <w:sz w:val="22"/>
        </w:rPr>
        <w:t>脚手架使用安全。雨、雪、雾、霜和大风等天气后，承包人必须对脚手架进行安全巡查，并及时消除安全隐患。</w:t>
      </w:r>
    </w:p>
    <w:p>
      <w:pPr>
        <w:pStyle w:val="13"/>
        <w:numPr>
          <w:ilvl w:val="2"/>
          <w:numId w:val="95"/>
        </w:numPr>
        <w:tabs>
          <w:tab w:val="left" w:pos="1821"/>
        </w:tabs>
        <w:spacing w:before="0" w:after="0" w:line="266" w:lineRule="auto"/>
        <w:ind w:left="731" w:right="890" w:firstLine="429"/>
        <w:jc w:val="both"/>
        <w:rPr>
          <w:sz w:val="22"/>
        </w:rPr>
      </w:pPr>
      <w:r>
        <w:rPr>
          <w:spacing w:val="-1"/>
          <w:sz w:val="22"/>
        </w:rPr>
        <w:t>承包人应允许发包人、监理人、专业分包人、独立承包人(如果有)和有关行政管</w:t>
      </w:r>
      <w:r>
        <w:rPr>
          <w:spacing w:val="-3"/>
          <w:sz w:val="22"/>
        </w:rPr>
        <w:t>理部门或者机构免费使用承包人在现场搭设的任何已有脚手架，并就其安全使用做必要交底说明。承包人在拆除任何脚手架前，应书面请示工程师他将要拆除的脚手架是否为发包人、监理人、专业分包人、独立承包人(如果有)和政府有关机构所需，只有在获得工程师书面批准后，承包人才能拆除相关脚手架，否则承包人应自费重新搭设。</w:t>
      </w:r>
    </w:p>
    <w:p>
      <w:pPr>
        <w:pStyle w:val="13"/>
        <w:numPr>
          <w:ilvl w:val="2"/>
          <w:numId w:val="95"/>
        </w:numPr>
        <w:tabs>
          <w:tab w:val="left" w:pos="1869"/>
        </w:tabs>
        <w:spacing w:before="0" w:after="0" w:line="240" w:lineRule="auto"/>
        <w:ind w:left="1868" w:right="0" w:hanging="661"/>
        <w:jc w:val="both"/>
        <w:rPr>
          <w:sz w:val="22"/>
        </w:rPr>
      </w:pPr>
      <w:r>
        <w:rPr>
          <w:spacing w:val="-3"/>
          <w:sz w:val="22"/>
        </w:rPr>
        <w:t>脚手架的其他要求如下：</w:t>
      </w:r>
      <w:r>
        <w:rPr>
          <w:spacing w:val="109"/>
          <w:sz w:val="22"/>
          <w:u w:val="single"/>
        </w:rPr>
        <w:t xml:space="preserve"> </w:t>
      </w:r>
      <w:r>
        <w:rPr>
          <w:sz w:val="22"/>
          <w:u w:val="single"/>
        </w:rPr>
        <w:t xml:space="preserve">/ </w:t>
      </w:r>
      <w:r>
        <w:rPr>
          <w:sz w:val="22"/>
        </w:rPr>
        <w:t xml:space="preserve"> 。</w:t>
      </w:r>
    </w:p>
    <w:p>
      <w:pPr>
        <w:pStyle w:val="13"/>
        <w:numPr>
          <w:ilvl w:val="1"/>
          <w:numId w:val="95"/>
        </w:numPr>
        <w:tabs>
          <w:tab w:val="left" w:pos="1557"/>
        </w:tabs>
        <w:spacing w:before="78" w:after="0" w:line="240" w:lineRule="auto"/>
        <w:ind w:left="1556" w:right="0" w:hanging="387"/>
        <w:jc w:val="both"/>
        <w:rPr>
          <w:sz w:val="22"/>
        </w:rPr>
      </w:pPr>
      <w:r>
        <w:rPr>
          <w:spacing w:val="-3"/>
          <w:sz w:val="22"/>
        </w:rPr>
        <w:t>施工安全措施计划</w:t>
      </w:r>
    </w:p>
    <w:p>
      <w:pPr>
        <w:pStyle w:val="13"/>
        <w:numPr>
          <w:ilvl w:val="2"/>
          <w:numId w:val="95"/>
        </w:numPr>
        <w:tabs>
          <w:tab w:val="left" w:pos="1821"/>
        </w:tabs>
        <w:spacing w:before="81" w:after="0" w:line="266" w:lineRule="auto"/>
        <w:ind w:left="731" w:right="885" w:firstLine="429"/>
        <w:jc w:val="both"/>
        <w:rPr>
          <w:sz w:val="22"/>
        </w:rPr>
      </w:pPr>
      <w:r>
        <w:rPr>
          <w:spacing w:val="-14"/>
          <w:sz w:val="22"/>
        </w:rPr>
        <w:t>承包人应根据《中华人民共和国安全生产法》、《中华人民共和国消防法》、《中</w:t>
      </w:r>
      <w:r>
        <w:rPr>
          <w:spacing w:val="-3"/>
          <w:sz w:val="22"/>
        </w:rPr>
        <w:t>华人民共和国道路交通安全法》、《中华人民共和国传染病防治法实施办法》、《职业健康安全管理体系规范》</w:t>
      </w:r>
      <w:r>
        <w:rPr>
          <w:sz w:val="22"/>
        </w:rPr>
        <w:t>（GB/T</w:t>
      </w:r>
      <w:r>
        <w:rPr>
          <w:spacing w:val="-3"/>
          <w:sz w:val="22"/>
        </w:rPr>
        <w:t xml:space="preserve"> </w:t>
      </w:r>
      <w:r>
        <w:rPr>
          <w:sz w:val="22"/>
        </w:rPr>
        <w:t>28000）</w:t>
      </w:r>
      <w:r>
        <w:rPr>
          <w:spacing w:val="-2"/>
          <w:sz w:val="22"/>
        </w:rPr>
        <w:t>和地方有关的法规等，编制一份施工安全措施计划，报</w:t>
      </w:r>
      <w:r>
        <w:rPr>
          <w:spacing w:val="-3"/>
          <w:sz w:val="22"/>
        </w:rPr>
        <w:t>送工程师审批。</w:t>
      </w:r>
    </w:p>
    <w:p>
      <w:pPr>
        <w:pStyle w:val="13"/>
        <w:numPr>
          <w:ilvl w:val="2"/>
          <w:numId w:val="95"/>
        </w:numPr>
        <w:tabs>
          <w:tab w:val="left" w:pos="1821"/>
        </w:tabs>
        <w:spacing w:before="4" w:after="0" w:line="266" w:lineRule="auto"/>
        <w:ind w:left="731" w:right="890" w:firstLine="429"/>
        <w:jc w:val="both"/>
        <w:rPr>
          <w:sz w:val="22"/>
        </w:rPr>
      </w:pPr>
      <w:r>
        <w:rPr>
          <w:spacing w:val="-1"/>
          <w:sz w:val="22"/>
        </w:rPr>
        <w:t>施工安全措施计划是承包人阐明其安全管理方针、管理体系、安全制度和安全措</w:t>
      </w:r>
      <w:r>
        <w:rPr>
          <w:spacing w:val="-3"/>
          <w:sz w:val="22"/>
        </w:rPr>
        <w:t>施等的文件，其内容应当反映现行法律法规规定的和合同条款约定的以及本条上述约定的承包人安全职责，包括但不限于：</w:t>
      </w:r>
    </w:p>
    <w:p>
      <w:pPr>
        <w:pStyle w:val="9"/>
        <w:spacing w:before="2" w:line="266" w:lineRule="auto"/>
        <w:ind w:left="1151" w:right="6323"/>
        <w:jc w:val="both"/>
      </w:pPr>
      <w:r>
        <w:t>(1)施工安全管理机构的设置； (2)专职安全管理人员的配备； (3)安全责任制度和管理措施；</w:t>
      </w:r>
    </w:p>
    <w:p>
      <w:pPr>
        <w:pStyle w:val="9"/>
        <w:spacing w:before="2" w:line="268" w:lineRule="auto"/>
        <w:ind w:left="1151" w:right="5482"/>
      </w:pPr>
      <w:r>
        <w:t>(4</w:t>
      </w:r>
      <w:r>
        <w:rPr>
          <w:spacing w:val="-3"/>
        </w:rPr>
        <w:t xml:space="preserve">)安全教育和培训制度及管理措施； </w:t>
      </w:r>
      <w:r>
        <w:rPr>
          <w:spacing w:val="-1"/>
        </w:rPr>
        <w:t>(5</w:t>
      </w:r>
      <w:r>
        <w:rPr>
          <w:spacing w:val="-3"/>
        </w:rPr>
        <w:t>)各项安全生产规章制度和操作规程； (6)各项施工安全措施和防护措施；  (7)危险品管理和使用制度；</w:t>
      </w:r>
    </w:p>
    <w:p>
      <w:pPr>
        <w:pStyle w:val="9"/>
        <w:tabs>
          <w:tab w:val="left" w:pos="2581"/>
          <w:tab w:val="left" w:pos="4671"/>
        </w:tabs>
        <w:spacing w:line="266" w:lineRule="auto"/>
        <w:ind w:left="1151" w:right="4343"/>
      </w:pPr>
      <w:r>
        <w:rPr>
          <w:spacing w:val="-1"/>
        </w:rPr>
        <w:t>(8)安</w:t>
      </w:r>
      <w:r>
        <w:rPr>
          <w:spacing w:val="-3"/>
        </w:rPr>
        <w:t>全</w:t>
      </w:r>
      <w:r>
        <w:t>设施</w:t>
      </w:r>
      <w:r>
        <w:rPr>
          <w:spacing w:val="-3"/>
        </w:rPr>
        <w:t>、</w:t>
      </w:r>
      <w:r>
        <w:t>设备</w:t>
      </w:r>
      <w:r>
        <w:rPr>
          <w:spacing w:val="-3"/>
        </w:rPr>
        <w:t>、</w:t>
      </w:r>
      <w:r>
        <w:t>器材</w:t>
      </w:r>
      <w:r>
        <w:rPr>
          <w:spacing w:val="-3"/>
        </w:rPr>
        <w:t>和</w:t>
      </w:r>
      <w:r>
        <w:t>劳动</w:t>
      </w:r>
      <w:r>
        <w:rPr>
          <w:spacing w:val="-3"/>
        </w:rPr>
        <w:t>保</w:t>
      </w:r>
      <w:r>
        <w:t>护用</w:t>
      </w:r>
      <w:r>
        <w:rPr>
          <w:spacing w:val="-3"/>
        </w:rPr>
        <w:t>品</w:t>
      </w:r>
      <w:r>
        <w:t>的配</w:t>
      </w:r>
      <w:r>
        <w:rPr>
          <w:spacing w:val="-3"/>
        </w:rPr>
        <w:t>置</w:t>
      </w:r>
      <w:r>
        <w:t>； (9)其</w:t>
      </w:r>
      <w:r>
        <w:rPr>
          <w:spacing w:val="-3"/>
        </w:rPr>
        <w:t>他</w:t>
      </w:r>
      <w:r>
        <w:t>：</w:t>
      </w:r>
      <w:r>
        <w:rPr>
          <w:u w:val="single"/>
        </w:rPr>
        <w:t xml:space="preserve"> </w:t>
      </w:r>
      <w:r>
        <w:rPr>
          <w:u w:val="single"/>
        </w:rPr>
        <w:tab/>
      </w:r>
      <w:r>
        <w:rPr>
          <w:u w:val="single"/>
        </w:rPr>
        <w:t>/</w:t>
      </w:r>
      <w:r>
        <w:rPr>
          <w:u w:val="single"/>
        </w:rPr>
        <w:tab/>
      </w:r>
      <w:r>
        <w:t>。</w:t>
      </w:r>
    </w:p>
    <w:p>
      <w:pPr>
        <w:pStyle w:val="9"/>
        <w:spacing w:line="266" w:lineRule="auto"/>
        <w:ind w:left="731" w:right="890" w:firstLine="439"/>
        <w:jc w:val="both"/>
      </w:pPr>
      <w:r>
        <w:rPr>
          <w:spacing w:val="-3"/>
        </w:rPr>
        <w:t>施工安全措施的项目和范围，应符合国家颁发的《安全技术措施计划的项目总名称表》</w:t>
      </w:r>
      <w:r>
        <w:rPr>
          <w:spacing w:val="10"/>
        </w:rPr>
        <w:t>及其附录</w:t>
      </w:r>
      <w:r>
        <w:t>H、I、J</w:t>
      </w:r>
      <w:r>
        <w:rPr>
          <w:spacing w:val="-8"/>
        </w:rPr>
        <w:t xml:space="preserve"> 的规定，即应采取以改善劳动条件，防止工伤事故，预防职业病和职业中</w:t>
      </w:r>
      <w:r>
        <w:rPr>
          <w:spacing w:val="-3"/>
        </w:rPr>
        <w:t>毒为目的的一切施工安全措施，以及修建必要的安全设施、配备安全技术开发试验所需的器材、设备和技术资料，并对现场的施工管理及作业人员做好相应的安全宣传教育。</w:t>
      </w:r>
    </w:p>
    <w:p>
      <w:pPr>
        <w:pStyle w:val="13"/>
        <w:numPr>
          <w:ilvl w:val="2"/>
          <w:numId w:val="95"/>
        </w:numPr>
        <w:tabs>
          <w:tab w:val="left" w:pos="1821"/>
        </w:tabs>
        <w:spacing w:before="0" w:after="0" w:line="268" w:lineRule="auto"/>
        <w:ind w:left="731" w:right="892" w:firstLine="429"/>
        <w:jc w:val="both"/>
        <w:rPr>
          <w:sz w:val="22"/>
        </w:rPr>
      </w:pPr>
      <w:r>
        <w:rPr>
          <w:spacing w:val="-1"/>
          <w:sz w:val="22"/>
        </w:rPr>
        <w:t>施工安全措施计划应当报送工程师。承包人应当严格执行经工程师批准的施工安</w:t>
      </w:r>
      <w:r>
        <w:rPr>
          <w:spacing w:val="-3"/>
          <w:sz w:val="22"/>
        </w:rPr>
        <w:t>全措施计划，并及时补充、修订和完善施工安全措施计划，确保安全生产。</w:t>
      </w:r>
    </w:p>
    <w:p>
      <w:pPr>
        <w:pStyle w:val="13"/>
        <w:numPr>
          <w:ilvl w:val="1"/>
          <w:numId w:val="95"/>
        </w:numPr>
        <w:tabs>
          <w:tab w:val="left" w:pos="1116"/>
        </w:tabs>
        <w:spacing w:before="42" w:after="0" w:line="240" w:lineRule="auto"/>
        <w:ind w:left="1115" w:right="0" w:hanging="385"/>
        <w:jc w:val="both"/>
        <w:rPr>
          <w:sz w:val="22"/>
        </w:rPr>
      </w:pPr>
      <w:r>
        <w:rPr>
          <w:spacing w:val="-2"/>
          <w:sz w:val="22"/>
        </w:rPr>
        <w:t>文明施工</w:t>
      </w:r>
    </w:p>
    <w:p>
      <w:pPr>
        <w:pStyle w:val="13"/>
        <w:numPr>
          <w:ilvl w:val="2"/>
          <w:numId w:val="95"/>
        </w:numPr>
        <w:tabs>
          <w:tab w:val="left" w:pos="1768"/>
        </w:tabs>
        <w:spacing w:before="81" w:after="0" w:line="268" w:lineRule="auto"/>
        <w:ind w:left="731" w:right="892" w:firstLine="429"/>
        <w:jc w:val="left"/>
        <w:rPr>
          <w:sz w:val="22"/>
        </w:rPr>
      </w:pPr>
      <w:r>
        <w:rPr>
          <w:sz w:val="22"/>
        </w:rPr>
        <w:t>承包人应遵守国家和工程所在地有关法规、规范、规程和标准的规定，履行文明</w:t>
      </w:r>
      <w:r>
        <w:rPr>
          <w:spacing w:val="-3"/>
          <w:sz w:val="22"/>
        </w:rPr>
        <w:t>施工义务，确保文明施工专项费用专款专用。</w:t>
      </w:r>
    </w:p>
    <w:p>
      <w:pPr>
        <w:pStyle w:val="13"/>
        <w:numPr>
          <w:ilvl w:val="2"/>
          <w:numId w:val="95"/>
        </w:numPr>
        <w:tabs>
          <w:tab w:val="left" w:pos="1869"/>
        </w:tabs>
        <w:spacing w:before="0" w:after="0" w:line="279" w:lineRule="exact"/>
        <w:ind w:left="1868" w:right="0" w:hanging="661"/>
        <w:jc w:val="left"/>
        <w:rPr>
          <w:sz w:val="22"/>
        </w:rPr>
      </w:pPr>
      <w:r>
        <w:rPr>
          <w:spacing w:val="-3"/>
          <w:sz w:val="22"/>
        </w:rPr>
        <w:t>承包人应当规范现场施工秩序，实行标准化管理：</w:t>
      </w:r>
    </w:p>
    <w:p>
      <w:pPr>
        <w:pStyle w:val="13"/>
        <w:numPr>
          <w:ilvl w:val="0"/>
          <w:numId w:val="97"/>
        </w:numPr>
        <w:tabs>
          <w:tab w:val="left" w:pos="1503"/>
        </w:tabs>
        <w:spacing w:before="32" w:after="0" w:line="240" w:lineRule="auto"/>
        <w:ind w:left="1502" w:right="0" w:hanging="333"/>
        <w:jc w:val="left"/>
        <w:rPr>
          <w:sz w:val="22"/>
        </w:rPr>
      </w:pPr>
      <w:r>
        <w:rPr>
          <w:spacing w:val="-3"/>
          <w:sz w:val="22"/>
        </w:rPr>
        <w:t>承包人的现场必须干净整治、做到无积水、无淤泥、无杂物，材料堆放整齐；</w:t>
      </w:r>
    </w:p>
    <w:p>
      <w:pPr>
        <w:spacing w:after="0" w:line="240" w:lineRule="auto"/>
        <w:jc w:val="left"/>
        <w:rPr>
          <w:sz w:val="22"/>
        </w:rPr>
        <w:sectPr>
          <w:pgSz w:w="11910" w:h="16840"/>
          <w:pgMar w:top="1100" w:right="660" w:bottom="1200" w:left="800" w:header="878" w:footer="1003" w:gutter="0"/>
          <w:cols w:space="720" w:num="1"/>
        </w:sectPr>
      </w:pPr>
    </w:p>
    <w:p>
      <w:pPr>
        <w:pStyle w:val="9"/>
        <w:spacing w:before="1"/>
        <w:rPr>
          <w:sz w:val="18"/>
        </w:rPr>
      </w:pPr>
    </w:p>
    <w:p>
      <w:pPr>
        <w:pStyle w:val="13"/>
        <w:numPr>
          <w:ilvl w:val="0"/>
          <w:numId w:val="97"/>
        </w:numPr>
        <w:tabs>
          <w:tab w:val="left" w:pos="1503"/>
        </w:tabs>
        <w:spacing w:before="70" w:after="0" w:line="240" w:lineRule="auto"/>
        <w:ind w:left="1502" w:right="0" w:hanging="333"/>
        <w:jc w:val="left"/>
        <w:rPr>
          <w:sz w:val="22"/>
        </w:rPr>
      </w:pPr>
      <w:r>
        <w:rPr>
          <w:spacing w:val="-3"/>
          <w:sz w:val="22"/>
        </w:rPr>
        <w:t>现场应进行硬化处理，定期定时洒水，做好防治扬尘和大气污染工作；</w:t>
      </w:r>
    </w:p>
    <w:p>
      <w:pPr>
        <w:pStyle w:val="13"/>
        <w:numPr>
          <w:ilvl w:val="0"/>
          <w:numId w:val="97"/>
        </w:numPr>
        <w:tabs>
          <w:tab w:val="left" w:pos="1503"/>
        </w:tabs>
        <w:spacing w:before="30" w:after="0" w:line="268" w:lineRule="auto"/>
        <w:ind w:left="731" w:right="777" w:firstLine="439"/>
        <w:jc w:val="left"/>
        <w:rPr>
          <w:sz w:val="22"/>
        </w:rPr>
      </w:pPr>
      <w:r>
        <w:rPr>
          <w:spacing w:val="-17"/>
          <w:sz w:val="22"/>
        </w:rPr>
        <w:t xml:space="preserve">严格遵守“工完、料尽、场地净”的原则，不留垃圾、不留剩余施工材料和施工机具， </w:t>
      </w:r>
      <w:r>
        <w:rPr>
          <w:spacing w:val="-5"/>
          <w:sz w:val="22"/>
        </w:rPr>
        <w:t>各种设备运转正常；</w:t>
      </w:r>
    </w:p>
    <w:p>
      <w:pPr>
        <w:pStyle w:val="13"/>
        <w:numPr>
          <w:ilvl w:val="0"/>
          <w:numId w:val="97"/>
        </w:numPr>
        <w:tabs>
          <w:tab w:val="left" w:pos="1503"/>
        </w:tabs>
        <w:spacing w:before="0" w:after="0" w:line="268" w:lineRule="auto"/>
        <w:ind w:left="731" w:right="892" w:firstLine="439"/>
        <w:jc w:val="left"/>
        <w:rPr>
          <w:sz w:val="22"/>
        </w:rPr>
      </w:pPr>
      <w:r>
        <w:rPr>
          <w:spacing w:val="-7"/>
          <w:sz w:val="22"/>
        </w:rPr>
        <w:t>承包人修建的施工临时设施应符合工程师批准的施工规划要求，并应满足本节规定的</w:t>
      </w:r>
      <w:r>
        <w:rPr>
          <w:spacing w:val="-3"/>
          <w:sz w:val="22"/>
        </w:rPr>
        <w:t>各项安全要求；</w:t>
      </w:r>
    </w:p>
    <w:p>
      <w:pPr>
        <w:pStyle w:val="13"/>
        <w:numPr>
          <w:ilvl w:val="0"/>
          <w:numId w:val="97"/>
        </w:numPr>
        <w:tabs>
          <w:tab w:val="left" w:pos="1504"/>
        </w:tabs>
        <w:spacing w:before="0" w:after="0" w:line="266" w:lineRule="auto"/>
        <w:ind w:left="731" w:right="892" w:firstLine="439"/>
        <w:jc w:val="left"/>
        <w:rPr>
          <w:sz w:val="22"/>
        </w:rPr>
      </w:pPr>
      <w:r>
        <w:rPr>
          <w:sz w:val="22"/>
        </w:rPr>
        <w:t>工程师可要求承包人在现场设置各级承包人的安全文明施工责任牌等文明施工警示牌；</w:t>
      </w:r>
    </w:p>
    <w:p>
      <w:pPr>
        <w:pStyle w:val="13"/>
        <w:numPr>
          <w:ilvl w:val="0"/>
          <w:numId w:val="97"/>
        </w:numPr>
        <w:tabs>
          <w:tab w:val="left" w:pos="1503"/>
        </w:tabs>
        <w:spacing w:before="0" w:after="0" w:line="268" w:lineRule="auto"/>
        <w:ind w:left="731" w:right="890" w:firstLine="439"/>
        <w:jc w:val="left"/>
        <w:rPr>
          <w:sz w:val="22"/>
        </w:rPr>
      </w:pPr>
      <w:r>
        <w:rPr>
          <w:spacing w:val="-7"/>
          <w:sz w:val="22"/>
        </w:rPr>
        <w:t>材料进入现场应按指定位置堆放整齐，不得影响现场施工或堵塞施工、消防通道。材</w:t>
      </w:r>
      <w:r>
        <w:rPr>
          <w:spacing w:val="-3"/>
          <w:sz w:val="22"/>
        </w:rPr>
        <w:t>料堆放场地应有专职的管理人员；</w:t>
      </w:r>
    </w:p>
    <w:p>
      <w:pPr>
        <w:pStyle w:val="13"/>
        <w:numPr>
          <w:ilvl w:val="0"/>
          <w:numId w:val="97"/>
        </w:numPr>
        <w:tabs>
          <w:tab w:val="left" w:pos="1503"/>
        </w:tabs>
        <w:spacing w:before="0" w:after="0" w:line="266" w:lineRule="auto"/>
        <w:ind w:left="731" w:right="887" w:firstLine="439"/>
        <w:jc w:val="left"/>
        <w:rPr>
          <w:sz w:val="22"/>
        </w:rPr>
      </w:pPr>
      <w:r>
        <w:rPr>
          <w:spacing w:val="-9"/>
          <w:sz w:val="22"/>
        </w:rPr>
        <w:t>施工和安装用的各种扣件、紧固件、绳索具、小型配件、镙钉等应在专设的仓库内装</w:t>
      </w:r>
      <w:r>
        <w:rPr>
          <w:spacing w:val="-3"/>
          <w:sz w:val="22"/>
        </w:rPr>
        <w:t>箱放置；</w:t>
      </w:r>
    </w:p>
    <w:p>
      <w:pPr>
        <w:pStyle w:val="13"/>
        <w:numPr>
          <w:ilvl w:val="0"/>
          <w:numId w:val="97"/>
        </w:numPr>
        <w:tabs>
          <w:tab w:val="left" w:pos="1503"/>
        </w:tabs>
        <w:spacing w:before="0" w:after="0" w:line="268" w:lineRule="auto"/>
        <w:ind w:left="731" w:right="892" w:firstLine="439"/>
        <w:jc w:val="left"/>
        <w:rPr>
          <w:sz w:val="22"/>
        </w:rPr>
      </w:pPr>
      <w:r>
        <w:rPr>
          <w:spacing w:val="-10"/>
          <w:sz w:val="22"/>
        </w:rPr>
        <w:t>现场风、水管及照明电线的布置应安全、合理、规范、有序，做到整齐美观。不得随</w:t>
      </w:r>
      <w:r>
        <w:rPr>
          <w:spacing w:val="-4"/>
          <w:sz w:val="22"/>
        </w:rPr>
        <w:t>意架设，造成隐患或影响施工。</w:t>
      </w:r>
    </w:p>
    <w:p>
      <w:pPr>
        <w:pStyle w:val="13"/>
        <w:numPr>
          <w:ilvl w:val="2"/>
          <w:numId w:val="95"/>
        </w:numPr>
        <w:tabs>
          <w:tab w:val="left" w:pos="1821"/>
        </w:tabs>
        <w:spacing w:before="0" w:after="0" w:line="268" w:lineRule="auto"/>
        <w:ind w:left="731" w:right="892" w:firstLine="429"/>
        <w:jc w:val="left"/>
        <w:rPr>
          <w:sz w:val="22"/>
        </w:rPr>
      </w:pPr>
      <w:r>
        <w:rPr>
          <w:spacing w:val="-1"/>
          <w:sz w:val="22"/>
        </w:rPr>
        <w:t>承包人应为其雇佣的施工工人建立并维护相应的生活宿舍、食堂、浴室、厕所和</w:t>
      </w:r>
      <w:r>
        <w:rPr>
          <w:spacing w:val="-3"/>
          <w:sz w:val="22"/>
        </w:rPr>
        <w:t>文化活动室等，其标准应满足政府有关机构的生活标准和卫生标准等的要求。</w:t>
      </w:r>
    </w:p>
    <w:p>
      <w:pPr>
        <w:pStyle w:val="13"/>
        <w:numPr>
          <w:ilvl w:val="2"/>
          <w:numId w:val="95"/>
        </w:numPr>
        <w:tabs>
          <w:tab w:val="left" w:pos="1821"/>
        </w:tabs>
        <w:spacing w:before="0" w:after="0" w:line="266" w:lineRule="auto"/>
        <w:ind w:left="731" w:right="782" w:firstLine="429"/>
        <w:jc w:val="left"/>
        <w:rPr>
          <w:sz w:val="22"/>
        </w:rPr>
      </w:pPr>
      <w:r>
        <w:rPr>
          <w:spacing w:val="-9"/>
          <w:sz w:val="22"/>
        </w:rPr>
        <w:t>承包人应为任何已完成的、正在施工的和将要进行的任何永久和临时工程、材料、</w:t>
      </w:r>
      <w:r>
        <w:rPr>
          <w:spacing w:val="-6"/>
          <w:sz w:val="22"/>
        </w:rPr>
        <w:t>物品、设备、以及因永久工程施工而暴露的任何毗邻财产提供必要的覆盖和保护措施，以避</w:t>
      </w:r>
      <w:r>
        <w:rPr>
          <w:spacing w:val="-5"/>
          <w:sz w:val="22"/>
        </w:rPr>
        <w:t>免恶劣天气影响工程施工和造成损失。保护措施包括必要的冬季供暖、雨季用阻燃防水油布覆盖、额外的临时仓库等。因承包人措施不得力或不到位而给工程带来的任何损失或损害由</w:t>
      </w:r>
      <w:r>
        <w:rPr>
          <w:spacing w:val="-3"/>
          <w:sz w:val="22"/>
        </w:rPr>
        <w:t>承包人自己负责。</w:t>
      </w:r>
    </w:p>
    <w:p>
      <w:pPr>
        <w:pStyle w:val="13"/>
        <w:numPr>
          <w:ilvl w:val="2"/>
          <w:numId w:val="95"/>
        </w:numPr>
        <w:tabs>
          <w:tab w:val="left" w:pos="1821"/>
        </w:tabs>
        <w:spacing w:before="0" w:after="0" w:line="268" w:lineRule="auto"/>
        <w:ind w:left="731" w:right="782" w:firstLine="429"/>
        <w:jc w:val="left"/>
        <w:rPr>
          <w:sz w:val="22"/>
        </w:rPr>
      </w:pPr>
      <w:r>
        <w:rPr>
          <w:sz w:val="22"/>
        </w:rPr>
        <w:t>在工程施工期间，承包人应始终避免现场出现不必要的障碍物，妥当存放并处置</w:t>
      </w:r>
      <w:r>
        <w:rPr>
          <w:spacing w:val="-10"/>
          <w:sz w:val="22"/>
        </w:rPr>
        <w:t>施工设备和多余的材料，及时从现场清除运走任何废料、垃圾或不再需要的临时工程和设施。</w:t>
      </w:r>
    </w:p>
    <w:p>
      <w:pPr>
        <w:pStyle w:val="13"/>
        <w:numPr>
          <w:ilvl w:val="2"/>
          <w:numId w:val="95"/>
        </w:numPr>
        <w:tabs>
          <w:tab w:val="left" w:pos="1821"/>
        </w:tabs>
        <w:spacing w:before="0" w:after="0" w:line="266" w:lineRule="auto"/>
        <w:ind w:left="731" w:right="890" w:firstLine="429"/>
        <w:jc w:val="both"/>
        <w:rPr>
          <w:sz w:val="22"/>
        </w:rPr>
      </w:pPr>
      <w:r>
        <w:rPr>
          <w:spacing w:val="-1"/>
          <w:sz w:val="22"/>
        </w:rPr>
        <w:t>承包人应为现场的工人和其他所有工作人员提供符合卫生要求的厕所，厕所应贴</w:t>
      </w:r>
      <w:r>
        <w:rPr>
          <w:spacing w:val="-3"/>
          <w:sz w:val="22"/>
        </w:rPr>
        <w:t>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pStyle w:val="13"/>
        <w:numPr>
          <w:ilvl w:val="2"/>
          <w:numId w:val="95"/>
        </w:numPr>
        <w:tabs>
          <w:tab w:val="left" w:pos="1821"/>
        </w:tabs>
        <w:spacing w:before="0" w:after="0" w:line="268" w:lineRule="auto"/>
        <w:ind w:left="731" w:right="933" w:firstLine="477"/>
        <w:jc w:val="both"/>
        <w:rPr>
          <w:sz w:val="22"/>
        </w:rPr>
      </w:pPr>
      <w:r>
        <w:rPr>
          <w:spacing w:val="3"/>
          <w:sz w:val="22"/>
        </w:rPr>
        <w:t>承包人应在现场设立固定的垃圾临时存放点并在各楼层或区域设立必要的垃圾</w:t>
      </w:r>
      <w:r>
        <w:rPr>
          <w:spacing w:val="-7"/>
          <w:sz w:val="22"/>
        </w:rPr>
        <w:t>箱；所有垃圾必须在当天清除出现场，并按有关行政管理部门的规定，运送到指定的垃圾消</w:t>
      </w:r>
      <w:r>
        <w:rPr>
          <w:spacing w:val="-4"/>
          <w:sz w:val="22"/>
        </w:rPr>
        <w:t>纳场。</w:t>
      </w:r>
    </w:p>
    <w:p>
      <w:pPr>
        <w:pStyle w:val="13"/>
        <w:numPr>
          <w:ilvl w:val="2"/>
          <w:numId w:val="95"/>
        </w:numPr>
        <w:tabs>
          <w:tab w:val="left" w:pos="1821"/>
        </w:tabs>
        <w:spacing w:before="0" w:after="0" w:line="266" w:lineRule="auto"/>
        <w:ind w:left="731" w:right="779" w:firstLine="429"/>
        <w:jc w:val="left"/>
        <w:rPr>
          <w:sz w:val="22"/>
        </w:rPr>
      </w:pPr>
      <w:r>
        <w:rPr>
          <w:sz w:val="22"/>
        </w:rPr>
        <w:t>承包人应对离场垃圾和所有车辆进行防遗洒和防污染公共道路的处理。承包人在</w:t>
      </w:r>
      <w:r>
        <w:rPr>
          <w:spacing w:val="-3"/>
          <w:sz w:val="22"/>
        </w:rPr>
        <w:t>运输任何材料的过程中，应采取一切必要的措施，防止遗洒和污染公共道路；一旦出现上述</w:t>
      </w:r>
      <w:r>
        <w:rPr>
          <w:spacing w:val="-9"/>
          <w:sz w:val="22"/>
        </w:rPr>
        <w:t>遗洒或污染现象，承包人应立即采取措施进行清扫，并承担所有费用。承包人在混凝土浇注、</w:t>
      </w:r>
      <w:r>
        <w:rPr>
          <w:spacing w:val="-3"/>
          <w:sz w:val="22"/>
        </w:rPr>
        <w:t>材料运输、材料装卸、现场清理等工作中应采取一切必要的措施防止影响公共交通。</w:t>
      </w:r>
    </w:p>
    <w:p>
      <w:pPr>
        <w:pStyle w:val="13"/>
        <w:numPr>
          <w:ilvl w:val="2"/>
          <w:numId w:val="95"/>
        </w:numPr>
        <w:tabs>
          <w:tab w:val="left" w:pos="1821"/>
        </w:tabs>
        <w:spacing w:before="0" w:after="0" w:line="266" w:lineRule="auto"/>
        <w:ind w:left="731" w:right="890" w:firstLine="429"/>
        <w:jc w:val="both"/>
        <w:rPr>
          <w:sz w:val="22"/>
        </w:rPr>
      </w:pPr>
      <w:r>
        <w:rPr>
          <w:spacing w:val="-1"/>
          <w:sz w:val="22"/>
        </w:rPr>
        <w:t>承包人应当制订成品保护措施计划，并提供必要的人员、材料和设备用于整个工</w:t>
      </w:r>
      <w:r>
        <w:rPr>
          <w:spacing w:val="-3"/>
          <w:sz w:val="22"/>
        </w:rPr>
        <w:t>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w:t>
      </w:r>
      <w:r>
        <w:rPr>
          <w:spacing w:val="-22"/>
          <w:sz w:val="22"/>
        </w:rPr>
        <w:t xml:space="preserve">少于 </w:t>
      </w:r>
      <w:r>
        <w:rPr>
          <w:sz w:val="22"/>
        </w:rPr>
        <w:t>28</w:t>
      </w:r>
      <w:r>
        <w:rPr>
          <w:spacing w:val="-8"/>
          <w:sz w:val="22"/>
        </w:rPr>
        <w:t xml:space="preserve"> 天报工程师审批。</w:t>
      </w:r>
    </w:p>
    <w:p>
      <w:pPr>
        <w:pStyle w:val="13"/>
        <w:numPr>
          <w:ilvl w:val="2"/>
          <w:numId w:val="95"/>
        </w:numPr>
        <w:tabs>
          <w:tab w:val="left" w:pos="1872"/>
        </w:tabs>
        <w:spacing w:before="0" w:after="0" w:line="266" w:lineRule="auto"/>
        <w:ind w:left="731" w:right="932" w:firstLine="424"/>
        <w:jc w:val="both"/>
        <w:rPr>
          <w:sz w:val="22"/>
        </w:rPr>
      </w:pPr>
      <w:r>
        <w:rPr>
          <w:spacing w:val="-14"/>
          <w:sz w:val="22"/>
        </w:rPr>
        <w:t>根据</w:t>
      </w:r>
      <w:r>
        <w:rPr>
          <w:rFonts w:hint="eastAsia"/>
          <w:spacing w:val="-14"/>
          <w:sz w:val="22"/>
        </w:rPr>
        <w:t>青岛</w:t>
      </w:r>
      <w:r>
        <w:rPr>
          <w:spacing w:val="-14"/>
          <w:sz w:val="22"/>
        </w:rPr>
        <w:t>建管</w:t>
      </w:r>
      <w:r>
        <w:rPr>
          <w:spacing w:val="-15"/>
          <w:sz w:val="22"/>
        </w:rPr>
        <w:t>《关于加强本市建设工程渣土装运管理工作的通知》 有</w:t>
      </w:r>
      <w:r>
        <w:rPr>
          <w:spacing w:val="-6"/>
          <w:sz w:val="22"/>
        </w:rPr>
        <w:t>关规定，渣土运输和处理要求按照规定在施工工地内设置车辆冲洗设施、泥浆沉淀设施及配套排水设施；运输车辆应在装载渣土完毕经除泥、冲洗干净后，方可驶出工地；在施工现场处置工程渣土时，对干涸渣土应进行洒水或者喷淋；装载渣土高度应当与运输车辆箱体上沿口保持凭证，并保证平闭箱盖。投标单位应对上述要求作出承诺，在中标后，严格按照要求</w:t>
      </w:r>
      <w:r>
        <w:rPr>
          <w:spacing w:val="-3"/>
          <w:sz w:val="22"/>
        </w:rPr>
        <w:t>实施。中标单位在选择渣土运输单位时，应当选择具有相应资质的渣土运输单位承运。</w:t>
      </w:r>
    </w:p>
    <w:p>
      <w:pPr>
        <w:spacing w:after="0" w:line="266" w:lineRule="auto"/>
        <w:jc w:val="both"/>
        <w:rPr>
          <w:sz w:val="22"/>
        </w:rPr>
        <w:sectPr>
          <w:pgSz w:w="11910" w:h="16840"/>
          <w:pgMar w:top="1100" w:right="660" w:bottom="1200" w:left="800" w:header="878" w:footer="1003" w:gutter="0"/>
          <w:cols w:space="720" w:num="1"/>
        </w:sectPr>
      </w:pPr>
    </w:p>
    <w:p>
      <w:pPr>
        <w:pStyle w:val="9"/>
        <w:spacing w:before="1"/>
        <w:rPr>
          <w:sz w:val="18"/>
        </w:rPr>
      </w:pPr>
    </w:p>
    <w:p>
      <w:pPr>
        <w:pStyle w:val="13"/>
        <w:numPr>
          <w:ilvl w:val="2"/>
          <w:numId w:val="95"/>
        </w:numPr>
        <w:tabs>
          <w:tab w:val="left" w:pos="1872"/>
        </w:tabs>
        <w:spacing w:before="70" w:after="0" w:line="240" w:lineRule="auto"/>
        <w:ind w:left="1871" w:right="0" w:hanging="716"/>
        <w:jc w:val="left"/>
        <w:rPr>
          <w:sz w:val="22"/>
        </w:rPr>
      </w:pPr>
      <w:r>
        <w:rPr>
          <w:spacing w:val="-3"/>
          <w:sz w:val="22"/>
        </w:rPr>
        <w:t>文明施工方面的其他要求如下：</w:t>
      </w:r>
    </w:p>
    <w:p>
      <w:pPr>
        <w:pStyle w:val="9"/>
        <w:spacing w:before="30" w:line="266" w:lineRule="auto"/>
        <w:ind w:left="731" w:right="818" w:firstLine="424"/>
      </w:pPr>
      <w:r>
        <w:rPr>
          <w:spacing w:val="-6"/>
          <w:u w:val="single"/>
        </w:rPr>
        <w:t>施工现场必须做到</w:t>
      </w:r>
      <w:r>
        <w:rPr>
          <w:spacing w:val="-3"/>
          <w:u w:val="single"/>
        </w:rPr>
        <w:t>（</w:t>
      </w:r>
      <w:r>
        <w:rPr>
          <w:spacing w:val="-9"/>
          <w:u w:val="single"/>
        </w:rPr>
        <w:t>二通、三无、五必须</w:t>
      </w:r>
      <w:r>
        <w:rPr>
          <w:spacing w:val="-25"/>
          <w:u w:val="single"/>
        </w:rPr>
        <w:t>）</w:t>
      </w:r>
      <w:r>
        <w:rPr>
          <w:spacing w:val="-7"/>
          <w:u w:val="single"/>
        </w:rPr>
        <w:t>的基本标准，深入开展“加强管理塑造形象、</w:t>
      </w:r>
      <w:r>
        <w:rPr>
          <w:spacing w:val="-207"/>
          <w:u w:val="single"/>
        </w:rPr>
        <w:t>深化</w:t>
      </w:r>
      <w:r>
        <w:rPr>
          <w:spacing w:val="-6"/>
          <w:u w:val="single"/>
        </w:rPr>
        <w:t xml:space="preserve">达标创建文明”活动，加强安全培训教育，增强施工人员自我保护意识，施工现场要求    </w:t>
      </w:r>
      <w:r>
        <w:rPr>
          <w:spacing w:val="-5"/>
          <w:u w:val="single"/>
        </w:rPr>
        <w:t>做到规范化、标准化。本工程施工过程中，必须创建区级</w:t>
      </w:r>
      <w:r>
        <w:rPr>
          <w:spacing w:val="-3"/>
          <w:u w:val="single"/>
        </w:rPr>
        <w:t>（</w:t>
      </w:r>
      <w:r>
        <w:rPr>
          <w:spacing w:val="-2"/>
          <w:u w:val="single"/>
        </w:rPr>
        <w:t>含以上</w:t>
      </w:r>
      <w:r>
        <w:rPr>
          <w:spacing w:val="-5"/>
          <w:u w:val="single"/>
        </w:rPr>
        <w:t>）</w:t>
      </w:r>
      <w:r>
        <w:rPr>
          <w:spacing w:val="-11"/>
          <w:u w:val="single"/>
        </w:rPr>
        <w:t>文明工地，并创无伤亡事</w:t>
      </w:r>
      <w:r>
        <w:rPr>
          <w:spacing w:val="-5"/>
          <w:u w:val="single"/>
        </w:rPr>
        <w:t>故，做到“二通三无五必须”。如达不到区级文明工地，除按照有关规定处理外，另扣除安</w:t>
      </w:r>
      <w:r>
        <w:rPr>
          <w:spacing w:val="-10"/>
          <w:u w:val="single"/>
        </w:rPr>
        <w:t xml:space="preserve">全文明施工措施费的 </w:t>
      </w:r>
      <w:r>
        <w:rPr>
          <w:u w:val="single"/>
        </w:rPr>
        <w:t>50%费用，如发生重大事故，除按有关规定处理外，扣除安全文明施工</w:t>
      </w:r>
      <w:r>
        <w:rPr>
          <w:spacing w:val="-3"/>
          <w:u w:val="single"/>
        </w:rPr>
        <w:t>措施费的全部费用。</w:t>
      </w:r>
    </w:p>
    <w:p>
      <w:pPr>
        <w:pStyle w:val="9"/>
        <w:spacing w:before="8"/>
        <w:rPr>
          <w:sz w:val="19"/>
        </w:rPr>
      </w:pPr>
    </w:p>
    <w:p>
      <w:pPr>
        <w:pStyle w:val="13"/>
        <w:numPr>
          <w:ilvl w:val="1"/>
          <w:numId w:val="95"/>
        </w:numPr>
        <w:tabs>
          <w:tab w:val="left" w:pos="1171"/>
        </w:tabs>
        <w:spacing w:before="70" w:after="0" w:line="240" w:lineRule="auto"/>
        <w:ind w:left="1170" w:right="0" w:hanging="440"/>
        <w:jc w:val="both"/>
        <w:rPr>
          <w:sz w:val="22"/>
        </w:rPr>
      </w:pPr>
      <w:r>
        <w:rPr>
          <w:spacing w:val="-2"/>
          <w:sz w:val="22"/>
        </w:rPr>
        <w:t>环境保护</w:t>
      </w:r>
    </w:p>
    <w:p>
      <w:pPr>
        <w:pStyle w:val="13"/>
        <w:numPr>
          <w:ilvl w:val="2"/>
          <w:numId w:val="95"/>
        </w:numPr>
        <w:tabs>
          <w:tab w:val="left" w:pos="1821"/>
        </w:tabs>
        <w:spacing w:before="32" w:after="0" w:line="266" w:lineRule="auto"/>
        <w:ind w:left="731" w:right="890" w:firstLine="429"/>
        <w:jc w:val="both"/>
        <w:rPr>
          <w:sz w:val="22"/>
        </w:rPr>
      </w:pPr>
      <w:r>
        <w:rPr>
          <w:spacing w:val="-1"/>
          <w:sz w:val="22"/>
        </w:rPr>
        <w:t>在工程施工、完工及修补任何缺陷的过程中，承包人应当始终遵守国家和工程所</w:t>
      </w:r>
      <w:r>
        <w:rPr>
          <w:spacing w:val="-3"/>
          <w:sz w:val="22"/>
        </w:rPr>
        <w:t>在地有关环境保护、水土保护和污染防治的法律、法规、规章、规范、标准和规程等，履行其环境与生态保护职责。</w:t>
      </w:r>
    </w:p>
    <w:p>
      <w:pPr>
        <w:pStyle w:val="13"/>
        <w:numPr>
          <w:ilvl w:val="2"/>
          <w:numId w:val="95"/>
        </w:numPr>
        <w:tabs>
          <w:tab w:val="left" w:pos="1821"/>
        </w:tabs>
        <w:spacing w:before="2" w:after="0" w:line="266" w:lineRule="auto"/>
        <w:ind w:left="731" w:right="890" w:firstLine="429"/>
        <w:jc w:val="both"/>
        <w:rPr>
          <w:sz w:val="22"/>
        </w:rPr>
      </w:pPr>
      <w:r>
        <w:rPr>
          <w:spacing w:val="-1"/>
          <w:sz w:val="22"/>
        </w:rPr>
        <w:t>承包人应按合同约定和工程师指示，接受国家和地方环境保护行政主管部门的监</w:t>
      </w:r>
      <w:r>
        <w:rPr>
          <w:spacing w:val="-3"/>
          <w:sz w:val="22"/>
        </w:rPr>
        <w:t>督、监测和检查。承包人应对其违反现行法律、法规、规章、规范、标准和规程等以及本合同约定所造成的环境污染、水土流失、人员伤害和财产损失等承担赔偿责任。</w:t>
      </w:r>
    </w:p>
    <w:p>
      <w:pPr>
        <w:pStyle w:val="13"/>
        <w:numPr>
          <w:ilvl w:val="2"/>
          <w:numId w:val="95"/>
        </w:numPr>
        <w:tabs>
          <w:tab w:val="left" w:pos="1821"/>
        </w:tabs>
        <w:spacing w:before="3" w:after="0" w:line="268" w:lineRule="auto"/>
        <w:ind w:left="731" w:right="890" w:firstLine="429"/>
        <w:jc w:val="both"/>
        <w:rPr>
          <w:sz w:val="22"/>
        </w:rPr>
      </w:pPr>
      <w:r>
        <w:rPr>
          <w:spacing w:val="-1"/>
          <w:sz w:val="22"/>
        </w:rPr>
        <w:t>承包人制订施工方案和组织措施时应当同步考虑环境和资源保护，包括水土资源</w:t>
      </w:r>
      <w:r>
        <w:rPr>
          <w:spacing w:val="-3"/>
          <w:sz w:val="22"/>
        </w:rPr>
        <w:t>保护、噪声、振动和照明污染防治、固体废弃物处理、污水和废气处理、粉尘和扬尘控制、道路污染防治、卫生防疫、禁止有害材料、节能减排以及不可再生资源的循环使用等因素。</w:t>
      </w:r>
    </w:p>
    <w:p>
      <w:pPr>
        <w:pStyle w:val="13"/>
        <w:numPr>
          <w:ilvl w:val="2"/>
          <w:numId w:val="95"/>
        </w:numPr>
        <w:tabs>
          <w:tab w:val="left" w:pos="1821"/>
        </w:tabs>
        <w:spacing w:before="0" w:after="0" w:line="266" w:lineRule="auto"/>
        <w:ind w:left="731" w:right="890" w:firstLine="429"/>
        <w:jc w:val="both"/>
        <w:rPr>
          <w:sz w:val="22"/>
        </w:rPr>
      </w:pPr>
      <w:r>
        <w:rPr>
          <w:spacing w:val="-1"/>
          <w:sz w:val="22"/>
        </w:rPr>
        <w:t>承包人应当做好现场范围内各项工程的开挖支护、截水、降水、灌浆、衬砌、挡</w:t>
      </w:r>
      <w:r>
        <w:rPr>
          <w:spacing w:val="-3"/>
          <w:sz w:val="22"/>
        </w:rPr>
        <w:t>护结构及排水等工程防护措施。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现场始终处于良好的排水状态，防止降雨径流对现场的冲刷。</w:t>
      </w:r>
    </w:p>
    <w:p>
      <w:pPr>
        <w:pStyle w:val="13"/>
        <w:numPr>
          <w:ilvl w:val="2"/>
          <w:numId w:val="95"/>
        </w:numPr>
        <w:tabs>
          <w:tab w:val="left" w:pos="1821"/>
        </w:tabs>
        <w:spacing w:before="0" w:after="0" w:line="266" w:lineRule="auto"/>
        <w:ind w:left="731" w:right="801" w:firstLine="429"/>
        <w:jc w:val="left"/>
        <w:rPr>
          <w:sz w:val="22"/>
        </w:rPr>
      </w:pPr>
      <w:r>
        <w:rPr>
          <w:sz w:val="22"/>
        </w:rPr>
        <w:t>承包人应当确保其所提供的材料、工程设备、施工设备和其他材料都是绿色环保</w:t>
      </w:r>
      <w:r>
        <w:rPr>
          <w:spacing w:val="-3"/>
          <w:sz w:val="22"/>
        </w:rPr>
        <w:t>产品，列入国家强制认证产品名录的，还应当是通过国家强制认证的产品。承包人不得在任何临时和永久性工程中使用任何政府明令禁止使用的对人体有害的任何材料(如放射性材料、</w:t>
      </w:r>
      <w:r>
        <w:rPr>
          <w:spacing w:val="-11"/>
          <w:sz w:val="22"/>
        </w:rPr>
        <w:t>石棉制品等)和方法，同时也不得在永久性工程中使用政府虽未明令禁止但会给居住或使用人</w:t>
      </w:r>
      <w:r>
        <w:rPr>
          <w:spacing w:val="-7"/>
          <w:sz w:val="22"/>
        </w:rPr>
        <w:t>带来不适感觉或味觉的任何材料和添加剂等；承包人应在其施工环保措施计划中明确防止误</w:t>
      </w:r>
      <w:r>
        <w:rPr>
          <w:spacing w:val="-3"/>
          <w:sz w:val="22"/>
        </w:rPr>
        <w:t>用的保证措施；承包人违背此项约定的责任和后果全部由承包人承担。</w:t>
      </w:r>
    </w:p>
    <w:p>
      <w:pPr>
        <w:pStyle w:val="13"/>
        <w:numPr>
          <w:ilvl w:val="2"/>
          <w:numId w:val="95"/>
        </w:numPr>
        <w:tabs>
          <w:tab w:val="left" w:pos="1821"/>
        </w:tabs>
        <w:spacing w:before="5" w:after="0" w:line="268" w:lineRule="auto"/>
        <w:ind w:left="731" w:right="890" w:firstLine="429"/>
        <w:jc w:val="both"/>
        <w:rPr>
          <w:sz w:val="22"/>
        </w:rPr>
      </w:pPr>
      <w:r>
        <w:rPr>
          <w:spacing w:val="-1"/>
          <w:sz w:val="22"/>
        </w:rPr>
        <w:t>承包人应为防止进出场的车辆的遗洒和轮胎夹带物等污染周边和公共道路等行为</w:t>
      </w:r>
      <w:r>
        <w:rPr>
          <w:spacing w:val="-3"/>
          <w:sz w:val="22"/>
        </w:rPr>
        <w:t>制定并落实必要的措施，这类措施应至少包括在现场出入口设立冲刷池、对现场道路做硬化处理和采用密闭车厢或者对车厢进行必要的覆盖等等。</w:t>
      </w:r>
    </w:p>
    <w:p>
      <w:pPr>
        <w:pStyle w:val="13"/>
        <w:numPr>
          <w:ilvl w:val="2"/>
          <w:numId w:val="95"/>
        </w:numPr>
        <w:tabs>
          <w:tab w:val="left" w:pos="1821"/>
        </w:tabs>
        <w:spacing w:before="0" w:after="0" w:line="268" w:lineRule="auto"/>
        <w:ind w:left="731" w:right="890" w:firstLine="429"/>
        <w:jc w:val="both"/>
        <w:rPr>
          <w:sz w:val="22"/>
        </w:rPr>
      </w:pPr>
      <w:r>
        <w:rPr>
          <w:spacing w:val="-1"/>
          <w:sz w:val="22"/>
        </w:rPr>
        <w:t>承包人应当保证施工生产用水和生活用水符合国家有关标准的规定。承包人还应</w:t>
      </w:r>
      <w:r>
        <w:rPr>
          <w:spacing w:val="-3"/>
          <w:sz w:val="22"/>
        </w:rPr>
        <w:t>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pPr>
        <w:pStyle w:val="13"/>
        <w:numPr>
          <w:ilvl w:val="2"/>
          <w:numId w:val="95"/>
        </w:numPr>
        <w:tabs>
          <w:tab w:val="left" w:pos="1821"/>
        </w:tabs>
        <w:spacing w:before="0" w:after="0" w:line="266" w:lineRule="auto"/>
        <w:ind w:left="731" w:right="890" w:firstLine="429"/>
        <w:jc w:val="both"/>
        <w:rPr>
          <w:sz w:val="22"/>
        </w:rPr>
      </w:pPr>
      <w:r>
        <w:rPr>
          <w:spacing w:val="-1"/>
          <w:sz w:val="22"/>
        </w:rPr>
        <w:t>承包人应当采取有效措施，建立相应的过滤、分离、分解或沉淀等处理系统，不</w:t>
      </w:r>
      <w:r>
        <w:rPr>
          <w:spacing w:val="-10"/>
          <w:sz w:val="22"/>
        </w:rPr>
        <w:t>得让有害物质(如燃料、油料、化学品、酸等，以及超过剂量的有害气体和尘埃、污水、泥土或水、弃渣等)污染现场及其周边环境。承包人施工工序、工作时间安排和施工设备的配置应</w:t>
      </w:r>
      <w:r>
        <w:rPr>
          <w:spacing w:val="-3"/>
          <w:sz w:val="22"/>
        </w:rPr>
        <w:t>当充分考虑降低噪声和照明等对现场周边生产和生活的影响，并满足国家和地方政府有关规</w:t>
      </w:r>
      <w:r>
        <w:rPr>
          <w:spacing w:val="-2"/>
          <w:sz w:val="22"/>
        </w:rPr>
        <w:t>定的要求。</w:t>
      </w:r>
    </w:p>
    <w:p>
      <w:pPr>
        <w:pStyle w:val="13"/>
        <w:numPr>
          <w:ilvl w:val="2"/>
          <w:numId w:val="95"/>
        </w:numPr>
        <w:tabs>
          <w:tab w:val="left" w:pos="1869"/>
        </w:tabs>
        <w:spacing w:before="0" w:after="0" w:line="240" w:lineRule="auto"/>
        <w:ind w:left="1868" w:right="0" w:hanging="661"/>
        <w:jc w:val="both"/>
        <w:rPr>
          <w:sz w:val="22"/>
        </w:rPr>
      </w:pPr>
      <w:r>
        <w:rPr>
          <w:spacing w:val="-3"/>
          <w:sz w:val="22"/>
        </w:rPr>
        <w:t>环境保护方面的其他要求如下：</w:t>
      </w:r>
      <w:r>
        <w:rPr>
          <w:spacing w:val="109"/>
          <w:sz w:val="22"/>
          <w:u w:val="single"/>
        </w:rPr>
        <w:t xml:space="preserve"> </w:t>
      </w:r>
      <w:r>
        <w:rPr>
          <w:sz w:val="22"/>
          <w:u w:val="single"/>
        </w:rPr>
        <w:t xml:space="preserve">/ </w:t>
      </w:r>
      <w:r>
        <w:rPr>
          <w:sz w:val="22"/>
        </w:rPr>
        <w:t xml:space="preserve"> 。</w:t>
      </w:r>
    </w:p>
    <w:p>
      <w:pPr>
        <w:pStyle w:val="13"/>
        <w:numPr>
          <w:ilvl w:val="1"/>
          <w:numId w:val="95"/>
        </w:numPr>
        <w:tabs>
          <w:tab w:val="left" w:pos="1171"/>
        </w:tabs>
        <w:spacing w:before="96" w:after="0" w:line="240" w:lineRule="auto"/>
        <w:ind w:left="1170" w:right="0" w:hanging="440"/>
        <w:jc w:val="both"/>
        <w:rPr>
          <w:sz w:val="22"/>
        </w:rPr>
      </w:pPr>
      <w:r>
        <w:rPr>
          <w:spacing w:val="-3"/>
          <w:sz w:val="22"/>
        </w:rPr>
        <w:t>施工环保措施计划</w:t>
      </w:r>
    </w:p>
    <w:p>
      <w:pPr>
        <w:pStyle w:val="13"/>
        <w:numPr>
          <w:ilvl w:val="2"/>
          <w:numId w:val="95"/>
        </w:numPr>
        <w:tabs>
          <w:tab w:val="left" w:pos="1821"/>
        </w:tabs>
        <w:spacing w:before="104" w:after="0" w:line="240" w:lineRule="auto"/>
        <w:ind w:left="1820" w:right="0" w:hanging="661"/>
        <w:jc w:val="both"/>
        <w:rPr>
          <w:sz w:val="22"/>
        </w:rPr>
      </w:pPr>
      <w:r>
        <w:rPr>
          <w:sz w:val="22"/>
        </w:rPr>
        <w:t>施工环保措施计划是承包人阐明环保方针和拟采用的环保措施及方法等的文件，</w:t>
      </w:r>
    </w:p>
    <w:p>
      <w:pPr>
        <w:spacing w:after="0" w:line="240" w:lineRule="auto"/>
        <w:jc w:val="both"/>
        <w:rPr>
          <w:sz w:val="22"/>
        </w:rPr>
        <w:sectPr>
          <w:pgSz w:w="11910" w:h="16840"/>
          <w:pgMar w:top="1100" w:right="660" w:bottom="1200" w:left="800" w:header="878" w:footer="1003" w:gutter="0"/>
          <w:cols w:space="720" w:num="1"/>
        </w:sectPr>
      </w:pPr>
    </w:p>
    <w:p>
      <w:pPr>
        <w:pStyle w:val="9"/>
        <w:spacing w:before="1"/>
        <w:rPr>
          <w:sz w:val="18"/>
        </w:rPr>
      </w:pPr>
    </w:p>
    <w:p>
      <w:pPr>
        <w:pStyle w:val="9"/>
        <w:spacing w:before="70"/>
        <w:ind w:left="731"/>
      </w:pPr>
      <w:r>
        <w:t>其内容应包括但不限于：</w:t>
      </w:r>
    </w:p>
    <w:p>
      <w:pPr>
        <w:pStyle w:val="9"/>
        <w:spacing w:before="30" w:line="268" w:lineRule="auto"/>
        <w:ind w:left="1170" w:right="3430"/>
      </w:pPr>
      <w:r>
        <w:t>(1)承包人生活区(如果有)的生活用水和生活污水处理措施； (2)施工生产废水处理措施；</w:t>
      </w:r>
    </w:p>
    <w:p>
      <w:pPr>
        <w:pStyle w:val="9"/>
        <w:spacing w:line="268" w:lineRule="auto"/>
        <w:ind w:left="1170" w:right="6081"/>
        <w:jc w:val="both"/>
      </w:pPr>
      <w:r>
        <w:t>(3)施工扬尘和废气的处理措施； (4)施工噪声和光污染控制措施； (5)节能减排措施；</w:t>
      </w:r>
    </w:p>
    <w:p>
      <w:pPr>
        <w:pStyle w:val="9"/>
        <w:spacing w:line="268" w:lineRule="auto"/>
        <w:ind w:left="1170" w:right="6070"/>
      </w:pPr>
      <w:r>
        <w:t>(6)不可再生资源循环利用措施； (7)固体废弃物处理措施；</w:t>
      </w:r>
    </w:p>
    <w:p>
      <w:pPr>
        <w:pStyle w:val="9"/>
        <w:spacing w:line="268" w:lineRule="auto"/>
        <w:ind w:left="1170" w:right="5850"/>
      </w:pPr>
      <w:r>
        <w:t>(8)人群健康保护和卫生防疫措施； (9)防止误用有害材料的保证措施；</w:t>
      </w:r>
    </w:p>
    <w:p>
      <w:pPr>
        <w:pStyle w:val="9"/>
        <w:spacing w:line="268" w:lineRule="auto"/>
        <w:ind w:left="1170" w:right="5300"/>
      </w:pPr>
      <w:r>
        <w:t>(10)施工边坡工程的水土流失保护措施； (11)道路污染防治措施；</w:t>
      </w:r>
    </w:p>
    <w:p>
      <w:pPr>
        <w:pStyle w:val="9"/>
        <w:tabs>
          <w:tab w:val="left" w:pos="2821"/>
          <w:tab w:val="left" w:pos="4359"/>
        </w:tabs>
        <w:spacing w:line="266" w:lineRule="auto"/>
        <w:ind w:left="1170" w:right="3551"/>
      </w:pPr>
      <w:r>
        <w:rPr>
          <w:spacing w:val="-1"/>
        </w:rPr>
        <w:t>(12)</w:t>
      </w:r>
      <w:r>
        <w:t>完</w:t>
      </w:r>
      <w:r>
        <w:rPr>
          <w:spacing w:val="-3"/>
        </w:rPr>
        <w:t>工</w:t>
      </w:r>
      <w:r>
        <w:t>后场</w:t>
      </w:r>
      <w:r>
        <w:rPr>
          <w:spacing w:val="-3"/>
        </w:rPr>
        <w:t>地</w:t>
      </w:r>
      <w:r>
        <w:t>清理</w:t>
      </w:r>
      <w:r>
        <w:rPr>
          <w:spacing w:val="-3"/>
        </w:rPr>
        <w:t>及</w:t>
      </w:r>
      <w:r>
        <w:t>其植</w:t>
      </w:r>
      <w:r>
        <w:rPr>
          <w:spacing w:val="-3"/>
        </w:rPr>
        <w:t>被</w:t>
      </w:r>
      <w:r>
        <w:t>(如</w:t>
      </w:r>
      <w:r>
        <w:rPr>
          <w:spacing w:val="-3"/>
        </w:rPr>
        <w:t>果</w:t>
      </w:r>
      <w:r>
        <w:t>有)恢</w:t>
      </w:r>
      <w:r>
        <w:rPr>
          <w:spacing w:val="-3"/>
        </w:rPr>
        <w:t>复</w:t>
      </w:r>
      <w:r>
        <w:t>的规</w:t>
      </w:r>
      <w:r>
        <w:rPr>
          <w:spacing w:val="-3"/>
        </w:rPr>
        <w:t>划</w:t>
      </w:r>
      <w:r>
        <w:t>和措</w:t>
      </w:r>
      <w:r>
        <w:rPr>
          <w:spacing w:val="-3"/>
        </w:rPr>
        <w:t>施</w:t>
      </w:r>
      <w:r>
        <w:t>； (13)其</w:t>
      </w:r>
      <w:r>
        <w:rPr>
          <w:spacing w:val="-3"/>
        </w:rPr>
        <w:t>他</w:t>
      </w:r>
      <w:r>
        <w:t>：</w:t>
      </w:r>
      <w:r>
        <w:rPr>
          <w:u w:val="single"/>
        </w:rPr>
        <w:t xml:space="preserve"> </w:t>
      </w:r>
      <w:r>
        <w:rPr>
          <w:u w:val="single"/>
        </w:rPr>
        <w:tab/>
      </w:r>
      <w:r>
        <w:rPr>
          <w:u w:val="single"/>
        </w:rPr>
        <w:t>/</w:t>
      </w:r>
      <w:r>
        <w:rPr>
          <w:u w:val="single"/>
        </w:rPr>
        <w:tab/>
      </w:r>
      <w:r>
        <w:t>。</w:t>
      </w:r>
    </w:p>
    <w:p>
      <w:pPr>
        <w:pStyle w:val="13"/>
        <w:numPr>
          <w:ilvl w:val="2"/>
          <w:numId w:val="95"/>
        </w:numPr>
        <w:tabs>
          <w:tab w:val="left" w:pos="1821"/>
        </w:tabs>
        <w:spacing w:before="0" w:after="0" w:line="268" w:lineRule="auto"/>
        <w:ind w:left="731" w:right="892" w:firstLine="429"/>
        <w:jc w:val="left"/>
        <w:rPr>
          <w:sz w:val="22"/>
        </w:rPr>
      </w:pPr>
      <w:r>
        <w:rPr>
          <w:spacing w:val="-1"/>
          <w:sz w:val="22"/>
        </w:rPr>
        <w:t>施工环保措施计划应当报送工程师。承包人应当严格执行经工程师批准的施工环</w:t>
      </w:r>
      <w:r>
        <w:rPr>
          <w:spacing w:val="-3"/>
          <w:sz w:val="22"/>
        </w:rPr>
        <w:t>保措施计划，并及时补充、修订和完善施工环保措施计划。</w:t>
      </w:r>
    </w:p>
    <w:p>
      <w:pPr>
        <w:pStyle w:val="9"/>
        <w:spacing w:before="6"/>
        <w:rPr>
          <w:sz w:val="26"/>
        </w:rPr>
      </w:pPr>
    </w:p>
    <w:p>
      <w:pPr>
        <w:pStyle w:val="13"/>
        <w:numPr>
          <w:ilvl w:val="0"/>
          <w:numId w:val="98"/>
        </w:numPr>
        <w:tabs>
          <w:tab w:val="left" w:pos="954"/>
        </w:tabs>
        <w:spacing w:before="0" w:after="0" w:line="240" w:lineRule="auto"/>
        <w:ind w:left="953" w:right="0" w:hanging="223"/>
        <w:jc w:val="left"/>
        <w:rPr>
          <w:sz w:val="22"/>
        </w:rPr>
      </w:pPr>
      <w:bookmarkStart w:id="110" w:name="7.治安保卫"/>
      <w:bookmarkEnd w:id="110"/>
      <w:r>
        <w:rPr>
          <w:spacing w:val="-2"/>
          <w:sz w:val="22"/>
        </w:rPr>
        <w:t>治安保卫</w:t>
      </w:r>
    </w:p>
    <w:p>
      <w:pPr>
        <w:pStyle w:val="9"/>
        <w:spacing w:before="8"/>
        <w:rPr>
          <w:sz w:val="30"/>
        </w:rPr>
      </w:pPr>
    </w:p>
    <w:p>
      <w:pPr>
        <w:pStyle w:val="13"/>
        <w:numPr>
          <w:ilvl w:val="1"/>
          <w:numId w:val="98"/>
        </w:numPr>
        <w:tabs>
          <w:tab w:val="left" w:pos="1118"/>
        </w:tabs>
        <w:spacing w:before="0" w:after="0" w:line="266" w:lineRule="auto"/>
        <w:ind w:left="731" w:right="947" w:firstLine="0"/>
        <w:jc w:val="left"/>
        <w:rPr>
          <w:sz w:val="22"/>
        </w:rPr>
      </w:pPr>
      <w:r>
        <w:rPr>
          <w:spacing w:val="4"/>
          <w:sz w:val="22"/>
        </w:rPr>
        <w:t xml:space="preserve">承包人应为现场提供 </w:t>
      </w:r>
      <w:r>
        <w:rPr>
          <w:sz w:val="22"/>
        </w:rPr>
        <w:t>24</w:t>
      </w:r>
      <w:r>
        <w:rPr>
          <w:spacing w:val="3"/>
          <w:sz w:val="22"/>
        </w:rPr>
        <w:t xml:space="preserve"> 小时的保安保卫服务，配备足够的保安人员和保安设备， </w:t>
      </w:r>
      <w:r>
        <w:rPr>
          <w:spacing w:val="5"/>
          <w:sz w:val="22"/>
        </w:rPr>
        <w:t>防止未经批准的任何人进入现场，控制人员、材料和设备等的进出场，防止现场材料、</w:t>
      </w:r>
      <w:r>
        <w:rPr>
          <w:spacing w:val="8"/>
          <w:sz w:val="22"/>
        </w:rPr>
        <w:t>设备或其他任何物品的失窃，禁止任何现场内的打架斗殴事件。</w:t>
      </w:r>
    </w:p>
    <w:p>
      <w:pPr>
        <w:pStyle w:val="9"/>
        <w:spacing w:before="3"/>
        <w:rPr>
          <w:sz w:val="28"/>
        </w:rPr>
      </w:pPr>
    </w:p>
    <w:p>
      <w:pPr>
        <w:pStyle w:val="13"/>
        <w:numPr>
          <w:ilvl w:val="1"/>
          <w:numId w:val="98"/>
        </w:numPr>
        <w:tabs>
          <w:tab w:val="left" w:pos="1173"/>
        </w:tabs>
        <w:spacing w:before="0" w:after="0" w:line="268" w:lineRule="auto"/>
        <w:ind w:left="731" w:right="1063" w:firstLine="0"/>
        <w:jc w:val="both"/>
        <w:rPr>
          <w:sz w:val="22"/>
        </w:rPr>
      </w:pPr>
      <w:r>
        <w:rPr>
          <w:spacing w:val="10"/>
          <w:sz w:val="22"/>
        </w:rPr>
        <w:t>承包人的保安人员应是训练有素的专业保安人员，承包人可以雇佣专业保安公司负责现场保安和保卫；保安保卫制度除规范现场出入大门控制外，还应规定定时和不</w:t>
      </w:r>
      <w:r>
        <w:rPr>
          <w:spacing w:val="-3"/>
          <w:sz w:val="22"/>
        </w:rPr>
        <w:t>定时的现场周边和全现场的保安巡逻。</w:t>
      </w:r>
    </w:p>
    <w:p>
      <w:pPr>
        <w:pStyle w:val="9"/>
        <w:spacing w:before="8"/>
        <w:rPr>
          <w:sz w:val="27"/>
        </w:rPr>
      </w:pPr>
    </w:p>
    <w:p>
      <w:pPr>
        <w:pStyle w:val="13"/>
        <w:numPr>
          <w:ilvl w:val="1"/>
          <w:numId w:val="98"/>
        </w:numPr>
        <w:tabs>
          <w:tab w:val="left" w:pos="1171"/>
        </w:tabs>
        <w:spacing w:before="0" w:after="0" w:line="268" w:lineRule="auto"/>
        <w:ind w:left="731" w:right="890" w:firstLine="0"/>
        <w:jc w:val="both"/>
        <w:rPr>
          <w:sz w:val="22"/>
        </w:rPr>
      </w:pPr>
      <w:r>
        <w:rPr>
          <w:spacing w:val="-3"/>
          <w:sz w:val="22"/>
        </w:rPr>
        <w:t>承包人应制定并实施严格的现场出入制度并报工程师审批；车辆的出入须有出入审批制度，并有指定的专人负责管理；人员进出现场应有出入证，出入证须以经过工程师批准的格</w:t>
      </w:r>
      <w:r>
        <w:rPr>
          <w:spacing w:val="-2"/>
          <w:sz w:val="22"/>
        </w:rPr>
        <w:t>式印制。</w:t>
      </w:r>
    </w:p>
    <w:p>
      <w:pPr>
        <w:pStyle w:val="13"/>
        <w:numPr>
          <w:ilvl w:val="1"/>
          <w:numId w:val="98"/>
        </w:numPr>
        <w:tabs>
          <w:tab w:val="left" w:pos="1171"/>
        </w:tabs>
        <w:spacing w:before="0" w:after="0" w:line="268" w:lineRule="auto"/>
        <w:ind w:left="731" w:right="890" w:firstLine="0"/>
        <w:jc w:val="both"/>
        <w:rPr>
          <w:sz w:val="22"/>
        </w:rPr>
      </w:pPr>
      <w:r>
        <w:rPr>
          <w:spacing w:val="-3"/>
          <w:sz w:val="22"/>
        </w:rPr>
        <w:t>承包人应确保任何未经工程师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工程师批准的参观人员的人身安全。</w:t>
      </w:r>
    </w:p>
    <w:p>
      <w:pPr>
        <w:pStyle w:val="13"/>
        <w:numPr>
          <w:ilvl w:val="1"/>
          <w:numId w:val="98"/>
        </w:numPr>
        <w:tabs>
          <w:tab w:val="left" w:pos="1118"/>
        </w:tabs>
        <w:spacing w:before="0" w:after="0" w:line="266" w:lineRule="auto"/>
        <w:ind w:left="731" w:right="890" w:firstLine="0"/>
        <w:jc w:val="both"/>
        <w:rPr>
          <w:sz w:val="22"/>
        </w:rPr>
      </w:pPr>
      <w:r>
        <w:rPr>
          <w:sz w:val="22"/>
        </w:rPr>
        <w:t>承包人应为现场提供和维护符合建设行政主管部门和市容管理部门规定的临时围墙和其</w:t>
      </w:r>
      <w:r>
        <w:rPr>
          <w:spacing w:val="-3"/>
          <w:sz w:val="22"/>
        </w:rPr>
        <w:t>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pStyle w:val="13"/>
        <w:numPr>
          <w:ilvl w:val="1"/>
          <w:numId w:val="98"/>
        </w:numPr>
        <w:tabs>
          <w:tab w:val="left" w:pos="1281"/>
        </w:tabs>
        <w:spacing w:before="0" w:after="0" w:line="266" w:lineRule="auto"/>
        <w:ind w:left="731" w:right="890" w:firstLine="0"/>
        <w:jc w:val="both"/>
        <w:rPr>
          <w:sz w:val="22"/>
        </w:rPr>
      </w:pPr>
      <w:r>
        <w:rPr>
          <w:spacing w:val="-7"/>
          <w:sz w:val="22"/>
        </w:rPr>
        <w:t>承包人应当保证发包人支付的工程款项仅用于本合同目的，及时和足额地向所雇佣的人</w:t>
      </w:r>
      <w:r>
        <w:rPr>
          <w:spacing w:val="-3"/>
          <w:sz w:val="22"/>
        </w:rPr>
        <w:t>员支付劳动报酬，并制定严格的工人工资支付保障措施，确保所有分包人及时支付所雇佣工</w:t>
      </w:r>
      <w:r>
        <w:rPr>
          <w:spacing w:val="-10"/>
          <w:sz w:val="22"/>
        </w:rPr>
        <w:t>人的工资，有效防止影响社会安定的群体事件发生，并保障发包人免于因承包人(包括其分包</w:t>
      </w:r>
      <w:r>
        <w:rPr>
          <w:spacing w:val="-4"/>
          <w:sz w:val="22"/>
        </w:rPr>
        <w:t>人)拖欠工人工资而可能遭受的任何处罚、索赔、损失和损害等。</w:t>
      </w:r>
    </w:p>
    <w:p>
      <w:pPr>
        <w:pStyle w:val="13"/>
        <w:numPr>
          <w:ilvl w:val="1"/>
          <w:numId w:val="98"/>
        </w:numPr>
        <w:tabs>
          <w:tab w:val="left" w:pos="1651"/>
        </w:tabs>
        <w:spacing w:before="0" w:after="0" w:line="240" w:lineRule="auto"/>
        <w:ind w:left="1650" w:right="0" w:hanging="443"/>
        <w:jc w:val="both"/>
        <w:rPr>
          <w:sz w:val="22"/>
        </w:rPr>
      </w:pPr>
      <w:r>
        <w:rPr>
          <w:spacing w:val="-3"/>
          <w:sz w:val="22"/>
        </w:rPr>
        <w:t>现场治安管理计划的要求：</w:t>
      </w:r>
      <w:r>
        <w:rPr>
          <w:spacing w:val="109"/>
          <w:sz w:val="22"/>
          <w:u w:val="single"/>
        </w:rPr>
        <w:t xml:space="preserve"> </w:t>
      </w:r>
      <w:r>
        <w:rPr>
          <w:sz w:val="22"/>
          <w:u w:val="single"/>
        </w:rPr>
        <w:t xml:space="preserve">/ </w:t>
      </w:r>
      <w:r>
        <w:rPr>
          <w:sz w:val="22"/>
        </w:rPr>
        <w:t xml:space="preserve"> 。</w:t>
      </w:r>
    </w:p>
    <w:p>
      <w:pPr>
        <w:spacing w:after="0" w:line="240" w:lineRule="auto"/>
        <w:jc w:val="both"/>
        <w:rPr>
          <w:sz w:val="22"/>
        </w:rPr>
        <w:sectPr>
          <w:pgSz w:w="11910" w:h="16840"/>
          <w:pgMar w:top="1100" w:right="660" w:bottom="1200" w:left="800" w:header="878" w:footer="1003" w:gutter="0"/>
          <w:cols w:space="720" w:num="1"/>
        </w:sectPr>
      </w:pPr>
    </w:p>
    <w:p>
      <w:pPr>
        <w:pStyle w:val="9"/>
        <w:spacing w:before="7"/>
        <w:rPr>
          <w:sz w:val="17"/>
        </w:rPr>
      </w:pPr>
    </w:p>
    <w:p>
      <w:pPr>
        <w:pStyle w:val="13"/>
        <w:numPr>
          <w:ilvl w:val="1"/>
          <w:numId w:val="98"/>
        </w:numPr>
        <w:tabs>
          <w:tab w:val="left" w:pos="1651"/>
        </w:tabs>
        <w:spacing w:before="77" w:after="0" w:line="240" w:lineRule="auto"/>
        <w:ind w:left="1650" w:right="0" w:hanging="443"/>
        <w:jc w:val="both"/>
        <w:rPr>
          <w:sz w:val="22"/>
        </w:rPr>
      </w:pPr>
      <w:r>
        <w:rPr>
          <w:spacing w:val="-4"/>
          <w:sz w:val="22"/>
        </w:rPr>
        <w:t>突发治安事件紧急预案的要求：</w:t>
      </w:r>
      <w:r>
        <w:rPr>
          <w:spacing w:val="11"/>
          <w:sz w:val="22"/>
          <w:u w:val="single"/>
        </w:rPr>
        <w:t xml:space="preserve"> </w:t>
      </w:r>
      <w:r>
        <w:rPr>
          <w:sz w:val="22"/>
          <w:u w:val="single"/>
        </w:rPr>
        <w:t xml:space="preserve">/ </w:t>
      </w:r>
      <w:r>
        <w:rPr>
          <w:sz w:val="22"/>
        </w:rPr>
        <w:t xml:space="preserve"> 。</w:t>
      </w:r>
    </w:p>
    <w:p>
      <w:pPr>
        <w:pStyle w:val="13"/>
        <w:numPr>
          <w:ilvl w:val="1"/>
          <w:numId w:val="98"/>
        </w:numPr>
        <w:tabs>
          <w:tab w:val="left" w:pos="1596"/>
        </w:tabs>
        <w:spacing w:before="30" w:after="0" w:line="432" w:lineRule="auto"/>
        <w:ind w:left="731" w:right="4340" w:firstLine="477"/>
        <w:jc w:val="both"/>
        <w:rPr>
          <w:sz w:val="22"/>
        </w:rPr>
      </w:pPr>
      <w:r>
        <w:rPr>
          <w:spacing w:val="-3"/>
          <w:sz w:val="22"/>
        </w:rPr>
        <w:t>治安保卫方面的其他要求如下：</w:t>
      </w:r>
      <w:r>
        <w:rPr>
          <w:sz w:val="22"/>
          <w:u w:val="single"/>
        </w:rPr>
        <w:t xml:space="preserve">    /    </w:t>
      </w:r>
      <w:r>
        <w:rPr>
          <w:sz w:val="22"/>
        </w:rPr>
        <w:t xml:space="preserve"> 。</w:t>
      </w:r>
      <w:bookmarkStart w:id="111" w:name="8.地上、地下设施和周边建筑物的临时保护"/>
      <w:bookmarkEnd w:id="111"/>
      <w:r>
        <w:rPr>
          <w:sz w:val="22"/>
        </w:rPr>
        <w:t>8</w:t>
      </w:r>
      <w:r>
        <w:rPr>
          <w:spacing w:val="-3"/>
          <w:sz w:val="22"/>
        </w:rPr>
        <w:t>.地上、地下设施和周边建筑物的临时保护</w:t>
      </w:r>
    </w:p>
    <w:p>
      <w:pPr>
        <w:pStyle w:val="13"/>
        <w:numPr>
          <w:ilvl w:val="1"/>
          <w:numId w:val="99"/>
        </w:numPr>
        <w:tabs>
          <w:tab w:val="left" w:pos="1166"/>
        </w:tabs>
        <w:spacing w:before="0" w:after="0" w:line="268" w:lineRule="auto"/>
        <w:ind w:left="724" w:right="890" w:firstLine="0"/>
        <w:jc w:val="both"/>
        <w:rPr>
          <w:sz w:val="22"/>
        </w:rPr>
      </w:pPr>
      <w:r>
        <w:rPr>
          <w:spacing w:val="-2"/>
          <w:sz w:val="22"/>
        </w:rPr>
        <w:t>承包人应采取合理的施工方法和有效的加固措施，避免邻近构筑物发生沉降、开裂和塌陷。</w:t>
      </w:r>
    </w:p>
    <w:p>
      <w:pPr>
        <w:pStyle w:val="13"/>
        <w:numPr>
          <w:ilvl w:val="1"/>
          <w:numId w:val="99"/>
        </w:numPr>
        <w:tabs>
          <w:tab w:val="left" w:pos="1171"/>
        </w:tabs>
        <w:spacing w:before="0" w:after="0" w:line="279" w:lineRule="exact"/>
        <w:ind w:left="1170" w:right="0" w:hanging="440"/>
        <w:jc w:val="both"/>
        <w:rPr>
          <w:sz w:val="22"/>
        </w:rPr>
      </w:pPr>
      <w:r>
        <w:rPr>
          <w:spacing w:val="-3"/>
          <w:sz w:val="22"/>
        </w:rPr>
        <w:t>承包人对邻近构筑物的保护费用以总价计入措施项目清单。</w:t>
      </w:r>
    </w:p>
    <w:p>
      <w:pPr>
        <w:pStyle w:val="13"/>
        <w:numPr>
          <w:ilvl w:val="1"/>
          <w:numId w:val="99"/>
        </w:numPr>
        <w:tabs>
          <w:tab w:val="left" w:pos="1171"/>
        </w:tabs>
        <w:spacing w:before="28" w:after="0" w:line="268" w:lineRule="auto"/>
        <w:ind w:left="731" w:right="890" w:firstLine="0"/>
        <w:jc w:val="both"/>
        <w:rPr>
          <w:sz w:val="22"/>
        </w:rPr>
      </w:pPr>
      <w:r>
        <w:rPr>
          <w:spacing w:val="-3"/>
          <w:sz w:val="22"/>
        </w:rPr>
        <w:t>承包人对施工过程中造成对邻近构筑物的损坏，应由承包人负责加以修复和赔偿，直到有关部门满意，由此发生的所有费用由承包人承担，发包人不为此承担任何责任，即使承包人所采取的对邻近构筑物的保护措施已得到项目监理的批准，发包人也不为此承担任何额外</w:t>
      </w:r>
      <w:r>
        <w:rPr>
          <w:spacing w:val="-2"/>
          <w:sz w:val="22"/>
        </w:rPr>
        <w:t>费用。</w:t>
      </w:r>
    </w:p>
    <w:p>
      <w:pPr>
        <w:pStyle w:val="13"/>
        <w:numPr>
          <w:ilvl w:val="1"/>
          <w:numId w:val="99"/>
        </w:numPr>
        <w:tabs>
          <w:tab w:val="left" w:pos="1171"/>
        </w:tabs>
        <w:spacing w:before="0" w:after="0" w:line="268" w:lineRule="auto"/>
        <w:ind w:left="731" w:right="892" w:firstLine="0"/>
        <w:jc w:val="both"/>
        <w:rPr>
          <w:sz w:val="22"/>
        </w:rPr>
      </w:pPr>
      <w:r>
        <w:rPr>
          <w:spacing w:val="-3"/>
          <w:sz w:val="22"/>
        </w:rPr>
        <w:t>若承包人对施工中损坏的邻近构筑物不加以修复赔偿，则发包人将指派他人进行修复， 由此发生的修复和赔偿费用，将从应支付给承包人的费用中扣除。</w:t>
      </w:r>
    </w:p>
    <w:p>
      <w:pPr>
        <w:pStyle w:val="9"/>
        <w:spacing w:before="12"/>
        <w:rPr>
          <w:sz w:val="17"/>
        </w:rPr>
      </w:pPr>
    </w:p>
    <w:p>
      <w:pPr>
        <w:pStyle w:val="13"/>
        <w:numPr>
          <w:ilvl w:val="0"/>
          <w:numId w:val="100"/>
        </w:numPr>
        <w:tabs>
          <w:tab w:val="left" w:pos="954"/>
        </w:tabs>
        <w:spacing w:before="0" w:after="0" w:line="240" w:lineRule="auto"/>
        <w:ind w:left="953" w:right="0" w:hanging="223"/>
        <w:jc w:val="left"/>
        <w:rPr>
          <w:sz w:val="22"/>
        </w:rPr>
      </w:pPr>
      <w:bookmarkStart w:id="112" w:name="9.样品和材料代换"/>
      <w:bookmarkEnd w:id="112"/>
      <w:r>
        <w:rPr>
          <w:spacing w:val="-3"/>
          <w:sz w:val="22"/>
        </w:rPr>
        <w:t>样品和材料代换</w:t>
      </w:r>
    </w:p>
    <w:p>
      <w:pPr>
        <w:pStyle w:val="9"/>
        <w:spacing w:before="1"/>
        <w:rPr>
          <w:sz w:val="21"/>
        </w:rPr>
      </w:pPr>
    </w:p>
    <w:p>
      <w:pPr>
        <w:pStyle w:val="13"/>
        <w:numPr>
          <w:ilvl w:val="1"/>
          <w:numId w:val="100"/>
        </w:numPr>
        <w:tabs>
          <w:tab w:val="left" w:pos="1171"/>
        </w:tabs>
        <w:spacing w:before="0" w:after="0" w:line="240" w:lineRule="auto"/>
        <w:ind w:left="1170" w:right="0" w:hanging="440"/>
        <w:jc w:val="both"/>
        <w:rPr>
          <w:sz w:val="22"/>
        </w:rPr>
      </w:pPr>
      <w:r>
        <w:rPr>
          <w:sz w:val="22"/>
        </w:rPr>
        <w:t>样品</w:t>
      </w:r>
    </w:p>
    <w:p>
      <w:pPr>
        <w:pStyle w:val="13"/>
        <w:numPr>
          <w:ilvl w:val="2"/>
          <w:numId w:val="100"/>
        </w:numPr>
        <w:tabs>
          <w:tab w:val="left" w:pos="1869"/>
        </w:tabs>
        <w:spacing w:before="33" w:after="0" w:line="240" w:lineRule="auto"/>
        <w:ind w:left="1868" w:right="0" w:hanging="661"/>
        <w:jc w:val="both"/>
        <w:rPr>
          <w:sz w:val="22"/>
        </w:rPr>
      </w:pPr>
      <w:r>
        <w:rPr>
          <w:spacing w:val="-3"/>
          <w:sz w:val="22"/>
        </w:rPr>
        <w:t>本工程需要承包人提供样品的材料和工程设备如下：</w:t>
      </w:r>
      <w:r>
        <w:rPr>
          <w:spacing w:val="20"/>
          <w:sz w:val="22"/>
          <w:u w:val="single"/>
        </w:rPr>
        <w:t xml:space="preserve"> 另行约定</w:t>
      </w:r>
      <w:r>
        <w:rPr>
          <w:sz w:val="22"/>
        </w:rPr>
        <w:t xml:space="preserve"> 。</w:t>
      </w:r>
    </w:p>
    <w:p>
      <w:pPr>
        <w:pStyle w:val="13"/>
        <w:numPr>
          <w:ilvl w:val="2"/>
          <w:numId w:val="100"/>
        </w:numPr>
        <w:tabs>
          <w:tab w:val="left" w:pos="1768"/>
        </w:tabs>
        <w:spacing w:before="32" w:after="0" w:line="266" w:lineRule="auto"/>
        <w:ind w:left="731" w:right="890" w:firstLine="429"/>
        <w:jc w:val="both"/>
        <w:rPr>
          <w:sz w:val="22"/>
        </w:rPr>
      </w:pPr>
      <w:r>
        <w:rPr>
          <w:sz w:val="22"/>
        </w:rPr>
        <w:t>对于约定的材料和工程设备，承包人应向工程师提交样品并附上任何必要的说明</w:t>
      </w:r>
      <w:r>
        <w:rPr>
          <w:spacing w:val="-3"/>
          <w:sz w:val="22"/>
        </w:rPr>
        <w:t>书、生产(制造)许可证书、出厂合格证明或者证书、出厂检测报告、性能介绍、使用说明等相关资料，同时注明材料和工程设备的供货人及品种、规格、数量和供货时间等，以供检验和审批。样品送达的地点和样品的数量或尺寸应符合工程师和发包人的要求。除合同另有约定外，承包人在报送任何样品时应按工程师同意的格式填写并提交样品报送单。工程师应及时签收样品。</w:t>
      </w:r>
    </w:p>
    <w:p>
      <w:pPr>
        <w:pStyle w:val="13"/>
        <w:numPr>
          <w:ilvl w:val="2"/>
          <w:numId w:val="100"/>
        </w:numPr>
        <w:tabs>
          <w:tab w:val="left" w:pos="1893"/>
        </w:tabs>
        <w:spacing w:before="7" w:after="0" w:line="266" w:lineRule="auto"/>
        <w:ind w:left="731" w:right="890" w:firstLine="501"/>
        <w:jc w:val="both"/>
        <w:rPr>
          <w:sz w:val="22"/>
        </w:rPr>
      </w:pPr>
      <w:r>
        <w:rPr>
          <w:spacing w:val="-7"/>
          <w:sz w:val="22"/>
        </w:rPr>
        <w:t>依法不需要招标的、以暂估价形式包括在工程量清单中的材料和工程设备，所附</w:t>
      </w:r>
      <w:r>
        <w:rPr>
          <w:spacing w:val="-15"/>
          <w:sz w:val="22"/>
        </w:rPr>
        <w:t xml:space="preserve">资料除本款第 </w:t>
      </w:r>
      <w:r>
        <w:rPr>
          <w:sz w:val="22"/>
        </w:rPr>
        <w:t>9.1.2</w:t>
      </w:r>
      <w:r>
        <w:rPr>
          <w:spacing w:val="-8"/>
          <w:sz w:val="22"/>
        </w:rPr>
        <w:t xml:space="preserve"> 项约定的内容外，还应附上价格资料，每一类材料设备，至少应准备符</w:t>
      </w:r>
      <w:r>
        <w:rPr>
          <w:spacing w:val="-11"/>
          <w:sz w:val="22"/>
        </w:rPr>
        <w:t xml:space="preserve">合合同要求的 </w:t>
      </w:r>
      <w:r>
        <w:rPr>
          <w:sz w:val="22"/>
        </w:rPr>
        <w:t>3</w:t>
      </w:r>
      <w:r>
        <w:rPr>
          <w:spacing w:val="-9"/>
          <w:sz w:val="22"/>
        </w:rPr>
        <w:t xml:space="preserve"> 个产品，价格分高、中、低三档，以便工程师和发包人选择和批准。</w:t>
      </w:r>
    </w:p>
    <w:p>
      <w:pPr>
        <w:pStyle w:val="13"/>
        <w:numPr>
          <w:ilvl w:val="2"/>
          <w:numId w:val="100"/>
        </w:numPr>
        <w:tabs>
          <w:tab w:val="left" w:pos="1821"/>
        </w:tabs>
        <w:spacing w:before="2" w:after="0" w:line="266" w:lineRule="auto"/>
        <w:ind w:left="731" w:right="890" w:firstLine="429"/>
        <w:jc w:val="both"/>
        <w:rPr>
          <w:sz w:val="22"/>
        </w:rPr>
      </w:pPr>
      <w:r>
        <w:rPr>
          <w:spacing w:val="-4"/>
          <w:sz w:val="22"/>
        </w:rPr>
        <w:t xml:space="preserve">工程师应在收到承包人报送的样品后 </w:t>
      </w:r>
      <w:r>
        <w:rPr>
          <w:sz w:val="22"/>
        </w:rPr>
        <w:t>7</w:t>
      </w:r>
      <w:r>
        <w:rPr>
          <w:spacing w:val="-8"/>
          <w:sz w:val="22"/>
        </w:rPr>
        <w:t xml:space="preserve"> 天内转呈发包人并附上工程师的书面审批意见。发包人在收到通过工程师转交的样品以及工程师的审批意见后 </w:t>
      </w:r>
      <w:r>
        <w:rPr>
          <w:sz w:val="22"/>
        </w:rPr>
        <w:t>7</w:t>
      </w:r>
      <w:r>
        <w:rPr>
          <w:spacing w:val="-8"/>
          <w:sz w:val="22"/>
        </w:rPr>
        <w:t xml:space="preserve"> 天内就此样品给出书</w:t>
      </w:r>
      <w:r>
        <w:rPr>
          <w:spacing w:val="-10"/>
          <w:sz w:val="22"/>
        </w:rPr>
        <w:t xml:space="preserve">面批复。工程师应在收到样品后 </w:t>
      </w:r>
      <w:r>
        <w:rPr>
          <w:sz w:val="22"/>
        </w:rPr>
        <w:t>21</w:t>
      </w:r>
      <w:r>
        <w:rPr>
          <w:spacing w:val="-8"/>
          <w:sz w:val="22"/>
        </w:rPr>
        <w:t xml:space="preserve"> 天内通知承包人对他相关样品所作出的决定或指示(同时</w:t>
      </w:r>
      <w:r>
        <w:rPr>
          <w:spacing w:val="-9"/>
          <w:sz w:val="22"/>
        </w:rPr>
        <w:t>抄送一份给发包人)。承包人应根据工程师的书面批复和指示相应地进行下一步工作。如果工</w:t>
      </w:r>
      <w:r>
        <w:rPr>
          <w:spacing w:val="-7"/>
          <w:sz w:val="22"/>
        </w:rPr>
        <w:t xml:space="preserve">程师未能在承包人报送样品后 </w:t>
      </w:r>
      <w:r>
        <w:rPr>
          <w:sz w:val="22"/>
        </w:rPr>
        <w:t>21</w:t>
      </w:r>
      <w:r>
        <w:rPr>
          <w:spacing w:val="-14"/>
          <w:sz w:val="22"/>
        </w:rPr>
        <w:t xml:space="preserve"> 天内给出书面批复，承包人应就此通知工程师，要求尽快批</w:t>
      </w:r>
      <w:r>
        <w:rPr>
          <w:spacing w:val="-11"/>
          <w:sz w:val="22"/>
        </w:rPr>
        <w:t xml:space="preserve">复。如果工程师在收到此类通知后 </w:t>
      </w:r>
      <w:r>
        <w:rPr>
          <w:sz w:val="22"/>
        </w:rPr>
        <w:t>7</w:t>
      </w:r>
      <w:r>
        <w:rPr>
          <w:spacing w:val="-8"/>
          <w:sz w:val="22"/>
        </w:rPr>
        <w:t xml:space="preserve"> 天内仍未对样品进行批复，则视为工程师和发包人已经</w:t>
      </w:r>
      <w:r>
        <w:rPr>
          <w:spacing w:val="-4"/>
          <w:sz w:val="22"/>
        </w:rPr>
        <w:t>批准。</w:t>
      </w:r>
    </w:p>
    <w:p>
      <w:pPr>
        <w:pStyle w:val="13"/>
        <w:numPr>
          <w:ilvl w:val="2"/>
          <w:numId w:val="100"/>
        </w:numPr>
        <w:tabs>
          <w:tab w:val="left" w:pos="1831"/>
        </w:tabs>
        <w:spacing w:before="8" w:after="0" w:line="266" w:lineRule="auto"/>
        <w:ind w:left="731" w:right="892" w:firstLine="439"/>
        <w:jc w:val="both"/>
        <w:rPr>
          <w:sz w:val="22"/>
        </w:rPr>
      </w:pPr>
      <w:r>
        <w:rPr>
          <w:spacing w:val="-3"/>
          <w:sz w:val="22"/>
        </w:rPr>
        <w:t>得到批准后的样品由工程师负责存放。但承包人应为保存样品提供适当和固定的场所并保持适当和良好的环境条件。</w:t>
      </w:r>
    </w:p>
    <w:p>
      <w:pPr>
        <w:pStyle w:val="13"/>
        <w:numPr>
          <w:ilvl w:val="2"/>
          <w:numId w:val="100"/>
        </w:numPr>
        <w:tabs>
          <w:tab w:val="left" w:pos="1831"/>
        </w:tabs>
        <w:spacing w:before="1" w:after="0" w:line="240" w:lineRule="auto"/>
        <w:ind w:left="1830" w:right="0" w:hanging="661"/>
        <w:jc w:val="both"/>
        <w:rPr>
          <w:sz w:val="22"/>
        </w:rPr>
      </w:pPr>
      <w:r>
        <w:rPr>
          <w:spacing w:val="-3"/>
          <w:sz w:val="22"/>
        </w:rPr>
        <w:t>提供样品和提供存放样品场所的费用由承包人承担。</w:t>
      </w:r>
    </w:p>
    <w:p>
      <w:pPr>
        <w:pStyle w:val="13"/>
        <w:numPr>
          <w:ilvl w:val="1"/>
          <w:numId w:val="100"/>
        </w:numPr>
        <w:tabs>
          <w:tab w:val="left" w:pos="1171"/>
        </w:tabs>
        <w:spacing w:before="152" w:after="0" w:line="240" w:lineRule="auto"/>
        <w:ind w:left="1170" w:right="0" w:hanging="440"/>
        <w:jc w:val="both"/>
        <w:rPr>
          <w:sz w:val="22"/>
        </w:rPr>
      </w:pPr>
      <w:r>
        <w:rPr>
          <w:spacing w:val="-2"/>
          <w:sz w:val="22"/>
        </w:rPr>
        <w:t>材料代换</w:t>
      </w:r>
    </w:p>
    <w:p>
      <w:pPr>
        <w:pStyle w:val="13"/>
        <w:numPr>
          <w:ilvl w:val="2"/>
          <w:numId w:val="100"/>
        </w:numPr>
        <w:tabs>
          <w:tab w:val="left" w:pos="1768"/>
        </w:tabs>
        <w:spacing w:before="153" w:after="0" w:line="266" w:lineRule="auto"/>
        <w:ind w:left="731" w:right="890" w:firstLine="429"/>
        <w:jc w:val="both"/>
        <w:rPr>
          <w:sz w:val="22"/>
        </w:rPr>
      </w:pPr>
      <w:r>
        <w:rPr>
          <w:sz w:val="22"/>
        </w:rPr>
        <w:t>如果任何后继法律、法规、规章、规范、标准和规程等禁止使用合同中约定的材</w:t>
      </w:r>
      <w:r>
        <w:rPr>
          <w:spacing w:val="-3"/>
          <w:sz w:val="22"/>
        </w:rPr>
        <w:t>料和工程设备，承包人应当按本款约定的程序使用其他替代品来实施工程或修补缺陷。工程师对使用替代品的批准以及承包人据此使用替代品不应减免合同约定的承包人的任何责任和</w:t>
      </w:r>
      <w:r>
        <w:rPr>
          <w:spacing w:val="-2"/>
          <w:sz w:val="22"/>
        </w:rPr>
        <w:t>义务。</w:t>
      </w:r>
    </w:p>
    <w:p>
      <w:pPr>
        <w:pStyle w:val="13"/>
        <w:numPr>
          <w:ilvl w:val="2"/>
          <w:numId w:val="100"/>
        </w:numPr>
        <w:tabs>
          <w:tab w:val="left" w:pos="1768"/>
        </w:tabs>
        <w:spacing w:before="1" w:after="0" w:line="268" w:lineRule="auto"/>
        <w:ind w:left="731" w:right="921" w:firstLine="429"/>
        <w:jc w:val="both"/>
        <w:rPr>
          <w:sz w:val="22"/>
        </w:rPr>
      </w:pPr>
      <w:r>
        <w:rPr>
          <w:spacing w:val="-5"/>
          <w:sz w:val="22"/>
        </w:rPr>
        <w:t xml:space="preserve">如果使用替代品，承包人应至少在被替代品按批准的进度计划用于永久工程前 </w:t>
      </w:r>
      <w:r>
        <w:rPr>
          <w:sz w:val="22"/>
        </w:rPr>
        <w:t xml:space="preserve">56 </w:t>
      </w:r>
      <w:r>
        <w:rPr>
          <w:spacing w:val="-3"/>
          <w:sz w:val="22"/>
        </w:rPr>
        <w:t>天以书面形式通知工程师并随此通知提交下列文件：</w:t>
      </w:r>
    </w:p>
    <w:p>
      <w:pPr>
        <w:spacing w:after="0" w:line="268" w:lineRule="auto"/>
        <w:jc w:val="both"/>
        <w:rPr>
          <w:sz w:val="22"/>
        </w:rPr>
        <w:sectPr>
          <w:pgSz w:w="11910" w:h="16840"/>
          <w:pgMar w:top="1100" w:right="660" w:bottom="1200" w:left="800" w:header="878" w:footer="1003" w:gutter="0"/>
          <w:cols w:space="720" w:num="1"/>
        </w:sectPr>
      </w:pPr>
    </w:p>
    <w:p>
      <w:pPr>
        <w:pStyle w:val="9"/>
        <w:spacing w:before="1"/>
        <w:rPr>
          <w:sz w:val="18"/>
        </w:rPr>
      </w:pPr>
    </w:p>
    <w:p>
      <w:pPr>
        <w:pStyle w:val="13"/>
        <w:numPr>
          <w:ilvl w:val="0"/>
          <w:numId w:val="101"/>
        </w:numPr>
        <w:tabs>
          <w:tab w:val="left" w:pos="1064"/>
        </w:tabs>
        <w:spacing w:before="70" w:after="0" w:line="266" w:lineRule="auto"/>
        <w:ind w:left="731" w:right="892" w:firstLine="0"/>
        <w:jc w:val="left"/>
        <w:rPr>
          <w:sz w:val="22"/>
        </w:rPr>
      </w:pPr>
      <w:r>
        <w:rPr>
          <w:spacing w:val="-9"/>
          <w:sz w:val="22"/>
        </w:rPr>
        <w:t>拟被替代的合同约定的材料和工程设备的名称、数量、规格、型号、品牌、性能、价格及</w:t>
      </w:r>
      <w:r>
        <w:rPr>
          <w:spacing w:val="-3"/>
          <w:sz w:val="22"/>
        </w:rPr>
        <w:t>其他任何详细资料；</w:t>
      </w:r>
    </w:p>
    <w:p>
      <w:pPr>
        <w:pStyle w:val="13"/>
        <w:numPr>
          <w:ilvl w:val="0"/>
          <w:numId w:val="101"/>
        </w:numPr>
        <w:tabs>
          <w:tab w:val="left" w:pos="1064"/>
        </w:tabs>
        <w:spacing w:before="1" w:after="0" w:line="268" w:lineRule="auto"/>
        <w:ind w:left="731" w:right="890" w:firstLine="0"/>
        <w:jc w:val="left"/>
        <w:rPr>
          <w:sz w:val="22"/>
        </w:rPr>
      </w:pPr>
      <w:r>
        <w:rPr>
          <w:spacing w:val="-10"/>
          <w:sz w:val="22"/>
        </w:rPr>
        <w:t>拟采用的替代品的名称、数量、规格、型号、品牌、性能、价格及其他任何必要的详细资料；</w:t>
      </w:r>
    </w:p>
    <w:p>
      <w:pPr>
        <w:pStyle w:val="13"/>
        <w:numPr>
          <w:ilvl w:val="0"/>
          <w:numId w:val="101"/>
        </w:numPr>
        <w:tabs>
          <w:tab w:val="left" w:pos="1064"/>
        </w:tabs>
        <w:spacing w:before="0" w:after="0" w:line="279" w:lineRule="exact"/>
        <w:ind w:left="1063" w:right="0" w:hanging="333"/>
        <w:jc w:val="left"/>
        <w:rPr>
          <w:sz w:val="22"/>
        </w:rPr>
      </w:pPr>
      <w:r>
        <w:rPr>
          <w:spacing w:val="-3"/>
          <w:sz w:val="22"/>
        </w:rPr>
        <w:t>替代品使用的工程部位；</w:t>
      </w:r>
    </w:p>
    <w:p>
      <w:pPr>
        <w:pStyle w:val="13"/>
        <w:numPr>
          <w:ilvl w:val="0"/>
          <w:numId w:val="101"/>
        </w:numPr>
        <w:tabs>
          <w:tab w:val="left" w:pos="1064"/>
        </w:tabs>
        <w:spacing w:before="32" w:after="0" w:line="240" w:lineRule="auto"/>
        <w:ind w:left="1063" w:right="0" w:hanging="333"/>
        <w:jc w:val="left"/>
        <w:rPr>
          <w:sz w:val="22"/>
        </w:rPr>
      </w:pPr>
      <w:r>
        <w:rPr>
          <w:spacing w:val="-3"/>
          <w:sz w:val="22"/>
        </w:rPr>
        <w:t>采用替代品的理由和原因说明；</w:t>
      </w:r>
    </w:p>
    <w:p>
      <w:pPr>
        <w:pStyle w:val="13"/>
        <w:numPr>
          <w:ilvl w:val="0"/>
          <w:numId w:val="101"/>
        </w:numPr>
        <w:tabs>
          <w:tab w:val="left" w:pos="1064"/>
        </w:tabs>
        <w:spacing w:before="30" w:after="0" w:line="268" w:lineRule="auto"/>
        <w:ind w:left="731" w:right="1022" w:firstLine="0"/>
        <w:jc w:val="left"/>
        <w:rPr>
          <w:sz w:val="22"/>
        </w:rPr>
      </w:pPr>
      <w:r>
        <w:rPr>
          <w:spacing w:val="-3"/>
          <w:sz w:val="22"/>
        </w:rPr>
        <w:t>替代品与合同中约定的产品之间的差异以及使用替代品后可能对工程产生的任何影响； (6)价格上的差异；</w:t>
      </w:r>
    </w:p>
    <w:p>
      <w:pPr>
        <w:pStyle w:val="9"/>
        <w:spacing w:line="279" w:lineRule="exact"/>
        <w:ind w:left="731"/>
      </w:pPr>
      <w:r>
        <w:t>(7)工程师为做出适当的决定而随时要求承包人提供的任何其他文件。</w:t>
      </w:r>
    </w:p>
    <w:p>
      <w:pPr>
        <w:pStyle w:val="9"/>
        <w:spacing w:before="33" w:line="266" w:lineRule="auto"/>
        <w:ind w:left="731" w:right="890" w:firstLine="439"/>
        <w:jc w:val="both"/>
      </w:pPr>
      <w:r>
        <w:rPr>
          <w:spacing w:val="-2"/>
        </w:rPr>
        <w:t xml:space="preserve">工程师在收到此类通知及上述文件后，应在 </w:t>
      </w:r>
      <w:r>
        <w:t>28</w:t>
      </w:r>
      <w:r>
        <w:rPr>
          <w:spacing w:val="-8"/>
        </w:rPr>
        <w:t xml:space="preserve"> 天内向承包人发出书面指示。如果在 </w:t>
      </w:r>
      <w:r>
        <w:t xml:space="preserve">28 </w:t>
      </w:r>
      <w:r>
        <w:rPr>
          <w:spacing w:val="-3"/>
        </w:rPr>
        <w:t>天内未向工程师发出书面指示，应视为工程师和发包人已经批准使用上述替代品，承包人可以据此使用替代品。</w:t>
      </w:r>
    </w:p>
    <w:p>
      <w:pPr>
        <w:pStyle w:val="13"/>
        <w:numPr>
          <w:ilvl w:val="2"/>
          <w:numId w:val="100"/>
        </w:numPr>
        <w:tabs>
          <w:tab w:val="left" w:pos="1816"/>
        </w:tabs>
        <w:spacing w:before="2" w:after="0" w:line="240" w:lineRule="auto"/>
        <w:ind w:left="1816" w:right="0" w:hanging="608"/>
        <w:jc w:val="left"/>
        <w:rPr>
          <w:sz w:val="22"/>
        </w:rPr>
      </w:pPr>
      <w:r>
        <w:rPr>
          <w:spacing w:val="-3"/>
          <w:sz w:val="22"/>
        </w:rPr>
        <w:t>任何情况下，替代品都应遵守本合同中对相关材料和工程设备的要求。</w:t>
      </w:r>
    </w:p>
    <w:p>
      <w:pPr>
        <w:pStyle w:val="13"/>
        <w:numPr>
          <w:ilvl w:val="2"/>
          <w:numId w:val="100"/>
        </w:numPr>
        <w:tabs>
          <w:tab w:val="left" w:pos="1869"/>
        </w:tabs>
        <w:spacing w:before="30" w:after="0" w:line="268" w:lineRule="auto"/>
        <w:ind w:left="731" w:right="890" w:firstLine="477"/>
        <w:jc w:val="left"/>
        <w:rPr>
          <w:sz w:val="22"/>
        </w:rPr>
      </w:pPr>
      <w:r>
        <w:rPr>
          <w:spacing w:val="-3"/>
          <w:sz w:val="22"/>
        </w:rPr>
        <w:t>如果承包人根据本条约定使用了替代品，工程师应与承包人适当协商之后并在 合理的期限内确定替代材料和工程设备与合同中约定的材料和工程设备之间的价格差值，并</w:t>
      </w:r>
      <w:r>
        <w:rPr>
          <w:spacing w:val="-2"/>
          <w:sz w:val="22"/>
        </w:rPr>
        <w:t>决定：</w:t>
      </w:r>
    </w:p>
    <w:p>
      <w:pPr>
        <w:pStyle w:val="13"/>
        <w:numPr>
          <w:ilvl w:val="0"/>
          <w:numId w:val="102"/>
        </w:numPr>
        <w:tabs>
          <w:tab w:val="left" w:pos="1503"/>
        </w:tabs>
        <w:spacing w:before="0" w:after="0" w:line="268" w:lineRule="auto"/>
        <w:ind w:left="731" w:right="890" w:firstLine="439"/>
        <w:jc w:val="left"/>
        <w:rPr>
          <w:sz w:val="22"/>
        </w:rPr>
      </w:pPr>
      <w:r>
        <w:rPr>
          <w:spacing w:val="-6"/>
          <w:sz w:val="22"/>
        </w:rPr>
        <w:t>如果替代材料和工程设备的价格高于合同中约定的材料和工程设备的价格，则将高出</w:t>
      </w:r>
      <w:r>
        <w:rPr>
          <w:spacing w:val="-3"/>
          <w:sz w:val="22"/>
        </w:rPr>
        <w:t>部分的价格追加到合同价格中并相应地通知承包人；</w:t>
      </w:r>
    </w:p>
    <w:p>
      <w:pPr>
        <w:pStyle w:val="13"/>
        <w:numPr>
          <w:ilvl w:val="0"/>
          <w:numId w:val="102"/>
        </w:numPr>
        <w:tabs>
          <w:tab w:val="left" w:pos="1503"/>
        </w:tabs>
        <w:spacing w:before="0" w:after="0" w:line="266" w:lineRule="auto"/>
        <w:ind w:left="731" w:right="890" w:firstLine="439"/>
        <w:jc w:val="left"/>
        <w:rPr>
          <w:sz w:val="22"/>
        </w:rPr>
      </w:pPr>
      <w:r>
        <w:rPr>
          <w:spacing w:val="-6"/>
          <w:sz w:val="22"/>
        </w:rPr>
        <w:t>如果替代材料和工程设备的价格低于合同中约定的材料和工程设备的价格，则将节余</w:t>
      </w:r>
      <w:r>
        <w:rPr>
          <w:spacing w:val="-3"/>
          <w:sz w:val="22"/>
        </w:rPr>
        <w:t>部分的价格从合同价格中扣除并相应地通知承包人。</w:t>
      </w:r>
    </w:p>
    <w:p>
      <w:pPr>
        <w:pStyle w:val="9"/>
        <w:spacing w:before="3"/>
        <w:rPr>
          <w:sz w:val="18"/>
        </w:rPr>
      </w:pPr>
    </w:p>
    <w:p>
      <w:pPr>
        <w:pStyle w:val="13"/>
        <w:numPr>
          <w:ilvl w:val="0"/>
          <w:numId w:val="100"/>
        </w:numPr>
        <w:tabs>
          <w:tab w:val="left" w:pos="1064"/>
        </w:tabs>
        <w:spacing w:before="0" w:after="0" w:line="240" w:lineRule="auto"/>
        <w:ind w:left="1063" w:right="0" w:hanging="333"/>
        <w:jc w:val="left"/>
        <w:rPr>
          <w:sz w:val="22"/>
        </w:rPr>
      </w:pPr>
      <w:bookmarkStart w:id="113" w:name="10.进口材料和工程设备"/>
      <w:bookmarkEnd w:id="113"/>
      <w:r>
        <w:rPr>
          <w:spacing w:val="-3"/>
          <w:sz w:val="22"/>
        </w:rPr>
        <w:t>进口材料和工程设备</w:t>
      </w:r>
    </w:p>
    <w:p>
      <w:pPr>
        <w:pStyle w:val="9"/>
        <w:spacing w:before="4"/>
        <w:rPr>
          <w:sz w:val="21"/>
        </w:rPr>
      </w:pPr>
    </w:p>
    <w:p>
      <w:pPr>
        <w:pStyle w:val="13"/>
        <w:numPr>
          <w:ilvl w:val="1"/>
          <w:numId w:val="100"/>
        </w:numPr>
        <w:tabs>
          <w:tab w:val="left" w:pos="1761"/>
          <w:tab w:val="left" w:pos="6159"/>
          <w:tab w:val="left" w:pos="6929"/>
        </w:tabs>
        <w:spacing w:before="0" w:after="0" w:line="240" w:lineRule="auto"/>
        <w:ind w:left="1760" w:right="0" w:hanging="553"/>
        <w:jc w:val="left"/>
        <w:rPr>
          <w:sz w:val="22"/>
        </w:rPr>
      </w:pPr>
      <w:r>
        <w:rPr>
          <w:sz w:val="22"/>
        </w:rPr>
        <w:t>本</w:t>
      </w:r>
      <w:r>
        <w:rPr>
          <w:spacing w:val="-3"/>
          <w:sz w:val="22"/>
        </w:rPr>
        <w:t>工</w:t>
      </w:r>
      <w:r>
        <w:rPr>
          <w:sz w:val="22"/>
        </w:rPr>
        <w:t>程需</w:t>
      </w:r>
      <w:r>
        <w:rPr>
          <w:spacing w:val="-3"/>
          <w:sz w:val="22"/>
        </w:rPr>
        <w:t>要</w:t>
      </w:r>
      <w:r>
        <w:rPr>
          <w:sz w:val="22"/>
        </w:rPr>
        <w:t>进口</w:t>
      </w:r>
      <w:r>
        <w:rPr>
          <w:spacing w:val="-3"/>
          <w:sz w:val="22"/>
        </w:rPr>
        <w:t>的</w:t>
      </w:r>
      <w:r>
        <w:rPr>
          <w:sz w:val="22"/>
        </w:rPr>
        <w:t>材料</w:t>
      </w:r>
      <w:r>
        <w:rPr>
          <w:spacing w:val="-3"/>
          <w:sz w:val="22"/>
        </w:rPr>
        <w:t>和</w:t>
      </w:r>
      <w:r>
        <w:rPr>
          <w:sz w:val="22"/>
        </w:rPr>
        <w:t>工程</w:t>
      </w:r>
      <w:r>
        <w:rPr>
          <w:spacing w:val="-3"/>
          <w:sz w:val="22"/>
        </w:rPr>
        <w:t>设</w:t>
      </w:r>
      <w:r>
        <w:rPr>
          <w:sz w:val="22"/>
        </w:rPr>
        <w:t>备如</w:t>
      </w:r>
      <w:r>
        <w:rPr>
          <w:spacing w:val="-3"/>
          <w:sz w:val="22"/>
        </w:rPr>
        <w:t>下</w:t>
      </w:r>
      <w:r>
        <w:rPr>
          <w:sz w:val="22"/>
        </w:rPr>
        <w:t>：</w:t>
      </w:r>
      <w:r>
        <w:rPr>
          <w:sz w:val="22"/>
          <w:u w:val="single"/>
        </w:rPr>
        <w:t xml:space="preserve"> </w:t>
      </w:r>
      <w:r>
        <w:rPr>
          <w:sz w:val="22"/>
          <w:u w:val="single"/>
        </w:rPr>
        <w:tab/>
      </w:r>
      <w:r>
        <w:rPr>
          <w:sz w:val="22"/>
          <w:u w:val="single"/>
        </w:rPr>
        <w:t>/</w:t>
      </w:r>
      <w:r>
        <w:rPr>
          <w:sz w:val="22"/>
          <w:u w:val="single"/>
        </w:rPr>
        <w:tab/>
      </w:r>
      <w:r>
        <w:rPr>
          <w:sz w:val="22"/>
        </w:rPr>
        <w:t>。</w:t>
      </w:r>
    </w:p>
    <w:p>
      <w:pPr>
        <w:pStyle w:val="13"/>
        <w:numPr>
          <w:ilvl w:val="1"/>
          <w:numId w:val="100"/>
        </w:numPr>
        <w:tabs>
          <w:tab w:val="left" w:pos="1226"/>
          <w:tab w:val="left" w:pos="5610"/>
          <w:tab w:val="left" w:pos="6379"/>
        </w:tabs>
        <w:spacing w:before="32" w:after="0" w:line="266" w:lineRule="auto"/>
        <w:ind w:left="1208" w:right="1298" w:hanging="478"/>
        <w:jc w:val="left"/>
        <w:rPr>
          <w:sz w:val="22"/>
        </w:rPr>
      </w:pPr>
      <w:r>
        <w:rPr>
          <w:spacing w:val="-1"/>
          <w:sz w:val="22"/>
        </w:rPr>
        <w:t>上</w:t>
      </w:r>
      <w:r>
        <w:rPr>
          <w:spacing w:val="-3"/>
          <w:sz w:val="22"/>
        </w:rPr>
        <w:t>述</w:t>
      </w:r>
      <w:r>
        <w:rPr>
          <w:spacing w:val="-1"/>
          <w:sz w:val="22"/>
        </w:rPr>
        <w:t>进口</w:t>
      </w:r>
      <w:r>
        <w:rPr>
          <w:spacing w:val="-3"/>
          <w:sz w:val="22"/>
        </w:rPr>
        <w:t>材</w:t>
      </w:r>
      <w:r>
        <w:rPr>
          <w:spacing w:val="-1"/>
          <w:sz w:val="22"/>
        </w:rPr>
        <w:t>料</w:t>
      </w:r>
      <w:r>
        <w:rPr>
          <w:sz w:val="22"/>
        </w:rPr>
        <w:t>和</w:t>
      </w:r>
      <w:r>
        <w:rPr>
          <w:spacing w:val="-3"/>
          <w:sz w:val="22"/>
        </w:rPr>
        <w:t>工</w:t>
      </w:r>
      <w:r>
        <w:rPr>
          <w:sz w:val="22"/>
        </w:rPr>
        <w:t>程设</w:t>
      </w:r>
      <w:r>
        <w:rPr>
          <w:spacing w:val="-3"/>
          <w:sz w:val="22"/>
        </w:rPr>
        <w:t>备</w:t>
      </w:r>
      <w:r>
        <w:rPr>
          <w:sz w:val="22"/>
        </w:rPr>
        <w:t>采购</w:t>
      </w:r>
      <w:r>
        <w:rPr>
          <w:spacing w:val="-3"/>
          <w:sz w:val="22"/>
        </w:rPr>
        <w:t>、</w:t>
      </w:r>
      <w:r>
        <w:rPr>
          <w:sz w:val="22"/>
        </w:rPr>
        <w:t>进口</w:t>
      </w:r>
      <w:r>
        <w:rPr>
          <w:spacing w:val="-3"/>
          <w:sz w:val="22"/>
        </w:rPr>
        <w:t>、</w:t>
      </w:r>
      <w:r>
        <w:rPr>
          <w:sz w:val="22"/>
        </w:rPr>
        <w:t>报关</w:t>
      </w:r>
      <w:r>
        <w:rPr>
          <w:spacing w:val="-3"/>
          <w:sz w:val="22"/>
        </w:rPr>
        <w:t>、</w:t>
      </w:r>
      <w:r>
        <w:rPr>
          <w:sz w:val="22"/>
        </w:rPr>
        <w:t>清关</w:t>
      </w:r>
      <w:r>
        <w:rPr>
          <w:spacing w:val="-3"/>
          <w:sz w:val="22"/>
        </w:rPr>
        <w:t>、</w:t>
      </w:r>
      <w:r>
        <w:rPr>
          <w:sz w:val="22"/>
        </w:rPr>
        <w:t>商检</w:t>
      </w:r>
      <w:r>
        <w:rPr>
          <w:spacing w:val="-3"/>
          <w:sz w:val="22"/>
        </w:rPr>
        <w:t>、</w:t>
      </w:r>
      <w:r>
        <w:rPr>
          <w:sz w:val="22"/>
        </w:rPr>
        <w:t>境内</w:t>
      </w:r>
      <w:r>
        <w:rPr>
          <w:spacing w:val="-3"/>
          <w:sz w:val="22"/>
        </w:rPr>
        <w:t>运</w:t>
      </w:r>
      <w:r>
        <w:rPr>
          <w:sz w:val="22"/>
        </w:rPr>
        <w:t>输(包</w:t>
      </w:r>
      <w:r>
        <w:rPr>
          <w:spacing w:val="-3"/>
          <w:sz w:val="22"/>
        </w:rPr>
        <w:t>括</w:t>
      </w:r>
      <w:r>
        <w:rPr>
          <w:sz w:val="22"/>
        </w:rPr>
        <w:t>保险</w:t>
      </w:r>
      <w:r>
        <w:rPr>
          <w:spacing w:val="-3"/>
          <w:sz w:val="22"/>
        </w:rPr>
        <w:t>)</w:t>
      </w:r>
      <w:r>
        <w:rPr>
          <w:sz w:val="22"/>
        </w:rPr>
        <w:t>、保</w:t>
      </w:r>
      <w:r>
        <w:rPr>
          <w:spacing w:val="-3"/>
          <w:sz w:val="22"/>
        </w:rPr>
        <w:t>管</w:t>
      </w:r>
      <w:r>
        <w:rPr>
          <w:sz w:val="22"/>
        </w:rPr>
        <w:t>的责</w:t>
      </w:r>
      <w:r>
        <w:rPr>
          <w:spacing w:val="-3"/>
          <w:sz w:val="22"/>
        </w:rPr>
        <w:t>任</w:t>
      </w:r>
      <w:r>
        <w:rPr>
          <w:sz w:val="22"/>
        </w:rPr>
        <w:t>以及</w:t>
      </w:r>
      <w:r>
        <w:rPr>
          <w:spacing w:val="-3"/>
          <w:sz w:val="22"/>
        </w:rPr>
        <w:t>费</w:t>
      </w:r>
      <w:r>
        <w:rPr>
          <w:sz w:val="22"/>
        </w:rPr>
        <w:t>用承</w:t>
      </w:r>
      <w:r>
        <w:rPr>
          <w:spacing w:val="-3"/>
          <w:sz w:val="22"/>
        </w:rPr>
        <w:t>担</w:t>
      </w:r>
      <w:r>
        <w:rPr>
          <w:sz w:val="22"/>
        </w:rPr>
        <w:t>方式</w:t>
      </w:r>
      <w:r>
        <w:rPr>
          <w:spacing w:val="-3"/>
          <w:sz w:val="22"/>
        </w:rPr>
        <w:t>划</w:t>
      </w:r>
      <w:r>
        <w:rPr>
          <w:sz w:val="22"/>
        </w:rPr>
        <w:t>分如</w:t>
      </w:r>
      <w:r>
        <w:rPr>
          <w:spacing w:val="-3"/>
          <w:sz w:val="22"/>
        </w:rPr>
        <w:t>下</w:t>
      </w:r>
      <w:r>
        <w:rPr>
          <w:sz w:val="22"/>
        </w:rPr>
        <w:t>：</w:t>
      </w:r>
      <w:r>
        <w:rPr>
          <w:sz w:val="22"/>
          <w:u w:val="single"/>
        </w:rPr>
        <w:t xml:space="preserve"> </w:t>
      </w:r>
      <w:r>
        <w:rPr>
          <w:sz w:val="22"/>
          <w:u w:val="single"/>
        </w:rPr>
        <w:tab/>
      </w:r>
      <w:r>
        <w:rPr>
          <w:sz w:val="22"/>
          <w:u w:val="single"/>
        </w:rPr>
        <w:t>/</w:t>
      </w:r>
      <w:r>
        <w:rPr>
          <w:sz w:val="22"/>
          <w:u w:val="single"/>
        </w:rPr>
        <w:tab/>
      </w:r>
      <w:r>
        <w:rPr>
          <w:sz w:val="22"/>
        </w:rPr>
        <w:t>。</w:t>
      </w:r>
    </w:p>
    <w:p>
      <w:pPr>
        <w:pStyle w:val="13"/>
        <w:numPr>
          <w:ilvl w:val="0"/>
          <w:numId w:val="100"/>
        </w:numPr>
        <w:tabs>
          <w:tab w:val="left" w:pos="1064"/>
        </w:tabs>
        <w:spacing w:before="121" w:after="0" w:line="240" w:lineRule="auto"/>
        <w:ind w:left="1063" w:right="0" w:hanging="333"/>
        <w:jc w:val="left"/>
        <w:rPr>
          <w:sz w:val="22"/>
        </w:rPr>
      </w:pPr>
      <w:bookmarkStart w:id="114" w:name="11.进度报告和进度例会"/>
      <w:bookmarkEnd w:id="114"/>
      <w:r>
        <w:rPr>
          <w:spacing w:val="-3"/>
          <w:sz w:val="22"/>
        </w:rPr>
        <w:t>进度报告和进度例会</w:t>
      </w:r>
    </w:p>
    <w:p>
      <w:pPr>
        <w:pStyle w:val="13"/>
        <w:numPr>
          <w:ilvl w:val="1"/>
          <w:numId w:val="100"/>
        </w:numPr>
        <w:tabs>
          <w:tab w:val="left" w:pos="1281"/>
        </w:tabs>
        <w:spacing w:before="153" w:after="0" w:line="240" w:lineRule="auto"/>
        <w:ind w:left="1280" w:right="0" w:hanging="550"/>
        <w:jc w:val="both"/>
        <w:rPr>
          <w:sz w:val="22"/>
        </w:rPr>
      </w:pPr>
      <w:r>
        <w:rPr>
          <w:spacing w:val="-2"/>
          <w:sz w:val="22"/>
        </w:rPr>
        <w:t>进度报告</w:t>
      </w:r>
    </w:p>
    <w:p>
      <w:pPr>
        <w:pStyle w:val="13"/>
        <w:numPr>
          <w:ilvl w:val="2"/>
          <w:numId w:val="100"/>
        </w:numPr>
        <w:tabs>
          <w:tab w:val="left" w:pos="1948"/>
        </w:tabs>
        <w:spacing w:before="30" w:after="0" w:line="268" w:lineRule="auto"/>
        <w:ind w:left="731" w:right="892" w:firstLine="501"/>
        <w:jc w:val="both"/>
        <w:rPr>
          <w:sz w:val="22"/>
        </w:rPr>
      </w:pPr>
      <w:r>
        <w:rPr>
          <w:spacing w:val="-11"/>
          <w:sz w:val="22"/>
        </w:rPr>
        <w:t>施工过程中，承包人应向工程师指定的代表呈递一份每日的日进度报表、每周的</w:t>
      </w:r>
      <w:r>
        <w:rPr>
          <w:spacing w:val="-5"/>
          <w:sz w:val="22"/>
        </w:rPr>
        <w:t xml:space="preserve">周进度报表和每月的月进度报表。除非工程师同意，日进度报表应在次日上午九点前提交， </w:t>
      </w:r>
      <w:r>
        <w:rPr>
          <w:spacing w:val="-7"/>
          <w:sz w:val="22"/>
        </w:rPr>
        <w:t xml:space="preserve">周进度报表应在次周的周一上午 </w:t>
      </w:r>
      <w:r>
        <w:rPr>
          <w:sz w:val="22"/>
        </w:rPr>
        <w:t>9</w:t>
      </w:r>
      <w:r>
        <w:rPr>
          <w:spacing w:val="-9"/>
          <w:sz w:val="22"/>
        </w:rPr>
        <w:t xml:space="preserve"> 时前提交，月进度报表应随进度付款申请单一并提交。</w:t>
      </w:r>
    </w:p>
    <w:p>
      <w:pPr>
        <w:pStyle w:val="13"/>
        <w:numPr>
          <w:ilvl w:val="2"/>
          <w:numId w:val="100"/>
        </w:numPr>
        <w:tabs>
          <w:tab w:val="left" w:pos="1948"/>
        </w:tabs>
        <w:spacing w:before="0" w:after="0" w:line="266" w:lineRule="auto"/>
        <w:ind w:left="731" w:right="892" w:firstLine="501"/>
        <w:jc w:val="both"/>
        <w:rPr>
          <w:sz w:val="22"/>
        </w:rPr>
      </w:pPr>
      <w:r>
        <w:rPr>
          <w:spacing w:val="-6"/>
          <w:sz w:val="22"/>
        </w:rPr>
        <w:t>日和周进度报表的内容应至少包括每日在现场工作的技术管理人员数量、各工种</w:t>
      </w:r>
      <w:r>
        <w:rPr>
          <w:spacing w:val="-3"/>
          <w:sz w:val="22"/>
        </w:rPr>
        <w:t>技术工人和非技术工人数量、后勤人员数量、参观现场的人员数量，包括分包人人员数量； 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pStyle w:val="13"/>
        <w:numPr>
          <w:ilvl w:val="2"/>
          <w:numId w:val="100"/>
        </w:numPr>
        <w:tabs>
          <w:tab w:val="left" w:pos="1886"/>
        </w:tabs>
        <w:spacing w:before="1" w:after="0" w:line="266" w:lineRule="auto"/>
        <w:ind w:left="731" w:right="890" w:firstLine="429"/>
        <w:jc w:val="both"/>
        <w:rPr>
          <w:sz w:val="22"/>
        </w:rPr>
      </w:pPr>
      <w:r>
        <w:rPr>
          <w:spacing w:val="6"/>
          <w:sz w:val="22"/>
        </w:rPr>
        <w:t>月进度报表应当反映月完成工程量和累计完成工程量(包括永久工程和临时工</w:t>
      </w:r>
      <w:r>
        <w:rPr>
          <w:spacing w:val="-9"/>
          <w:sz w:val="22"/>
        </w:rPr>
        <w:t xml:space="preserve">程)、材料实际进货、消耗和库存量、现场施工设备的投运数量和运行状况、工程设备的到货情况、劳动力数量(本月及预计未来 </w:t>
      </w:r>
      <w:r>
        <w:rPr>
          <w:sz w:val="22"/>
        </w:rPr>
        <w:t>3</w:t>
      </w:r>
      <w:r>
        <w:rPr>
          <w:spacing w:val="-8"/>
          <w:sz w:val="22"/>
        </w:rPr>
        <w:t xml:space="preserve"> 个月劳动力的数量)、当前影响施工进度计划的因素和</w:t>
      </w:r>
      <w:r>
        <w:rPr>
          <w:spacing w:val="-3"/>
          <w:sz w:val="22"/>
        </w:rPr>
        <w:t>采取的改进措施、进度计划调整及其说明、质量事故和质量缺陷处理纪录、质量状况评价、安全施工措施计划实施情况、安全事故以及人员伤亡和财产损失情况(如果有)、环境保护措施实施和文明施工措施实施情况。</w:t>
      </w:r>
    </w:p>
    <w:p>
      <w:pPr>
        <w:pStyle w:val="13"/>
        <w:numPr>
          <w:ilvl w:val="2"/>
          <w:numId w:val="100"/>
        </w:numPr>
        <w:tabs>
          <w:tab w:val="left" w:pos="1932"/>
        </w:tabs>
        <w:spacing w:before="4" w:after="0" w:line="268" w:lineRule="auto"/>
        <w:ind w:left="731" w:right="890" w:firstLine="429"/>
        <w:jc w:val="both"/>
        <w:rPr>
          <w:sz w:val="22"/>
        </w:rPr>
      </w:pPr>
      <w:r>
        <w:rPr>
          <w:spacing w:val="-6"/>
          <w:sz w:val="22"/>
        </w:rPr>
        <w:t>进度报告还应附有一组充分显示工程形象进度的定点摄影照片。照片应当在经工</w:t>
      </w:r>
      <w:r>
        <w:rPr>
          <w:spacing w:val="-3"/>
          <w:sz w:val="22"/>
        </w:rPr>
        <w:t>程师批准的不同位置定期拍摄，每张照片都应标上相应的拍摄日期和简要文字说明，且应用</w:t>
      </w:r>
    </w:p>
    <w:p>
      <w:pPr>
        <w:spacing w:after="0" w:line="268" w:lineRule="auto"/>
        <w:jc w:val="both"/>
        <w:rPr>
          <w:sz w:val="22"/>
        </w:rPr>
        <w:sectPr>
          <w:pgSz w:w="11910" w:h="16840"/>
          <w:pgMar w:top="1100" w:right="660" w:bottom="1200" w:left="800" w:header="878" w:footer="1003" w:gutter="0"/>
          <w:cols w:space="720" w:num="1"/>
        </w:sectPr>
      </w:pPr>
    </w:p>
    <w:p>
      <w:pPr>
        <w:pStyle w:val="9"/>
        <w:spacing w:before="1"/>
        <w:rPr>
          <w:sz w:val="18"/>
        </w:rPr>
      </w:pPr>
    </w:p>
    <w:p>
      <w:pPr>
        <w:pStyle w:val="9"/>
        <w:spacing w:before="70"/>
        <w:ind w:left="731"/>
      </w:pPr>
      <w:r>
        <w:t>经发包人和工程师批准的标准或格式装裱后呈交。</w:t>
      </w:r>
    </w:p>
    <w:p>
      <w:pPr>
        <w:pStyle w:val="13"/>
        <w:numPr>
          <w:ilvl w:val="2"/>
          <w:numId w:val="100"/>
        </w:numPr>
        <w:tabs>
          <w:tab w:val="left" w:pos="1932"/>
        </w:tabs>
        <w:spacing w:before="30" w:after="0" w:line="268" w:lineRule="auto"/>
        <w:ind w:left="731" w:right="892" w:firstLine="429"/>
        <w:jc w:val="left"/>
        <w:rPr>
          <w:sz w:val="22"/>
        </w:rPr>
      </w:pPr>
      <w:r>
        <w:rPr>
          <w:spacing w:val="-7"/>
          <w:sz w:val="22"/>
        </w:rPr>
        <w:t>各个进度报表的格式和内容应经过工程师的审批。进度报表应如实填写，由承包</w:t>
      </w:r>
      <w:r>
        <w:rPr>
          <w:spacing w:val="-3"/>
          <w:sz w:val="22"/>
        </w:rPr>
        <w:t>人授权代表签名，并报工程师的指定代表签名确认后再行分发。</w:t>
      </w:r>
    </w:p>
    <w:p>
      <w:pPr>
        <w:pStyle w:val="13"/>
        <w:numPr>
          <w:ilvl w:val="2"/>
          <w:numId w:val="100"/>
        </w:numPr>
        <w:tabs>
          <w:tab w:val="left" w:pos="1876"/>
        </w:tabs>
        <w:spacing w:before="0" w:after="0" w:line="268" w:lineRule="auto"/>
        <w:ind w:left="731" w:right="782" w:firstLine="429"/>
        <w:jc w:val="left"/>
        <w:rPr>
          <w:sz w:val="22"/>
        </w:rPr>
      </w:pPr>
      <w:r>
        <w:rPr>
          <w:spacing w:val="-6"/>
          <w:sz w:val="22"/>
        </w:rPr>
        <w:t>如果工程师认为必要，进度报告和进度照片应同时以存储在磁盘或光盘中的数据</w:t>
      </w:r>
      <w:r>
        <w:rPr>
          <w:spacing w:val="-9"/>
          <w:sz w:val="22"/>
        </w:rPr>
        <w:t>文件的形式提交给发包人和工程师。数据文件采用的应用软件及其版本应经过工程师的审批。</w:t>
      </w:r>
    </w:p>
    <w:p>
      <w:pPr>
        <w:pStyle w:val="13"/>
        <w:numPr>
          <w:ilvl w:val="2"/>
          <w:numId w:val="100"/>
        </w:numPr>
        <w:tabs>
          <w:tab w:val="left" w:pos="1924"/>
          <w:tab w:val="left" w:pos="5005"/>
          <w:tab w:val="left" w:pos="5775"/>
        </w:tabs>
        <w:spacing w:before="0" w:after="0" w:line="279" w:lineRule="exact"/>
        <w:ind w:left="1924" w:right="0" w:hanging="716"/>
        <w:jc w:val="left"/>
        <w:rPr>
          <w:sz w:val="22"/>
        </w:rPr>
      </w:pPr>
      <w:r>
        <w:rPr>
          <w:sz w:val="22"/>
        </w:rPr>
        <w:t>有</w:t>
      </w:r>
      <w:r>
        <w:rPr>
          <w:spacing w:val="-3"/>
          <w:sz w:val="22"/>
        </w:rPr>
        <w:t>关</w:t>
      </w:r>
      <w:r>
        <w:rPr>
          <w:sz w:val="22"/>
        </w:rPr>
        <w:t>进度</w:t>
      </w:r>
      <w:r>
        <w:rPr>
          <w:spacing w:val="-3"/>
          <w:sz w:val="22"/>
        </w:rPr>
        <w:t>报</w:t>
      </w:r>
      <w:r>
        <w:rPr>
          <w:sz w:val="22"/>
        </w:rPr>
        <w:t>告的</w:t>
      </w:r>
      <w:r>
        <w:rPr>
          <w:spacing w:val="-3"/>
          <w:sz w:val="22"/>
        </w:rPr>
        <w:t>其</w:t>
      </w:r>
      <w:r>
        <w:rPr>
          <w:sz w:val="22"/>
        </w:rPr>
        <w:t>他要</w:t>
      </w:r>
      <w:r>
        <w:rPr>
          <w:spacing w:val="-3"/>
          <w:sz w:val="22"/>
        </w:rPr>
        <w:t>求</w:t>
      </w:r>
      <w:r>
        <w:rPr>
          <w:sz w:val="22"/>
        </w:rPr>
        <w:t>：</w:t>
      </w:r>
      <w:r>
        <w:rPr>
          <w:sz w:val="22"/>
          <w:u w:val="single"/>
        </w:rPr>
        <w:t xml:space="preserve"> </w:t>
      </w:r>
      <w:r>
        <w:rPr>
          <w:sz w:val="22"/>
          <w:u w:val="single"/>
        </w:rPr>
        <w:tab/>
      </w:r>
      <w:r>
        <w:rPr>
          <w:sz w:val="22"/>
          <w:u w:val="single"/>
        </w:rPr>
        <w:t>/</w:t>
      </w:r>
      <w:r>
        <w:rPr>
          <w:sz w:val="22"/>
          <w:u w:val="single"/>
        </w:rPr>
        <w:tab/>
      </w:r>
      <w:r>
        <w:rPr>
          <w:sz w:val="22"/>
        </w:rPr>
        <w:t>。</w:t>
      </w:r>
    </w:p>
    <w:p>
      <w:pPr>
        <w:pStyle w:val="13"/>
        <w:numPr>
          <w:ilvl w:val="1"/>
          <w:numId w:val="100"/>
        </w:numPr>
        <w:tabs>
          <w:tab w:val="left" w:pos="1281"/>
        </w:tabs>
        <w:spacing w:before="28" w:after="0" w:line="240" w:lineRule="auto"/>
        <w:ind w:left="1280" w:right="0" w:hanging="550"/>
        <w:jc w:val="left"/>
        <w:rPr>
          <w:sz w:val="22"/>
        </w:rPr>
      </w:pPr>
      <w:r>
        <w:rPr>
          <w:spacing w:val="-2"/>
          <w:sz w:val="22"/>
        </w:rPr>
        <w:t>进度例会</w:t>
      </w:r>
    </w:p>
    <w:p>
      <w:pPr>
        <w:pStyle w:val="13"/>
        <w:numPr>
          <w:ilvl w:val="2"/>
          <w:numId w:val="100"/>
        </w:numPr>
        <w:tabs>
          <w:tab w:val="left" w:pos="1876"/>
        </w:tabs>
        <w:spacing w:before="32" w:after="0" w:line="268" w:lineRule="auto"/>
        <w:ind w:left="731" w:right="890" w:firstLine="429"/>
        <w:jc w:val="both"/>
        <w:rPr>
          <w:sz w:val="22"/>
        </w:rPr>
      </w:pPr>
      <w:r>
        <w:rPr>
          <w:spacing w:val="-5"/>
          <w:sz w:val="22"/>
        </w:rPr>
        <w:t>工程师将主持召开有发包人、承包人、分包人等与本工程建设有关各方出席的每</w:t>
      </w:r>
      <w:r>
        <w:rPr>
          <w:spacing w:val="-3"/>
          <w:sz w:val="22"/>
        </w:rPr>
        <w:t>周一次的进度例会。必要时，工程师可随时召集所有上述各方或其中部分单位参加的会议。承包人应保证能代表其当场作出决定的高级管理人员出席会议。</w:t>
      </w:r>
    </w:p>
    <w:p>
      <w:pPr>
        <w:pStyle w:val="13"/>
        <w:numPr>
          <w:ilvl w:val="2"/>
          <w:numId w:val="100"/>
        </w:numPr>
        <w:tabs>
          <w:tab w:val="left" w:pos="1876"/>
        </w:tabs>
        <w:spacing w:before="0" w:after="0" w:line="268" w:lineRule="auto"/>
        <w:ind w:left="731" w:right="890" w:firstLine="429"/>
        <w:jc w:val="both"/>
        <w:rPr>
          <w:sz w:val="22"/>
        </w:rPr>
      </w:pPr>
      <w:r>
        <w:rPr>
          <w:spacing w:val="-5"/>
          <w:sz w:val="22"/>
        </w:rPr>
        <w:t>进度例会的内容将涉及合同管理、进度协调和工程管理的各个方面，由工程师准</w:t>
      </w:r>
      <w:r>
        <w:rPr>
          <w:spacing w:val="-6"/>
          <w:sz w:val="22"/>
        </w:rPr>
        <w:t xml:space="preserve">备的会议议题将随会议通知在会议召开前至少 </w:t>
      </w:r>
      <w:r>
        <w:rPr>
          <w:sz w:val="22"/>
        </w:rPr>
        <w:t>24</w:t>
      </w:r>
      <w:r>
        <w:rPr>
          <w:spacing w:val="-9"/>
          <w:sz w:val="22"/>
        </w:rPr>
        <w:t xml:space="preserve"> 小时发给各参会方。</w:t>
      </w:r>
    </w:p>
    <w:p>
      <w:pPr>
        <w:pStyle w:val="13"/>
        <w:numPr>
          <w:ilvl w:val="2"/>
          <w:numId w:val="100"/>
        </w:numPr>
        <w:tabs>
          <w:tab w:val="left" w:pos="1876"/>
        </w:tabs>
        <w:spacing w:before="0" w:after="0" w:line="266" w:lineRule="auto"/>
        <w:ind w:left="731" w:right="777" w:firstLine="429"/>
        <w:jc w:val="left"/>
        <w:rPr>
          <w:sz w:val="22"/>
        </w:rPr>
      </w:pPr>
      <w:r>
        <w:rPr>
          <w:spacing w:val="-5"/>
          <w:sz w:val="22"/>
        </w:rPr>
        <w:t>工程师应当做好会议记录，并在会议结束时由与会各方签字确认。工程师应根据</w:t>
      </w:r>
      <w:r>
        <w:rPr>
          <w:spacing w:val="-10"/>
          <w:sz w:val="22"/>
        </w:rPr>
        <w:t xml:space="preserve">会议记录整理出会议纪要，并在相应会议后 </w:t>
      </w:r>
      <w:r>
        <w:rPr>
          <w:sz w:val="22"/>
        </w:rPr>
        <w:t>24</w:t>
      </w:r>
      <w:r>
        <w:rPr>
          <w:spacing w:val="-12"/>
          <w:sz w:val="22"/>
        </w:rPr>
        <w:t xml:space="preserve"> 小时内分发给出席会议的各方。会议纪要应当</w:t>
      </w:r>
      <w:r>
        <w:rPr>
          <w:spacing w:val="-9"/>
          <w:sz w:val="22"/>
        </w:rPr>
        <w:t>如实反映会议记录的内容，包括任何决定、存在的问题、责任方、有关工作的时间目标等等。</w:t>
      </w:r>
      <w:r>
        <w:rPr>
          <w:spacing w:val="-8"/>
          <w:sz w:val="22"/>
        </w:rPr>
        <w:t xml:space="preserve">各方在收到会议纪要后 </w:t>
      </w:r>
      <w:r>
        <w:rPr>
          <w:sz w:val="22"/>
        </w:rPr>
        <w:t>24</w:t>
      </w:r>
      <w:r>
        <w:rPr>
          <w:spacing w:val="-14"/>
          <w:sz w:val="22"/>
        </w:rPr>
        <w:t xml:space="preserve"> 小时内给予签字确认，如有任何异议，应将有关异议以书面形式通</w:t>
      </w:r>
      <w:r>
        <w:rPr>
          <w:spacing w:val="-8"/>
          <w:sz w:val="22"/>
        </w:rPr>
        <w:t>知工程师，由工程师与有异议一方或各方共同核对会议记录，有异议的一方或者各方对与会</w:t>
      </w:r>
      <w:r>
        <w:rPr>
          <w:spacing w:val="-6"/>
          <w:sz w:val="22"/>
        </w:rPr>
        <w:t>议记录内容一致的会议纪要必须给予签字确认，否则工程师可以用会议记录作为会议纪要。</w:t>
      </w:r>
      <w:r>
        <w:rPr>
          <w:spacing w:val="-3"/>
          <w:sz w:val="22"/>
        </w:rPr>
        <w:t>经参会各方签字认可的会议纪要对各方有合同约束力。</w:t>
      </w:r>
    </w:p>
    <w:p>
      <w:pPr>
        <w:pStyle w:val="13"/>
        <w:numPr>
          <w:ilvl w:val="2"/>
          <w:numId w:val="100"/>
        </w:numPr>
        <w:tabs>
          <w:tab w:val="left" w:pos="1924"/>
          <w:tab w:val="left" w:pos="5005"/>
          <w:tab w:val="left" w:pos="5775"/>
        </w:tabs>
        <w:spacing w:before="0" w:after="0" w:line="369" w:lineRule="auto"/>
        <w:ind w:left="731" w:right="4448" w:firstLine="477"/>
        <w:jc w:val="left"/>
        <w:rPr>
          <w:sz w:val="22"/>
        </w:rPr>
      </w:pPr>
      <w:r>
        <w:rPr>
          <w:sz w:val="22"/>
        </w:rPr>
        <w:t>有</w:t>
      </w:r>
      <w:r>
        <w:rPr>
          <w:spacing w:val="-3"/>
          <w:sz w:val="22"/>
        </w:rPr>
        <w:t>关</w:t>
      </w:r>
      <w:r>
        <w:rPr>
          <w:sz w:val="22"/>
        </w:rPr>
        <w:t>进度</w:t>
      </w:r>
      <w:r>
        <w:rPr>
          <w:spacing w:val="-3"/>
          <w:sz w:val="22"/>
        </w:rPr>
        <w:t>例</w:t>
      </w:r>
      <w:r>
        <w:rPr>
          <w:sz w:val="22"/>
        </w:rPr>
        <w:t>会的</w:t>
      </w:r>
      <w:r>
        <w:rPr>
          <w:spacing w:val="-3"/>
          <w:sz w:val="22"/>
        </w:rPr>
        <w:t>其</w:t>
      </w:r>
      <w:r>
        <w:rPr>
          <w:sz w:val="22"/>
        </w:rPr>
        <w:t>他要</w:t>
      </w:r>
      <w:r>
        <w:rPr>
          <w:spacing w:val="-3"/>
          <w:sz w:val="22"/>
        </w:rPr>
        <w:t>求</w:t>
      </w:r>
      <w:r>
        <w:rPr>
          <w:sz w:val="22"/>
        </w:rPr>
        <w:t>：</w:t>
      </w:r>
      <w:r>
        <w:rPr>
          <w:sz w:val="22"/>
          <w:u w:val="single"/>
        </w:rPr>
        <w:t xml:space="preserve"> </w:t>
      </w:r>
      <w:r>
        <w:rPr>
          <w:sz w:val="22"/>
          <w:u w:val="single"/>
        </w:rPr>
        <w:tab/>
      </w:r>
      <w:r>
        <w:rPr>
          <w:sz w:val="22"/>
          <w:u w:val="single"/>
        </w:rPr>
        <w:t>/</w:t>
      </w:r>
      <w:r>
        <w:rPr>
          <w:sz w:val="22"/>
          <w:u w:val="single"/>
        </w:rPr>
        <w:tab/>
      </w:r>
      <w:r>
        <w:rPr>
          <w:spacing w:val="-18"/>
          <w:sz w:val="22"/>
        </w:rPr>
        <w:t>。</w:t>
      </w:r>
      <w:bookmarkStart w:id="115" w:name="12.试验和检验"/>
      <w:bookmarkEnd w:id="115"/>
      <w:r>
        <w:rPr>
          <w:sz w:val="22"/>
        </w:rPr>
        <w:t>12.试</w:t>
      </w:r>
      <w:r>
        <w:rPr>
          <w:spacing w:val="-3"/>
          <w:sz w:val="22"/>
        </w:rPr>
        <w:t>验</w:t>
      </w:r>
      <w:r>
        <w:rPr>
          <w:sz w:val="22"/>
        </w:rPr>
        <w:t>和检验</w:t>
      </w:r>
    </w:p>
    <w:p>
      <w:pPr>
        <w:pStyle w:val="13"/>
        <w:numPr>
          <w:ilvl w:val="1"/>
          <w:numId w:val="103"/>
        </w:numPr>
        <w:tabs>
          <w:tab w:val="left" w:pos="1281"/>
        </w:tabs>
        <w:spacing w:before="0" w:after="0" w:line="266" w:lineRule="auto"/>
        <w:ind w:left="731" w:right="890" w:firstLine="0"/>
        <w:jc w:val="both"/>
        <w:rPr>
          <w:sz w:val="22"/>
        </w:rPr>
      </w:pPr>
      <w:r>
        <w:rPr>
          <w:spacing w:val="-12"/>
          <w:sz w:val="22"/>
        </w:rPr>
        <w:t>工程开工前，承包人应根据图纸和监理工程师提供的书面测量资料和测量标志进行基点</w:t>
      </w:r>
      <w:r>
        <w:rPr>
          <w:spacing w:val="-10"/>
          <w:sz w:val="22"/>
        </w:rPr>
        <w:t xml:space="preserve">和基线的布设。承包人若对测量资料有怀疑，应在监理工程师现场交接后 </w:t>
      </w:r>
      <w:r>
        <w:rPr>
          <w:sz w:val="22"/>
        </w:rPr>
        <w:t>7</w:t>
      </w:r>
      <w:r>
        <w:rPr>
          <w:spacing w:val="-9"/>
          <w:sz w:val="22"/>
        </w:rPr>
        <w:t xml:space="preserve"> 天内向其提出， </w:t>
      </w:r>
      <w:r>
        <w:rPr>
          <w:spacing w:val="-3"/>
          <w:sz w:val="22"/>
        </w:rPr>
        <w:t>监理工程师应立即突出处理意见。承包人应将测量方案和测量结果提交监理工程师确认。</w:t>
      </w:r>
    </w:p>
    <w:p>
      <w:pPr>
        <w:pStyle w:val="13"/>
        <w:numPr>
          <w:ilvl w:val="1"/>
          <w:numId w:val="103"/>
        </w:numPr>
        <w:tabs>
          <w:tab w:val="left" w:pos="1281"/>
        </w:tabs>
        <w:spacing w:before="0" w:after="0" w:line="268" w:lineRule="auto"/>
        <w:ind w:left="731" w:right="890" w:firstLine="0"/>
        <w:jc w:val="both"/>
        <w:rPr>
          <w:sz w:val="22"/>
        </w:rPr>
      </w:pPr>
      <w:r>
        <w:rPr>
          <w:spacing w:val="-8"/>
          <w:sz w:val="22"/>
        </w:rPr>
        <w:t>承包人在征得监理工程师同意后，可在开工前对必要地段进行测量，测量工作应接受监</w:t>
      </w:r>
      <w:r>
        <w:rPr>
          <w:spacing w:val="-3"/>
          <w:sz w:val="22"/>
        </w:rPr>
        <w:t>理工程师的监督，测量图在监理工程师签字确认后方可用于工程施工。</w:t>
      </w:r>
    </w:p>
    <w:p>
      <w:pPr>
        <w:pStyle w:val="13"/>
        <w:numPr>
          <w:ilvl w:val="1"/>
          <w:numId w:val="103"/>
        </w:numPr>
        <w:tabs>
          <w:tab w:val="left" w:pos="1281"/>
        </w:tabs>
        <w:spacing w:before="0" w:after="0" w:line="268" w:lineRule="auto"/>
        <w:ind w:left="731" w:right="890" w:firstLine="0"/>
        <w:jc w:val="both"/>
        <w:rPr>
          <w:sz w:val="22"/>
        </w:rPr>
      </w:pPr>
      <w:r>
        <w:rPr>
          <w:spacing w:val="-6"/>
          <w:sz w:val="22"/>
        </w:rPr>
        <w:t>承包人应当按照工程施工验收规范和标准的规定和合同通用条款的约定，对用于永久工</w:t>
      </w:r>
      <w:r>
        <w:rPr>
          <w:spacing w:val="-3"/>
          <w:sz w:val="22"/>
        </w:rPr>
        <w:t>程的一切材料、半成品、成品、建筑构配件、工程设备等进行试验和检验。工程师可以根据工程需要，指示承包人进行其他现场材料和工艺的试验和检验。</w:t>
      </w:r>
    </w:p>
    <w:p>
      <w:pPr>
        <w:pStyle w:val="13"/>
        <w:numPr>
          <w:ilvl w:val="1"/>
          <w:numId w:val="103"/>
        </w:numPr>
        <w:tabs>
          <w:tab w:val="left" w:pos="1281"/>
        </w:tabs>
        <w:spacing w:before="0" w:after="0" w:line="278" w:lineRule="exact"/>
        <w:ind w:left="1280" w:right="0" w:hanging="550"/>
        <w:jc w:val="both"/>
        <w:rPr>
          <w:sz w:val="22"/>
        </w:rPr>
      </w:pPr>
      <w:r>
        <w:rPr>
          <w:spacing w:val="-3"/>
          <w:sz w:val="22"/>
        </w:rPr>
        <w:t>本工程需要由工程师和承包人共同进行试验和检验的材料、工程设备和工艺如下：</w:t>
      </w:r>
    </w:p>
    <w:p>
      <w:pPr>
        <w:pStyle w:val="9"/>
        <w:spacing w:before="27"/>
        <w:ind w:left="731"/>
      </w:pPr>
      <w:r>
        <w:rPr>
          <w:rFonts w:ascii="Times New Roman" w:eastAsia="Times New Roman"/>
          <w:w w:val="100"/>
          <w:u w:val="single"/>
        </w:rPr>
        <w:t xml:space="preserve"> </w:t>
      </w:r>
      <w:r>
        <w:rPr>
          <w:rFonts w:ascii="Times New Roman" w:eastAsia="Times New Roman"/>
          <w:u w:val="single"/>
        </w:rPr>
        <w:t xml:space="preserve"> </w:t>
      </w:r>
      <w:r>
        <w:rPr>
          <w:u w:val="single"/>
        </w:rPr>
        <w:t>用于永久工程的一切材料、半成品、成品、建筑构配件等</w:t>
      </w:r>
      <w:r>
        <w:t>。</w:t>
      </w:r>
    </w:p>
    <w:p>
      <w:pPr>
        <w:pStyle w:val="13"/>
        <w:numPr>
          <w:ilvl w:val="1"/>
          <w:numId w:val="103"/>
        </w:numPr>
        <w:tabs>
          <w:tab w:val="left" w:pos="1284"/>
        </w:tabs>
        <w:spacing w:before="33" w:after="0" w:line="266" w:lineRule="auto"/>
        <w:ind w:left="731" w:right="893" w:firstLine="0"/>
        <w:jc w:val="both"/>
        <w:rPr>
          <w:sz w:val="22"/>
        </w:rPr>
      </w:pPr>
      <w:r>
        <w:rPr>
          <w:sz w:val="22"/>
        </w:rPr>
        <w:t>本条上述约定需要进行检验的材料、工程设备和工艺在经过检验并获得工程师批准以</w:t>
      </w:r>
      <w:r>
        <w:rPr>
          <w:spacing w:val="-3"/>
          <w:sz w:val="22"/>
        </w:rPr>
        <w:t>前，不得用于任何永久工程。</w:t>
      </w:r>
    </w:p>
    <w:p>
      <w:pPr>
        <w:pStyle w:val="13"/>
        <w:numPr>
          <w:ilvl w:val="1"/>
          <w:numId w:val="103"/>
        </w:numPr>
        <w:tabs>
          <w:tab w:val="left" w:pos="1281"/>
        </w:tabs>
        <w:spacing w:before="0" w:after="0" w:line="266" w:lineRule="auto"/>
        <w:ind w:left="731" w:right="890" w:firstLine="0"/>
        <w:jc w:val="both"/>
        <w:rPr>
          <w:sz w:val="22"/>
        </w:rPr>
      </w:pPr>
      <w:r>
        <w:rPr>
          <w:spacing w:val="-9"/>
          <w:sz w:val="22"/>
        </w:rPr>
        <w:t>承包人应为任何材料、工程设备和工艺的检查、检测和检验提供劳务、电力、燃料、备</w:t>
      </w:r>
      <w:r>
        <w:rPr>
          <w:spacing w:val="-3"/>
          <w:sz w:val="22"/>
        </w:rPr>
        <w:t>用品、设备和仪器以及必要的协助。工程师及其任何授权人员应能够在任何时候进入现场及正在为工程制造、装配、准备材料和(或)工程设备的车间和场所进行任何必要的检查。无论</w:t>
      </w:r>
      <w:r>
        <w:rPr>
          <w:spacing w:val="-14"/>
          <w:sz w:val="22"/>
        </w:rPr>
        <w:t xml:space="preserve">这些车间和场所是否属于承包人，承包人都应提供一切便利，并协助其取得相应的权力和(或) </w:t>
      </w:r>
      <w:r>
        <w:rPr>
          <w:spacing w:val="-6"/>
          <w:sz w:val="22"/>
        </w:rPr>
        <w:t>许可。</w:t>
      </w:r>
    </w:p>
    <w:p>
      <w:pPr>
        <w:pStyle w:val="13"/>
        <w:numPr>
          <w:ilvl w:val="1"/>
          <w:numId w:val="103"/>
        </w:numPr>
        <w:tabs>
          <w:tab w:val="left" w:pos="1281"/>
        </w:tabs>
        <w:spacing w:before="6" w:after="0" w:line="266" w:lineRule="auto"/>
        <w:ind w:left="731" w:right="779" w:firstLine="0"/>
        <w:jc w:val="left"/>
        <w:rPr>
          <w:sz w:val="22"/>
        </w:rPr>
      </w:pPr>
      <w:r>
        <w:rPr>
          <w:spacing w:val="-10"/>
          <w:sz w:val="22"/>
        </w:rPr>
        <w:t>如果检查、检测、检验或试验的结果表明，材料、工程设备和工艺有缺陷或不符合合同</w:t>
      </w:r>
      <w:r>
        <w:rPr>
          <w:spacing w:val="-7"/>
          <w:sz w:val="22"/>
        </w:rPr>
        <w:t>约定，工程师和发包人可拒收此类材料、工程设备和工艺，并应立即通知承包人同时说明理</w:t>
      </w:r>
      <w:r>
        <w:rPr>
          <w:spacing w:val="-10"/>
          <w:sz w:val="22"/>
        </w:rPr>
        <w:t>由。承包人应立即修复上述缺陷并保证其符合合同约定。若工程师或发包人要求对此类材料、</w:t>
      </w:r>
      <w:r>
        <w:rPr>
          <w:spacing w:val="-7"/>
          <w:sz w:val="22"/>
        </w:rPr>
        <w:t>工程设备、工艺重新进行检验，则此类检验应按相同条款和条件重新进行。如果此类拒收和</w:t>
      </w:r>
      <w:r>
        <w:rPr>
          <w:spacing w:val="-6"/>
          <w:sz w:val="22"/>
        </w:rPr>
        <w:t>重新检验致使发包人产生了额外费用，则此类费用应由承包人支付给发包人，或从发包人应</w:t>
      </w:r>
    </w:p>
    <w:p>
      <w:pPr>
        <w:spacing w:after="0" w:line="266" w:lineRule="auto"/>
        <w:jc w:val="left"/>
        <w:rPr>
          <w:sz w:val="22"/>
        </w:rPr>
        <w:sectPr>
          <w:pgSz w:w="11910" w:h="16840"/>
          <w:pgMar w:top="1100" w:right="660" w:bottom="1200" w:left="800" w:header="878" w:footer="1003" w:gutter="0"/>
          <w:cols w:space="720" w:num="1"/>
        </w:sectPr>
      </w:pPr>
    </w:p>
    <w:p>
      <w:pPr>
        <w:pStyle w:val="9"/>
        <w:spacing w:before="1"/>
        <w:rPr>
          <w:sz w:val="18"/>
        </w:rPr>
      </w:pPr>
    </w:p>
    <w:p>
      <w:pPr>
        <w:pStyle w:val="9"/>
        <w:spacing w:before="70"/>
        <w:ind w:left="731"/>
      </w:pPr>
      <w:r>
        <w:t>支付给承包人的款项中扣除。</w:t>
      </w:r>
    </w:p>
    <w:p>
      <w:pPr>
        <w:pStyle w:val="13"/>
        <w:numPr>
          <w:ilvl w:val="1"/>
          <w:numId w:val="103"/>
        </w:numPr>
        <w:tabs>
          <w:tab w:val="left" w:pos="1281"/>
        </w:tabs>
        <w:spacing w:before="30" w:after="0" w:line="268" w:lineRule="auto"/>
        <w:ind w:left="731" w:right="782" w:firstLine="0"/>
        <w:jc w:val="left"/>
        <w:rPr>
          <w:sz w:val="22"/>
        </w:rPr>
      </w:pPr>
      <w:r>
        <w:rPr>
          <w:spacing w:val="-15"/>
          <w:sz w:val="22"/>
        </w:rPr>
        <w:t xml:space="preserve">承包人应在工程师的监督下，对涉及结构安全的试块、试件以及有关材料进行现场取样， </w:t>
      </w:r>
      <w:r>
        <w:rPr>
          <w:spacing w:val="-5"/>
          <w:sz w:val="22"/>
        </w:rPr>
        <w:t>并送质量检测单位进行检测。</w:t>
      </w:r>
    </w:p>
    <w:p>
      <w:pPr>
        <w:pStyle w:val="13"/>
        <w:numPr>
          <w:ilvl w:val="1"/>
          <w:numId w:val="103"/>
        </w:numPr>
        <w:tabs>
          <w:tab w:val="left" w:pos="1281"/>
        </w:tabs>
        <w:spacing w:before="0" w:after="0" w:line="268" w:lineRule="auto"/>
        <w:ind w:left="731" w:right="801" w:firstLine="0"/>
        <w:jc w:val="left"/>
        <w:rPr>
          <w:sz w:val="22"/>
        </w:rPr>
      </w:pPr>
      <w:r>
        <w:rPr>
          <w:spacing w:val="-3"/>
          <w:sz w:val="22"/>
        </w:rPr>
        <w:t>承包人应有各级专职的质量检验人员，对施工中每道工序按技术标准的要求进行自检。自检合格后，填写工程检验报告单，向监理工程师申请检验，经监理工程师签认合格后，才能进行下道工序的作业。</w:t>
      </w:r>
    </w:p>
    <w:p>
      <w:pPr>
        <w:pStyle w:val="13"/>
        <w:numPr>
          <w:ilvl w:val="1"/>
          <w:numId w:val="103"/>
        </w:numPr>
        <w:tabs>
          <w:tab w:val="left" w:pos="1392"/>
        </w:tabs>
        <w:spacing w:before="0" w:after="0" w:line="268" w:lineRule="auto"/>
        <w:ind w:left="731" w:right="890" w:firstLine="0"/>
        <w:jc w:val="left"/>
        <w:rPr>
          <w:sz w:val="22"/>
        </w:rPr>
      </w:pPr>
      <w:r>
        <w:rPr>
          <w:spacing w:val="-3"/>
          <w:sz w:val="22"/>
        </w:rPr>
        <w:t>承包人应保存有关工程进度、质量检验、隐蔽工程、试验报告、障碍物拆除以及所有影响工程进度、质量的原始记录、照片和录像，以及材料、设备的来源资料。</w:t>
      </w:r>
    </w:p>
    <w:p>
      <w:pPr>
        <w:pStyle w:val="13"/>
        <w:numPr>
          <w:ilvl w:val="1"/>
          <w:numId w:val="103"/>
        </w:numPr>
        <w:tabs>
          <w:tab w:val="left" w:pos="1392"/>
        </w:tabs>
        <w:spacing w:before="0" w:after="0" w:line="369" w:lineRule="auto"/>
        <w:ind w:left="731" w:right="782" w:firstLine="0"/>
        <w:jc w:val="left"/>
        <w:rPr>
          <w:sz w:val="22"/>
        </w:rPr>
      </w:pPr>
      <w:r>
        <w:rPr>
          <w:spacing w:val="-10"/>
          <w:sz w:val="22"/>
        </w:rPr>
        <w:t>除合同另有约定外，承包人应负担本合同下的所有材料、工程设备和工艺检验的费用。</w:t>
      </w:r>
      <w:bookmarkStart w:id="116" w:name="13.计日工"/>
      <w:bookmarkEnd w:id="116"/>
      <w:r>
        <w:rPr>
          <w:spacing w:val="-10"/>
          <w:sz w:val="22"/>
        </w:rPr>
        <w:t>13</w:t>
      </w:r>
      <w:r>
        <w:rPr>
          <w:spacing w:val="-6"/>
          <w:sz w:val="22"/>
        </w:rPr>
        <w:t>.计日工</w:t>
      </w:r>
    </w:p>
    <w:p>
      <w:pPr>
        <w:pStyle w:val="13"/>
        <w:numPr>
          <w:ilvl w:val="1"/>
          <w:numId w:val="104"/>
        </w:numPr>
        <w:tabs>
          <w:tab w:val="left" w:pos="1226"/>
        </w:tabs>
        <w:spacing w:before="0" w:after="0" w:line="268" w:lineRule="auto"/>
        <w:ind w:left="731" w:right="890" w:firstLine="0"/>
        <w:jc w:val="both"/>
        <w:rPr>
          <w:sz w:val="22"/>
        </w:rPr>
      </w:pPr>
      <w:r>
        <w:rPr>
          <w:spacing w:val="-6"/>
          <w:sz w:val="22"/>
        </w:rPr>
        <w:t>计日工，一般适用于合同约定之外的或者因变更而产生的、工程量清单中没有设立相应</w:t>
      </w:r>
      <w:r>
        <w:rPr>
          <w:spacing w:val="-3"/>
          <w:sz w:val="22"/>
        </w:rPr>
        <w:t>子目或者即便有相应子目但因工作条件发生变化而无法适用的额外工作，尤其是那些时间不允许事先商定价格的额外工作。计日工在发包人认为必要时，由工程师通知承包人实施。</w:t>
      </w:r>
    </w:p>
    <w:p>
      <w:pPr>
        <w:pStyle w:val="13"/>
        <w:numPr>
          <w:ilvl w:val="1"/>
          <w:numId w:val="104"/>
        </w:numPr>
        <w:tabs>
          <w:tab w:val="left" w:pos="1281"/>
        </w:tabs>
        <w:spacing w:before="0" w:after="0" w:line="268" w:lineRule="auto"/>
        <w:ind w:left="731" w:right="892" w:firstLine="0"/>
        <w:jc w:val="both"/>
        <w:rPr>
          <w:sz w:val="22"/>
        </w:rPr>
      </w:pPr>
      <w:r>
        <w:rPr>
          <w:spacing w:val="-7"/>
          <w:sz w:val="22"/>
        </w:rPr>
        <w:t xml:space="preserve">在工程实际开工后 </w:t>
      </w:r>
      <w:r>
        <w:rPr>
          <w:sz w:val="22"/>
        </w:rPr>
        <w:t>14</w:t>
      </w:r>
      <w:r>
        <w:rPr>
          <w:spacing w:val="-8"/>
          <w:sz w:val="22"/>
        </w:rPr>
        <w:t xml:space="preserve"> 天内，承包人应当按计日工报表内容，准备一份计日工日报表的</w:t>
      </w:r>
      <w:r>
        <w:rPr>
          <w:spacing w:val="-6"/>
          <w:sz w:val="22"/>
        </w:rPr>
        <w:t xml:space="preserve">格式，报送工程师审批，工程师应当在收到之日后 </w:t>
      </w:r>
      <w:r>
        <w:rPr>
          <w:sz w:val="22"/>
        </w:rPr>
        <w:t>7</w:t>
      </w:r>
      <w:r>
        <w:rPr>
          <w:spacing w:val="-9"/>
          <w:sz w:val="22"/>
        </w:rPr>
        <w:t xml:space="preserve"> 天内给予批复或提出修改意见。</w:t>
      </w:r>
    </w:p>
    <w:p>
      <w:pPr>
        <w:pStyle w:val="13"/>
        <w:numPr>
          <w:ilvl w:val="1"/>
          <w:numId w:val="104"/>
        </w:numPr>
        <w:tabs>
          <w:tab w:val="left" w:pos="1281"/>
        </w:tabs>
        <w:spacing w:before="0" w:after="0" w:line="268" w:lineRule="auto"/>
        <w:ind w:left="731" w:right="890" w:firstLine="0"/>
        <w:jc w:val="both"/>
        <w:rPr>
          <w:sz w:val="22"/>
        </w:rPr>
      </w:pPr>
      <w:r>
        <w:rPr>
          <w:spacing w:val="-8"/>
          <w:sz w:val="22"/>
        </w:rPr>
        <w:t>按计日工实施相关变更的过程中，承包人应当按经工程师批准的计日工日报表格式，每</w:t>
      </w:r>
      <w:r>
        <w:rPr>
          <w:spacing w:val="-1"/>
          <w:sz w:val="22"/>
        </w:rPr>
        <w:t xml:space="preserve">天提交计日工报表和有关凭证，报送工程师审批，工程师应当在收到相关报表和凭证后 </w:t>
      </w:r>
      <w:r>
        <w:rPr>
          <w:sz w:val="22"/>
        </w:rPr>
        <w:t xml:space="preserve">24 </w:t>
      </w:r>
      <w:r>
        <w:rPr>
          <w:spacing w:val="-3"/>
          <w:sz w:val="22"/>
        </w:rPr>
        <w:t>小时内给予批复。</w:t>
      </w:r>
    </w:p>
    <w:p>
      <w:pPr>
        <w:pStyle w:val="13"/>
        <w:numPr>
          <w:ilvl w:val="1"/>
          <w:numId w:val="104"/>
        </w:numPr>
        <w:tabs>
          <w:tab w:val="left" w:pos="1281"/>
        </w:tabs>
        <w:spacing w:before="0" w:after="0" w:line="266" w:lineRule="auto"/>
        <w:ind w:left="731" w:right="890" w:firstLine="0"/>
        <w:jc w:val="both"/>
        <w:rPr>
          <w:sz w:val="22"/>
        </w:rPr>
      </w:pPr>
      <w:r>
        <w:rPr>
          <w:spacing w:val="-3"/>
          <w:sz w:val="22"/>
        </w:rPr>
        <w:t>计日工劳务按工日(</w:t>
      </w:r>
      <w:r>
        <w:rPr>
          <w:sz w:val="22"/>
        </w:rPr>
        <w:t>8</w:t>
      </w:r>
      <w:r>
        <w:rPr>
          <w:spacing w:val="-15"/>
          <w:sz w:val="22"/>
        </w:rPr>
        <w:t xml:space="preserve"> 小时)计量，单次 </w:t>
      </w:r>
      <w:r>
        <w:rPr>
          <w:sz w:val="22"/>
        </w:rPr>
        <w:t>4</w:t>
      </w:r>
      <w:r>
        <w:rPr>
          <w:spacing w:val="-17"/>
          <w:sz w:val="22"/>
        </w:rPr>
        <w:t xml:space="preserve"> 小时以内按 </w:t>
      </w:r>
      <w:r>
        <w:rPr>
          <w:sz w:val="22"/>
        </w:rPr>
        <w:t>0.5</w:t>
      </w:r>
      <w:r>
        <w:rPr>
          <w:spacing w:val="-18"/>
          <w:sz w:val="22"/>
        </w:rPr>
        <w:t xml:space="preserve"> 个工日，单次 </w:t>
      </w:r>
      <w:r>
        <w:rPr>
          <w:sz w:val="22"/>
        </w:rPr>
        <w:t>4</w:t>
      </w:r>
      <w:r>
        <w:rPr>
          <w:spacing w:val="-23"/>
          <w:sz w:val="22"/>
        </w:rPr>
        <w:t xml:space="preserve"> 小时至 </w:t>
      </w:r>
      <w:r>
        <w:rPr>
          <w:sz w:val="22"/>
        </w:rPr>
        <w:t>8</w:t>
      </w:r>
      <w:r>
        <w:rPr>
          <w:spacing w:val="-18"/>
          <w:sz w:val="22"/>
        </w:rPr>
        <w:t xml:space="preserve"> 小时</w:t>
      </w:r>
      <w:r>
        <w:rPr>
          <w:spacing w:val="-37"/>
          <w:sz w:val="22"/>
        </w:rPr>
        <w:t xml:space="preserve">按 </w:t>
      </w:r>
      <w:r>
        <w:rPr>
          <w:sz w:val="22"/>
        </w:rPr>
        <w:t>1</w:t>
      </w:r>
      <w:r>
        <w:rPr>
          <w:spacing w:val="-8"/>
          <w:sz w:val="22"/>
        </w:rPr>
        <w:t xml:space="preserve"> 个工日，加班时间按照国家劳动法律法规的规定办理。实施计日工的劳务人员仅应包括</w:t>
      </w:r>
      <w:r>
        <w:rPr>
          <w:spacing w:val="-3"/>
          <w:sz w:val="22"/>
        </w:rPr>
        <w:t>直接从事计日工工作的工人和班组长(如果有)，不应包括工长及其以上管理人员。</w:t>
      </w:r>
    </w:p>
    <w:p>
      <w:pPr>
        <w:pStyle w:val="13"/>
        <w:numPr>
          <w:ilvl w:val="1"/>
          <w:numId w:val="104"/>
        </w:numPr>
        <w:tabs>
          <w:tab w:val="left" w:pos="1281"/>
        </w:tabs>
        <w:spacing w:before="0" w:after="0" w:line="266" w:lineRule="auto"/>
        <w:ind w:left="731" w:right="890" w:firstLine="0"/>
        <w:jc w:val="both"/>
        <w:rPr>
          <w:sz w:val="22"/>
        </w:rPr>
      </w:pPr>
      <w:r>
        <w:rPr>
          <w:spacing w:val="-7"/>
          <w:sz w:val="22"/>
        </w:rPr>
        <w:t>已标价工程量清单计日工材料表中未列出的材料，实际发生于计日工时，其价格按照经</w:t>
      </w:r>
      <w:r>
        <w:rPr>
          <w:spacing w:val="-3"/>
          <w:sz w:val="22"/>
        </w:rPr>
        <w:t>工程师事先审批的材料运到现场的价格和有关材料采购的发票票面价格(运到现价)中的较低者结算，另计一个在计日工材料表中填写的包括承包人企业管理费、利润在内的一个固定百分比，规费和增值税另计。</w:t>
      </w:r>
    </w:p>
    <w:p>
      <w:pPr>
        <w:pStyle w:val="13"/>
        <w:numPr>
          <w:ilvl w:val="1"/>
          <w:numId w:val="104"/>
        </w:numPr>
        <w:tabs>
          <w:tab w:val="left" w:pos="1281"/>
        </w:tabs>
        <w:spacing w:before="0" w:after="0" w:line="266" w:lineRule="auto"/>
        <w:ind w:left="731" w:right="890" w:firstLine="0"/>
        <w:jc w:val="both"/>
        <w:rPr>
          <w:sz w:val="22"/>
        </w:rPr>
      </w:pPr>
      <w:r>
        <w:rPr>
          <w:spacing w:val="-3"/>
          <w:sz w:val="22"/>
        </w:rPr>
        <w:t>施工机械按台班计量(</w:t>
      </w:r>
      <w:r>
        <w:rPr>
          <w:sz w:val="22"/>
        </w:rPr>
        <w:t>8</w:t>
      </w:r>
      <w:r>
        <w:rPr>
          <w:spacing w:val="-18"/>
          <w:sz w:val="22"/>
        </w:rPr>
        <w:t xml:space="preserve"> 小时)，单次 </w:t>
      </w:r>
      <w:r>
        <w:rPr>
          <w:sz w:val="22"/>
        </w:rPr>
        <w:t>4</w:t>
      </w:r>
      <w:r>
        <w:rPr>
          <w:spacing w:val="-17"/>
          <w:sz w:val="22"/>
        </w:rPr>
        <w:t xml:space="preserve"> 小时以内按 </w:t>
      </w:r>
      <w:r>
        <w:rPr>
          <w:sz w:val="22"/>
        </w:rPr>
        <w:t>0.5</w:t>
      </w:r>
      <w:r>
        <w:rPr>
          <w:spacing w:val="-18"/>
          <w:sz w:val="22"/>
        </w:rPr>
        <w:t xml:space="preserve"> 个台班，单次 </w:t>
      </w:r>
      <w:r>
        <w:rPr>
          <w:sz w:val="22"/>
        </w:rPr>
        <w:t>4</w:t>
      </w:r>
      <w:r>
        <w:rPr>
          <w:spacing w:val="-23"/>
          <w:sz w:val="22"/>
        </w:rPr>
        <w:t xml:space="preserve"> 小时至 </w:t>
      </w:r>
      <w:r>
        <w:rPr>
          <w:sz w:val="22"/>
        </w:rPr>
        <w:t>8</w:t>
      </w:r>
      <w:r>
        <w:rPr>
          <w:spacing w:val="-15"/>
          <w:sz w:val="22"/>
        </w:rPr>
        <w:t xml:space="preserve"> 小时按1</w:t>
      </w:r>
      <w:r>
        <w:rPr>
          <w:spacing w:val="-5"/>
          <w:sz w:val="22"/>
        </w:rPr>
        <w:t xml:space="preserve"> 个台班，操作人员加班时间按照国家劳动法律法规的规定办理。计日工如果需要使用场外</w:t>
      </w:r>
      <w:r>
        <w:rPr>
          <w:spacing w:val="-3"/>
          <w:sz w:val="22"/>
        </w:rPr>
        <w:t>施工机械，台班费用和进出场费用按市场平均价格，由承包人事后报工程师审批。</w:t>
      </w:r>
    </w:p>
    <w:p>
      <w:pPr>
        <w:pStyle w:val="13"/>
        <w:numPr>
          <w:ilvl w:val="1"/>
          <w:numId w:val="104"/>
        </w:numPr>
        <w:tabs>
          <w:tab w:val="left" w:pos="1281"/>
        </w:tabs>
        <w:spacing w:before="0" w:after="0" w:line="432" w:lineRule="auto"/>
        <w:ind w:left="731" w:right="5421" w:firstLine="0"/>
        <w:jc w:val="both"/>
        <w:rPr>
          <w:sz w:val="22"/>
        </w:rPr>
      </w:pPr>
      <w:r>
        <w:rPr>
          <w:spacing w:val="-3"/>
          <w:sz w:val="22"/>
        </w:rPr>
        <w:t>关于计日工的其他约定：</w:t>
      </w:r>
      <w:r>
        <w:rPr>
          <w:spacing w:val="2"/>
          <w:sz w:val="22"/>
          <w:u w:val="single"/>
        </w:rPr>
        <w:t xml:space="preserve">   </w:t>
      </w:r>
      <w:r>
        <w:rPr>
          <w:sz w:val="22"/>
          <w:u w:val="single"/>
        </w:rPr>
        <w:t xml:space="preserve">/   </w:t>
      </w:r>
      <w:r>
        <w:rPr>
          <w:sz w:val="22"/>
        </w:rPr>
        <w:t xml:space="preserve"> 。</w:t>
      </w:r>
      <w:bookmarkStart w:id="117" w:name="14.计量与支付"/>
      <w:bookmarkEnd w:id="117"/>
      <w:r>
        <w:rPr>
          <w:sz w:val="22"/>
        </w:rPr>
        <w:t>14</w:t>
      </w:r>
      <w:r>
        <w:rPr>
          <w:spacing w:val="-1"/>
          <w:sz w:val="22"/>
        </w:rPr>
        <w:t>.计量与支付</w:t>
      </w:r>
    </w:p>
    <w:p>
      <w:pPr>
        <w:pStyle w:val="13"/>
        <w:numPr>
          <w:ilvl w:val="1"/>
          <w:numId w:val="105"/>
        </w:numPr>
        <w:tabs>
          <w:tab w:val="left" w:pos="1281"/>
        </w:tabs>
        <w:spacing w:before="0" w:after="0" w:line="280" w:lineRule="exact"/>
        <w:ind w:left="1280" w:right="0" w:hanging="550"/>
        <w:jc w:val="both"/>
        <w:rPr>
          <w:sz w:val="22"/>
        </w:rPr>
      </w:pPr>
      <w:r>
        <w:rPr>
          <w:spacing w:val="-2"/>
          <w:sz w:val="22"/>
        </w:rPr>
        <w:t>付款申请单</w:t>
      </w:r>
    </w:p>
    <w:p>
      <w:pPr>
        <w:pStyle w:val="13"/>
        <w:numPr>
          <w:ilvl w:val="2"/>
          <w:numId w:val="105"/>
        </w:numPr>
        <w:tabs>
          <w:tab w:val="left" w:pos="1879"/>
        </w:tabs>
        <w:spacing w:before="14" w:after="0" w:line="266" w:lineRule="auto"/>
        <w:ind w:left="731" w:right="890" w:firstLine="429"/>
        <w:jc w:val="both"/>
        <w:rPr>
          <w:sz w:val="22"/>
        </w:rPr>
      </w:pPr>
      <w:r>
        <w:rPr>
          <w:spacing w:val="-3"/>
          <w:sz w:val="22"/>
        </w:rPr>
        <w:t xml:space="preserve">在工程实际开工后 </w:t>
      </w:r>
      <w:r>
        <w:rPr>
          <w:sz w:val="22"/>
        </w:rPr>
        <w:t>14</w:t>
      </w:r>
      <w:r>
        <w:rPr>
          <w:spacing w:val="-5"/>
          <w:sz w:val="22"/>
        </w:rPr>
        <w:t xml:space="preserve"> 天内，承包人应当准备一份已完工程量报表、进度付款申</w:t>
      </w:r>
      <w:r>
        <w:rPr>
          <w:spacing w:val="-7"/>
          <w:sz w:val="22"/>
        </w:rPr>
        <w:t xml:space="preserve">请单和计量文件的格式等报送工程师，工程师应当在收到承包人报送的格式后 </w:t>
      </w:r>
      <w:r>
        <w:rPr>
          <w:sz w:val="22"/>
        </w:rPr>
        <w:t>7</w:t>
      </w:r>
      <w:r>
        <w:rPr>
          <w:spacing w:val="-10"/>
          <w:sz w:val="22"/>
        </w:rPr>
        <w:t xml:space="preserve"> 天内给予批</w:t>
      </w:r>
      <w:r>
        <w:rPr>
          <w:spacing w:val="-4"/>
          <w:sz w:val="22"/>
        </w:rPr>
        <w:t>复或者提出修改意见。</w:t>
      </w:r>
    </w:p>
    <w:p>
      <w:pPr>
        <w:pStyle w:val="13"/>
        <w:numPr>
          <w:ilvl w:val="2"/>
          <w:numId w:val="105"/>
        </w:numPr>
        <w:tabs>
          <w:tab w:val="left" w:pos="1876"/>
        </w:tabs>
        <w:spacing w:before="3" w:after="0" w:line="266" w:lineRule="auto"/>
        <w:ind w:left="731" w:right="890" w:firstLine="429"/>
        <w:jc w:val="both"/>
        <w:rPr>
          <w:sz w:val="22"/>
        </w:rPr>
      </w:pPr>
      <w:r>
        <w:rPr>
          <w:spacing w:val="-5"/>
          <w:sz w:val="22"/>
        </w:rPr>
        <w:t>承包人应当在合同约定的每个付款周期末，对当期完成的各项工程量进行计量和</w:t>
      </w:r>
      <w:r>
        <w:rPr>
          <w:spacing w:val="-3"/>
          <w:sz w:val="22"/>
        </w:rPr>
        <w:t>计价，对当期应增加和扣减的各类款项进行梳理和汇总，按经工程师批准的格式、份数和内容准备并向工程师提交进度付款申请单，并将进度付款申请单连同已完工程量报表、有关计量资料以及能够证明其进度付款申请单中所索要款项符合合同约定的所有支持性文件同时报送工程师审批。</w:t>
      </w:r>
    </w:p>
    <w:p>
      <w:pPr>
        <w:pStyle w:val="13"/>
        <w:numPr>
          <w:ilvl w:val="2"/>
          <w:numId w:val="105"/>
        </w:numPr>
        <w:tabs>
          <w:tab w:val="left" w:pos="1948"/>
        </w:tabs>
        <w:spacing w:before="2" w:after="0" w:line="268" w:lineRule="auto"/>
        <w:ind w:left="731" w:right="890" w:firstLine="501"/>
        <w:jc w:val="both"/>
        <w:rPr>
          <w:sz w:val="22"/>
        </w:rPr>
      </w:pPr>
      <w:r>
        <w:rPr>
          <w:spacing w:val="-12"/>
          <w:sz w:val="22"/>
        </w:rPr>
        <w:t>采用单价合同形式的，竣工付款申请单应当附上结算工程量和最近一次进度付款</w:t>
      </w:r>
      <w:r>
        <w:rPr>
          <w:spacing w:val="-5"/>
          <w:sz w:val="22"/>
        </w:rPr>
        <w:t>和竣工付款之间完成的各子目的工程量计量文件。采用总价合同形式的，签约合同价所基于</w:t>
      </w:r>
      <w:r>
        <w:rPr>
          <w:spacing w:val="-3"/>
          <w:sz w:val="22"/>
        </w:rPr>
        <w:t>的工程量就是相应的竣工结算工程量，但是，变更应按合同约定进行计量和计价。</w:t>
      </w:r>
    </w:p>
    <w:p>
      <w:pPr>
        <w:spacing w:after="0" w:line="268" w:lineRule="auto"/>
        <w:jc w:val="both"/>
        <w:rPr>
          <w:sz w:val="22"/>
        </w:rPr>
        <w:sectPr>
          <w:pgSz w:w="11910" w:h="16840"/>
          <w:pgMar w:top="1100" w:right="660" w:bottom="1200" w:left="800" w:header="878" w:footer="1003" w:gutter="0"/>
          <w:cols w:space="720" w:num="1"/>
        </w:sectPr>
      </w:pPr>
    </w:p>
    <w:p>
      <w:pPr>
        <w:pStyle w:val="9"/>
        <w:spacing w:before="1"/>
        <w:rPr>
          <w:sz w:val="18"/>
        </w:rPr>
      </w:pPr>
    </w:p>
    <w:p>
      <w:pPr>
        <w:pStyle w:val="13"/>
        <w:numPr>
          <w:ilvl w:val="2"/>
          <w:numId w:val="105"/>
        </w:numPr>
        <w:tabs>
          <w:tab w:val="left" w:pos="1924"/>
        </w:tabs>
        <w:spacing w:before="70" w:after="0" w:line="266" w:lineRule="auto"/>
        <w:ind w:left="1170" w:right="3897" w:firstLine="38"/>
        <w:jc w:val="left"/>
        <w:rPr>
          <w:sz w:val="22"/>
        </w:rPr>
      </w:pPr>
      <w:r>
        <w:rPr>
          <w:spacing w:val="-3"/>
          <w:sz w:val="22"/>
        </w:rPr>
        <w:t>竣工结算总价(合同价格)应当按以下内容梳理： (1)签约合同价；</w:t>
      </w:r>
    </w:p>
    <w:p>
      <w:pPr>
        <w:pStyle w:val="9"/>
        <w:spacing w:before="1" w:line="268" w:lineRule="auto"/>
        <w:ind w:left="1170" w:right="7170"/>
      </w:pPr>
      <w:r>
        <w:t>(2)应当扣减的项目； 1)所有暂列金额；</w:t>
      </w:r>
    </w:p>
    <w:p>
      <w:pPr>
        <w:pStyle w:val="13"/>
        <w:numPr>
          <w:ilvl w:val="0"/>
          <w:numId w:val="106"/>
        </w:numPr>
        <w:tabs>
          <w:tab w:val="left" w:pos="1393"/>
        </w:tabs>
        <w:spacing w:before="0" w:after="0" w:line="279" w:lineRule="exact"/>
        <w:ind w:left="1392" w:right="0" w:hanging="223"/>
        <w:jc w:val="left"/>
        <w:rPr>
          <w:sz w:val="22"/>
        </w:rPr>
      </w:pPr>
      <w:r>
        <w:rPr>
          <w:spacing w:val="-3"/>
          <w:sz w:val="22"/>
        </w:rPr>
        <w:t>所有暂估价；</w:t>
      </w:r>
    </w:p>
    <w:p>
      <w:pPr>
        <w:pStyle w:val="13"/>
        <w:numPr>
          <w:ilvl w:val="0"/>
          <w:numId w:val="106"/>
        </w:numPr>
        <w:tabs>
          <w:tab w:val="left" w:pos="1393"/>
        </w:tabs>
        <w:spacing w:before="32" w:after="0" w:line="240" w:lineRule="auto"/>
        <w:ind w:left="1392" w:right="0" w:hanging="223"/>
        <w:jc w:val="left"/>
        <w:rPr>
          <w:sz w:val="22"/>
        </w:rPr>
      </w:pPr>
      <w:r>
        <w:rPr>
          <w:spacing w:val="-3"/>
          <w:sz w:val="22"/>
        </w:rPr>
        <w:t>应扣减的变更金额；</w:t>
      </w:r>
    </w:p>
    <w:p>
      <w:pPr>
        <w:pStyle w:val="13"/>
        <w:numPr>
          <w:ilvl w:val="0"/>
          <w:numId w:val="106"/>
        </w:numPr>
        <w:tabs>
          <w:tab w:val="left" w:pos="1393"/>
        </w:tabs>
        <w:spacing w:before="30" w:after="0" w:line="240" w:lineRule="auto"/>
        <w:ind w:left="1392" w:right="0" w:hanging="223"/>
        <w:jc w:val="left"/>
        <w:rPr>
          <w:sz w:val="22"/>
        </w:rPr>
      </w:pPr>
      <w:r>
        <w:rPr>
          <w:spacing w:val="-3"/>
          <w:sz w:val="22"/>
        </w:rPr>
        <w:t>应扣减的价格调整(下调部分)；</w:t>
      </w:r>
    </w:p>
    <w:p>
      <w:pPr>
        <w:pStyle w:val="13"/>
        <w:numPr>
          <w:ilvl w:val="0"/>
          <w:numId w:val="106"/>
        </w:numPr>
        <w:tabs>
          <w:tab w:val="left" w:pos="1393"/>
        </w:tabs>
        <w:spacing w:before="33" w:after="0" w:line="240" w:lineRule="auto"/>
        <w:ind w:left="1392" w:right="0" w:hanging="223"/>
        <w:jc w:val="left"/>
        <w:rPr>
          <w:sz w:val="22"/>
        </w:rPr>
      </w:pPr>
      <w:r>
        <w:rPr>
          <w:spacing w:val="-3"/>
          <w:sz w:val="22"/>
        </w:rPr>
        <w:t>应扣减的发包人索赔金额；</w:t>
      </w:r>
    </w:p>
    <w:p>
      <w:pPr>
        <w:pStyle w:val="13"/>
        <w:numPr>
          <w:ilvl w:val="0"/>
          <w:numId w:val="106"/>
        </w:numPr>
        <w:tabs>
          <w:tab w:val="left" w:pos="1393"/>
        </w:tabs>
        <w:spacing w:before="32" w:after="0" w:line="240" w:lineRule="auto"/>
        <w:ind w:left="1392" w:right="0" w:hanging="223"/>
        <w:jc w:val="left"/>
        <w:rPr>
          <w:sz w:val="22"/>
        </w:rPr>
      </w:pPr>
      <w:r>
        <w:rPr>
          <w:spacing w:val="-3"/>
          <w:sz w:val="22"/>
        </w:rPr>
        <w:t>甩项工程的合同价值(如果有)；</w:t>
      </w:r>
    </w:p>
    <w:p>
      <w:pPr>
        <w:pStyle w:val="13"/>
        <w:numPr>
          <w:ilvl w:val="0"/>
          <w:numId w:val="106"/>
        </w:numPr>
        <w:tabs>
          <w:tab w:val="left" w:pos="1393"/>
        </w:tabs>
        <w:spacing w:before="33" w:after="0" w:line="266" w:lineRule="auto"/>
        <w:ind w:left="1170" w:right="5092" w:firstLine="0"/>
        <w:jc w:val="left"/>
        <w:rPr>
          <w:sz w:val="22"/>
        </w:rPr>
      </w:pPr>
      <w:r>
        <w:rPr>
          <w:spacing w:val="-3"/>
          <w:sz w:val="22"/>
        </w:rPr>
        <w:t>根据合同约定发包人应扣减的其他金额。(3)应当增加的项目；</w:t>
      </w:r>
    </w:p>
    <w:p>
      <w:pPr>
        <w:pStyle w:val="13"/>
        <w:numPr>
          <w:ilvl w:val="0"/>
          <w:numId w:val="107"/>
        </w:numPr>
        <w:tabs>
          <w:tab w:val="left" w:pos="1393"/>
        </w:tabs>
        <w:spacing w:before="0" w:after="0" w:line="240" w:lineRule="auto"/>
        <w:ind w:left="1392" w:right="0" w:hanging="223"/>
        <w:jc w:val="left"/>
        <w:rPr>
          <w:sz w:val="22"/>
        </w:rPr>
      </w:pPr>
      <w:r>
        <w:rPr>
          <w:spacing w:val="-3"/>
          <w:sz w:val="22"/>
        </w:rPr>
        <w:t>实际发生的暂列金额；</w:t>
      </w:r>
    </w:p>
    <w:p>
      <w:pPr>
        <w:pStyle w:val="13"/>
        <w:numPr>
          <w:ilvl w:val="0"/>
          <w:numId w:val="107"/>
        </w:numPr>
        <w:tabs>
          <w:tab w:val="left" w:pos="1393"/>
        </w:tabs>
        <w:spacing w:before="33" w:after="0" w:line="240" w:lineRule="auto"/>
        <w:ind w:left="1392" w:right="0" w:hanging="223"/>
        <w:jc w:val="left"/>
        <w:rPr>
          <w:sz w:val="22"/>
        </w:rPr>
      </w:pPr>
      <w:r>
        <w:rPr>
          <w:spacing w:val="-3"/>
          <w:sz w:val="22"/>
        </w:rPr>
        <w:t>实际发生的暂估价；</w:t>
      </w:r>
    </w:p>
    <w:p>
      <w:pPr>
        <w:pStyle w:val="13"/>
        <w:numPr>
          <w:ilvl w:val="0"/>
          <w:numId w:val="107"/>
        </w:numPr>
        <w:tabs>
          <w:tab w:val="left" w:pos="1393"/>
        </w:tabs>
        <w:spacing w:before="30" w:after="0" w:line="240" w:lineRule="auto"/>
        <w:ind w:left="1392" w:right="0" w:hanging="223"/>
        <w:jc w:val="left"/>
        <w:rPr>
          <w:sz w:val="22"/>
        </w:rPr>
      </w:pPr>
      <w:r>
        <w:rPr>
          <w:spacing w:val="-3"/>
          <w:sz w:val="22"/>
        </w:rPr>
        <w:t>应增加的变更金额；</w:t>
      </w:r>
    </w:p>
    <w:p>
      <w:pPr>
        <w:pStyle w:val="13"/>
        <w:numPr>
          <w:ilvl w:val="0"/>
          <w:numId w:val="107"/>
        </w:numPr>
        <w:tabs>
          <w:tab w:val="left" w:pos="1393"/>
        </w:tabs>
        <w:spacing w:before="33" w:after="0" w:line="240" w:lineRule="auto"/>
        <w:ind w:left="1392" w:right="0" w:hanging="223"/>
        <w:jc w:val="left"/>
        <w:rPr>
          <w:sz w:val="22"/>
        </w:rPr>
      </w:pPr>
      <w:r>
        <w:rPr>
          <w:spacing w:val="-3"/>
          <w:sz w:val="22"/>
        </w:rPr>
        <w:t>应增加的价格调整(上调部分)；</w:t>
      </w:r>
    </w:p>
    <w:p>
      <w:pPr>
        <w:pStyle w:val="13"/>
        <w:numPr>
          <w:ilvl w:val="0"/>
          <w:numId w:val="107"/>
        </w:numPr>
        <w:tabs>
          <w:tab w:val="left" w:pos="1393"/>
        </w:tabs>
        <w:spacing w:before="32" w:after="0" w:line="240" w:lineRule="auto"/>
        <w:ind w:left="1392" w:right="0" w:hanging="223"/>
        <w:jc w:val="left"/>
        <w:rPr>
          <w:sz w:val="22"/>
        </w:rPr>
      </w:pPr>
      <w:r>
        <w:rPr>
          <w:spacing w:val="-3"/>
          <w:sz w:val="22"/>
        </w:rPr>
        <w:t>应增加的承包人索赔金额；</w:t>
      </w:r>
    </w:p>
    <w:p>
      <w:pPr>
        <w:pStyle w:val="13"/>
        <w:numPr>
          <w:ilvl w:val="0"/>
          <w:numId w:val="107"/>
        </w:numPr>
        <w:tabs>
          <w:tab w:val="left" w:pos="1393"/>
        </w:tabs>
        <w:spacing w:before="33" w:after="0" w:line="268" w:lineRule="auto"/>
        <w:ind w:left="1170" w:right="4871" w:firstLine="0"/>
        <w:jc w:val="left"/>
        <w:rPr>
          <w:sz w:val="22"/>
        </w:rPr>
      </w:pPr>
      <w:r>
        <w:rPr>
          <w:spacing w:val="-3"/>
          <w:sz w:val="22"/>
        </w:rPr>
        <w:t>根据合同约定承包人应当得到的其他金额。(4)规费和增值税差额部分。</w:t>
      </w:r>
    </w:p>
    <w:p>
      <w:pPr>
        <w:pStyle w:val="13"/>
        <w:numPr>
          <w:ilvl w:val="2"/>
          <w:numId w:val="105"/>
        </w:numPr>
        <w:tabs>
          <w:tab w:val="left" w:pos="1876"/>
        </w:tabs>
        <w:spacing w:before="0" w:after="0" w:line="266" w:lineRule="auto"/>
        <w:ind w:left="1170" w:right="3727" w:hanging="10"/>
        <w:jc w:val="left"/>
        <w:rPr>
          <w:sz w:val="22"/>
        </w:rPr>
      </w:pPr>
      <w:r>
        <w:rPr>
          <w:spacing w:val="-3"/>
          <w:sz w:val="22"/>
        </w:rPr>
        <w:t>最终结清申请单的应付金额应当按下列内容梳理： (1)约定扣留的质量保证金；</w:t>
      </w:r>
    </w:p>
    <w:p>
      <w:pPr>
        <w:pStyle w:val="9"/>
        <w:ind w:left="1170"/>
      </w:pPr>
      <w:r>
        <w:t>(2)应当扣除的金额：</w:t>
      </w:r>
    </w:p>
    <w:p>
      <w:pPr>
        <w:pStyle w:val="13"/>
        <w:numPr>
          <w:ilvl w:val="0"/>
          <w:numId w:val="108"/>
        </w:numPr>
        <w:tabs>
          <w:tab w:val="left" w:pos="1393"/>
        </w:tabs>
        <w:spacing w:before="30" w:after="0" w:line="240" w:lineRule="auto"/>
        <w:ind w:left="1392" w:right="0" w:hanging="223"/>
        <w:jc w:val="left"/>
        <w:rPr>
          <w:sz w:val="22"/>
        </w:rPr>
      </w:pPr>
      <w:r>
        <w:rPr>
          <w:spacing w:val="-3"/>
          <w:sz w:val="22"/>
        </w:rPr>
        <w:t>约定扣留的质量保证金；</w:t>
      </w:r>
    </w:p>
    <w:p>
      <w:pPr>
        <w:pStyle w:val="13"/>
        <w:numPr>
          <w:ilvl w:val="0"/>
          <w:numId w:val="108"/>
        </w:numPr>
        <w:tabs>
          <w:tab w:val="left" w:pos="1393"/>
        </w:tabs>
        <w:spacing w:before="33" w:after="0" w:line="240" w:lineRule="auto"/>
        <w:ind w:left="1392" w:right="0" w:hanging="223"/>
        <w:jc w:val="left"/>
        <w:rPr>
          <w:sz w:val="22"/>
        </w:rPr>
      </w:pPr>
      <w:r>
        <w:rPr>
          <w:spacing w:val="-3"/>
          <w:sz w:val="22"/>
        </w:rPr>
        <w:t>约定扣除的质量保证金；</w:t>
      </w:r>
    </w:p>
    <w:p>
      <w:pPr>
        <w:pStyle w:val="13"/>
        <w:numPr>
          <w:ilvl w:val="0"/>
          <w:numId w:val="108"/>
        </w:numPr>
        <w:tabs>
          <w:tab w:val="left" w:pos="1393"/>
        </w:tabs>
        <w:spacing w:before="30" w:after="0" w:line="240" w:lineRule="auto"/>
        <w:ind w:left="1392" w:right="0" w:hanging="223"/>
        <w:jc w:val="left"/>
        <w:rPr>
          <w:sz w:val="22"/>
        </w:rPr>
      </w:pPr>
      <w:r>
        <w:rPr>
          <w:spacing w:val="-3"/>
          <w:sz w:val="22"/>
        </w:rPr>
        <w:t>应扣减的缺陷责任期内发生的发包人索赔金额；</w:t>
      </w:r>
    </w:p>
    <w:p>
      <w:pPr>
        <w:pStyle w:val="13"/>
        <w:numPr>
          <w:ilvl w:val="0"/>
          <w:numId w:val="108"/>
        </w:numPr>
        <w:tabs>
          <w:tab w:val="left" w:pos="1393"/>
        </w:tabs>
        <w:spacing w:before="32" w:after="0" w:line="268" w:lineRule="auto"/>
        <w:ind w:left="1170" w:right="6631" w:firstLine="0"/>
        <w:jc w:val="left"/>
        <w:rPr>
          <w:sz w:val="22"/>
        </w:rPr>
      </w:pPr>
      <w:r>
        <w:rPr>
          <w:spacing w:val="-3"/>
          <w:sz w:val="22"/>
        </w:rPr>
        <w:t>约定应扣减的其他金额。(3)应当增加的金额：</w:t>
      </w:r>
    </w:p>
    <w:p>
      <w:pPr>
        <w:pStyle w:val="13"/>
        <w:numPr>
          <w:ilvl w:val="0"/>
          <w:numId w:val="109"/>
        </w:numPr>
        <w:tabs>
          <w:tab w:val="left" w:pos="1393"/>
        </w:tabs>
        <w:spacing w:before="0" w:after="0" w:line="277" w:lineRule="exact"/>
        <w:ind w:left="1392" w:right="0" w:hanging="223"/>
        <w:jc w:val="left"/>
        <w:rPr>
          <w:sz w:val="22"/>
        </w:rPr>
      </w:pPr>
      <w:r>
        <w:rPr>
          <w:spacing w:val="-3"/>
          <w:sz w:val="22"/>
        </w:rPr>
        <w:t>已完且符合合同约定的甩项工程的价值；</w:t>
      </w:r>
    </w:p>
    <w:p>
      <w:pPr>
        <w:pStyle w:val="13"/>
        <w:numPr>
          <w:ilvl w:val="0"/>
          <w:numId w:val="109"/>
        </w:numPr>
        <w:tabs>
          <w:tab w:val="left" w:pos="1393"/>
        </w:tabs>
        <w:spacing w:before="33" w:after="0" w:line="240" w:lineRule="auto"/>
        <w:ind w:left="1392" w:right="0" w:hanging="223"/>
        <w:jc w:val="left"/>
        <w:rPr>
          <w:sz w:val="22"/>
        </w:rPr>
      </w:pPr>
      <w:r>
        <w:rPr>
          <w:spacing w:val="-3"/>
          <w:sz w:val="22"/>
        </w:rPr>
        <w:t>约定由承包人修复的发包人原因造成的缺陷的价值；</w:t>
      </w:r>
    </w:p>
    <w:p>
      <w:pPr>
        <w:pStyle w:val="13"/>
        <w:numPr>
          <w:ilvl w:val="0"/>
          <w:numId w:val="109"/>
        </w:numPr>
        <w:tabs>
          <w:tab w:val="left" w:pos="1393"/>
        </w:tabs>
        <w:spacing w:before="32" w:after="0" w:line="240" w:lineRule="auto"/>
        <w:ind w:left="1392" w:right="0" w:hanging="223"/>
        <w:jc w:val="left"/>
        <w:rPr>
          <w:sz w:val="22"/>
        </w:rPr>
      </w:pPr>
      <w:r>
        <w:rPr>
          <w:spacing w:val="-3"/>
          <w:sz w:val="22"/>
        </w:rPr>
        <w:t>应增加的缺陷责任期内发生的承包人索赔金额；</w:t>
      </w:r>
    </w:p>
    <w:p>
      <w:pPr>
        <w:pStyle w:val="13"/>
        <w:numPr>
          <w:ilvl w:val="0"/>
          <w:numId w:val="109"/>
        </w:numPr>
        <w:tabs>
          <w:tab w:val="left" w:pos="1393"/>
        </w:tabs>
        <w:spacing w:before="33" w:after="0" w:line="240" w:lineRule="auto"/>
        <w:ind w:left="1392" w:right="0" w:hanging="223"/>
        <w:jc w:val="left"/>
        <w:rPr>
          <w:sz w:val="22"/>
        </w:rPr>
      </w:pPr>
      <w:r>
        <w:rPr>
          <w:spacing w:val="-3"/>
          <w:sz w:val="22"/>
        </w:rPr>
        <w:t>约定承包人应当得到的其他金额。</w:t>
      </w:r>
    </w:p>
    <w:p>
      <w:pPr>
        <w:pStyle w:val="9"/>
        <w:spacing w:before="32" w:line="268" w:lineRule="auto"/>
        <w:ind w:left="731" w:right="911" w:firstLine="439"/>
      </w:pPr>
      <w:r>
        <w:t>最终结清应当由发包人和承包人按照“多退少补”的原则办理。政府投资和以政府投资为主的建设项目，按照国家和本市规定应当经审计机关审计。</w:t>
      </w:r>
    </w:p>
    <w:p>
      <w:pPr>
        <w:pStyle w:val="13"/>
        <w:numPr>
          <w:ilvl w:val="2"/>
          <w:numId w:val="105"/>
        </w:numPr>
        <w:tabs>
          <w:tab w:val="left" w:pos="1932"/>
        </w:tabs>
        <w:spacing w:before="0" w:after="0" w:line="268" w:lineRule="auto"/>
        <w:ind w:left="731" w:right="892" w:firstLine="429"/>
        <w:jc w:val="left"/>
        <w:rPr>
          <w:sz w:val="22"/>
        </w:rPr>
      </w:pPr>
      <w:r>
        <w:rPr>
          <w:spacing w:val="-6"/>
          <w:sz w:val="22"/>
        </w:rPr>
        <w:t>竣工付款申请单和最终结清申请单应当比照进度付款申请单的格式准备，并提供</w:t>
      </w:r>
      <w:r>
        <w:rPr>
          <w:spacing w:val="-3"/>
          <w:sz w:val="22"/>
        </w:rPr>
        <w:t>相关证明材料。</w:t>
      </w:r>
    </w:p>
    <w:p>
      <w:pPr>
        <w:pStyle w:val="13"/>
        <w:numPr>
          <w:ilvl w:val="1"/>
          <w:numId w:val="105"/>
        </w:numPr>
        <w:tabs>
          <w:tab w:val="left" w:pos="1226"/>
        </w:tabs>
        <w:spacing w:before="65" w:after="0" w:line="240" w:lineRule="auto"/>
        <w:ind w:left="1225" w:right="0" w:hanging="495"/>
        <w:jc w:val="left"/>
        <w:rPr>
          <w:sz w:val="22"/>
        </w:rPr>
      </w:pPr>
      <w:r>
        <w:rPr>
          <w:spacing w:val="-2"/>
          <w:sz w:val="22"/>
        </w:rPr>
        <w:t>其他约定</w:t>
      </w:r>
    </w:p>
    <w:p>
      <w:pPr>
        <w:pStyle w:val="9"/>
        <w:tabs>
          <w:tab w:val="left" w:pos="3188"/>
          <w:tab w:val="left" w:pos="3958"/>
        </w:tabs>
        <w:spacing w:before="104" w:line="470" w:lineRule="auto"/>
        <w:ind w:left="731" w:right="6263" w:firstLine="477"/>
      </w:pPr>
      <w:r>
        <w:t>其</w:t>
      </w:r>
      <w:r>
        <w:rPr>
          <w:spacing w:val="-3"/>
        </w:rPr>
        <w:t>他</w:t>
      </w:r>
      <w:r>
        <w:t>约定</w:t>
      </w:r>
      <w:r>
        <w:rPr>
          <w:spacing w:val="-3"/>
        </w:rPr>
        <w:t>内</w:t>
      </w:r>
      <w:r>
        <w:t>容：</w:t>
      </w:r>
      <w:r>
        <w:rPr>
          <w:u w:val="single"/>
        </w:rPr>
        <w:t xml:space="preserve"> </w:t>
      </w:r>
      <w:r>
        <w:rPr>
          <w:u w:val="single"/>
        </w:rPr>
        <w:tab/>
      </w:r>
      <w:r>
        <w:rPr>
          <w:u w:val="single"/>
        </w:rPr>
        <w:t>/</w:t>
      </w:r>
      <w:r>
        <w:rPr>
          <w:u w:val="single"/>
        </w:rPr>
        <w:tab/>
      </w:r>
      <w:r>
        <w:rPr>
          <w:spacing w:val="-16"/>
        </w:rPr>
        <w:t>。</w:t>
      </w:r>
      <w:bookmarkStart w:id="118" w:name="15.竣工验收和工程移交"/>
      <w:bookmarkEnd w:id="118"/>
      <w:r>
        <w:t>15.竣</w:t>
      </w:r>
      <w:r>
        <w:rPr>
          <w:spacing w:val="-3"/>
        </w:rPr>
        <w:t>工</w:t>
      </w:r>
      <w:r>
        <w:t>验收</w:t>
      </w:r>
      <w:r>
        <w:rPr>
          <w:spacing w:val="-3"/>
        </w:rPr>
        <w:t>和</w:t>
      </w:r>
      <w:r>
        <w:t>工程</w:t>
      </w:r>
      <w:r>
        <w:rPr>
          <w:spacing w:val="-3"/>
        </w:rPr>
        <w:t>移</w:t>
      </w:r>
      <w:r>
        <w:t>交</w:t>
      </w:r>
    </w:p>
    <w:p>
      <w:pPr>
        <w:pStyle w:val="13"/>
        <w:numPr>
          <w:ilvl w:val="1"/>
          <w:numId w:val="110"/>
        </w:numPr>
        <w:tabs>
          <w:tab w:val="left" w:pos="1226"/>
        </w:tabs>
        <w:spacing w:before="2" w:after="0" w:line="240" w:lineRule="auto"/>
        <w:ind w:left="1225" w:right="0" w:hanging="495"/>
        <w:jc w:val="left"/>
        <w:rPr>
          <w:sz w:val="22"/>
        </w:rPr>
      </w:pPr>
      <w:r>
        <w:rPr>
          <w:spacing w:val="-3"/>
          <w:sz w:val="22"/>
        </w:rPr>
        <w:t>竣工验收前的清理</w:t>
      </w:r>
    </w:p>
    <w:p>
      <w:pPr>
        <w:pStyle w:val="13"/>
        <w:numPr>
          <w:ilvl w:val="2"/>
          <w:numId w:val="110"/>
        </w:numPr>
        <w:tabs>
          <w:tab w:val="left" w:pos="1924"/>
        </w:tabs>
        <w:spacing w:before="32" w:after="0" w:line="266" w:lineRule="auto"/>
        <w:ind w:left="731" w:right="818" w:firstLine="477"/>
        <w:jc w:val="left"/>
        <w:rPr>
          <w:sz w:val="22"/>
        </w:rPr>
      </w:pPr>
      <w:r>
        <w:rPr>
          <w:spacing w:val="-3"/>
          <w:sz w:val="22"/>
        </w:rPr>
        <w:t>在向工程师提交竣工验收申请报告前，承包人应当完成竣工验收前的清理工作， 包括但不限于：</w:t>
      </w:r>
    </w:p>
    <w:p>
      <w:pPr>
        <w:pStyle w:val="9"/>
        <w:spacing w:before="1" w:line="268" w:lineRule="auto"/>
        <w:ind w:left="1170" w:right="4090"/>
      </w:pPr>
      <w:r>
        <w:t>(1)从永久工程内清除所有剩余材料、杂物、垃圾等； (2)清洗工程的所有地面、墙面、楼面、路面等表面；</w:t>
      </w:r>
    </w:p>
    <w:p>
      <w:pPr>
        <w:spacing w:after="0" w:line="268" w:lineRule="auto"/>
        <w:sectPr>
          <w:pgSz w:w="11910" w:h="16840"/>
          <w:pgMar w:top="1100" w:right="660" w:bottom="1200" w:left="800" w:header="878" w:footer="1003" w:gutter="0"/>
          <w:cols w:space="720" w:num="1"/>
        </w:sectPr>
      </w:pPr>
    </w:p>
    <w:p>
      <w:pPr>
        <w:pStyle w:val="9"/>
        <w:spacing w:before="1"/>
        <w:rPr>
          <w:sz w:val="18"/>
        </w:rPr>
      </w:pPr>
    </w:p>
    <w:p>
      <w:pPr>
        <w:pStyle w:val="13"/>
        <w:numPr>
          <w:ilvl w:val="0"/>
          <w:numId w:val="111"/>
        </w:numPr>
        <w:tabs>
          <w:tab w:val="left" w:pos="1503"/>
        </w:tabs>
        <w:spacing w:before="70" w:after="0" w:line="240" w:lineRule="auto"/>
        <w:ind w:left="1502" w:right="0" w:hanging="333"/>
        <w:jc w:val="left"/>
        <w:rPr>
          <w:sz w:val="22"/>
        </w:rPr>
      </w:pPr>
      <w:bookmarkStart w:id="119" w:name="第二节  特殊技术标准和要求"/>
      <w:bookmarkEnd w:id="119"/>
      <w:r>
        <w:rPr>
          <w:spacing w:val="-3"/>
          <w:sz w:val="22"/>
        </w:rPr>
        <w:t>清洗和擦洗所有玻璃、磁砖、石材和所有金属面；</w:t>
      </w:r>
    </w:p>
    <w:p>
      <w:pPr>
        <w:pStyle w:val="13"/>
        <w:numPr>
          <w:ilvl w:val="0"/>
          <w:numId w:val="111"/>
        </w:numPr>
        <w:tabs>
          <w:tab w:val="left" w:pos="1503"/>
        </w:tabs>
        <w:spacing w:before="30" w:after="0" w:line="268" w:lineRule="auto"/>
        <w:ind w:left="1170" w:right="3441" w:firstLine="0"/>
        <w:jc w:val="left"/>
        <w:rPr>
          <w:sz w:val="22"/>
        </w:rPr>
      </w:pPr>
      <w:r>
        <w:rPr>
          <w:spacing w:val="-3"/>
          <w:sz w:val="22"/>
        </w:rPr>
        <w:t>修缮所有损坏、清除所有污迹、替换所有需更换的材料； (5)所有表面完成约定的装修和装修；</w:t>
      </w:r>
    </w:p>
    <w:p>
      <w:pPr>
        <w:pStyle w:val="9"/>
        <w:spacing w:line="268" w:lineRule="auto"/>
        <w:ind w:left="1170" w:right="3210"/>
      </w:pPr>
      <w:r>
        <w:t>(6)检查和调试所有的门、窗、抽屉等以确保它们开启的顺畅； (7)检查和调试所有的五金件并上油；</w:t>
      </w:r>
    </w:p>
    <w:p>
      <w:pPr>
        <w:pStyle w:val="9"/>
        <w:spacing w:line="266" w:lineRule="auto"/>
        <w:ind w:left="1170" w:right="1682"/>
      </w:pPr>
      <w:r>
        <w:t>(8)检查、测试和确保所有服务系统、设施和设备达到良好的运行状态和效果； (9)所有钥匙(如果有)贴上标签并固定到钥匙排上随时可以交给工程师。</w:t>
      </w:r>
    </w:p>
    <w:p>
      <w:pPr>
        <w:pStyle w:val="13"/>
        <w:numPr>
          <w:ilvl w:val="2"/>
          <w:numId w:val="110"/>
        </w:numPr>
        <w:tabs>
          <w:tab w:val="left" w:pos="1876"/>
        </w:tabs>
        <w:spacing w:before="0" w:after="0" w:line="240" w:lineRule="auto"/>
        <w:ind w:left="1876" w:right="0" w:hanging="716"/>
        <w:jc w:val="left"/>
        <w:rPr>
          <w:sz w:val="22"/>
        </w:rPr>
      </w:pPr>
      <w:r>
        <w:rPr>
          <w:spacing w:val="-3"/>
          <w:sz w:val="22"/>
        </w:rPr>
        <w:t>清理工作所需费用由承包人承担。</w:t>
      </w:r>
    </w:p>
    <w:p>
      <w:pPr>
        <w:pStyle w:val="13"/>
        <w:numPr>
          <w:ilvl w:val="1"/>
          <w:numId w:val="110"/>
        </w:numPr>
        <w:tabs>
          <w:tab w:val="left" w:pos="1281"/>
        </w:tabs>
        <w:spacing w:before="88" w:after="0" w:line="240" w:lineRule="auto"/>
        <w:ind w:left="1280" w:right="0" w:hanging="550"/>
        <w:jc w:val="left"/>
        <w:rPr>
          <w:sz w:val="22"/>
        </w:rPr>
      </w:pPr>
      <w:r>
        <w:rPr>
          <w:spacing w:val="-3"/>
          <w:sz w:val="22"/>
        </w:rPr>
        <w:t>竣工验收申请报告</w:t>
      </w:r>
    </w:p>
    <w:p>
      <w:pPr>
        <w:pStyle w:val="13"/>
        <w:numPr>
          <w:ilvl w:val="2"/>
          <w:numId w:val="110"/>
        </w:numPr>
        <w:tabs>
          <w:tab w:val="left" w:pos="1876"/>
        </w:tabs>
        <w:spacing w:before="80" w:after="0" w:line="266" w:lineRule="auto"/>
        <w:ind w:left="731" w:right="866" w:firstLine="429"/>
        <w:jc w:val="both"/>
        <w:rPr>
          <w:sz w:val="22"/>
        </w:rPr>
      </w:pPr>
      <w:r>
        <w:rPr>
          <w:spacing w:val="-3"/>
          <w:sz w:val="22"/>
        </w:rPr>
        <w:t>竣工验收申请报告，也称竣工验收报告，是承包人完成合同约定的工作内容后， 按照国家有关施工质量验收标准的规定，经其自行检查，证明已经完成合同工作内容并符合合同约定，达到竣工验收标准，而向工程师或发包人提交的请求发包人组织进行合同工程竣工验收的一份书面申请函，合同约定的竣工验收资料和其他文件一般作为竣工验收申请报告的附件，是竣工验收申请报告的组成部分。</w:t>
      </w:r>
    </w:p>
    <w:p>
      <w:pPr>
        <w:pStyle w:val="13"/>
        <w:numPr>
          <w:ilvl w:val="2"/>
          <w:numId w:val="110"/>
        </w:numPr>
        <w:tabs>
          <w:tab w:val="left" w:pos="1876"/>
        </w:tabs>
        <w:spacing w:before="3" w:after="0" w:line="268" w:lineRule="auto"/>
        <w:ind w:left="731" w:right="890" w:firstLine="429"/>
        <w:jc w:val="both"/>
        <w:rPr>
          <w:sz w:val="22"/>
        </w:rPr>
      </w:pPr>
      <w:r>
        <w:rPr>
          <w:spacing w:val="-6"/>
          <w:sz w:val="22"/>
        </w:rPr>
        <w:t>竣工验收申请报告一般应当包括工程概况说明，承包范围，分包工程情况，主要</w:t>
      </w:r>
      <w:r>
        <w:rPr>
          <w:spacing w:val="-3"/>
          <w:sz w:val="22"/>
        </w:rPr>
        <w:t>材料、设备供应情况，采用的主要施工方法，新材料、新技术和新工艺采用情况，自检质量情况等的说明。竣工验收申请报告的格式和应当包括的内容应事先经过工程师的审批。</w:t>
      </w:r>
    </w:p>
    <w:p>
      <w:pPr>
        <w:pStyle w:val="13"/>
        <w:numPr>
          <w:ilvl w:val="2"/>
          <w:numId w:val="110"/>
        </w:numPr>
        <w:tabs>
          <w:tab w:val="left" w:pos="1924"/>
        </w:tabs>
        <w:spacing w:before="0" w:after="0" w:line="278" w:lineRule="exact"/>
        <w:ind w:left="1924" w:right="0" w:hanging="716"/>
        <w:jc w:val="both"/>
        <w:rPr>
          <w:sz w:val="22"/>
        </w:rPr>
      </w:pPr>
      <w:r>
        <w:rPr>
          <w:spacing w:val="-3"/>
          <w:sz w:val="22"/>
        </w:rPr>
        <w:t>竣工验收申请报告应附下列内容：</w:t>
      </w:r>
    </w:p>
    <w:p>
      <w:pPr>
        <w:pStyle w:val="13"/>
        <w:numPr>
          <w:ilvl w:val="0"/>
          <w:numId w:val="112"/>
        </w:numPr>
        <w:tabs>
          <w:tab w:val="left" w:pos="1503"/>
        </w:tabs>
        <w:spacing w:before="33" w:after="0" w:line="266" w:lineRule="auto"/>
        <w:ind w:left="731" w:right="911" w:firstLine="439"/>
        <w:jc w:val="both"/>
        <w:rPr>
          <w:sz w:val="22"/>
        </w:rPr>
      </w:pPr>
      <w:r>
        <w:rPr>
          <w:spacing w:val="11"/>
          <w:sz w:val="22"/>
        </w:rPr>
        <w:t>承包人的自行检查和评定记录文件，即除工程师同意列入缺陷责任期内完成的</w:t>
      </w:r>
      <w:r>
        <w:rPr>
          <w:spacing w:val="10"/>
          <w:sz w:val="22"/>
        </w:rPr>
        <w:t>尾工(甩项)工程和缺陷修补工作外，合同范围内的全部单位工程以及有关工作，包括</w:t>
      </w:r>
      <w:r>
        <w:rPr>
          <w:spacing w:val="12"/>
          <w:sz w:val="22"/>
        </w:rPr>
        <w:t>合同要求的试验、试运行以及检验和验收均已完成， 并符合合同要求；</w:t>
      </w:r>
    </w:p>
    <w:p>
      <w:pPr>
        <w:pStyle w:val="13"/>
        <w:numPr>
          <w:ilvl w:val="0"/>
          <w:numId w:val="113"/>
        </w:numPr>
        <w:tabs>
          <w:tab w:val="left" w:pos="1724"/>
        </w:tabs>
        <w:spacing w:before="2" w:after="0" w:line="240" w:lineRule="auto"/>
        <w:ind w:left="1723" w:right="0" w:hanging="554"/>
        <w:jc w:val="left"/>
        <w:rPr>
          <w:sz w:val="22"/>
        </w:rPr>
      </w:pPr>
      <w:r>
        <w:rPr>
          <w:spacing w:val="-3"/>
          <w:sz w:val="22"/>
        </w:rPr>
        <w:t>按合同约定的内容和份数整理的符合要求的竣工资料；</w:t>
      </w:r>
    </w:p>
    <w:p>
      <w:pPr>
        <w:pStyle w:val="13"/>
        <w:numPr>
          <w:ilvl w:val="0"/>
          <w:numId w:val="113"/>
        </w:numPr>
        <w:tabs>
          <w:tab w:val="left" w:pos="1724"/>
        </w:tabs>
        <w:spacing w:before="32" w:after="0" w:line="266" w:lineRule="auto"/>
        <w:ind w:left="731" w:right="890" w:firstLine="439"/>
        <w:jc w:val="left"/>
        <w:rPr>
          <w:sz w:val="22"/>
        </w:rPr>
      </w:pPr>
      <w:r>
        <w:rPr>
          <w:spacing w:val="-3"/>
          <w:sz w:val="22"/>
        </w:rPr>
        <w:t>按工程师的要求编制了在缺陷责任期内完成的尾工(甩项)工程和缺陷修补工作清单以及相应施工计划；</w:t>
      </w:r>
    </w:p>
    <w:p>
      <w:pPr>
        <w:pStyle w:val="13"/>
        <w:numPr>
          <w:ilvl w:val="0"/>
          <w:numId w:val="113"/>
        </w:numPr>
        <w:tabs>
          <w:tab w:val="left" w:pos="1724"/>
        </w:tabs>
        <w:spacing w:before="1" w:after="0" w:line="240" w:lineRule="auto"/>
        <w:ind w:left="1723" w:right="0" w:hanging="554"/>
        <w:jc w:val="left"/>
        <w:rPr>
          <w:sz w:val="22"/>
        </w:rPr>
      </w:pPr>
      <w:r>
        <w:rPr>
          <w:spacing w:val="-3"/>
          <w:sz w:val="22"/>
        </w:rPr>
        <w:t>工程师要求在竣工验收前应完成的其他工作的证明材料；</w:t>
      </w:r>
    </w:p>
    <w:p>
      <w:pPr>
        <w:pStyle w:val="13"/>
        <w:numPr>
          <w:ilvl w:val="0"/>
          <w:numId w:val="113"/>
        </w:numPr>
        <w:tabs>
          <w:tab w:val="left" w:pos="1724"/>
        </w:tabs>
        <w:spacing w:before="33" w:after="0" w:line="240" w:lineRule="auto"/>
        <w:ind w:left="1723" w:right="0" w:hanging="554"/>
        <w:jc w:val="left"/>
        <w:rPr>
          <w:sz w:val="22"/>
        </w:rPr>
      </w:pPr>
      <w:r>
        <w:rPr>
          <w:spacing w:val="-3"/>
          <w:sz w:val="22"/>
        </w:rPr>
        <w:t>工程师要求提交的竣工验收资料清单；</w:t>
      </w:r>
    </w:p>
    <w:p>
      <w:pPr>
        <w:pStyle w:val="13"/>
        <w:numPr>
          <w:ilvl w:val="0"/>
          <w:numId w:val="113"/>
        </w:numPr>
        <w:tabs>
          <w:tab w:val="left" w:pos="1724"/>
        </w:tabs>
        <w:spacing w:before="30" w:after="0" w:line="240" w:lineRule="auto"/>
        <w:ind w:left="1723" w:right="0" w:hanging="554"/>
        <w:jc w:val="left"/>
        <w:rPr>
          <w:sz w:val="22"/>
        </w:rPr>
      </w:pPr>
      <w:r>
        <w:rPr>
          <w:spacing w:val="-3"/>
          <w:sz w:val="22"/>
        </w:rPr>
        <w:t>单位工程竣工验收成果和结论文件(如果有)；</w:t>
      </w:r>
    </w:p>
    <w:p>
      <w:pPr>
        <w:pStyle w:val="13"/>
        <w:numPr>
          <w:ilvl w:val="0"/>
          <w:numId w:val="113"/>
        </w:numPr>
        <w:tabs>
          <w:tab w:val="left" w:pos="1724"/>
        </w:tabs>
        <w:spacing w:before="32" w:after="0" w:line="240" w:lineRule="auto"/>
        <w:ind w:left="1723" w:right="0" w:hanging="554"/>
        <w:jc w:val="left"/>
        <w:rPr>
          <w:sz w:val="22"/>
        </w:rPr>
      </w:pPr>
      <w:r>
        <w:rPr>
          <w:spacing w:val="-3"/>
          <w:sz w:val="22"/>
        </w:rPr>
        <w:t>质量保修书(此前已经提交的不再提交)；</w:t>
      </w:r>
    </w:p>
    <w:p>
      <w:pPr>
        <w:pStyle w:val="13"/>
        <w:numPr>
          <w:ilvl w:val="0"/>
          <w:numId w:val="113"/>
        </w:numPr>
        <w:tabs>
          <w:tab w:val="left" w:pos="1724"/>
          <w:tab w:val="left" w:pos="2931"/>
          <w:tab w:val="left" w:pos="4251"/>
        </w:tabs>
        <w:spacing w:before="33" w:after="0" w:line="240" w:lineRule="auto"/>
        <w:ind w:left="1723" w:right="0" w:hanging="554"/>
        <w:jc w:val="left"/>
        <w:rPr>
          <w:sz w:val="22"/>
        </w:rPr>
      </w:pPr>
      <w:r>
        <w:rPr>
          <w:spacing w:val="-3"/>
          <w:sz w:val="22"/>
        </w:rPr>
        <w:t>其</w:t>
      </w:r>
      <w:r>
        <w:rPr>
          <w:sz w:val="22"/>
        </w:rPr>
        <w:t>他</w:t>
      </w:r>
      <w:r>
        <w:rPr>
          <w:spacing w:val="-3"/>
          <w:sz w:val="22"/>
        </w:rPr>
        <w:t>：</w:t>
      </w:r>
      <w:r>
        <w:rPr>
          <w:spacing w:val="-3"/>
          <w:sz w:val="22"/>
          <w:u w:val="single"/>
        </w:rPr>
        <w:t xml:space="preserve"> </w:t>
      </w:r>
      <w:r>
        <w:rPr>
          <w:spacing w:val="-3"/>
          <w:sz w:val="22"/>
          <w:u w:val="single"/>
        </w:rPr>
        <w:tab/>
      </w:r>
      <w:r>
        <w:rPr>
          <w:sz w:val="22"/>
          <w:u w:val="single"/>
        </w:rPr>
        <w:t>/</w:t>
      </w:r>
      <w:r>
        <w:rPr>
          <w:sz w:val="22"/>
          <w:u w:val="single"/>
        </w:rPr>
        <w:tab/>
      </w:r>
      <w:r>
        <w:rPr>
          <w:sz w:val="22"/>
        </w:rPr>
        <w:t>。</w:t>
      </w:r>
    </w:p>
    <w:p>
      <w:pPr>
        <w:pStyle w:val="13"/>
        <w:numPr>
          <w:ilvl w:val="1"/>
          <w:numId w:val="110"/>
        </w:numPr>
        <w:tabs>
          <w:tab w:val="left" w:pos="1281"/>
        </w:tabs>
        <w:spacing w:before="32" w:after="0" w:line="240" w:lineRule="auto"/>
        <w:ind w:left="1280" w:right="0" w:hanging="550"/>
        <w:jc w:val="left"/>
        <w:rPr>
          <w:sz w:val="22"/>
        </w:rPr>
      </w:pPr>
      <w:r>
        <w:rPr>
          <w:spacing w:val="-2"/>
          <w:sz w:val="22"/>
        </w:rPr>
        <w:t>竣工清场</w:t>
      </w:r>
    </w:p>
    <w:p>
      <w:pPr>
        <w:pStyle w:val="13"/>
        <w:numPr>
          <w:ilvl w:val="2"/>
          <w:numId w:val="110"/>
        </w:numPr>
        <w:tabs>
          <w:tab w:val="left" w:pos="1447"/>
        </w:tabs>
        <w:spacing w:before="33" w:after="0" w:line="268" w:lineRule="auto"/>
        <w:ind w:left="731" w:right="782" w:firstLine="0"/>
        <w:jc w:val="left"/>
        <w:rPr>
          <w:sz w:val="22"/>
        </w:rPr>
      </w:pPr>
      <w:r>
        <w:rPr>
          <w:spacing w:val="-7"/>
          <w:sz w:val="22"/>
        </w:rPr>
        <w:t xml:space="preserve">工程师颁发(出具)工程接收证书后，承包人应在 </w:t>
      </w:r>
      <w:r>
        <w:rPr>
          <w:sz w:val="22"/>
        </w:rPr>
        <w:t>56</w:t>
      </w:r>
      <w:r>
        <w:rPr>
          <w:spacing w:val="-9"/>
          <w:sz w:val="22"/>
        </w:rPr>
        <w:t xml:space="preserve"> 天内按以下要求对现场进行清理： (1</w:t>
      </w:r>
      <w:r>
        <w:rPr>
          <w:spacing w:val="-5"/>
          <w:sz w:val="22"/>
        </w:rPr>
        <w:t>)从现场清除所有杂物和垃圾等等；</w:t>
      </w:r>
    </w:p>
    <w:p>
      <w:pPr>
        <w:pStyle w:val="13"/>
        <w:numPr>
          <w:ilvl w:val="0"/>
          <w:numId w:val="112"/>
        </w:numPr>
        <w:tabs>
          <w:tab w:val="left" w:pos="1064"/>
        </w:tabs>
        <w:spacing w:before="0" w:after="0" w:line="268" w:lineRule="auto"/>
        <w:ind w:left="731" w:right="782" w:firstLine="0"/>
        <w:jc w:val="left"/>
        <w:rPr>
          <w:sz w:val="22"/>
        </w:rPr>
      </w:pPr>
      <w:r>
        <w:rPr>
          <w:spacing w:val="-10"/>
          <w:sz w:val="22"/>
        </w:rPr>
        <w:t>从现场拆除所有的临时工程和临时设施并恢复地面原状，但经工程师批准的护坡桩、锚杆、</w:t>
      </w:r>
      <w:r>
        <w:rPr>
          <w:spacing w:val="-4"/>
          <w:sz w:val="22"/>
        </w:rPr>
        <w:t>塔吊基础和无法拆除的埋入式模板等无法拆除的临时设施除外；</w:t>
      </w:r>
    </w:p>
    <w:p>
      <w:pPr>
        <w:pStyle w:val="13"/>
        <w:numPr>
          <w:ilvl w:val="0"/>
          <w:numId w:val="112"/>
        </w:numPr>
        <w:tabs>
          <w:tab w:val="left" w:pos="1064"/>
        </w:tabs>
        <w:spacing w:before="0" w:after="0" w:line="268" w:lineRule="auto"/>
        <w:ind w:left="731" w:right="801" w:firstLine="0"/>
        <w:jc w:val="left"/>
        <w:rPr>
          <w:sz w:val="22"/>
        </w:rPr>
      </w:pPr>
      <w:r>
        <w:rPr>
          <w:spacing w:val="-3"/>
          <w:sz w:val="22"/>
        </w:rPr>
        <w:t>撤离所有承包人施工设备和剩余材料(经工程师同意需在缺陷责任期内继续使用的除外)； (4)工程师指示的其他清场工作。</w:t>
      </w:r>
    </w:p>
    <w:p>
      <w:pPr>
        <w:pStyle w:val="9"/>
        <w:spacing w:before="9"/>
        <w:rPr>
          <w:sz w:val="17"/>
        </w:rPr>
      </w:pPr>
    </w:p>
    <w:p>
      <w:pPr>
        <w:pStyle w:val="9"/>
        <w:ind w:left="731"/>
      </w:pPr>
      <w:bookmarkStart w:id="120" w:name="16.其他要求"/>
      <w:bookmarkEnd w:id="120"/>
      <w:r>
        <w:t>16.其他要求</w:t>
      </w:r>
    </w:p>
    <w:p>
      <w:pPr>
        <w:spacing w:after="0"/>
        <w:sectPr>
          <w:footerReference r:id="rId18" w:type="default"/>
          <w:pgSz w:w="11910" w:h="16840"/>
          <w:pgMar w:top="1100" w:right="660" w:bottom="1200" w:left="800" w:header="878" w:footer="1003" w:gutter="0"/>
          <w:pgNumType w:start="110"/>
          <w:cols w:space="720" w:num="1"/>
        </w:sectPr>
      </w:pPr>
    </w:p>
    <w:p>
      <w:pPr>
        <w:pStyle w:val="9"/>
        <w:spacing w:before="4"/>
        <w:rPr>
          <w:sz w:val="18"/>
        </w:rPr>
      </w:pPr>
    </w:p>
    <w:p>
      <w:pPr>
        <w:pStyle w:val="6"/>
        <w:tabs>
          <w:tab w:val="left" w:pos="964"/>
        </w:tabs>
        <w:spacing w:before="66"/>
        <w:ind w:left="0" w:right="152"/>
      </w:pPr>
      <w:r>
        <w:t>第二节</w:t>
      </w:r>
      <w:r>
        <w:tab/>
      </w:r>
      <w:r>
        <w:t>特殊技术标准和要求</w:t>
      </w:r>
    </w:p>
    <w:p>
      <w:pPr>
        <w:pStyle w:val="9"/>
        <w:spacing w:before="12"/>
        <w:rPr>
          <w:b/>
          <w:sz w:val="15"/>
        </w:rPr>
      </w:pPr>
    </w:p>
    <w:p>
      <w:pPr>
        <w:pStyle w:val="13"/>
        <w:numPr>
          <w:ilvl w:val="0"/>
          <w:numId w:val="114"/>
        </w:numPr>
        <w:tabs>
          <w:tab w:val="left" w:pos="954"/>
        </w:tabs>
        <w:spacing w:before="70" w:after="0" w:line="240" w:lineRule="auto"/>
        <w:ind w:left="953" w:right="0" w:hanging="223"/>
        <w:jc w:val="left"/>
        <w:rPr>
          <w:sz w:val="22"/>
        </w:rPr>
      </w:pPr>
      <w:bookmarkStart w:id="121" w:name="1.材料和工程设备技术要求"/>
      <w:bookmarkEnd w:id="121"/>
      <w:r>
        <w:rPr>
          <w:spacing w:val="-3"/>
          <w:sz w:val="22"/>
        </w:rPr>
        <w:t>材料和工程设备技术要求</w:t>
      </w:r>
    </w:p>
    <w:p>
      <w:pPr>
        <w:pStyle w:val="9"/>
        <w:spacing w:before="3"/>
        <w:rPr>
          <w:sz w:val="30"/>
        </w:rPr>
      </w:pPr>
    </w:p>
    <w:p>
      <w:pPr>
        <w:pStyle w:val="13"/>
        <w:numPr>
          <w:ilvl w:val="1"/>
          <w:numId w:val="114"/>
        </w:numPr>
        <w:tabs>
          <w:tab w:val="left" w:pos="1116"/>
        </w:tabs>
        <w:spacing w:before="0" w:after="0" w:line="240" w:lineRule="auto"/>
        <w:ind w:left="1115" w:right="0" w:hanging="385"/>
        <w:jc w:val="left"/>
        <w:rPr>
          <w:sz w:val="22"/>
        </w:rPr>
      </w:pPr>
      <w:r>
        <w:rPr>
          <w:spacing w:val="-3"/>
          <w:sz w:val="22"/>
        </w:rPr>
        <w:t>承包人自行施工范围内的部分材料和工程设备技术要求如下：</w:t>
      </w:r>
    </w:p>
    <w:p>
      <w:pPr>
        <w:pStyle w:val="13"/>
        <w:numPr>
          <w:ilvl w:val="0"/>
          <w:numId w:val="115"/>
        </w:numPr>
        <w:tabs>
          <w:tab w:val="left" w:pos="1282"/>
        </w:tabs>
        <w:spacing w:before="146" w:after="0" w:line="364" w:lineRule="auto"/>
        <w:ind w:left="731" w:right="801" w:firstLine="0"/>
        <w:jc w:val="left"/>
        <w:rPr>
          <w:sz w:val="22"/>
        </w:rPr>
      </w:pPr>
      <w:r>
        <w:rPr>
          <w:spacing w:val="-3"/>
          <w:sz w:val="22"/>
          <w:u w:val="single"/>
        </w:rPr>
        <w:t>由承包人自行采购的材料、设备，其单价应包括包装、运输、仓储、场内驳运、保管、</w:t>
      </w:r>
      <w:r>
        <w:rPr>
          <w:spacing w:val="-6"/>
          <w:sz w:val="22"/>
          <w:u w:val="single"/>
        </w:rPr>
        <w:t>损耗等费用。各投标人结合自身实力，充分考虑市场风险，按照招标文件要求在清单计价中填</w:t>
      </w:r>
      <w:r>
        <w:rPr>
          <w:spacing w:val="-201"/>
          <w:sz w:val="22"/>
          <w:u w:val="single"/>
        </w:rPr>
        <w:t>报</w:t>
      </w:r>
      <w:r>
        <w:rPr>
          <w:spacing w:val="-2"/>
          <w:sz w:val="22"/>
          <w:u w:val="single"/>
        </w:rPr>
        <w:t>材料、设备的特征</w:t>
      </w:r>
      <w:r>
        <w:rPr>
          <w:spacing w:val="-3"/>
          <w:sz w:val="22"/>
          <w:u w:val="single"/>
        </w:rPr>
        <w:t>（如种类与材质、规则与型号、品牌、等级与生产厂等）</w:t>
      </w:r>
      <w:r>
        <w:rPr>
          <w:spacing w:val="-1"/>
          <w:sz w:val="22"/>
          <w:u w:val="single"/>
        </w:rPr>
        <w:t xml:space="preserve">和价格并编    </w:t>
      </w:r>
      <w:r>
        <w:rPr>
          <w:spacing w:val="-3"/>
          <w:sz w:val="22"/>
          <w:u w:val="single"/>
        </w:rPr>
        <w:t>报综合单价，一旦中标，包干使用，竣工结算时不再调整材料单价和综合单价。</w:t>
      </w:r>
    </w:p>
    <w:p>
      <w:pPr>
        <w:pStyle w:val="13"/>
        <w:numPr>
          <w:ilvl w:val="0"/>
          <w:numId w:val="115"/>
        </w:numPr>
        <w:tabs>
          <w:tab w:val="left" w:pos="1282"/>
        </w:tabs>
        <w:spacing w:before="0" w:after="0" w:line="364" w:lineRule="auto"/>
        <w:ind w:left="731" w:right="801" w:firstLine="0"/>
        <w:jc w:val="left"/>
        <w:rPr>
          <w:sz w:val="22"/>
        </w:rPr>
      </w:pPr>
      <w:r>
        <w:rPr>
          <w:spacing w:val="-3"/>
          <w:sz w:val="22"/>
          <w:u w:val="single"/>
        </w:rPr>
        <w:t>暂估材料单价为材料（</w:t>
      </w:r>
      <w:r>
        <w:rPr>
          <w:spacing w:val="-2"/>
          <w:sz w:val="22"/>
          <w:u w:val="single"/>
        </w:rPr>
        <w:t>或设备</w:t>
      </w:r>
      <w:r>
        <w:rPr>
          <w:spacing w:val="-1"/>
          <w:sz w:val="22"/>
          <w:u w:val="single"/>
        </w:rPr>
        <w:t>）</w:t>
      </w:r>
      <w:r>
        <w:rPr>
          <w:spacing w:val="-3"/>
          <w:sz w:val="22"/>
          <w:u w:val="single"/>
        </w:rPr>
        <w:t>到达工地现场的价格，到工地后的卸货、保管、运输、</w:t>
      </w:r>
      <w:r>
        <w:rPr>
          <w:spacing w:val="-207"/>
          <w:sz w:val="22"/>
          <w:u w:val="single"/>
        </w:rPr>
        <w:t>损耗</w:t>
      </w:r>
      <w:r>
        <w:rPr>
          <w:spacing w:val="-3"/>
          <w:sz w:val="22"/>
          <w:u w:val="single"/>
        </w:rPr>
        <w:t>应由承包人承担，因此各投标人在报综合单价时除考虑完成该分部分项的人工、辅助材料、机械及间接费外，还应考虑这些因素，今后建设单位核价时不再另行向施工单位增加这些材料设备的到达工地后的卸货保管、运输、损耗等费用。对于工程量清单未确定的其他材料， 甲方保留“甲指乙供或甲供”的权利。</w:t>
      </w:r>
    </w:p>
    <w:p>
      <w:pPr>
        <w:pStyle w:val="13"/>
        <w:numPr>
          <w:ilvl w:val="0"/>
          <w:numId w:val="115"/>
        </w:numPr>
        <w:tabs>
          <w:tab w:val="left" w:pos="1282"/>
        </w:tabs>
        <w:spacing w:before="0" w:after="0" w:line="364" w:lineRule="auto"/>
        <w:ind w:left="731" w:right="890" w:firstLine="0"/>
        <w:jc w:val="both"/>
        <w:rPr>
          <w:sz w:val="22"/>
        </w:rPr>
      </w:pPr>
      <w:r>
        <w:rPr>
          <w:spacing w:val="-8"/>
          <w:sz w:val="22"/>
          <w:u w:val="single"/>
        </w:rPr>
        <w:t>根据建设主管部门有关规定用于建设工程的钢材、水泥、黄砂、石子、商品混凝土、预</w:t>
      </w:r>
      <w:r>
        <w:rPr>
          <w:spacing w:val="-168"/>
          <w:sz w:val="22"/>
          <w:u w:val="single"/>
        </w:rPr>
        <w:t>制 混</w:t>
      </w:r>
      <w:r>
        <w:rPr>
          <w:spacing w:val="-3"/>
          <w:sz w:val="22"/>
          <w:u w:val="single"/>
        </w:rPr>
        <w:t>凝土构件、墙体材料和管道、门窗、防水材料等各类建筑材料的检测及其他工程施工建设过程中所需发生的各类工程检测，由发包人与具有相应资质和能力的检测机构</w:t>
      </w:r>
      <w:r>
        <w:rPr>
          <w:sz w:val="22"/>
          <w:u w:val="single"/>
        </w:rPr>
        <w:t>（</w:t>
      </w:r>
      <w:r>
        <w:rPr>
          <w:spacing w:val="-3"/>
          <w:sz w:val="22"/>
          <w:u w:val="single"/>
        </w:rPr>
        <w:t>该机构须与本项目的设计单位、施工单位、监理单位无隶属关系或其他利害关系）签订检测合同。</w:t>
      </w:r>
    </w:p>
    <w:p>
      <w:pPr>
        <w:pStyle w:val="9"/>
        <w:spacing w:line="364" w:lineRule="auto"/>
        <w:ind w:left="731" w:right="911" w:firstLine="439"/>
        <w:jc w:val="both"/>
      </w:pPr>
      <w: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p>
    <w:p>
      <w:pPr>
        <w:pStyle w:val="13"/>
        <w:numPr>
          <w:ilvl w:val="1"/>
          <w:numId w:val="114"/>
        </w:numPr>
        <w:tabs>
          <w:tab w:val="left" w:pos="1116"/>
        </w:tabs>
        <w:spacing w:before="0" w:after="0" w:line="279" w:lineRule="exact"/>
        <w:ind w:left="1115" w:right="0" w:hanging="385"/>
        <w:jc w:val="both"/>
        <w:rPr>
          <w:sz w:val="22"/>
        </w:rPr>
      </w:pPr>
      <w:r>
        <w:rPr>
          <w:spacing w:val="-3"/>
          <w:sz w:val="22"/>
        </w:rPr>
        <w:t>承包人自行施工范围内的材料和工程设备选型允许的偏离如下：</w:t>
      </w:r>
    </w:p>
    <w:p>
      <w:pPr>
        <w:pStyle w:val="9"/>
        <w:spacing w:before="11"/>
        <w:rPr>
          <w:sz w:val="10"/>
        </w:rPr>
      </w:pPr>
    </w:p>
    <w:tbl>
      <w:tblPr>
        <w:tblW w:w="8720" w:type="dxa"/>
        <w:tblInd w:w="6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8"/>
        <w:gridCol w:w="2120"/>
        <w:gridCol w:w="1744"/>
        <w:gridCol w:w="1744"/>
        <w:gridCol w:w="1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5" w:hRule="atLeast"/>
        </w:trPr>
        <w:tc>
          <w:tcPr>
            <w:tcW w:w="1368" w:type="dxa"/>
            <w:vAlign w:val="top"/>
          </w:tcPr>
          <w:p>
            <w:pPr>
              <w:pStyle w:val="14"/>
              <w:spacing w:before="10"/>
              <w:rPr>
                <w:sz w:val="16"/>
              </w:rPr>
            </w:pPr>
          </w:p>
          <w:p>
            <w:pPr>
              <w:pStyle w:val="14"/>
              <w:ind w:left="444" w:right="434"/>
              <w:jc w:val="center"/>
              <w:rPr>
                <w:sz w:val="22"/>
              </w:rPr>
            </w:pPr>
            <w:r>
              <w:rPr>
                <w:sz w:val="22"/>
              </w:rPr>
              <w:t>序号</w:t>
            </w:r>
          </w:p>
        </w:tc>
        <w:tc>
          <w:tcPr>
            <w:tcW w:w="2120" w:type="dxa"/>
            <w:vAlign w:val="top"/>
          </w:tcPr>
          <w:p>
            <w:pPr>
              <w:pStyle w:val="14"/>
              <w:spacing w:before="1"/>
              <w:ind w:left="270" w:right="259"/>
              <w:jc w:val="center"/>
              <w:rPr>
                <w:sz w:val="22"/>
              </w:rPr>
            </w:pPr>
            <w:r>
              <w:rPr>
                <w:sz w:val="22"/>
              </w:rPr>
              <w:t>材料和工程设备</w:t>
            </w:r>
          </w:p>
          <w:p>
            <w:pPr>
              <w:pStyle w:val="14"/>
              <w:spacing w:before="146"/>
              <w:ind w:left="270" w:right="259"/>
              <w:jc w:val="center"/>
              <w:rPr>
                <w:sz w:val="22"/>
              </w:rPr>
            </w:pPr>
            <w:r>
              <w:rPr>
                <w:sz w:val="22"/>
              </w:rPr>
              <w:t>名称</w:t>
            </w:r>
          </w:p>
        </w:tc>
        <w:tc>
          <w:tcPr>
            <w:tcW w:w="1744" w:type="dxa"/>
            <w:vAlign w:val="top"/>
          </w:tcPr>
          <w:p>
            <w:pPr>
              <w:pStyle w:val="14"/>
              <w:spacing w:before="10"/>
              <w:rPr>
                <w:sz w:val="16"/>
              </w:rPr>
            </w:pPr>
          </w:p>
          <w:p>
            <w:pPr>
              <w:pStyle w:val="14"/>
              <w:ind w:left="431"/>
              <w:rPr>
                <w:sz w:val="22"/>
              </w:rPr>
            </w:pPr>
            <w:r>
              <w:rPr>
                <w:sz w:val="22"/>
              </w:rPr>
              <w:t>技术指标</w:t>
            </w:r>
          </w:p>
        </w:tc>
        <w:tc>
          <w:tcPr>
            <w:tcW w:w="1744" w:type="dxa"/>
            <w:vAlign w:val="top"/>
          </w:tcPr>
          <w:p>
            <w:pPr>
              <w:pStyle w:val="14"/>
              <w:spacing w:before="10"/>
              <w:rPr>
                <w:sz w:val="16"/>
              </w:rPr>
            </w:pPr>
          </w:p>
          <w:p>
            <w:pPr>
              <w:pStyle w:val="14"/>
              <w:ind w:left="211"/>
              <w:rPr>
                <w:sz w:val="22"/>
              </w:rPr>
            </w:pPr>
            <w:r>
              <w:rPr>
                <w:sz w:val="22"/>
              </w:rPr>
              <w:t>允许偏离范围</w:t>
            </w:r>
          </w:p>
        </w:tc>
        <w:tc>
          <w:tcPr>
            <w:tcW w:w="1744" w:type="dxa"/>
            <w:vAlign w:val="top"/>
          </w:tcPr>
          <w:p>
            <w:pPr>
              <w:pStyle w:val="14"/>
              <w:spacing w:before="10"/>
              <w:rPr>
                <w:sz w:val="16"/>
              </w:rPr>
            </w:pPr>
          </w:p>
          <w:p>
            <w:pPr>
              <w:pStyle w:val="14"/>
              <w:tabs>
                <w:tab w:val="left" w:pos="1092"/>
              </w:tabs>
              <w:ind w:left="432"/>
              <w:rPr>
                <w:sz w:val="22"/>
              </w:rPr>
            </w:pPr>
            <w:r>
              <w:rPr>
                <w:sz w:val="22"/>
              </w:rPr>
              <w:t>备</w:t>
            </w:r>
            <w:r>
              <w:rPr>
                <w:sz w:val="22"/>
              </w:rPr>
              <w:tab/>
            </w:r>
            <w:r>
              <w:rPr>
                <w:sz w:val="22"/>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8" w:hRule="atLeast"/>
        </w:trPr>
        <w:tc>
          <w:tcPr>
            <w:tcW w:w="1368" w:type="dxa"/>
            <w:vAlign w:val="top"/>
          </w:tcPr>
          <w:p>
            <w:pPr>
              <w:pStyle w:val="14"/>
              <w:spacing w:before="2"/>
              <w:ind w:left="10"/>
              <w:jc w:val="center"/>
              <w:rPr>
                <w:sz w:val="22"/>
              </w:rPr>
            </w:pPr>
            <w:r>
              <w:rPr>
                <w:w w:val="100"/>
                <w:sz w:val="22"/>
              </w:rPr>
              <w:t>1</w:t>
            </w:r>
          </w:p>
        </w:tc>
        <w:tc>
          <w:tcPr>
            <w:tcW w:w="2120" w:type="dxa"/>
            <w:vAlign w:val="top"/>
          </w:tcPr>
          <w:p>
            <w:pPr>
              <w:pStyle w:val="14"/>
              <w:rPr>
                <w:rFonts w:ascii="Times New Roman"/>
                <w:sz w:val="22"/>
              </w:rPr>
            </w:pPr>
          </w:p>
        </w:tc>
        <w:tc>
          <w:tcPr>
            <w:tcW w:w="1744" w:type="dxa"/>
            <w:vAlign w:val="top"/>
          </w:tcPr>
          <w:p>
            <w:pPr>
              <w:pStyle w:val="14"/>
              <w:rPr>
                <w:rFonts w:ascii="Times New Roman"/>
                <w:sz w:val="22"/>
              </w:rPr>
            </w:pPr>
          </w:p>
        </w:tc>
        <w:tc>
          <w:tcPr>
            <w:tcW w:w="1744" w:type="dxa"/>
            <w:vAlign w:val="top"/>
          </w:tcPr>
          <w:p>
            <w:pPr>
              <w:pStyle w:val="14"/>
              <w:rPr>
                <w:rFonts w:ascii="Times New Roman"/>
                <w:sz w:val="22"/>
              </w:rPr>
            </w:pPr>
          </w:p>
        </w:tc>
        <w:tc>
          <w:tcPr>
            <w:tcW w:w="1744" w:type="dxa"/>
            <w:vAlign w:val="top"/>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1368" w:type="dxa"/>
            <w:vAlign w:val="top"/>
          </w:tcPr>
          <w:p>
            <w:pPr>
              <w:pStyle w:val="14"/>
              <w:spacing w:before="1"/>
              <w:ind w:left="10"/>
              <w:jc w:val="center"/>
              <w:rPr>
                <w:sz w:val="22"/>
              </w:rPr>
            </w:pPr>
            <w:r>
              <w:rPr>
                <w:w w:val="100"/>
                <w:sz w:val="22"/>
              </w:rPr>
              <w:t>2</w:t>
            </w:r>
          </w:p>
        </w:tc>
        <w:tc>
          <w:tcPr>
            <w:tcW w:w="2120" w:type="dxa"/>
            <w:vAlign w:val="top"/>
          </w:tcPr>
          <w:p>
            <w:pPr>
              <w:pStyle w:val="14"/>
              <w:rPr>
                <w:rFonts w:ascii="Times New Roman"/>
                <w:sz w:val="22"/>
              </w:rPr>
            </w:pPr>
          </w:p>
        </w:tc>
        <w:tc>
          <w:tcPr>
            <w:tcW w:w="1744" w:type="dxa"/>
            <w:vAlign w:val="top"/>
          </w:tcPr>
          <w:p>
            <w:pPr>
              <w:pStyle w:val="14"/>
              <w:rPr>
                <w:rFonts w:ascii="Times New Roman"/>
                <w:sz w:val="22"/>
              </w:rPr>
            </w:pPr>
          </w:p>
        </w:tc>
        <w:tc>
          <w:tcPr>
            <w:tcW w:w="1744" w:type="dxa"/>
            <w:vAlign w:val="top"/>
          </w:tcPr>
          <w:p>
            <w:pPr>
              <w:pStyle w:val="14"/>
              <w:rPr>
                <w:rFonts w:ascii="Times New Roman"/>
                <w:sz w:val="22"/>
              </w:rPr>
            </w:pPr>
          </w:p>
        </w:tc>
        <w:tc>
          <w:tcPr>
            <w:tcW w:w="1744" w:type="dxa"/>
            <w:vAlign w:val="top"/>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1368" w:type="dxa"/>
            <w:vAlign w:val="top"/>
          </w:tcPr>
          <w:p>
            <w:pPr>
              <w:pStyle w:val="14"/>
              <w:spacing w:before="2"/>
              <w:ind w:left="444" w:right="434"/>
              <w:jc w:val="center"/>
              <w:rPr>
                <w:sz w:val="22"/>
              </w:rPr>
            </w:pPr>
            <w:r>
              <w:rPr>
                <w:sz w:val="22"/>
              </w:rPr>
              <w:t>……</w:t>
            </w:r>
          </w:p>
        </w:tc>
        <w:tc>
          <w:tcPr>
            <w:tcW w:w="2120" w:type="dxa"/>
            <w:vAlign w:val="top"/>
          </w:tcPr>
          <w:p>
            <w:pPr>
              <w:pStyle w:val="14"/>
              <w:rPr>
                <w:rFonts w:ascii="Times New Roman"/>
                <w:sz w:val="22"/>
              </w:rPr>
            </w:pPr>
          </w:p>
        </w:tc>
        <w:tc>
          <w:tcPr>
            <w:tcW w:w="1744" w:type="dxa"/>
            <w:vAlign w:val="top"/>
          </w:tcPr>
          <w:p>
            <w:pPr>
              <w:pStyle w:val="14"/>
              <w:rPr>
                <w:rFonts w:ascii="Times New Roman"/>
                <w:sz w:val="22"/>
              </w:rPr>
            </w:pPr>
          </w:p>
        </w:tc>
        <w:tc>
          <w:tcPr>
            <w:tcW w:w="1744" w:type="dxa"/>
            <w:vAlign w:val="top"/>
          </w:tcPr>
          <w:p>
            <w:pPr>
              <w:pStyle w:val="14"/>
              <w:rPr>
                <w:rFonts w:ascii="Times New Roman"/>
                <w:sz w:val="22"/>
              </w:rPr>
            </w:pPr>
          </w:p>
        </w:tc>
        <w:tc>
          <w:tcPr>
            <w:tcW w:w="1744" w:type="dxa"/>
            <w:vAlign w:val="top"/>
          </w:tcPr>
          <w:p>
            <w:pPr>
              <w:pStyle w:val="14"/>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1368" w:type="dxa"/>
            <w:vAlign w:val="top"/>
          </w:tcPr>
          <w:p>
            <w:pPr>
              <w:pStyle w:val="14"/>
              <w:rPr>
                <w:rFonts w:ascii="Times New Roman"/>
                <w:sz w:val="22"/>
              </w:rPr>
            </w:pPr>
          </w:p>
        </w:tc>
        <w:tc>
          <w:tcPr>
            <w:tcW w:w="2120" w:type="dxa"/>
            <w:vAlign w:val="top"/>
          </w:tcPr>
          <w:p>
            <w:pPr>
              <w:pStyle w:val="14"/>
              <w:rPr>
                <w:rFonts w:ascii="Times New Roman"/>
                <w:sz w:val="22"/>
              </w:rPr>
            </w:pPr>
          </w:p>
        </w:tc>
        <w:tc>
          <w:tcPr>
            <w:tcW w:w="1744" w:type="dxa"/>
            <w:vAlign w:val="top"/>
          </w:tcPr>
          <w:p>
            <w:pPr>
              <w:pStyle w:val="14"/>
              <w:rPr>
                <w:rFonts w:ascii="Times New Roman"/>
                <w:sz w:val="22"/>
              </w:rPr>
            </w:pPr>
          </w:p>
        </w:tc>
        <w:tc>
          <w:tcPr>
            <w:tcW w:w="1744" w:type="dxa"/>
            <w:vAlign w:val="top"/>
          </w:tcPr>
          <w:p>
            <w:pPr>
              <w:pStyle w:val="14"/>
              <w:rPr>
                <w:rFonts w:ascii="Times New Roman"/>
                <w:sz w:val="22"/>
              </w:rPr>
            </w:pPr>
          </w:p>
        </w:tc>
        <w:tc>
          <w:tcPr>
            <w:tcW w:w="1744" w:type="dxa"/>
            <w:vAlign w:val="top"/>
          </w:tcPr>
          <w:p>
            <w:pPr>
              <w:pStyle w:val="14"/>
              <w:rPr>
                <w:rFonts w:ascii="Times New Roman"/>
                <w:sz w:val="22"/>
              </w:rPr>
            </w:pPr>
          </w:p>
        </w:tc>
      </w:tr>
    </w:tbl>
    <w:p>
      <w:pPr>
        <w:pStyle w:val="13"/>
        <w:numPr>
          <w:ilvl w:val="1"/>
          <w:numId w:val="114"/>
        </w:numPr>
        <w:tabs>
          <w:tab w:val="left" w:pos="1116"/>
        </w:tabs>
        <w:spacing w:before="2" w:after="0" w:line="568" w:lineRule="auto"/>
        <w:ind w:left="731" w:right="2836" w:firstLine="0"/>
        <w:jc w:val="both"/>
        <w:rPr>
          <w:sz w:val="22"/>
        </w:rPr>
      </w:pPr>
      <w:r>
        <w:rPr>
          <w:spacing w:val="-3"/>
          <w:sz w:val="22"/>
        </w:rPr>
        <w:t>本工程施工现场所用砼或砂浆的供应方式为</w:t>
      </w:r>
      <w:r>
        <w:rPr>
          <w:spacing w:val="-2"/>
          <w:sz w:val="22"/>
          <w:u w:val="single"/>
        </w:rPr>
        <w:t xml:space="preserve"> 商品砼和商品砂浆</w:t>
      </w:r>
      <w:r>
        <w:rPr>
          <w:spacing w:val="1"/>
          <w:sz w:val="22"/>
        </w:rPr>
        <w:t xml:space="preserve"> 。</w:t>
      </w:r>
      <w:bookmarkStart w:id="122" w:name="2.特殊技术要求"/>
      <w:bookmarkEnd w:id="122"/>
      <w:r>
        <w:rPr>
          <w:spacing w:val="1"/>
          <w:sz w:val="22"/>
        </w:rPr>
        <w:t>2</w:t>
      </w:r>
      <w:r>
        <w:rPr>
          <w:spacing w:val="-2"/>
          <w:sz w:val="22"/>
        </w:rPr>
        <w:t>.特殊技术要求</w:t>
      </w:r>
    </w:p>
    <w:p>
      <w:pPr>
        <w:pStyle w:val="9"/>
        <w:tabs>
          <w:tab w:val="left" w:pos="7055"/>
        </w:tabs>
        <w:spacing w:line="280" w:lineRule="exact"/>
        <w:ind w:left="731"/>
        <w:jc w:val="both"/>
      </w:pPr>
      <w:r>
        <w:t>2.1</w:t>
      </w:r>
      <w:r>
        <w:rPr>
          <w:spacing w:val="-57"/>
        </w:rPr>
        <w:t xml:space="preserve"> </w:t>
      </w:r>
      <w:r>
        <w:t>除</w:t>
      </w:r>
      <w:r>
        <w:rPr>
          <w:spacing w:val="-3"/>
        </w:rPr>
        <w:t>合</w:t>
      </w:r>
      <w:r>
        <w:t>同约</w:t>
      </w:r>
      <w:r>
        <w:rPr>
          <w:spacing w:val="-3"/>
        </w:rPr>
        <w:t>定</w:t>
      </w:r>
      <w:r>
        <w:t>的技</w:t>
      </w:r>
      <w:r>
        <w:rPr>
          <w:spacing w:val="-3"/>
        </w:rPr>
        <w:t>术</w:t>
      </w:r>
      <w:r>
        <w:t>要求</w:t>
      </w:r>
      <w:r>
        <w:rPr>
          <w:spacing w:val="-3"/>
        </w:rPr>
        <w:t>外</w:t>
      </w:r>
      <w:r>
        <w:t>，本</w:t>
      </w:r>
      <w:r>
        <w:rPr>
          <w:spacing w:val="-3"/>
        </w:rPr>
        <w:t>工</w:t>
      </w:r>
      <w:r>
        <w:t>程的</w:t>
      </w:r>
      <w:r>
        <w:rPr>
          <w:spacing w:val="-3"/>
        </w:rPr>
        <w:t>特</w:t>
      </w:r>
      <w:r>
        <w:t>殊技</w:t>
      </w:r>
      <w:r>
        <w:rPr>
          <w:spacing w:val="-3"/>
        </w:rPr>
        <w:t>术</w:t>
      </w:r>
      <w:r>
        <w:t>要求</w:t>
      </w:r>
      <w:r>
        <w:rPr>
          <w:spacing w:val="-3"/>
        </w:rPr>
        <w:t>如</w:t>
      </w:r>
      <w:r>
        <w:t>下</w:t>
      </w:r>
      <w:r>
        <w:rPr>
          <w:u w:val="single"/>
        </w:rPr>
        <w:t xml:space="preserve"> </w:t>
      </w:r>
      <w:r>
        <w:rPr>
          <w:u w:val="single"/>
        </w:rPr>
        <w:tab/>
      </w:r>
      <w:r>
        <w:rPr>
          <w:u w:val="single"/>
        </w:rPr>
        <w:t>/</w:t>
      </w:r>
      <w:r>
        <w:rPr>
          <w:spacing w:val="1"/>
        </w:rPr>
        <w:t xml:space="preserve"> </w:t>
      </w:r>
      <w:r>
        <w:t>。</w:t>
      </w:r>
    </w:p>
    <w:p>
      <w:pPr>
        <w:spacing w:after="0" w:line="280" w:lineRule="exact"/>
        <w:jc w:val="both"/>
        <w:sectPr>
          <w:pgSz w:w="11910" w:h="16840"/>
          <w:pgMar w:top="1100" w:right="660" w:bottom="1200" w:left="800" w:header="878" w:footer="1003" w:gutter="0"/>
          <w:cols w:space="720" w:num="1"/>
        </w:sectPr>
      </w:pPr>
    </w:p>
    <w:p>
      <w:pPr>
        <w:pStyle w:val="9"/>
        <w:spacing w:before="1"/>
        <w:rPr>
          <w:sz w:val="18"/>
        </w:rPr>
      </w:pPr>
    </w:p>
    <w:p>
      <w:pPr>
        <w:pStyle w:val="13"/>
        <w:numPr>
          <w:ilvl w:val="0"/>
          <w:numId w:val="116"/>
        </w:numPr>
        <w:tabs>
          <w:tab w:val="left" w:pos="1064"/>
        </w:tabs>
        <w:spacing w:before="70" w:after="0" w:line="240" w:lineRule="auto"/>
        <w:ind w:left="1063" w:right="0" w:hanging="333"/>
        <w:jc w:val="left"/>
        <w:rPr>
          <w:sz w:val="22"/>
        </w:rPr>
      </w:pPr>
      <w:r>
        <w:rPr>
          <w:spacing w:val="-3"/>
          <w:sz w:val="22"/>
        </w:rPr>
        <w:t>新技术、新工艺和新材料</w:t>
      </w:r>
    </w:p>
    <w:p>
      <w:pPr>
        <w:pStyle w:val="9"/>
        <w:spacing w:before="1"/>
        <w:rPr>
          <w:sz w:val="30"/>
        </w:rPr>
      </w:pPr>
    </w:p>
    <w:p>
      <w:pPr>
        <w:pStyle w:val="13"/>
        <w:numPr>
          <w:ilvl w:val="1"/>
          <w:numId w:val="116"/>
        </w:numPr>
        <w:tabs>
          <w:tab w:val="left" w:pos="1116"/>
          <w:tab w:val="left" w:pos="8156"/>
          <w:tab w:val="left" w:pos="9034"/>
        </w:tabs>
        <w:spacing w:before="0" w:after="0" w:line="568" w:lineRule="auto"/>
        <w:ind w:left="731" w:right="1187" w:firstLine="0"/>
        <w:jc w:val="left"/>
        <w:rPr>
          <w:b/>
          <w:sz w:val="22"/>
        </w:rPr>
      </w:pPr>
      <w:r>
        <w:rPr>
          <w:sz w:val="22"/>
        </w:rPr>
        <w:t>本</w:t>
      </w:r>
      <w:r>
        <w:rPr>
          <w:spacing w:val="-3"/>
          <w:sz w:val="22"/>
        </w:rPr>
        <w:t>工</w:t>
      </w:r>
      <w:r>
        <w:rPr>
          <w:sz w:val="22"/>
        </w:rPr>
        <w:t>程涉</w:t>
      </w:r>
      <w:r>
        <w:rPr>
          <w:spacing w:val="-3"/>
          <w:sz w:val="22"/>
        </w:rPr>
        <w:t>及</w:t>
      </w:r>
      <w:r>
        <w:rPr>
          <w:sz w:val="22"/>
        </w:rPr>
        <w:t>的新</w:t>
      </w:r>
      <w:r>
        <w:rPr>
          <w:spacing w:val="-3"/>
          <w:sz w:val="22"/>
        </w:rPr>
        <w:t>技</w:t>
      </w:r>
      <w:r>
        <w:rPr>
          <w:sz w:val="22"/>
        </w:rPr>
        <w:t>术、</w:t>
      </w:r>
      <w:r>
        <w:rPr>
          <w:spacing w:val="-3"/>
          <w:sz w:val="22"/>
        </w:rPr>
        <w:t>新</w:t>
      </w:r>
      <w:r>
        <w:rPr>
          <w:sz w:val="22"/>
        </w:rPr>
        <w:t>工艺</w:t>
      </w:r>
      <w:r>
        <w:rPr>
          <w:spacing w:val="-3"/>
          <w:sz w:val="22"/>
        </w:rPr>
        <w:t>和</w:t>
      </w:r>
      <w:r>
        <w:rPr>
          <w:sz w:val="22"/>
        </w:rPr>
        <w:t>新材</w:t>
      </w:r>
      <w:r>
        <w:rPr>
          <w:spacing w:val="-3"/>
          <w:sz w:val="22"/>
        </w:rPr>
        <w:t>料</w:t>
      </w:r>
      <w:r>
        <w:rPr>
          <w:sz w:val="22"/>
        </w:rPr>
        <w:t>及相</w:t>
      </w:r>
      <w:r>
        <w:rPr>
          <w:spacing w:val="-3"/>
          <w:sz w:val="22"/>
        </w:rPr>
        <w:t>应</w:t>
      </w:r>
      <w:r>
        <w:rPr>
          <w:sz w:val="22"/>
        </w:rPr>
        <w:t>使用</w:t>
      </w:r>
      <w:r>
        <w:rPr>
          <w:spacing w:val="-3"/>
          <w:sz w:val="22"/>
        </w:rPr>
        <w:t>和</w:t>
      </w:r>
      <w:r>
        <w:rPr>
          <w:sz w:val="22"/>
        </w:rPr>
        <w:t>操作</w:t>
      </w:r>
      <w:r>
        <w:rPr>
          <w:spacing w:val="-3"/>
          <w:sz w:val="22"/>
        </w:rPr>
        <w:t>说</w:t>
      </w:r>
      <w:r>
        <w:rPr>
          <w:sz w:val="22"/>
        </w:rPr>
        <w:t>明如</w:t>
      </w:r>
      <w:r>
        <w:rPr>
          <w:spacing w:val="-3"/>
          <w:sz w:val="22"/>
        </w:rPr>
        <w:t>下</w:t>
      </w:r>
      <w:r>
        <w:rPr>
          <w:sz w:val="22"/>
        </w:rPr>
        <w:t>：</w:t>
      </w:r>
      <w:r>
        <w:rPr>
          <w:sz w:val="22"/>
          <w:u w:val="single"/>
        </w:rPr>
        <w:t xml:space="preserve"> </w:t>
      </w:r>
      <w:r>
        <w:rPr>
          <w:sz w:val="22"/>
          <w:u w:val="single"/>
        </w:rPr>
        <w:tab/>
      </w:r>
      <w:r>
        <w:rPr>
          <w:sz w:val="22"/>
          <w:u w:val="single"/>
        </w:rPr>
        <w:t>/</w:t>
      </w:r>
      <w:r>
        <w:rPr>
          <w:sz w:val="22"/>
          <w:u w:val="single"/>
        </w:rPr>
        <w:tab/>
      </w:r>
      <w:r>
        <w:rPr>
          <w:spacing w:val="-16"/>
          <w:sz w:val="22"/>
        </w:rPr>
        <w:t>。</w:t>
      </w:r>
      <w:r>
        <w:rPr>
          <w:b/>
          <w:sz w:val="22"/>
        </w:rPr>
        <w:t>4．其他特殊技术标准和要求</w:t>
      </w:r>
    </w:p>
    <w:p>
      <w:pPr>
        <w:pStyle w:val="8"/>
        <w:spacing w:line="280" w:lineRule="exact"/>
        <w:ind w:left="731"/>
      </w:pPr>
      <w:r>
        <w:t>5.主要设备技术标准和要求</w:t>
      </w:r>
    </w:p>
    <w:p>
      <w:pPr>
        <w:pStyle w:val="9"/>
        <w:rPr>
          <w:b/>
        </w:rPr>
      </w:pPr>
    </w:p>
    <w:p>
      <w:pPr>
        <w:pStyle w:val="9"/>
        <w:rPr>
          <w:b/>
        </w:rPr>
      </w:pPr>
    </w:p>
    <w:p>
      <w:pPr>
        <w:pStyle w:val="9"/>
        <w:rPr>
          <w:b/>
        </w:rPr>
      </w:pPr>
    </w:p>
    <w:p>
      <w:pPr>
        <w:pStyle w:val="9"/>
        <w:spacing w:before="3"/>
        <w:rPr>
          <w:b/>
          <w:sz w:val="16"/>
        </w:rPr>
      </w:pPr>
    </w:p>
    <w:p>
      <w:pPr>
        <w:pStyle w:val="6"/>
        <w:tabs>
          <w:tab w:val="left" w:pos="964"/>
        </w:tabs>
        <w:ind w:left="0" w:right="142"/>
      </w:pPr>
      <w:bookmarkStart w:id="123" w:name="第三节  适用的国家、行业以及地方规范、标准和规程"/>
      <w:bookmarkEnd w:id="123"/>
      <w:r>
        <w:t>第三节</w:t>
      </w:r>
      <w:r>
        <w:tab/>
      </w:r>
      <w:r>
        <w:t>适用的国家、行业以及地方规范、标准和规程</w:t>
      </w:r>
    </w:p>
    <w:p>
      <w:pPr>
        <w:pStyle w:val="9"/>
        <w:rPr>
          <w:b/>
          <w:sz w:val="24"/>
        </w:rPr>
      </w:pPr>
    </w:p>
    <w:p>
      <w:pPr>
        <w:pStyle w:val="9"/>
        <w:spacing w:before="12"/>
        <w:rPr>
          <w:b/>
          <w:sz w:val="21"/>
        </w:rPr>
      </w:pPr>
    </w:p>
    <w:p>
      <w:pPr>
        <w:pStyle w:val="9"/>
        <w:ind w:left="1170"/>
      </w:pPr>
      <w:r>
        <w:t>按国家、上海市颁布的现行有关建设工程建设标准、规范、规程、图集执行。</w:t>
      </w:r>
    </w:p>
    <w:p>
      <w:pPr>
        <w:spacing w:before="146"/>
        <w:ind w:left="1045" w:right="0" w:firstLine="0"/>
        <w:jc w:val="left"/>
        <w:rPr>
          <w:sz w:val="21"/>
        </w:rPr>
      </w:pPr>
      <w:r>
        <w:rPr>
          <w:sz w:val="21"/>
        </w:rPr>
        <w:t xml:space="preserve">附件 </w:t>
      </w:r>
      <w:r>
        <w:rPr>
          <w:rFonts w:ascii="Calibri" w:eastAsia="Calibri"/>
          <w:sz w:val="21"/>
        </w:rPr>
        <w:t>A</w:t>
      </w:r>
      <w:r>
        <w:rPr>
          <w:sz w:val="21"/>
        </w:rPr>
        <w:t>：施工现场现状平面图</w:t>
      </w:r>
    </w:p>
    <w:p>
      <w:pPr>
        <w:spacing w:before="5" w:line="242" w:lineRule="auto"/>
        <w:ind w:left="731" w:right="892" w:firstLine="314"/>
        <w:jc w:val="left"/>
        <w:rPr>
          <w:sz w:val="21"/>
        </w:rPr>
      </w:pPr>
      <w:r>
        <w:rPr>
          <w:spacing w:val="-10"/>
          <w:w w:val="95"/>
          <w:sz w:val="21"/>
        </w:rPr>
        <w:t xml:space="preserve">说明：该图由招标人准备，并作为招标文件的组成内容提供给投标人。图中应当标示本章第一   </w:t>
      </w:r>
      <w:r>
        <w:rPr>
          <w:spacing w:val="-24"/>
          <w:sz w:val="21"/>
        </w:rPr>
        <w:t xml:space="preserve">节第 </w:t>
      </w:r>
      <w:r>
        <w:rPr>
          <w:rFonts w:ascii="Calibri" w:eastAsia="Calibri"/>
          <w:sz w:val="21"/>
        </w:rPr>
        <w:t xml:space="preserve">1.2.1 </w:t>
      </w:r>
      <w:r>
        <w:rPr>
          <w:sz w:val="21"/>
        </w:rPr>
        <w:t>项规定的内容，并作必要的文字说明。</w:t>
      </w:r>
    </w:p>
    <w:p>
      <w:pPr>
        <w:spacing w:after="0" w:line="242" w:lineRule="auto"/>
        <w:jc w:val="left"/>
        <w:rPr>
          <w:sz w:val="21"/>
        </w:rPr>
        <w:sectPr>
          <w:pgSz w:w="11910" w:h="16840"/>
          <w:pgMar w:top="1100" w:right="660" w:bottom="1200" w:left="800" w:header="878" w:footer="1003" w:gutter="0"/>
          <w:cols w:space="720" w:num="1"/>
        </w:sectPr>
      </w:pPr>
    </w:p>
    <w:p>
      <w:pPr>
        <w:pStyle w:val="9"/>
        <w:rPr>
          <w:sz w:val="20"/>
        </w:rPr>
      </w:pPr>
    </w:p>
    <w:p>
      <w:pPr>
        <w:pStyle w:val="9"/>
        <w:rPr>
          <w:sz w:val="20"/>
        </w:rPr>
      </w:pPr>
    </w:p>
    <w:p>
      <w:pPr>
        <w:pStyle w:val="9"/>
        <w:spacing w:before="2"/>
      </w:pPr>
    </w:p>
    <w:p>
      <w:pPr>
        <w:pStyle w:val="2"/>
        <w:tabs>
          <w:tab w:val="left" w:pos="1444"/>
        </w:tabs>
      </w:pPr>
      <w:bookmarkStart w:id="124" w:name="第八章  投标文件格式"/>
      <w:bookmarkEnd w:id="124"/>
      <w:bookmarkStart w:id="125" w:name="目    录"/>
      <w:bookmarkEnd w:id="125"/>
      <w:bookmarkStart w:id="126" w:name="_bookmark18"/>
      <w:bookmarkEnd w:id="126"/>
      <w:r>
        <w:t>第八章</w:t>
      </w:r>
      <w:r>
        <w:tab/>
      </w:r>
      <w:r>
        <w:t>投标文件格式</w:t>
      </w:r>
    </w:p>
    <w:p>
      <w:pPr>
        <w:pStyle w:val="9"/>
        <w:rPr>
          <w:b/>
          <w:sz w:val="36"/>
        </w:rPr>
      </w:pPr>
    </w:p>
    <w:p>
      <w:pPr>
        <w:pStyle w:val="9"/>
        <w:spacing w:before="5"/>
        <w:rPr>
          <w:b/>
          <w:sz w:val="32"/>
        </w:rPr>
      </w:pPr>
    </w:p>
    <w:p>
      <w:pPr>
        <w:pStyle w:val="9"/>
        <w:tabs>
          <w:tab w:val="left" w:pos="8275"/>
          <w:tab w:val="left" w:pos="8374"/>
        </w:tabs>
        <w:spacing w:line="364" w:lineRule="auto"/>
        <w:ind w:left="6020" w:right="2070" w:firstLine="100"/>
        <w:rPr>
          <w:rFonts w:ascii="Times New Roman" w:eastAsia="Times New Roman"/>
        </w:rPr>
      </w:pPr>
      <w:r>
        <w:rPr>
          <w:spacing w:val="-1"/>
        </w:rPr>
        <w:t>报</w:t>
      </w:r>
      <w:r>
        <w:rPr>
          <w:spacing w:val="-3"/>
        </w:rPr>
        <w:t>建</w:t>
      </w:r>
      <w:r>
        <w:rPr>
          <w:spacing w:val="-1"/>
        </w:rPr>
        <w:t>编号</w:t>
      </w:r>
      <w:r>
        <w:rPr>
          <w:spacing w:val="-4"/>
        </w:rPr>
        <w:t>：</w:t>
      </w:r>
      <w:r>
        <w:rPr>
          <w:spacing w:val="-4"/>
          <w:u w:val="single"/>
        </w:rPr>
        <w:tab/>
      </w:r>
      <w:r>
        <w:rPr>
          <w:spacing w:val="-4"/>
          <w:u w:val="single"/>
        </w:rPr>
        <w:tab/>
      </w:r>
      <w:r>
        <w:rPr>
          <w:u w:val="single"/>
        </w:rPr>
        <w:t xml:space="preserve">         </w:t>
      </w:r>
      <w:r>
        <w:t>标</w:t>
      </w:r>
      <w:r>
        <w:rPr>
          <w:spacing w:val="1"/>
        </w:rPr>
        <w:t xml:space="preserve"> </w:t>
      </w:r>
      <w:r>
        <w:t>段</w:t>
      </w:r>
      <w:r>
        <w:rPr>
          <w:spacing w:val="-1"/>
        </w:rPr>
        <w:t xml:space="preserve"> </w:t>
      </w:r>
      <w:r>
        <w:t>号</w:t>
      </w:r>
      <w:r>
        <w:rPr>
          <w:spacing w:val="-3"/>
        </w:rPr>
        <w:t>：</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5"/>
        </w:rPr>
      </w:pPr>
    </w:p>
    <w:p>
      <w:pPr>
        <w:pStyle w:val="9"/>
        <w:tabs>
          <w:tab w:val="left" w:pos="1703"/>
        </w:tabs>
        <w:spacing w:before="77"/>
        <w:ind w:right="162"/>
        <w:jc w:val="center"/>
      </w:pPr>
      <w:r>
        <w:rPr>
          <w:rFonts w:ascii="Times New Roman" w:eastAsia="Times New Roman"/>
          <w:w w:val="100"/>
          <w:u w:val="single"/>
        </w:rPr>
        <w:t xml:space="preserve"> </w:t>
      </w:r>
      <w:r>
        <w:rPr>
          <w:rFonts w:ascii="Times New Roman" w:eastAsia="Times New Roman"/>
          <w:u w:val="single"/>
        </w:rPr>
        <w:tab/>
      </w:r>
      <w:r>
        <w:rPr>
          <w:rFonts w:ascii="Times New Roman" w:eastAsia="Times New Roman"/>
        </w:rPr>
        <w:t xml:space="preserve"> </w:t>
      </w:r>
      <w:r>
        <w:rPr>
          <w:spacing w:val="-3"/>
        </w:rPr>
        <w:t>项目施工招标</w:t>
      </w:r>
    </w:p>
    <w:p>
      <w:pPr>
        <w:pStyle w:val="9"/>
        <w:rPr>
          <w:sz w:val="24"/>
        </w:rPr>
      </w:pPr>
    </w:p>
    <w:p>
      <w:pPr>
        <w:pStyle w:val="9"/>
        <w:rPr>
          <w:sz w:val="24"/>
        </w:rPr>
      </w:pPr>
    </w:p>
    <w:p>
      <w:pPr>
        <w:pStyle w:val="9"/>
        <w:spacing w:before="2"/>
        <w:rPr>
          <w:sz w:val="30"/>
        </w:rPr>
      </w:pPr>
    </w:p>
    <w:p>
      <w:pPr>
        <w:pStyle w:val="9"/>
        <w:ind w:left="567" w:right="727"/>
        <w:jc w:val="center"/>
      </w:pPr>
      <w:r>
        <w:rPr>
          <w:w w:val="120"/>
        </w:rPr>
        <w:t>投 标 文 件</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spacing w:before="11"/>
        <w:rPr>
          <w:sz w:val="26"/>
        </w:rPr>
      </w:pPr>
    </w:p>
    <w:p>
      <w:pPr>
        <w:pStyle w:val="9"/>
        <w:tabs>
          <w:tab w:val="left" w:pos="6625"/>
        </w:tabs>
        <w:spacing w:line="364" w:lineRule="auto"/>
        <w:ind w:left="2336" w:right="2277"/>
      </w:pPr>
      <w:r>
        <w:t>投</w:t>
      </w:r>
      <w:r>
        <w:rPr>
          <w:spacing w:val="-3"/>
        </w:rPr>
        <w:t>标</w:t>
      </w:r>
      <w:r>
        <w:t>人</w:t>
      </w:r>
      <w:r>
        <w:rPr>
          <w:spacing w:val="-3"/>
        </w:rPr>
        <w:t>：</w:t>
      </w:r>
      <w:r>
        <w:rPr>
          <w:spacing w:val="-3"/>
          <w:u w:val="single"/>
        </w:rPr>
        <w:t xml:space="preserve"> </w:t>
      </w:r>
      <w:r>
        <w:rPr>
          <w:spacing w:val="-3"/>
          <w:u w:val="single"/>
        </w:rPr>
        <w:tab/>
      </w:r>
      <w:r>
        <w:t>（</w:t>
      </w:r>
      <w:r>
        <w:rPr>
          <w:spacing w:val="-3"/>
        </w:rPr>
        <w:t>单</w:t>
      </w:r>
      <w:r>
        <w:t>位公</w:t>
      </w:r>
      <w:r>
        <w:rPr>
          <w:spacing w:val="-3"/>
        </w:rPr>
        <w:t>章</w:t>
      </w:r>
      <w:r>
        <w:t>） 法</w:t>
      </w:r>
      <w:r>
        <w:rPr>
          <w:spacing w:val="-3"/>
        </w:rPr>
        <w:t>定</w:t>
      </w:r>
      <w:r>
        <w:t>代表</w:t>
      </w:r>
      <w:r>
        <w:rPr>
          <w:spacing w:val="-3"/>
        </w:rPr>
        <w:t>人</w:t>
      </w:r>
      <w:r>
        <w:t>或其</w:t>
      </w:r>
      <w:r>
        <w:rPr>
          <w:spacing w:val="-3"/>
        </w:rPr>
        <w:t>委</w:t>
      </w:r>
      <w:r>
        <w:t>托代</w:t>
      </w:r>
      <w:r>
        <w:rPr>
          <w:spacing w:val="-3"/>
        </w:rPr>
        <w:t>理</w:t>
      </w:r>
      <w:r>
        <w:t>人</w:t>
      </w:r>
      <w:r>
        <w:rPr>
          <w:spacing w:val="-3"/>
        </w:rPr>
        <w:t>：</w:t>
      </w:r>
      <w:r>
        <w:rPr>
          <w:spacing w:val="-3"/>
          <w:u w:val="single"/>
        </w:rPr>
        <w:t xml:space="preserve"> </w:t>
      </w:r>
      <w:r>
        <w:rPr>
          <w:spacing w:val="-3"/>
          <w:u w:val="single"/>
        </w:rPr>
        <w:tab/>
      </w:r>
      <w:r>
        <w:t>（</w:t>
      </w:r>
      <w:r>
        <w:rPr>
          <w:spacing w:val="-3"/>
        </w:rPr>
        <w:t>签</w:t>
      </w:r>
      <w:r>
        <w:t>字或</w:t>
      </w:r>
      <w:r>
        <w:rPr>
          <w:spacing w:val="-3"/>
        </w:rPr>
        <w:t>盖</w:t>
      </w:r>
      <w:r>
        <w:t>章</w:t>
      </w:r>
      <w:r>
        <w:rPr>
          <w:spacing w:val="-13"/>
        </w:rPr>
        <w:t>）</w:t>
      </w:r>
    </w:p>
    <w:p>
      <w:pPr>
        <w:pStyle w:val="9"/>
        <w:tabs>
          <w:tab w:val="left" w:pos="991"/>
          <w:tab w:val="left" w:pos="2201"/>
          <w:tab w:val="left" w:pos="3410"/>
        </w:tabs>
        <w:ind w:right="163"/>
        <w:jc w:val="center"/>
      </w:pPr>
      <w:r>
        <w:rPr>
          <w:rFonts w:ascii="Times New Roman" w:eastAsia="Times New Roman"/>
          <w:w w:val="100"/>
          <w:u w:val="single"/>
        </w:rPr>
        <w:t xml:space="preserve"> </w:t>
      </w:r>
      <w:r>
        <w:rPr>
          <w:rFonts w:ascii="Times New Roman" w:eastAsia="Times New Roman"/>
          <w:u w:val="single"/>
        </w:rPr>
        <w:tab/>
      </w:r>
      <w:r>
        <w:rPr>
          <w:spacing w:val="-3"/>
        </w:rPr>
        <w:t>年</w:t>
      </w:r>
      <w:r>
        <w:rPr>
          <w:spacing w:val="-3"/>
          <w:u w:val="single"/>
        </w:rPr>
        <w:t xml:space="preserve"> </w:t>
      </w:r>
      <w:r>
        <w:rPr>
          <w:spacing w:val="-3"/>
          <w:u w:val="single"/>
        </w:rPr>
        <w:tab/>
      </w:r>
      <w:r>
        <w:rPr>
          <w:spacing w:val="-4"/>
        </w:rPr>
        <w:t>月</w:t>
      </w:r>
      <w:r>
        <w:rPr>
          <w:spacing w:val="-4"/>
          <w:u w:val="single"/>
        </w:rPr>
        <w:t xml:space="preserve"> </w:t>
      </w:r>
      <w:r>
        <w:rPr>
          <w:spacing w:val="-4"/>
          <w:u w:val="single"/>
        </w:rPr>
        <w:tab/>
      </w:r>
      <w:r>
        <w:t>日</w:t>
      </w:r>
    </w:p>
    <w:p>
      <w:pPr>
        <w:spacing w:after="0"/>
        <w:jc w:val="center"/>
        <w:sectPr>
          <w:pgSz w:w="11910" w:h="16840"/>
          <w:pgMar w:top="1100" w:right="660" w:bottom="1200" w:left="800" w:header="878" w:footer="1003" w:gutter="0"/>
          <w:cols w:space="720" w:num="1"/>
        </w:sectPr>
      </w:pPr>
    </w:p>
    <w:p>
      <w:pPr>
        <w:pStyle w:val="9"/>
        <w:spacing w:before="1"/>
        <w:rPr>
          <w:sz w:val="18"/>
        </w:rPr>
      </w:pPr>
    </w:p>
    <w:p>
      <w:pPr>
        <w:pStyle w:val="8"/>
        <w:tabs>
          <w:tab w:val="left" w:pos="662"/>
        </w:tabs>
        <w:spacing w:before="70"/>
        <w:ind w:left="0" w:right="159"/>
        <w:jc w:val="center"/>
      </w:pPr>
      <w:r>
        <w:t>目</w:t>
      </w:r>
      <w:r>
        <w:tab/>
      </w:r>
      <w:r>
        <w:t>录</w:t>
      </w:r>
    </w:p>
    <w:p>
      <w:pPr>
        <w:pStyle w:val="9"/>
        <w:rPr>
          <w:b/>
        </w:rPr>
      </w:pPr>
    </w:p>
    <w:p>
      <w:pPr>
        <w:pStyle w:val="9"/>
        <w:rPr>
          <w:b/>
        </w:rPr>
      </w:pPr>
    </w:p>
    <w:p>
      <w:pPr>
        <w:pStyle w:val="9"/>
        <w:rPr>
          <w:b/>
        </w:rPr>
      </w:pPr>
    </w:p>
    <w:p>
      <w:pPr>
        <w:pStyle w:val="9"/>
        <w:spacing w:before="2"/>
        <w:rPr>
          <w:b/>
          <w:sz w:val="16"/>
        </w:rPr>
      </w:pPr>
    </w:p>
    <w:p>
      <w:pPr>
        <w:spacing w:before="0"/>
        <w:ind w:left="731" w:right="0" w:firstLine="0"/>
        <w:jc w:val="left"/>
        <w:rPr>
          <w:sz w:val="21"/>
        </w:rPr>
      </w:pPr>
      <w:r>
        <w:rPr>
          <w:sz w:val="21"/>
        </w:rPr>
        <w:t>一、投标公函（包括但不仅限于以下内容）</w:t>
      </w:r>
    </w:p>
    <w:p>
      <w:pPr>
        <w:pStyle w:val="9"/>
        <w:spacing w:before="7"/>
        <w:rPr>
          <w:sz w:val="29"/>
        </w:rPr>
      </w:pPr>
    </w:p>
    <w:p>
      <w:pPr>
        <w:spacing w:before="1" w:line="364" w:lineRule="auto"/>
        <w:ind w:left="731" w:right="892" w:firstLine="372"/>
        <w:jc w:val="left"/>
        <w:rPr>
          <w:sz w:val="21"/>
        </w:rPr>
      </w:pPr>
      <w:r>
        <w:rPr>
          <w:sz w:val="21"/>
        </w:rPr>
        <w:t>（一）投标承诺书、投标函、投标函附录 A（上海市建设工程施工投标标书情况汇总表）、投标函附录 B；</w:t>
      </w:r>
    </w:p>
    <w:p>
      <w:pPr>
        <w:spacing w:before="0" w:line="267" w:lineRule="exact"/>
        <w:ind w:left="1103" w:right="0" w:firstLine="0"/>
        <w:jc w:val="left"/>
        <w:rPr>
          <w:sz w:val="21"/>
        </w:rPr>
      </w:pPr>
      <w:r>
        <w:rPr>
          <w:sz w:val="21"/>
        </w:rPr>
        <w:t>（二）法定代表人证明、法定代表人授权委托书、附委托代理人的身份证明；</w:t>
      </w:r>
    </w:p>
    <w:p>
      <w:pPr>
        <w:pStyle w:val="8"/>
        <w:spacing w:before="140"/>
        <w:ind w:left="628" w:right="727"/>
        <w:jc w:val="center"/>
      </w:pPr>
      <w:r>
        <w:rPr>
          <w:b w:val="0"/>
          <w:sz w:val="21"/>
        </w:rPr>
        <w:t>（三）</w:t>
      </w:r>
      <w:r>
        <w:t>招标代理盖章的《投标保证金收据》复印件或投标人递交保证金凭证复印件；</w:t>
      </w:r>
    </w:p>
    <w:p>
      <w:pPr>
        <w:pStyle w:val="9"/>
        <w:spacing w:line="364" w:lineRule="auto"/>
        <w:ind w:left="731" w:right="892" w:firstLine="372"/>
        <w:jc w:val="both"/>
      </w:pPr>
      <w:r>
        <w:rPr>
          <w:sz w:val="21"/>
        </w:rPr>
        <w:t>（</w:t>
      </w:r>
      <w:r>
        <w:rPr>
          <w:rFonts w:hint="eastAsia"/>
          <w:sz w:val="21"/>
        </w:rPr>
        <w:t>四</w:t>
      </w:r>
      <w:r>
        <w:rPr>
          <w:sz w:val="21"/>
        </w:rPr>
        <w:t>）</w:t>
      </w:r>
      <w:r>
        <w:t>投标人“投标单位”、“单位法定代表人”及“本项目负责人”近三年（</w:t>
      </w:r>
      <w:r>
        <w:rPr>
          <w:spacing w:val="-14"/>
        </w:rPr>
        <w:t xml:space="preserve">从 </w:t>
      </w:r>
      <w:r>
        <w:t xml:space="preserve">2018 </w:t>
      </w:r>
      <w:r>
        <w:rPr>
          <w:spacing w:val="5"/>
        </w:rPr>
        <w:t xml:space="preserve">年 </w:t>
      </w:r>
      <w:r>
        <w:t>6</w:t>
      </w:r>
      <w:r>
        <w:rPr>
          <w:spacing w:val="7"/>
        </w:rPr>
        <w:t xml:space="preserve"> 月 </w:t>
      </w:r>
      <w:r>
        <w:t>1</w:t>
      </w:r>
      <w:r>
        <w:rPr>
          <w:spacing w:val="-25"/>
        </w:rPr>
        <w:t xml:space="preserve"> 日 至 本 项 目 在 投 标 期 间 </w:t>
      </w:r>
      <w:r>
        <w:t>）</w:t>
      </w:r>
      <w:r>
        <w:rPr>
          <w:spacing w:val="-29"/>
        </w:rPr>
        <w:t xml:space="preserve"> 无 行 贿 犯 罪 记 录 ， 以 中 国 裁 判 文 书 网</w:t>
      </w:r>
    </w:p>
    <w:p>
      <w:pPr>
        <w:pStyle w:val="9"/>
        <w:ind w:left="731"/>
      </w:pPr>
      <w:r>
        <w:t>（</w:t>
      </w:r>
      <w:r>
        <w:fldChar w:fldCharType="begin"/>
      </w:r>
      <w:r>
        <w:instrText xml:space="preserve"> HYPERLINK "http://wenshu.court.gov.cn/" \h </w:instrText>
      </w:r>
      <w:r>
        <w:fldChar w:fldCharType="separate"/>
      </w:r>
      <w:r>
        <w:t>http://wenshu.court.gov.cn/</w:t>
      </w:r>
      <w:r>
        <w:fldChar w:fldCharType="end"/>
      </w:r>
      <w:r>
        <w:t>）查询结果为准</w:t>
      </w:r>
    </w:p>
    <w:p>
      <w:pPr>
        <w:pStyle w:val="9"/>
        <w:spacing w:before="144" w:line="364" w:lineRule="auto"/>
        <w:ind w:left="731" w:right="777" w:firstLine="372"/>
      </w:pPr>
      <w:r>
        <w:rPr>
          <w:sz w:val="21"/>
        </w:rPr>
        <w:t>（</w:t>
      </w:r>
      <w:r>
        <w:rPr>
          <w:rFonts w:hint="eastAsia"/>
          <w:sz w:val="21"/>
        </w:rPr>
        <w:t>五</w:t>
      </w:r>
      <w:r>
        <w:rPr>
          <w:spacing w:val="-20"/>
          <w:sz w:val="21"/>
        </w:rPr>
        <w:t>）</w:t>
      </w:r>
      <w:r>
        <w:rPr>
          <w:spacing w:val="-8"/>
        </w:rPr>
        <w:t>投标人未被列入“信用中国”网站</w:t>
      </w:r>
      <w:r>
        <w:t>(www.creditchina.gov.cn</w:t>
      </w:r>
      <w:r>
        <w:rPr>
          <w:spacing w:val="-8"/>
        </w:rPr>
        <w:t>) “失信被执行人”、</w:t>
      </w:r>
      <w:r>
        <w:rPr>
          <w:spacing w:val="-7"/>
        </w:rPr>
        <w:t>“重大税收违法案件当事人”、“政府采购严重违法失信行为”等不良记录，以上述网站查</w:t>
      </w:r>
      <w:r>
        <w:rPr>
          <w:spacing w:val="-3"/>
        </w:rPr>
        <w:t>询结果为准；</w:t>
      </w:r>
    </w:p>
    <w:p>
      <w:pPr>
        <w:pStyle w:val="9"/>
        <w:spacing w:line="364" w:lineRule="auto"/>
        <w:ind w:left="731" w:right="892" w:firstLine="372"/>
      </w:pPr>
      <w:r>
        <w:rPr>
          <w:spacing w:val="-1"/>
          <w:sz w:val="21"/>
        </w:rPr>
        <w:t>（</w:t>
      </w:r>
      <w:r>
        <w:rPr>
          <w:rFonts w:hint="eastAsia"/>
          <w:spacing w:val="-1"/>
          <w:sz w:val="21"/>
        </w:rPr>
        <w:t>六</w:t>
      </w:r>
      <w:r>
        <w:rPr>
          <w:spacing w:val="-101"/>
          <w:sz w:val="21"/>
        </w:rPr>
        <w:t>）</w:t>
      </w:r>
      <w:r>
        <w:rPr>
          <w:spacing w:val="-3"/>
        </w:rPr>
        <w:t>投标人须知前附表规定的构成投标文件投标公函的其他材料和投标人认为需要补充的其他内容。</w:t>
      </w:r>
    </w:p>
    <w:p>
      <w:pPr>
        <w:pStyle w:val="9"/>
        <w:spacing w:before="5"/>
        <w:rPr>
          <w:sz w:val="18"/>
        </w:rPr>
      </w:pPr>
    </w:p>
    <w:p>
      <w:pPr>
        <w:spacing w:before="1"/>
        <w:ind w:left="731" w:right="0" w:firstLine="0"/>
        <w:jc w:val="left"/>
        <w:rPr>
          <w:sz w:val="21"/>
        </w:rPr>
      </w:pPr>
      <w:r>
        <w:rPr>
          <w:sz w:val="21"/>
        </w:rPr>
        <w:t>二、商务标</w:t>
      </w:r>
    </w:p>
    <w:p>
      <w:pPr>
        <w:pStyle w:val="9"/>
        <w:spacing w:before="9"/>
        <w:rPr>
          <w:sz w:val="29"/>
        </w:rPr>
      </w:pPr>
    </w:p>
    <w:p>
      <w:pPr>
        <w:spacing w:before="0"/>
        <w:ind w:left="1103" w:right="0" w:firstLine="0"/>
        <w:jc w:val="left"/>
        <w:rPr>
          <w:sz w:val="21"/>
        </w:rPr>
      </w:pPr>
      <w:r>
        <w:rPr>
          <w:sz w:val="21"/>
        </w:rPr>
        <w:t>（一）已标价工程量清单；</w:t>
      </w:r>
    </w:p>
    <w:p>
      <w:pPr>
        <w:spacing w:before="139" w:line="578" w:lineRule="auto"/>
        <w:ind w:left="731" w:right="1356" w:firstLine="372"/>
        <w:jc w:val="left"/>
        <w:rPr>
          <w:sz w:val="21"/>
        </w:rPr>
      </w:pPr>
      <w:r>
        <w:rPr>
          <w:sz w:val="21"/>
        </w:rPr>
        <w:t>（二）书面工程量清单组价文件（1 份：可装订在商务标正本中，也可以另行成册）。三、技术标（包括但不仅限于以下内容）</w:t>
      </w:r>
    </w:p>
    <w:p>
      <w:pPr>
        <w:spacing w:before="0" w:line="268" w:lineRule="exact"/>
        <w:ind w:left="1103" w:right="0" w:firstLine="0"/>
        <w:jc w:val="left"/>
        <w:rPr>
          <w:sz w:val="21"/>
        </w:rPr>
      </w:pPr>
      <w:r>
        <w:rPr>
          <w:sz w:val="21"/>
        </w:rPr>
        <w:t>（一）施工组织设计；</w:t>
      </w:r>
    </w:p>
    <w:p>
      <w:pPr>
        <w:spacing w:before="142"/>
        <w:ind w:left="1103" w:right="0" w:firstLine="0"/>
        <w:jc w:val="left"/>
        <w:rPr>
          <w:sz w:val="21"/>
        </w:rPr>
      </w:pPr>
      <w:r>
        <w:rPr>
          <w:sz w:val="21"/>
        </w:rPr>
        <w:t>（二）项目管理机构人员情况表；</w:t>
      </w:r>
    </w:p>
    <w:p>
      <w:pPr>
        <w:spacing w:before="139"/>
        <w:ind w:left="1103" w:right="0" w:firstLine="0"/>
        <w:jc w:val="left"/>
        <w:rPr>
          <w:sz w:val="21"/>
        </w:rPr>
      </w:pPr>
      <w:r>
        <w:rPr>
          <w:sz w:val="21"/>
        </w:rPr>
        <w:t>（三）投标人基本资料；</w:t>
      </w:r>
    </w:p>
    <w:p>
      <w:pPr>
        <w:spacing w:before="139" w:line="364" w:lineRule="auto"/>
        <w:ind w:left="731" w:right="895" w:firstLine="314"/>
        <w:jc w:val="left"/>
        <w:rPr>
          <w:sz w:val="21"/>
        </w:rPr>
      </w:pPr>
      <w:r>
        <w:rPr>
          <w:sz w:val="21"/>
        </w:rPr>
        <w:t>（四） 投标人须知前附表规定的构成投标文件技术标的其他材料和投标人认为需要补充的其他内容。</w:t>
      </w:r>
    </w:p>
    <w:p>
      <w:pPr>
        <w:spacing w:after="0" w:line="364" w:lineRule="auto"/>
        <w:jc w:val="left"/>
        <w:rPr>
          <w:sz w:val="21"/>
        </w:rPr>
        <w:sectPr>
          <w:pgSz w:w="11910" w:h="16840"/>
          <w:pgMar w:top="1100" w:right="660" w:bottom="1200" w:left="800" w:header="878" w:footer="1003" w:gutter="0"/>
          <w:cols w:space="720" w:num="1"/>
        </w:sectPr>
      </w:pPr>
    </w:p>
    <w:p>
      <w:pPr>
        <w:pStyle w:val="9"/>
        <w:spacing w:before="9"/>
        <w:rPr>
          <w:sz w:val="18"/>
        </w:rPr>
      </w:pPr>
    </w:p>
    <w:p>
      <w:pPr>
        <w:pStyle w:val="4"/>
        <w:ind w:left="731"/>
      </w:pPr>
      <w:r>
        <w:t>一、商务标</w:t>
      </w:r>
    </w:p>
    <w:p>
      <w:pPr>
        <w:pStyle w:val="9"/>
        <w:spacing w:before="186"/>
        <w:ind w:left="731"/>
      </w:pPr>
      <w:bookmarkStart w:id="127" w:name="（一）投标承诺书、投标函及其附录A、附录B"/>
      <w:bookmarkEnd w:id="127"/>
      <w:r>
        <w:t>（一）投标承诺书、投标函及其附录A、附录 B</w:t>
      </w:r>
    </w:p>
    <w:p>
      <w:pPr>
        <w:pStyle w:val="9"/>
        <w:spacing w:before="8"/>
        <w:rPr>
          <w:sz w:val="24"/>
        </w:rPr>
      </w:pPr>
    </w:p>
    <w:p>
      <w:pPr>
        <w:spacing w:after="0"/>
        <w:rPr>
          <w:sz w:val="24"/>
        </w:rPr>
        <w:sectPr>
          <w:pgSz w:w="11910" w:h="16840"/>
          <w:pgMar w:top="1100" w:right="660" w:bottom="1200" w:left="800" w:header="878" w:footer="1003" w:gutter="0"/>
          <w:cols w:space="720" w:num="1"/>
        </w:sectPr>
      </w:pPr>
    </w:p>
    <w:p>
      <w:pPr>
        <w:pStyle w:val="9"/>
      </w:pPr>
    </w:p>
    <w:p>
      <w:pPr>
        <w:pStyle w:val="9"/>
      </w:pPr>
    </w:p>
    <w:p>
      <w:pPr>
        <w:pStyle w:val="9"/>
        <w:spacing w:before="4"/>
        <w:rPr>
          <w:sz w:val="28"/>
        </w:rPr>
      </w:pPr>
    </w:p>
    <w:p>
      <w:pPr>
        <w:pStyle w:val="9"/>
        <w:ind w:left="731"/>
      </w:pPr>
      <w:r>
        <w:t>本公司承诺：</w:t>
      </w:r>
    </w:p>
    <w:p>
      <w:pPr>
        <w:pStyle w:val="9"/>
        <w:spacing w:before="70"/>
        <w:ind w:left="714" w:right="3633"/>
        <w:jc w:val="center"/>
      </w:pPr>
      <w:r>
        <w:br w:type="column"/>
      </w:r>
      <w:bookmarkStart w:id="128" w:name="投 标 承 诺 书（2013版）"/>
      <w:bookmarkEnd w:id="128"/>
      <w:r>
        <w:t>投 标 承 诺 书（2013 版）</w:t>
      </w:r>
    </w:p>
    <w:p>
      <w:pPr>
        <w:pStyle w:val="9"/>
        <w:spacing w:before="145"/>
        <w:ind w:left="714" w:right="3635"/>
        <w:jc w:val="center"/>
      </w:pPr>
      <w:r>
        <w:t>（本承诺书装订于投标文件首页）</w:t>
      </w:r>
    </w:p>
    <w:p>
      <w:pPr>
        <w:spacing w:after="0"/>
        <w:jc w:val="center"/>
        <w:sectPr>
          <w:type w:val="continuous"/>
          <w:pgSz w:w="11910" w:h="16840"/>
          <w:pgMar w:top="1140" w:right="660" w:bottom="280" w:left="800" w:header="720" w:footer="720" w:gutter="0"/>
          <w:cols w:equalWidth="0" w:num="2">
            <w:col w:w="2092" w:space="668"/>
            <w:col w:w="7690"/>
          </w:cols>
        </w:sectPr>
      </w:pPr>
    </w:p>
    <w:p>
      <w:pPr>
        <w:pStyle w:val="9"/>
        <w:tabs>
          <w:tab w:val="left" w:pos="8341"/>
        </w:tabs>
        <w:spacing w:before="145" w:line="364" w:lineRule="auto"/>
        <w:ind w:left="1170" w:right="782"/>
      </w:pPr>
      <w:r>
        <w:t>遵</w:t>
      </w:r>
      <w:r>
        <w:rPr>
          <w:spacing w:val="-3"/>
        </w:rPr>
        <w:t>循</w:t>
      </w:r>
      <w:r>
        <w:t>公开</w:t>
      </w:r>
      <w:r>
        <w:rPr>
          <w:spacing w:val="-32"/>
        </w:rPr>
        <w:t>、</w:t>
      </w:r>
      <w:r>
        <w:t>公</w:t>
      </w:r>
      <w:r>
        <w:rPr>
          <w:spacing w:val="-3"/>
        </w:rPr>
        <w:t>平</w:t>
      </w:r>
      <w:r>
        <w:rPr>
          <w:spacing w:val="-29"/>
        </w:rPr>
        <w:t>、</w:t>
      </w:r>
      <w:r>
        <w:t>公</w:t>
      </w:r>
      <w:r>
        <w:rPr>
          <w:spacing w:val="-3"/>
        </w:rPr>
        <w:t>正</w:t>
      </w:r>
      <w:r>
        <w:t>和诚</w:t>
      </w:r>
      <w:r>
        <w:rPr>
          <w:spacing w:val="-3"/>
        </w:rPr>
        <w:t>实</w:t>
      </w:r>
      <w:r>
        <w:t>守信</w:t>
      </w:r>
      <w:r>
        <w:rPr>
          <w:spacing w:val="-3"/>
        </w:rPr>
        <w:t>的</w:t>
      </w:r>
      <w:r>
        <w:t>原</w:t>
      </w:r>
      <w:r>
        <w:rPr>
          <w:spacing w:val="-3"/>
        </w:rPr>
        <w:t>则</w:t>
      </w:r>
      <w:r>
        <w:rPr>
          <w:spacing w:val="-29"/>
        </w:rPr>
        <w:t>，</w:t>
      </w:r>
      <w:r>
        <w:t>参</w:t>
      </w:r>
      <w:r>
        <w:rPr>
          <w:spacing w:val="-4"/>
        </w:rPr>
        <w:t>加</w:t>
      </w:r>
      <w:r>
        <w:rPr>
          <w:spacing w:val="-4"/>
          <w:u w:val="single"/>
        </w:rPr>
        <w:t xml:space="preserve"> </w:t>
      </w:r>
      <w:r>
        <w:rPr>
          <w:spacing w:val="-4"/>
          <w:u w:val="single"/>
        </w:rPr>
        <w:tab/>
      </w:r>
      <w:r>
        <w:t>项</w:t>
      </w:r>
      <w:r>
        <w:rPr>
          <w:spacing w:val="-3"/>
        </w:rPr>
        <w:t>目</w:t>
      </w:r>
      <w:r>
        <w:t>的投</w:t>
      </w:r>
      <w:r>
        <w:rPr>
          <w:spacing w:val="-3"/>
        </w:rPr>
        <w:t>标</w:t>
      </w:r>
      <w:r>
        <w:rPr>
          <w:spacing w:val="-14"/>
        </w:rPr>
        <w:t>。</w:t>
      </w:r>
      <w:r>
        <w:t>一</w:t>
      </w:r>
      <w:r>
        <w:rPr>
          <w:spacing w:val="-3"/>
        </w:rPr>
        <w:t>、</w:t>
      </w:r>
      <w:r>
        <w:t>不提</w:t>
      </w:r>
      <w:r>
        <w:rPr>
          <w:spacing w:val="-3"/>
        </w:rPr>
        <w:t>供</w:t>
      </w:r>
      <w:r>
        <w:t>有违</w:t>
      </w:r>
      <w:r>
        <w:rPr>
          <w:spacing w:val="-3"/>
        </w:rPr>
        <w:t>真</w:t>
      </w:r>
      <w:r>
        <w:t>实的</w:t>
      </w:r>
      <w:r>
        <w:rPr>
          <w:spacing w:val="-3"/>
        </w:rPr>
        <w:t>材</w:t>
      </w:r>
      <w:r>
        <w:t>料。</w:t>
      </w:r>
    </w:p>
    <w:p>
      <w:pPr>
        <w:pStyle w:val="9"/>
        <w:spacing w:line="364" w:lineRule="auto"/>
        <w:ind w:left="1170" w:right="911"/>
      </w:pPr>
      <w:r>
        <w:t>二、不与招标人或其他投标人串通投标，损害国家利益、社会利益或他人的合法权益。三、不向招标人或评标委员会成员行贿，以谋取中标。</w:t>
      </w:r>
    </w:p>
    <w:p>
      <w:pPr>
        <w:pStyle w:val="9"/>
        <w:spacing w:line="364" w:lineRule="auto"/>
        <w:ind w:left="1170" w:right="3551"/>
      </w:pPr>
      <w:r>
        <w:t>四、不以他人名义投标或者其他方式弄虚作假，骗取中标。五、不进行缺乏事实根据或者法律依据的投诉。</w:t>
      </w:r>
    </w:p>
    <w:p>
      <w:pPr>
        <w:pStyle w:val="9"/>
        <w:ind w:left="1170"/>
      </w:pPr>
      <w:r>
        <w:t>六、不在投标中哄抬价格或恶意压价。</w:t>
      </w:r>
    </w:p>
    <w:p>
      <w:pPr>
        <w:pStyle w:val="9"/>
        <w:spacing w:before="143" w:line="364" w:lineRule="auto"/>
        <w:ind w:left="731" w:right="892" w:firstLine="439"/>
      </w:pPr>
      <w:r>
        <w:t>七、不违反相关法律法规，注册建造师不同时在两个及两个以上的建设项目上担任施工项目负责人。</w:t>
      </w:r>
    </w:p>
    <w:p>
      <w:pPr>
        <w:pStyle w:val="9"/>
        <w:spacing w:line="364" w:lineRule="auto"/>
        <w:ind w:left="731" w:right="892" w:firstLine="439"/>
      </w:pPr>
      <w:r>
        <w:t>八、遵守国家和本市安全、质量有关法律法规和规范性文件中关于质量员、安全员的数量和人选的相关规定。</w:t>
      </w:r>
    </w:p>
    <w:p>
      <w:pPr>
        <w:pStyle w:val="9"/>
        <w:spacing w:line="364" w:lineRule="auto"/>
        <w:ind w:left="731" w:right="892" w:firstLine="439"/>
      </w:pPr>
      <w:r>
        <w:t>九、加强对分包和劳务分包管理，对所分包工程的安全、质量和进度承担责任，不拖欠农民工工资，按时将分包合同报行政部门备案。</w:t>
      </w:r>
    </w:p>
    <w:p>
      <w:pPr>
        <w:pStyle w:val="9"/>
        <w:spacing w:line="279" w:lineRule="exact"/>
        <w:ind w:left="1170"/>
      </w:pPr>
      <w:r>
        <w:t>十、按照招标文件规定及合同约定，执行合理的施工工期。</w:t>
      </w:r>
    </w:p>
    <w:p>
      <w:pPr>
        <w:pStyle w:val="9"/>
        <w:spacing w:before="148" w:line="364" w:lineRule="auto"/>
        <w:ind w:left="731" w:right="892" w:firstLine="439"/>
      </w:pPr>
      <w:r>
        <w:t>十一、保证建筑材料符合相关标准和设计要求，不使用未经检测或者检测质量不合格的建筑材料。</w:t>
      </w:r>
    </w:p>
    <w:p>
      <w:pPr>
        <w:pStyle w:val="9"/>
        <w:spacing w:line="279" w:lineRule="exact"/>
        <w:ind w:left="1170"/>
      </w:pPr>
      <w:r>
        <w:t>十二、本公司若违反本投标承诺，愿承担相应的法律责任。</w:t>
      </w:r>
    </w:p>
    <w:p>
      <w:pPr>
        <w:pStyle w:val="9"/>
        <w:tabs>
          <w:tab w:val="left" w:pos="7551"/>
        </w:tabs>
        <w:spacing w:before="147"/>
        <w:ind w:left="1170"/>
      </w:pPr>
      <w:r>
        <w:t>十</w:t>
      </w:r>
      <w:r>
        <w:rPr>
          <w:spacing w:val="-3"/>
        </w:rPr>
        <w:t>三</w:t>
      </w:r>
      <w:r>
        <w:t>、其</w:t>
      </w:r>
      <w:r>
        <w:rPr>
          <w:spacing w:val="-3"/>
        </w:rPr>
        <w:t>他</w:t>
      </w:r>
      <w:r>
        <w:t>承诺：</w:t>
      </w:r>
      <w:r>
        <w:rPr>
          <w:u w:val="single"/>
        </w:rPr>
        <w:t xml:space="preserve"> </w:t>
      </w:r>
      <w:r>
        <w:rPr>
          <w:u w:val="single"/>
        </w:rPr>
        <w:tab/>
      </w:r>
      <w:r>
        <w:t>。</w:t>
      </w:r>
    </w:p>
    <w:p>
      <w:pPr>
        <w:pStyle w:val="9"/>
        <w:rPr>
          <w:sz w:val="24"/>
        </w:rPr>
      </w:pPr>
    </w:p>
    <w:p>
      <w:pPr>
        <w:pStyle w:val="9"/>
        <w:spacing w:before="9"/>
        <w:rPr>
          <w:sz w:val="20"/>
        </w:rPr>
      </w:pPr>
    </w:p>
    <w:p>
      <w:pPr>
        <w:pStyle w:val="9"/>
        <w:tabs>
          <w:tab w:val="left" w:pos="9365"/>
          <w:tab w:val="left" w:pos="9475"/>
          <w:tab w:val="left" w:pos="9586"/>
        </w:tabs>
        <w:spacing w:line="364" w:lineRule="auto"/>
        <w:ind w:left="2932" w:right="858"/>
        <w:rPr>
          <w:rFonts w:ascii="Times New Roman" w:eastAsia="Times New Roman"/>
        </w:rPr>
      </w:pPr>
      <w:r>
        <w:rPr>
          <w:spacing w:val="-2"/>
        </w:rPr>
        <w:t>投</w:t>
      </w:r>
      <w:r>
        <w:rPr>
          <w:spacing w:val="-3"/>
        </w:rPr>
        <w:t>标</w:t>
      </w:r>
      <w:r>
        <w:rPr>
          <w:spacing w:val="-2"/>
        </w:rPr>
        <w:t>人</w:t>
      </w:r>
      <w:r>
        <w:rPr>
          <w:spacing w:val="-1"/>
        </w:rPr>
        <w:t>（</w:t>
      </w:r>
      <w:r>
        <w:rPr>
          <w:spacing w:val="-3"/>
        </w:rPr>
        <w:t>单</w:t>
      </w:r>
      <w:r>
        <w:rPr>
          <w:spacing w:val="-1"/>
        </w:rPr>
        <w:t>位公</w:t>
      </w:r>
      <w:r>
        <w:rPr>
          <w:spacing w:val="-3"/>
        </w:rPr>
        <w:t>章</w:t>
      </w:r>
      <w:r>
        <w:rPr>
          <w:spacing w:val="-1"/>
        </w:rPr>
        <w:t>）：</w:t>
      </w:r>
      <w:r>
        <w:rPr>
          <w:spacing w:val="-1"/>
          <w:u w:val="single"/>
        </w:rPr>
        <w:tab/>
      </w:r>
      <w:r>
        <w:rPr>
          <w:spacing w:val="-2"/>
        </w:rPr>
        <w:t xml:space="preserve">                                      </w:t>
      </w:r>
      <w:r>
        <w:rPr>
          <w:spacing w:val="76"/>
        </w:rPr>
        <w:t xml:space="preserve"> </w:t>
      </w:r>
      <w:r>
        <w:rPr>
          <w:spacing w:val="-2"/>
        </w:rPr>
        <w:t>法</w:t>
      </w:r>
      <w:r>
        <w:rPr>
          <w:spacing w:val="-3"/>
        </w:rPr>
        <w:t>定</w:t>
      </w:r>
      <w:r>
        <w:rPr>
          <w:spacing w:val="-2"/>
        </w:rPr>
        <w:t>代</w:t>
      </w:r>
      <w:r>
        <w:rPr>
          <w:spacing w:val="-1"/>
        </w:rPr>
        <w:t>表</w:t>
      </w:r>
      <w:r>
        <w:rPr>
          <w:spacing w:val="-3"/>
        </w:rPr>
        <w:t>人</w:t>
      </w:r>
      <w:r>
        <w:rPr>
          <w:spacing w:val="-1"/>
        </w:rPr>
        <w:t>（签</w:t>
      </w:r>
      <w:r>
        <w:rPr>
          <w:spacing w:val="-3"/>
        </w:rPr>
        <w:t>字</w:t>
      </w:r>
      <w:r>
        <w:rPr>
          <w:spacing w:val="-1"/>
        </w:rPr>
        <w:t>或盖</w:t>
      </w:r>
      <w:r>
        <w:rPr>
          <w:spacing w:val="-3"/>
        </w:rPr>
        <w:t>章</w:t>
      </w:r>
      <w:r>
        <w:rPr>
          <w:spacing w:val="-1"/>
        </w:rPr>
        <w:t>）：</w:t>
      </w:r>
      <w:r>
        <w:rPr>
          <w:spacing w:val="-1"/>
          <w:u w:val="single"/>
        </w:rPr>
        <w:tab/>
      </w:r>
      <w:r>
        <w:rPr>
          <w:spacing w:val="-2"/>
        </w:rPr>
        <w:t xml:space="preserve">                                </w:t>
      </w:r>
      <w:r>
        <w:rPr>
          <w:spacing w:val="64"/>
        </w:rPr>
        <w:t xml:space="preserve"> </w:t>
      </w:r>
      <w:r>
        <w:rPr>
          <w:spacing w:val="-2"/>
        </w:rPr>
        <w:t>拟</w:t>
      </w:r>
      <w:r>
        <w:rPr>
          <w:spacing w:val="-3"/>
        </w:rPr>
        <w:t>任</w:t>
      </w:r>
      <w:r>
        <w:rPr>
          <w:spacing w:val="-2"/>
        </w:rPr>
        <w:t>项</w:t>
      </w:r>
      <w:r>
        <w:rPr>
          <w:spacing w:val="-1"/>
        </w:rPr>
        <w:t>目</w:t>
      </w:r>
      <w:r>
        <w:rPr>
          <w:spacing w:val="-3"/>
        </w:rPr>
        <w:t>负</w:t>
      </w:r>
      <w:r>
        <w:rPr>
          <w:spacing w:val="-1"/>
        </w:rPr>
        <w:t>责人</w:t>
      </w:r>
      <w:r>
        <w:rPr>
          <w:spacing w:val="-3"/>
        </w:rPr>
        <w:t>（</w:t>
      </w:r>
      <w:r>
        <w:rPr>
          <w:spacing w:val="-1"/>
        </w:rPr>
        <w:t>签字</w:t>
      </w:r>
      <w:r>
        <w:rPr>
          <w:spacing w:val="-3"/>
        </w:rPr>
        <w:t>或</w:t>
      </w:r>
      <w:r>
        <w:rPr>
          <w:spacing w:val="-1"/>
        </w:rPr>
        <w:t>盖章</w:t>
      </w:r>
      <w:r>
        <w:rPr>
          <w:spacing w:val="-3"/>
        </w:rPr>
        <w:t>并</w:t>
      </w:r>
      <w:r>
        <w:rPr>
          <w:spacing w:val="-1"/>
        </w:rPr>
        <w:t>盖执</w:t>
      </w:r>
      <w:r>
        <w:rPr>
          <w:spacing w:val="-3"/>
        </w:rPr>
        <w:t>业</w:t>
      </w:r>
      <w:r>
        <w:rPr>
          <w:spacing w:val="-1"/>
        </w:rPr>
        <w:t>章）：</w:t>
      </w:r>
      <w:r>
        <w:rPr>
          <w:spacing w:val="-1"/>
          <w:u w:val="single"/>
        </w:rPr>
        <w:tab/>
      </w:r>
      <w:r>
        <w:rPr>
          <w:spacing w:val="-1"/>
          <w:u w:val="single"/>
        </w:rPr>
        <w:tab/>
      </w:r>
      <w:r>
        <w:rPr>
          <w:spacing w:val="-1"/>
          <w:u w:val="single"/>
        </w:rPr>
        <w:tab/>
      </w:r>
      <w:r>
        <w:rPr>
          <w:spacing w:val="-1"/>
          <w:u w:val="single"/>
        </w:rPr>
        <w:t xml:space="preserve">                  </w:t>
      </w:r>
      <w:r>
        <w:rPr>
          <w:spacing w:val="18"/>
          <w:u w:val="single"/>
        </w:rPr>
        <w:t xml:space="preserve"> </w:t>
      </w:r>
      <w:r>
        <w:rPr>
          <w:spacing w:val="-1"/>
        </w:rPr>
        <w:t>拟</w:t>
      </w:r>
      <w:r>
        <w:rPr>
          <w:spacing w:val="-3"/>
        </w:rPr>
        <w:t>任</w:t>
      </w:r>
      <w:r>
        <w:rPr>
          <w:spacing w:val="-1"/>
        </w:rPr>
        <w:t>项目</w:t>
      </w:r>
      <w:r>
        <w:rPr>
          <w:spacing w:val="-3"/>
        </w:rPr>
        <w:t>负</w:t>
      </w:r>
      <w:r>
        <w:rPr>
          <w:spacing w:val="-1"/>
        </w:rPr>
        <w:t>责人</w:t>
      </w:r>
      <w:r>
        <w:rPr>
          <w:spacing w:val="-3"/>
        </w:rPr>
        <w:t>手</w:t>
      </w:r>
      <w:r>
        <w:rPr>
          <w:spacing w:val="-1"/>
        </w:rPr>
        <w:t>机</w:t>
      </w:r>
      <w:r>
        <w:rPr>
          <w:spacing w:val="-3"/>
        </w:rP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9"/>
        <w:tabs>
          <w:tab w:val="left" w:pos="6966"/>
          <w:tab w:val="left" w:pos="7844"/>
          <w:tab w:val="left" w:pos="8725"/>
        </w:tabs>
        <w:spacing w:line="279" w:lineRule="exact"/>
        <w:ind w:left="6306"/>
      </w:pPr>
      <w:r>
        <w:rPr>
          <w:rFonts w:ascii="Times New Roman" w:eastAsia="Times New Roman"/>
          <w:w w:val="100"/>
          <w:u w:val="single"/>
        </w:rPr>
        <w:t xml:space="preserve"> </w:t>
      </w:r>
      <w:r>
        <w:rPr>
          <w:rFonts w:ascii="Times New Roman" w:eastAsia="Times New Roman"/>
          <w:u w:val="single"/>
        </w:rPr>
        <w:tab/>
      </w:r>
      <w:r>
        <w:rPr>
          <w:spacing w:val="-4"/>
        </w:rPr>
        <w:t>年</w:t>
      </w:r>
      <w:r>
        <w:rPr>
          <w:spacing w:val="-4"/>
          <w:u w:val="single"/>
        </w:rPr>
        <w:t xml:space="preserve"> </w:t>
      </w:r>
      <w:r>
        <w:rPr>
          <w:spacing w:val="-4"/>
          <w:u w:val="single"/>
        </w:rPr>
        <w:tab/>
      </w:r>
      <w:r>
        <w:t>月</w:t>
      </w:r>
      <w:r>
        <w:rPr>
          <w:u w:val="single"/>
        </w:rPr>
        <w:t xml:space="preserve"> </w:t>
      </w:r>
      <w:r>
        <w:rPr>
          <w:u w:val="single"/>
        </w:rPr>
        <w:tab/>
      </w:r>
      <w:r>
        <w:t>日</w:t>
      </w:r>
    </w:p>
    <w:p>
      <w:pPr>
        <w:spacing w:after="0" w:line="279" w:lineRule="exact"/>
        <w:sectPr>
          <w:type w:val="continuous"/>
          <w:pgSz w:w="11910" w:h="16840"/>
          <w:pgMar w:top="1140" w:right="660" w:bottom="280" w:left="800" w:header="720" w:footer="720" w:gutter="0"/>
          <w:cols w:space="720" w:num="1"/>
        </w:sectPr>
      </w:pPr>
    </w:p>
    <w:p>
      <w:pPr>
        <w:pStyle w:val="9"/>
        <w:spacing w:before="1"/>
        <w:rPr>
          <w:sz w:val="18"/>
        </w:rPr>
      </w:pPr>
    </w:p>
    <w:p>
      <w:pPr>
        <w:pStyle w:val="9"/>
        <w:spacing w:before="70"/>
        <w:ind w:left="566" w:right="727"/>
        <w:jc w:val="center"/>
      </w:pPr>
      <w:bookmarkStart w:id="129" w:name="投标函"/>
      <w:bookmarkEnd w:id="129"/>
      <w:r>
        <w:t>投标函</w:t>
      </w:r>
    </w:p>
    <w:p>
      <w:pPr>
        <w:pStyle w:val="9"/>
        <w:rPr>
          <w:sz w:val="20"/>
        </w:rPr>
      </w:pPr>
    </w:p>
    <w:p>
      <w:pPr>
        <w:pStyle w:val="9"/>
        <w:rPr>
          <w:sz w:val="20"/>
        </w:rPr>
      </w:pPr>
    </w:p>
    <w:p>
      <w:pPr>
        <w:pStyle w:val="9"/>
        <w:spacing w:before="5"/>
        <w:rPr>
          <w:sz w:val="17"/>
        </w:rPr>
      </w:pPr>
    </w:p>
    <w:p>
      <w:pPr>
        <w:pStyle w:val="9"/>
        <w:tabs>
          <w:tab w:val="left" w:pos="2051"/>
          <w:tab w:val="left" w:pos="4690"/>
        </w:tabs>
        <w:spacing w:before="77"/>
        <w:ind w:left="731"/>
      </w:pPr>
      <w:r>
        <w:t>致</w:t>
      </w:r>
      <w:r>
        <w:rPr>
          <w:spacing w:val="-3"/>
        </w:rPr>
        <w:t>：</w:t>
      </w:r>
      <w:r>
        <w:rPr>
          <w:spacing w:val="-3"/>
          <w:u w:val="single"/>
        </w:rPr>
        <w:t xml:space="preserve"> </w:t>
      </w:r>
      <w:r>
        <w:rPr>
          <w:spacing w:val="-3"/>
          <w:u w:val="single"/>
        </w:rPr>
        <w:tab/>
      </w:r>
      <w:r>
        <w:rPr>
          <w:spacing w:val="-1"/>
          <w:u w:val="single"/>
        </w:rPr>
        <w:t>（</w:t>
      </w:r>
      <w:r>
        <w:rPr>
          <w:spacing w:val="-3"/>
          <w:u w:val="single"/>
        </w:rPr>
        <w:t>招</w:t>
      </w:r>
      <w:r>
        <w:rPr>
          <w:spacing w:val="-1"/>
          <w:u w:val="single"/>
        </w:rPr>
        <w:t>标人</w:t>
      </w:r>
      <w:r>
        <w:rPr>
          <w:spacing w:val="-3"/>
          <w:u w:val="single"/>
        </w:rPr>
        <w:t>名</w:t>
      </w:r>
      <w:r>
        <w:rPr>
          <w:spacing w:val="-1"/>
          <w:u w:val="single"/>
        </w:rPr>
        <w:t>称</w:t>
      </w:r>
      <w:r>
        <w:rPr>
          <w:u w:val="single"/>
        </w:rPr>
        <w:t>）</w:t>
      </w:r>
      <w:r>
        <w:rPr>
          <w:u w:val="single"/>
        </w:rPr>
        <w:tab/>
      </w:r>
    </w:p>
    <w:p>
      <w:pPr>
        <w:pStyle w:val="9"/>
        <w:rPr>
          <w:sz w:val="20"/>
        </w:rPr>
      </w:pPr>
    </w:p>
    <w:p>
      <w:pPr>
        <w:pStyle w:val="9"/>
        <w:spacing w:before="11"/>
        <w:rPr>
          <w:sz w:val="18"/>
        </w:rPr>
      </w:pPr>
    </w:p>
    <w:p>
      <w:pPr>
        <w:pStyle w:val="9"/>
        <w:tabs>
          <w:tab w:val="left" w:pos="4343"/>
        </w:tabs>
        <w:spacing w:before="77" w:line="364" w:lineRule="auto"/>
        <w:ind w:left="731" w:right="890" w:firstLine="439"/>
        <w:jc w:val="both"/>
      </w:pPr>
      <w:r>
        <w:t>在</w:t>
      </w:r>
      <w:r>
        <w:rPr>
          <w:spacing w:val="-3"/>
        </w:rPr>
        <w:t>考</w:t>
      </w:r>
      <w:r>
        <w:t>察现</w:t>
      </w:r>
      <w:r>
        <w:rPr>
          <w:spacing w:val="-3"/>
        </w:rPr>
        <w:t>场</w:t>
      </w:r>
      <w:r>
        <w:t>并充</w:t>
      </w:r>
      <w:r>
        <w:rPr>
          <w:spacing w:val="-3"/>
        </w:rPr>
        <w:t>分</w:t>
      </w:r>
      <w:r>
        <w:t>研究</w:t>
      </w:r>
      <w:r>
        <w:rPr>
          <w:u w:val="single"/>
        </w:rPr>
        <w:t xml:space="preserve"> </w:t>
      </w:r>
      <w:r>
        <w:rPr>
          <w:u w:val="single"/>
        </w:rPr>
        <w:tab/>
      </w:r>
      <w:r>
        <w:rPr>
          <w:u w:val="single"/>
        </w:rPr>
        <w:t>（项</w:t>
      </w:r>
      <w:r>
        <w:rPr>
          <w:spacing w:val="-3"/>
          <w:u w:val="single"/>
        </w:rPr>
        <w:t>目</w:t>
      </w:r>
      <w:r>
        <w:rPr>
          <w:u w:val="single"/>
        </w:rPr>
        <w:t>名</w:t>
      </w:r>
      <w:r>
        <w:rPr>
          <w:spacing w:val="-3"/>
          <w:u w:val="single"/>
        </w:rPr>
        <w:t>称</w:t>
      </w:r>
      <w:r>
        <w:rPr>
          <w:u w:val="single"/>
        </w:rPr>
        <w:t xml:space="preserve">）     </w:t>
      </w:r>
      <w:r>
        <w:rPr>
          <w:spacing w:val="83"/>
          <w:u w:val="single"/>
        </w:rPr>
        <w:t xml:space="preserve"> </w:t>
      </w:r>
      <w:r>
        <w:t>（</w:t>
      </w:r>
      <w:r>
        <w:rPr>
          <w:u w:val="single"/>
        </w:rPr>
        <w:t>报</w:t>
      </w:r>
      <w:r>
        <w:rPr>
          <w:spacing w:val="-3"/>
          <w:u w:val="single"/>
        </w:rPr>
        <w:t>建</w:t>
      </w:r>
      <w:r>
        <w:rPr>
          <w:u w:val="single"/>
        </w:rPr>
        <w:t>编号</w:t>
      </w:r>
      <w:r>
        <w:rPr>
          <w:spacing w:val="-3"/>
          <w:u w:val="single"/>
        </w:rPr>
        <w:t>及</w:t>
      </w:r>
      <w:r>
        <w:rPr>
          <w:u w:val="single"/>
        </w:rPr>
        <w:t>标段</w:t>
      </w:r>
      <w:r>
        <w:rPr>
          <w:spacing w:val="-3"/>
          <w:u w:val="single"/>
        </w:rPr>
        <w:t>号</w:t>
      </w:r>
      <w:r>
        <w:rPr>
          <w:spacing w:val="-20"/>
        </w:rPr>
        <w:t>）（</w:t>
      </w:r>
      <w:r>
        <w:t>以</w:t>
      </w:r>
      <w:r>
        <w:rPr>
          <w:spacing w:val="-3"/>
        </w:rPr>
        <w:t>下</w:t>
      </w:r>
      <w:r>
        <w:t>简称“本工</w:t>
      </w:r>
      <w:r>
        <w:rPr>
          <w:spacing w:val="-3"/>
        </w:rPr>
        <w:t>程</w:t>
      </w:r>
      <w:r>
        <w:t>”）施工招</w:t>
      </w:r>
      <w:r>
        <w:rPr>
          <w:spacing w:val="-3"/>
        </w:rPr>
        <w:t>标</w:t>
      </w:r>
      <w:r>
        <w:t>文件的全部内容后</w:t>
      </w:r>
      <w:r>
        <w:rPr>
          <w:spacing w:val="-3"/>
        </w:rPr>
        <w:t>，</w:t>
      </w:r>
      <w:r>
        <w:t>我方兹以本投标函</w:t>
      </w:r>
      <w:r>
        <w:rPr>
          <w:spacing w:val="-3"/>
        </w:rPr>
        <w:t>附</w:t>
      </w:r>
      <w:r>
        <w:t>录</w:t>
      </w:r>
      <w:r>
        <w:rPr>
          <w:spacing w:val="-53"/>
        </w:rPr>
        <w:t xml:space="preserve"> </w:t>
      </w:r>
      <w:r>
        <w:t>A</w:t>
      </w:r>
      <w:r>
        <w:rPr>
          <w:spacing w:val="-52"/>
        </w:rPr>
        <w:t xml:space="preserve"> </w:t>
      </w:r>
      <w:r>
        <w:t>所载明的</w:t>
      </w:r>
      <w:r>
        <w:rPr>
          <w:spacing w:val="-3"/>
        </w:rPr>
        <w:t>投</w:t>
      </w:r>
      <w:r>
        <w:t>标总价和</w:t>
      </w:r>
      <w:r>
        <w:rPr>
          <w:spacing w:val="-1"/>
        </w:rPr>
        <w:t>按合同约</w:t>
      </w:r>
      <w:r>
        <w:rPr>
          <w:spacing w:val="-3"/>
        </w:rPr>
        <w:t>定</w:t>
      </w:r>
      <w:r>
        <w:rPr>
          <w:spacing w:val="-1"/>
        </w:rPr>
        <w:t>有权得到的其它金</w:t>
      </w:r>
      <w:r>
        <w:rPr>
          <w:spacing w:val="-3"/>
        </w:rPr>
        <w:t>额</w:t>
      </w:r>
      <w:r>
        <w:t>，并严格按照合同</w:t>
      </w:r>
      <w:r>
        <w:rPr>
          <w:spacing w:val="-3"/>
        </w:rPr>
        <w:t>约</w:t>
      </w:r>
      <w:r>
        <w:t>定，施工、竣工和交</w:t>
      </w:r>
      <w:r>
        <w:rPr>
          <w:spacing w:val="-3"/>
        </w:rPr>
        <w:t>付</w:t>
      </w:r>
      <w:r>
        <w:t>本工程并维修其中</w:t>
      </w:r>
      <w:r>
        <w:rPr>
          <w:spacing w:val="-3"/>
        </w:rPr>
        <w:t>的</w:t>
      </w:r>
      <w:r>
        <w:t>任何</w:t>
      </w:r>
      <w:r>
        <w:rPr>
          <w:spacing w:val="-3"/>
        </w:rPr>
        <w:t>缺</w:t>
      </w:r>
      <w:r>
        <w:t>陷。</w:t>
      </w:r>
    </w:p>
    <w:p>
      <w:pPr>
        <w:pStyle w:val="9"/>
        <w:tabs>
          <w:tab w:val="left" w:pos="4479"/>
          <w:tab w:val="left" w:pos="5360"/>
        </w:tabs>
        <w:spacing w:line="364" w:lineRule="auto"/>
        <w:ind w:left="731" w:right="890" w:firstLine="439"/>
        <w:jc w:val="both"/>
      </w:pPr>
      <w:r>
        <w:rPr>
          <w:rFonts w:ascii="宋体" w:hAnsi="宋体" w:eastAsia="宋体" w:cs="宋体"/>
          <w:sz w:val="22"/>
          <w:szCs w:val="22"/>
          <w:lang w:val="zh-CN" w:eastAsia="zh-CN" w:bidi="zh-CN"/>
        </w:rPr>
        <w:pict>
          <v:line id="直线 19" o:spid="_x0000_s1070" style="position:absolute;left:0;margin-left:319pt;margin-top:12.25pt;height:0.05pt;width:33.15pt;mso-position-horizontal-relative:page;rotation:0f;z-index:-251644928;" o:ole="f" fillcolor="#FFFFFF" filled="f" o:preferrelative="t" stroked="t" coordsize="21600,21600">
            <v:fill on="f" color2="#FFFFFF" focus="0%"/>
            <v:stroke weight="0.48pt" color="#000000" color2="#FFFFFF" miterlimit="2"/>
            <v:imagedata gain="65536f" blacklevel="0f" gamma="0"/>
            <o:lock v:ext="edit" position="f" selection="f" grouping="f" rotation="f" cropping="f" text="f" aspectratio="f"/>
          </v:line>
        </w:pict>
      </w:r>
      <w:r>
        <w:t>如果我</w:t>
      </w:r>
      <w:r>
        <w:rPr>
          <w:spacing w:val="-3"/>
        </w:rPr>
        <w:t>方</w:t>
      </w:r>
      <w:r>
        <w:t>中标，我方保</w:t>
      </w:r>
      <w:r>
        <w:rPr>
          <w:spacing w:val="-3"/>
        </w:rPr>
        <w:t>证</w:t>
      </w:r>
      <w:r>
        <w:t>在</w:t>
      </w:r>
      <w:r>
        <w:rPr>
          <w:u w:val="single"/>
        </w:rPr>
        <w:t xml:space="preserve"> </w:t>
      </w:r>
      <w:r>
        <w:rPr>
          <w:u w:val="single"/>
        </w:rPr>
        <w:tab/>
      </w:r>
      <w:r>
        <w:rPr>
          <w:spacing w:val="-3"/>
        </w:rPr>
        <w:t>年</w:t>
      </w:r>
      <w:r>
        <w:rPr>
          <w:spacing w:val="-3"/>
          <w:u w:val="single"/>
        </w:rPr>
        <w:t xml:space="preserve"> </w:t>
      </w:r>
      <w:r>
        <w:rPr>
          <w:spacing w:val="-3"/>
          <w:u w:val="single"/>
        </w:rPr>
        <w:tab/>
      </w:r>
      <w:r>
        <w:t xml:space="preserve">月    </w:t>
      </w:r>
      <w:r>
        <w:rPr>
          <w:spacing w:val="5"/>
        </w:rPr>
        <w:t xml:space="preserve"> </w:t>
      </w:r>
      <w:r>
        <w:t>日或按</w:t>
      </w:r>
      <w:r>
        <w:rPr>
          <w:spacing w:val="-3"/>
        </w:rPr>
        <w:t>照</w:t>
      </w:r>
      <w:r>
        <w:t>合同约定的开</w:t>
      </w:r>
      <w:r>
        <w:rPr>
          <w:spacing w:val="-3"/>
        </w:rPr>
        <w:t>工</w:t>
      </w:r>
      <w:r>
        <w:t>日期开始本工程的</w:t>
      </w:r>
      <w:r>
        <w:rPr>
          <w:spacing w:val="-3"/>
        </w:rPr>
        <w:t>施</w:t>
      </w:r>
      <w:r>
        <w:t>工，投标函附</w:t>
      </w:r>
      <w:r>
        <w:rPr>
          <w:spacing w:val="52"/>
        </w:rPr>
        <w:t>录</w:t>
      </w:r>
      <w:r>
        <w:t>A</w:t>
      </w:r>
      <w:r>
        <w:rPr>
          <w:spacing w:val="-54"/>
        </w:rPr>
        <w:t xml:space="preserve"> </w:t>
      </w:r>
      <w:r>
        <w:t>载明的工</w:t>
      </w:r>
      <w:r>
        <w:rPr>
          <w:spacing w:val="-3"/>
        </w:rPr>
        <w:t>期</w:t>
      </w:r>
      <w:r>
        <w:t>内竣工，并确保工</w:t>
      </w:r>
      <w:r>
        <w:rPr>
          <w:spacing w:val="-3"/>
        </w:rPr>
        <w:t>程</w:t>
      </w:r>
      <w:r>
        <w:t>质量达到投标函附录</w:t>
      </w:r>
      <w:r>
        <w:rPr>
          <w:spacing w:val="-53"/>
        </w:rPr>
        <w:t xml:space="preserve"> </w:t>
      </w:r>
      <w:r>
        <w:t>A</w:t>
      </w:r>
      <w:r>
        <w:rPr>
          <w:spacing w:val="-56"/>
        </w:rPr>
        <w:t xml:space="preserve"> </w:t>
      </w:r>
      <w:r>
        <w:t>载明的</w:t>
      </w:r>
      <w:r>
        <w:rPr>
          <w:spacing w:val="-1"/>
        </w:rPr>
        <w:t>质量标准</w:t>
      </w:r>
      <w:r>
        <w:rPr>
          <w:spacing w:val="-3"/>
        </w:rPr>
        <w:t>。</w:t>
      </w:r>
      <w:r>
        <w:rPr>
          <w:spacing w:val="-1"/>
        </w:rPr>
        <w:t>我方同意本投标函</w:t>
      </w:r>
      <w:r>
        <w:rPr>
          <w:spacing w:val="-3"/>
        </w:rPr>
        <w:t>在</w:t>
      </w:r>
      <w:r>
        <w:t>招标文件规定的提</w:t>
      </w:r>
      <w:r>
        <w:rPr>
          <w:spacing w:val="-3"/>
        </w:rPr>
        <w:t>交</w:t>
      </w:r>
      <w:r>
        <w:t>投标文件截止时间后</w:t>
      </w:r>
      <w:r>
        <w:rPr>
          <w:spacing w:val="-3"/>
        </w:rPr>
        <w:t>，</w:t>
      </w:r>
      <w:r>
        <w:t>在招标文件规定的</w:t>
      </w:r>
      <w:r>
        <w:rPr>
          <w:spacing w:val="-3"/>
        </w:rPr>
        <w:t>投</w:t>
      </w:r>
      <w:r>
        <w:t>标有</w:t>
      </w:r>
      <w:r>
        <w:rPr>
          <w:spacing w:val="-3"/>
        </w:rPr>
        <w:t>效</w:t>
      </w:r>
      <w:r>
        <w:t>期期</w:t>
      </w:r>
      <w:r>
        <w:rPr>
          <w:spacing w:val="-3"/>
        </w:rPr>
        <w:t>满</w:t>
      </w:r>
      <w:r>
        <w:t>前对</w:t>
      </w:r>
      <w:r>
        <w:rPr>
          <w:spacing w:val="-3"/>
        </w:rPr>
        <w:t>我</w:t>
      </w:r>
      <w:r>
        <w:t>方具</w:t>
      </w:r>
      <w:r>
        <w:rPr>
          <w:spacing w:val="-3"/>
        </w:rPr>
        <w:t>有</w:t>
      </w:r>
      <w:r>
        <w:t>约束</w:t>
      </w:r>
      <w:r>
        <w:rPr>
          <w:spacing w:val="-3"/>
        </w:rPr>
        <w:t>力</w:t>
      </w:r>
      <w:r>
        <w:t>，且</w:t>
      </w:r>
      <w:r>
        <w:rPr>
          <w:spacing w:val="-3"/>
        </w:rPr>
        <w:t>随</w:t>
      </w:r>
      <w:r>
        <w:t>时准</w:t>
      </w:r>
      <w:r>
        <w:rPr>
          <w:spacing w:val="-3"/>
        </w:rPr>
        <w:t>备</w:t>
      </w:r>
      <w:r>
        <w:t>接受</w:t>
      </w:r>
      <w:r>
        <w:rPr>
          <w:spacing w:val="-3"/>
        </w:rPr>
        <w:t>你</w:t>
      </w:r>
      <w:r>
        <w:t>方发</w:t>
      </w:r>
      <w:r>
        <w:rPr>
          <w:spacing w:val="-3"/>
        </w:rPr>
        <w:t>出</w:t>
      </w:r>
      <w:r>
        <w:t>的中</w:t>
      </w:r>
      <w:r>
        <w:rPr>
          <w:spacing w:val="-3"/>
        </w:rPr>
        <w:t>标</w:t>
      </w:r>
      <w:r>
        <w:t>通知</w:t>
      </w:r>
      <w:r>
        <w:rPr>
          <w:spacing w:val="-3"/>
        </w:rPr>
        <w:t>书</w:t>
      </w:r>
      <w:r>
        <w:t>。</w:t>
      </w:r>
    </w:p>
    <w:p>
      <w:pPr>
        <w:pStyle w:val="9"/>
        <w:tabs>
          <w:tab w:val="left" w:pos="7830"/>
          <w:tab w:val="left" w:pos="9111"/>
        </w:tabs>
        <w:spacing w:line="364" w:lineRule="auto"/>
        <w:ind w:left="1170" w:right="782"/>
      </w:pPr>
      <w:r>
        <w:rPr>
          <w:rFonts w:ascii="宋体" w:hAnsi="宋体" w:eastAsia="宋体" w:cs="宋体"/>
          <w:sz w:val="22"/>
          <w:szCs w:val="22"/>
          <w:lang w:val="zh-CN" w:eastAsia="zh-CN" w:bidi="zh-CN"/>
        </w:rPr>
        <w:pict>
          <v:line id="直线 20" o:spid="_x0000_s1071" style="position:absolute;left:0;margin-left:354.6pt;margin-top:33.7pt;height:0.05pt;width:76.9pt;mso-position-horizontal-relative:page;rotation:0f;z-index:-251643904;" o:ole="f" fillcolor="#FFFFFF" filled="f" o:preferrelative="t" stroked="t" coordsize="21600,21600">
            <v:fill on="f" color2="#FFFFFF" focus="0%"/>
            <v:stroke weight="0.48pt" color="#000000" color2="#FFFFFF" miterlimit="2"/>
            <v:imagedata gain="65536f" blacklevel="0f" gamma="0"/>
            <o:lock v:ext="edit" position="f" selection="f" grouping="f" rotation="f" cropping="f" text="f" aspectratio="f"/>
          </v:line>
        </w:pict>
      </w:r>
      <w:r>
        <w:t>随</w:t>
      </w:r>
      <w:r>
        <w:rPr>
          <w:spacing w:val="-3"/>
        </w:rPr>
        <w:t>本</w:t>
      </w:r>
      <w:r>
        <w:t>投标</w:t>
      </w:r>
      <w:r>
        <w:rPr>
          <w:spacing w:val="-3"/>
        </w:rPr>
        <w:t>函</w:t>
      </w:r>
      <w:r>
        <w:t>提交</w:t>
      </w:r>
      <w:r>
        <w:rPr>
          <w:spacing w:val="-3"/>
        </w:rPr>
        <w:t>的</w:t>
      </w:r>
      <w:r>
        <w:t>投标</w:t>
      </w:r>
      <w:r>
        <w:rPr>
          <w:spacing w:val="-3"/>
        </w:rPr>
        <w:t>函</w:t>
      </w:r>
      <w:r>
        <w:t>附录</w:t>
      </w:r>
      <w:r>
        <w:rPr>
          <w:spacing w:val="-51"/>
        </w:rPr>
        <w:t xml:space="preserve"> </w:t>
      </w:r>
      <w:r>
        <w:t>A、</w:t>
      </w:r>
      <w:r>
        <w:rPr>
          <w:spacing w:val="-3"/>
        </w:rPr>
        <w:t>附</w:t>
      </w:r>
      <w:r>
        <w:rPr>
          <w:spacing w:val="55"/>
        </w:rPr>
        <w:t>录</w:t>
      </w:r>
      <w:r>
        <w:t>B</w:t>
      </w:r>
      <w:r>
        <w:rPr>
          <w:spacing w:val="-53"/>
        </w:rPr>
        <w:t xml:space="preserve"> </w:t>
      </w:r>
      <w:r>
        <w:t>是</w:t>
      </w:r>
      <w:r>
        <w:rPr>
          <w:spacing w:val="-3"/>
        </w:rPr>
        <w:t>本</w:t>
      </w:r>
      <w:r>
        <w:t>投标</w:t>
      </w:r>
      <w:r>
        <w:rPr>
          <w:spacing w:val="-3"/>
        </w:rPr>
        <w:t>函</w:t>
      </w:r>
      <w:r>
        <w:t>的组</w:t>
      </w:r>
      <w:r>
        <w:rPr>
          <w:spacing w:val="-3"/>
        </w:rPr>
        <w:t>成</w:t>
      </w:r>
      <w:r>
        <w:t>部分</w:t>
      </w:r>
      <w:r>
        <w:rPr>
          <w:spacing w:val="-3"/>
        </w:rPr>
        <w:t>，</w:t>
      </w:r>
      <w:r>
        <w:t>对我</w:t>
      </w:r>
      <w:r>
        <w:rPr>
          <w:spacing w:val="-3"/>
        </w:rPr>
        <w:t>方</w:t>
      </w:r>
      <w:r>
        <w:t>构成</w:t>
      </w:r>
      <w:r>
        <w:rPr>
          <w:spacing w:val="-3"/>
        </w:rPr>
        <w:t>约</w:t>
      </w:r>
      <w:r>
        <w:t>束力。随</w:t>
      </w:r>
      <w:r>
        <w:rPr>
          <w:spacing w:val="-3"/>
        </w:rPr>
        <w:t>同</w:t>
      </w:r>
      <w:r>
        <w:t>本投</w:t>
      </w:r>
      <w:r>
        <w:rPr>
          <w:spacing w:val="-3"/>
        </w:rPr>
        <w:t>标</w:t>
      </w:r>
      <w:r>
        <w:t>函提</w:t>
      </w:r>
      <w:r>
        <w:rPr>
          <w:spacing w:val="-3"/>
        </w:rPr>
        <w:t>交</w:t>
      </w:r>
      <w:r>
        <w:t>投标</w:t>
      </w:r>
      <w:r>
        <w:rPr>
          <w:spacing w:val="-3"/>
        </w:rPr>
        <w:t>保</w:t>
      </w:r>
      <w:r>
        <w:t>证金</w:t>
      </w:r>
      <w:r>
        <w:rPr>
          <w:spacing w:val="-3"/>
        </w:rPr>
        <w:t>一</w:t>
      </w:r>
      <w:r>
        <w:t>份</w:t>
      </w:r>
      <w:r>
        <w:rPr>
          <w:spacing w:val="-41"/>
        </w:rPr>
        <w:t>，</w:t>
      </w:r>
      <w:r>
        <w:t>金</w:t>
      </w:r>
      <w:r>
        <w:rPr>
          <w:spacing w:val="-3"/>
        </w:rPr>
        <w:t>额</w:t>
      </w:r>
      <w:r>
        <w:rPr>
          <w:spacing w:val="-39"/>
        </w:rPr>
        <w:t>为</w:t>
      </w:r>
      <w:r>
        <w:rPr>
          <w:spacing w:val="-3"/>
        </w:rPr>
        <w:t>（</w:t>
      </w:r>
      <w:r>
        <w:t>大写</w:t>
      </w:r>
      <w:r>
        <w:rPr>
          <w:spacing w:val="-21"/>
        </w:rPr>
        <w:t>）：</w:t>
      </w:r>
      <w:r>
        <w:rPr>
          <w:spacing w:val="-21"/>
        </w:rPr>
        <w:tab/>
      </w:r>
      <w:r>
        <w:rPr>
          <w:spacing w:val="-39"/>
        </w:rPr>
        <w:t>元</w:t>
      </w:r>
      <w:r>
        <w:rPr>
          <w:spacing w:val="-3"/>
        </w:rPr>
        <w:t>（</w:t>
      </w:r>
      <w:r>
        <w:rPr>
          <w:spacing w:val="-3"/>
          <w:u w:val="single"/>
        </w:rPr>
        <w:t xml:space="preserve"> </w:t>
      </w:r>
      <w:r>
        <w:rPr>
          <w:spacing w:val="-3"/>
          <w:u w:val="single"/>
        </w:rPr>
        <w:tab/>
      </w:r>
      <w:r>
        <w:t>元</w:t>
      </w:r>
      <w:r>
        <w:rPr>
          <w:spacing w:val="-113"/>
        </w:rPr>
        <w:t>）</w:t>
      </w:r>
      <w:r>
        <w:rPr>
          <w:spacing w:val="-16"/>
        </w:rPr>
        <w:t>。</w:t>
      </w:r>
      <w:r>
        <w:t>在</w:t>
      </w:r>
      <w:r>
        <w:rPr>
          <w:spacing w:val="-3"/>
        </w:rPr>
        <w:t>签</w:t>
      </w:r>
      <w:r>
        <w:t>署协</w:t>
      </w:r>
      <w:r>
        <w:rPr>
          <w:spacing w:val="-3"/>
        </w:rPr>
        <w:t>议</w:t>
      </w:r>
      <w:r>
        <w:t>书之前</w:t>
      </w:r>
      <w:r>
        <w:rPr>
          <w:spacing w:val="-25"/>
        </w:rPr>
        <w:t>，</w:t>
      </w:r>
      <w:r>
        <w:t>你</w:t>
      </w:r>
      <w:r>
        <w:rPr>
          <w:spacing w:val="-3"/>
        </w:rPr>
        <w:t>方</w:t>
      </w:r>
      <w:r>
        <w:t>的中</w:t>
      </w:r>
      <w:r>
        <w:rPr>
          <w:spacing w:val="-3"/>
        </w:rPr>
        <w:t>标</w:t>
      </w:r>
      <w:r>
        <w:t>通知书</w:t>
      </w:r>
      <w:r>
        <w:rPr>
          <w:spacing w:val="-3"/>
        </w:rPr>
        <w:t>连</w:t>
      </w:r>
      <w:r>
        <w:t>同本</w:t>
      </w:r>
      <w:r>
        <w:rPr>
          <w:spacing w:val="-3"/>
        </w:rPr>
        <w:t>投</w:t>
      </w:r>
      <w:r>
        <w:t>标函</w:t>
      </w:r>
      <w:r>
        <w:rPr>
          <w:spacing w:val="-25"/>
        </w:rPr>
        <w:t>，</w:t>
      </w:r>
      <w:r>
        <w:t>包</w:t>
      </w:r>
      <w:r>
        <w:rPr>
          <w:spacing w:val="-3"/>
        </w:rPr>
        <w:t>括</w:t>
      </w:r>
      <w:r>
        <w:t>投标</w:t>
      </w:r>
      <w:r>
        <w:rPr>
          <w:spacing w:val="-3"/>
        </w:rPr>
        <w:t>函</w:t>
      </w:r>
      <w:r>
        <w:t>附录</w:t>
      </w:r>
      <w:r>
        <w:rPr>
          <w:spacing w:val="-52"/>
        </w:rPr>
        <w:t xml:space="preserve"> </w:t>
      </w:r>
      <w:r>
        <w:t>A</w:t>
      </w:r>
      <w:r>
        <w:rPr>
          <w:spacing w:val="-25"/>
        </w:rPr>
        <w:t>、</w:t>
      </w:r>
      <w:r>
        <w:t>附录</w:t>
      </w:r>
      <w:r>
        <w:rPr>
          <w:spacing w:val="-53"/>
        </w:rPr>
        <w:t xml:space="preserve"> </w:t>
      </w:r>
      <w:r>
        <w:rPr>
          <w:spacing w:val="-13"/>
        </w:rPr>
        <w:t>B，</w:t>
      </w:r>
      <w:r>
        <w:t>对双</w:t>
      </w:r>
    </w:p>
    <w:p>
      <w:pPr>
        <w:pStyle w:val="9"/>
        <w:spacing w:line="281" w:lineRule="exact"/>
        <w:ind w:left="731"/>
      </w:pPr>
      <w:r>
        <w:t>方具有约束力。</w:t>
      </w:r>
    </w:p>
    <w:p>
      <w:pPr>
        <w:pStyle w:val="9"/>
      </w:pPr>
    </w:p>
    <w:p>
      <w:pPr>
        <w:pStyle w:val="9"/>
      </w:pPr>
    </w:p>
    <w:p>
      <w:pPr>
        <w:pStyle w:val="9"/>
      </w:pPr>
    </w:p>
    <w:p>
      <w:pPr>
        <w:pStyle w:val="9"/>
        <w:tabs>
          <w:tab w:val="left" w:pos="8012"/>
          <w:tab w:val="left" w:pos="8231"/>
        </w:tabs>
        <w:spacing w:before="151" w:line="364" w:lineRule="auto"/>
        <w:ind w:left="3392" w:right="890"/>
      </w:pPr>
      <w:r>
        <w:t>投</w:t>
      </w:r>
      <w:r>
        <w:rPr>
          <w:spacing w:val="-3"/>
        </w:rPr>
        <w:t>标</w:t>
      </w:r>
      <w:r>
        <w:t>人</w:t>
      </w:r>
      <w:r>
        <w:rPr>
          <w:spacing w:val="-3"/>
        </w:rPr>
        <w:t>：</w:t>
      </w:r>
      <w:r>
        <w:rPr>
          <w:spacing w:val="-3"/>
          <w:u w:val="single"/>
        </w:rPr>
        <w:t xml:space="preserve"> </w:t>
      </w:r>
      <w:r>
        <w:rPr>
          <w:spacing w:val="-3"/>
          <w:u w:val="single"/>
        </w:rPr>
        <w:tab/>
      </w:r>
      <w:r>
        <w:rPr>
          <w:spacing w:val="-3"/>
          <w:u w:val="single"/>
        </w:rPr>
        <w:tab/>
      </w:r>
      <w:r>
        <w:t>（</w:t>
      </w:r>
      <w:r>
        <w:rPr>
          <w:spacing w:val="-3"/>
        </w:rPr>
        <w:t>单</w:t>
      </w:r>
      <w:r>
        <w:t>位公</w:t>
      </w:r>
      <w:r>
        <w:rPr>
          <w:spacing w:val="-3"/>
        </w:rPr>
        <w:t>章</w:t>
      </w:r>
      <w:r>
        <w:rPr>
          <w:spacing w:val="-12"/>
        </w:rPr>
        <w:t xml:space="preserve">） </w:t>
      </w:r>
      <w:r>
        <w:t>法</w:t>
      </w:r>
      <w:r>
        <w:rPr>
          <w:spacing w:val="-3"/>
        </w:rPr>
        <w:t>定</w:t>
      </w:r>
      <w:r>
        <w:t>代表</w:t>
      </w:r>
      <w:r>
        <w:rPr>
          <w:spacing w:val="-3"/>
        </w:rPr>
        <w:t>人</w:t>
      </w:r>
      <w:r>
        <w:t>或其</w:t>
      </w:r>
      <w:r>
        <w:rPr>
          <w:spacing w:val="-3"/>
        </w:rPr>
        <w:t>委</w:t>
      </w:r>
      <w:r>
        <w:t>托代</w:t>
      </w:r>
      <w:r>
        <w:rPr>
          <w:spacing w:val="-3"/>
        </w:rPr>
        <w:t>理</w:t>
      </w:r>
      <w:r>
        <w:t>人</w:t>
      </w:r>
      <w:r>
        <w:rPr>
          <w:spacing w:val="-3"/>
        </w:rPr>
        <w:t>：</w:t>
      </w:r>
      <w:r>
        <w:rPr>
          <w:spacing w:val="-3"/>
          <w:u w:val="single"/>
        </w:rPr>
        <w:t xml:space="preserve"> </w:t>
      </w:r>
      <w:r>
        <w:rPr>
          <w:spacing w:val="-3"/>
          <w:u w:val="single"/>
        </w:rPr>
        <w:tab/>
      </w:r>
      <w:r>
        <w:rPr>
          <w:spacing w:val="-1"/>
        </w:rPr>
        <w:t>（</w:t>
      </w:r>
      <w:r>
        <w:rPr>
          <w:spacing w:val="-3"/>
        </w:rPr>
        <w:t>签</w:t>
      </w:r>
      <w:r>
        <w:rPr>
          <w:spacing w:val="-1"/>
        </w:rPr>
        <w:t>字或</w:t>
      </w:r>
      <w:r>
        <w:rPr>
          <w:spacing w:val="-3"/>
        </w:rPr>
        <w:t>盖</w:t>
      </w:r>
      <w:r>
        <w:rPr>
          <w:spacing w:val="-1"/>
        </w:rPr>
        <w:t>章</w:t>
      </w:r>
      <w:r>
        <w:rPr>
          <w:spacing w:val="-13"/>
        </w:rPr>
        <w:t>）</w:t>
      </w:r>
    </w:p>
    <w:p>
      <w:pPr>
        <w:pStyle w:val="9"/>
        <w:spacing w:before="11"/>
        <w:rPr>
          <w:sz w:val="27"/>
        </w:rPr>
      </w:pPr>
    </w:p>
    <w:p>
      <w:pPr>
        <w:pStyle w:val="9"/>
        <w:tabs>
          <w:tab w:val="left" w:pos="7571"/>
          <w:tab w:val="left" w:pos="8451"/>
          <w:tab w:val="left" w:pos="9332"/>
        </w:tabs>
        <w:spacing w:before="71"/>
        <w:ind w:left="6582"/>
      </w:pPr>
      <w:r>
        <w:rPr>
          <w:rFonts w:ascii="Times New Roman" w:eastAsia="Times New Roman"/>
          <w:w w:val="100"/>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100" w:right="660" w:bottom="1200" w:left="800" w:header="878" w:footer="1003" w:gutter="0"/>
          <w:cols w:space="720" w:num="1"/>
        </w:sectPr>
      </w:pPr>
    </w:p>
    <w:p>
      <w:pPr>
        <w:pStyle w:val="9"/>
        <w:spacing w:line="20" w:lineRule="exact"/>
        <w:ind w:left="210"/>
        <w:rPr>
          <w:sz w:val="2"/>
        </w:rPr>
      </w:pPr>
      <w:r>
        <w:rPr>
          <w:rFonts w:ascii="宋体" w:hAnsi="宋体" w:eastAsia="宋体" w:cs="宋体"/>
          <w:sz w:val="2"/>
          <w:szCs w:val="22"/>
          <w:lang w:val="zh-CN" w:eastAsia="zh-CN" w:bidi="zh-CN"/>
        </w:rPr>
        <w:pict>
          <v:group id="组合 21" o:spid="_x0000_s1072" style="height:0.75pt;width:700.1pt;rotation:0f;" coordorigin="0,7" coordsize="14002,0">
            <o:lock v:ext="edit" position="f" selection="f" grouping="f" rotation="f" cropping="f" text="f" aspectratio="f"/>
            <v:line id="直线 22" o:spid="_x0000_s1073" style="position:absolute;left:0;top:7;height:0;width:14002;rotation:0f;" o:ole="f" fillcolor="#FFFFFF" filled="f" o:preferrelative="t" stroked="t" coordsize="21600,21600">
              <v:fill on="f" color2="#FFFFFF" focus="0%"/>
              <v:stroke weight="0.72pt" color="#000000" color2="#FFFFFF" miterlimit="2"/>
              <v:imagedata gain="65536f" blacklevel="0f" gamma="0"/>
              <o:lock v:ext="edit" position="f" selection="f" grouping="f" rotation="f" cropping="f" text="f" aspectratio="f"/>
            </v:line>
            <w10:wrap type="none"/>
            <w10:anchorlock/>
          </v:group>
        </w:pict>
      </w:r>
    </w:p>
    <w:p>
      <w:pPr>
        <w:pStyle w:val="9"/>
        <w:rPr>
          <w:sz w:val="20"/>
        </w:rPr>
      </w:pPr>
    </w:p>
    <w:p>
      <w:pPr>
        <w:pStyle w:val="9"/>
        <w:spacing w:before="3"/>
        <w:rPr>
          <w:sz w:val="25"/>
        </w:rPr>
      </w:pPr>
    </w:p>
    <w:p>
      <w:pPr>
        <w:pStyle w:val="9"/>
        <w:spacing w:before="70"/>
        <w:ind w:left="4450" w:right="4769"/>
        <w:jc w:val="center"/>
      </w:pPr>
      <w:bookmarkStart w:id="130" w:name="投标函附录A：上海市建设工程施工投标标书情况汇总表"/>
      <w:bookmarkEnd w:id="130"/>
      <w:r>
        <w:t>投标函附录 A：</w:t>
      </w:r>
      <w:r>
        <w:rPr>
          <w:rFonts w:hint="eastAsia"/>
          <w:lang w:eastAsia="zh-CN"/>
        </w:rPr>
        <w:t>青岛</w:t>
      </w:r>
      <w:r>
        <w:t>市建设工程施工投标标书情况汇总表</w:t>
      </w:r>
    </w:p>
    <w:p>
      <w:pPr>
        <w:pStyle w:val="9"/>
        <w:tabs>
          <w:tab w:val="left" w:pos="4948"/>
          <w:tab w:val="left" w:pos="10501"/>
          <w:tab w:val="left" w:pos="11438"/>
          <w:tab w:val="left" w:pos="13418"/>
        </w:tabs>
        <w:spacing w:before="145"/>
        <w:ind w:left="218"/>
      </w:pPr>
      <w:r>
        <w:t>建</w:t>
      </w:r>
      <w:r>
        <w:rPr>
          <w:spacing w:val="-3"/>
        </w:rPr>
        <w:t>设</w:t>
      </w:r>
      <w:r>
        <w:t>工程</w:t>
      </w:r>
      <w:r>
        <w:rPr>
          <w:spacing w:val="-3"/>
        </w:rPr>
        <w:t>名</w:t>
      </w:r>
      <w:r>
        <w:t>称</w:t>
      </w:r>
      <w:r>
        <w:rPr>
          <w:spacing w:val="-4"/>
        </w:rPr>
        <w:t>：</w:t>
      </w:r>
      <w:r>
        <w:rPr>
          <w:spacing w:val="-4"/>
          <w:u w:val="single"/>
        </w:rPr>
        <w:t xml:space="preserve"> </w:t>
      </w:r>
      <w:r>
        <w:rPr>
          <w:spacing w:val="-4"/>
          <w:u w:val="single"/>
        </w:rPr>
        <w:tab/>
      </w:r>
      <w:r>
        <w:t>（</w:t>
      </w:r>
      <w:r>
        <w:rPr>
          <w:spacing w:val="-2"/>
        </w:rPr>
        <w:t xml:space="preserve"> </w:t>
      </w:r>
      <w:r>
        <w:t>报</w:t>
      </w:r>
      <w:r>
        <w:rPr>
          <w:spacing w:val="-3"/>
        </w:rPr>
        <w:t>建</w:t>
      </w:r>
      <w:r>
        <w:t>编号</w:t>
      </w:r>
      <w:r>
        <w:rPr>
          <w:spacing w:val="-3"/>
        </w:rPr>
        <w:t>及</w:t>
      </w:r>
      <w:r>
        <w:t>标段号</w:t>
      </w:r>
      <w:r>
        <w:rPr>
          <w:spacing w:val="-2"/>
        </w:rPr>
        <w:t xml:space="preserve"> </w:t>
      </w:r>
      <w:r>
        <w:t>）</w:t>
      </w:r>
      <w:r>
        <w:rPr>
          <w:u w:val="single"/>
        </w:rPr>
        <w:t xml:space="preserve"> </w:t>
      </w:r>
      <w:r>
        <w:rPr>
          <w:u w:val="single"/>
        </w:rPr>
        <w:tab/>
      </w:r>
      <w:r>
        <w:tab/>
      </w:r>
      <w:r>
        <w:t>建</w:t>
      </w:r>
      <w:r>
        <w:rPr>
          <w:spacing w:val="-3"/>
        </w:rPr>
        <w:t>筑</w:t>
      </w:r>
      <w:r>
        <w:t>面积</w:t>
      </w:r>
      <w:r>
        <w:rPr>
          <w:spacing w:val="-4"/>
        </w:rPr>
        <w:t>：</w:t>
      </w:r>
      <w:r>
        <w:rPr>
          <w:spacing w:val="-4"/>
          <w:u w:val="single"/>
        </w:rPr>
        <w:t xml:space="preserve"> </w:t>
      </w:r>
      <w:r>
        <w:rPr>
          <w:spacing w:val="-4"/>
          <w:u w:val="single"/>
        </w:rPr>
        <w:tab/>
      </w:r>
      <w:r>
        <w:t>平</w:t>
      </w:r>
      <w:r>
        <w:rPr>
          <w:spacing w:val="-3"/>
        </w:rPr>
        <w:t>方</w:t>
      </w:r>
      <w:r>
        <w:t>米</w:t>
      </w:r>
    </w:p>
    <w:p>
      <w:pPr>
        <w:pStyle w:val="9"/>
        <w:spacing w:before="4"/>
        <w:rPr>
          <w:sz w:val="11"/>
        </w:rPr>
      </w:pPr>
    </w:p>
    <w:tbl>
      <w:tblPr>
        <w:tblW w:w="1452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9"/>
        <w:gridCol w:w="1321"/>
        <w:gridCol w:w="1276"/>
        <w:gridCol w:w="1134"/>
        <w:gridCol w:w="992"/>
        <w:gridCol w:w="1134"/>
        <w:gridCol w:w="1062"/>
        <w:gridCol w:w="1420"/>
        <w:gridCol w:w="1216"/>
        <w:gridCol w:w="1144"/>
        <w:gridCol w:w="766"/>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2189" w:type="dxa"/>
            <w:vMerge w:val="restart"/>
            <w:vAlign w:val="top"/>
          </w:tcPr>
          <w:p>
            <w:pPr>
              <w:pStyle w:val="14"/>
              <w:rPr>
                <w:sz w:val="22"/>
              </w:rPr>
            </w:pPr>
          </w:p>
          <w:p>
            <w:pPr>
              <w:pStyle w:val="14"/>
              <w:spacing w:before="11"/>
              <w:rPr>
                <w:sz w:val="29"/>
              </w:rPr>
            </w:pPr>
          </w:p>
          <w:p>
            <w:pPr>
              <w:pStyle w:val="14"/>
              <w:ind w:left="434"/>
              <w:rPr>
                <w:sz w:val="22"/>
              </w:rPr>
            </w:pPr>
            <w:r>
              <w:rPr>
                <w:sz w:val="22"/>
              </w:rPr>
              <w:t>单位工程名称</w:t>
            </w:r>
          </w:p>
        </w:tc>
        <w:tc>
          <w:tcPr>
            <w:tcW w:w="6919" w:type="dxa"/>
            <w:gridSpan w:val="6"/>
            <w:vAlign w:val="top"/>
          </w:tcPr>
          <w:p>
            <w:pPr>
              <w:pStyle w:val="14"/>
              <w:tabs>
                <w:tab w:val="left" w:pos="562"/>
              </w:tabs>
              <w:spacing w:before="19"/>
              <w:ind w:left="10"/>
              <w:jc w:val="center"/>
              <w:rPr>
                <w:sz w:val="22"/>
              </w:rPr>
            </w:pPr>
            <w:r>
              <w:rPr>
                <w:sz w:val="22"/>
              </w:rPr>
              <w:t>报</w:t>
            </w:r>
            <w:r>
              <w:rPr>
                <w:sz w:val="22"/>
              </w:rPr>
              <w:tab/>
            </w:r>
            <w:r>
              <w:rPr>
                <w:sz w:val="22"/>
              </w:rPr>
              <w:t>价</w:t>
            </w:r>
            <w:r>
              <w:rPr>
                <w:spacing w:val="-3"/>
                <w:sz w:val="22"/>
              </w:rPr>
              <w:t>（</w:t>
            </w:r>
            <w:r>
              <w:rPr>
                <w:sz w:val="22"/>
              </w:rPr>
              <w:t>万元）</w:t>
            </w:r>
          </w:p>
        </w:tc>
        <w:tc>
          <w:tcPr>
            <w:tcW w:w="1420" w:type="dxa"/>
            <w:vMerge w:val="restart"/>
            <w:vAlign w:val="top"/>
          </w:tcPr>
          <w:p>
            <w:pPr>
              <w:pStyle w:val="14"/>
              <w:rPr>
                <w:sz w:val="22"/>
              </w:rPr>
            </w:pPr>
          </w:p>
          <w:p>
            <w:pPr>
              <w:pStyle w:val="14"/>
              <w:spacing w:before="11"/>
              <w:rPr>
                <w:sz w:val="29"/>
              </w:rPr>
            </w:pPr>
          </w:p>
          <w:p>
            <w:pPr>
              <w:pStyle w:val="14"/>
              <w:ind w:left="268"/>
              <w:rPr>
                <w:sz w:val="22"/>
              </w:rPr>
            </w:pPr>
            <w:r>
              <w:rPr>
                <w:sz w:val="22"/>
              </w:rPr>
              <w:t>暂列金额</w:t>
            </w:r>
          </w:p>
        </w:tc>
        <w:tc>
          <w:tcPr>
            <w:tcW w:w="1216" w:type="dxa"/>
            <w:vMerge w:val="restart"/>
            <w:vAlign w:val="top"/>
          </w:tcPr>
          <w:p>
            <w:pPr>
              <w:pStyle w:val="14"/>
              <w:rPr>
                <w:sz w:val="22"/>
              </w:rPr>
            </w:pPr>
          </w:p>
          <w:p>
            <w:pPr>
              <w:pStyle w:val="14"/>
              <w:spacing w:before="169" w:line="364" w:lineRule="auto"/>
              <w:ind w:left="276" w:right="156" w:hanging="111"/>
              <w:rPr>
                <w:sz w:val="22"/>
              </w:rPr>
            </w:pPr>
            <w:r>
              <w:rPr>
                <w:sz w:val="22"/>
              </w:rPr>
              <w:t>专业工程暂估价</w:t>
            </w:r>
          </w:p>
        </w:tc>
        <w:tc>
          <w:tcPr>
            <w:tcW w:w="1144" w:type="dxa"/>
            <w:vMerge w:val="restart"/>
            <w:vAlign w:val="top"/>
          </w:tcPr>
          <w:p>
            <w:pPr>
              <w:pStyle w:val="14"/>
              <w:rPr>
                <w:sz w:val="22"/>
              </w:rPr>
            </w:pPr>
          </w:p>
          <w:p>
            <w:pPr>
              <w:pStyle w:val="14"/>
              <w:spacing w:before="169" w:line="364" w:lineRule="auto"/>
              <w:ind w:left="107" w:right="-15" w:firstLine="24"/>
              <w:rPr>
                <w:sz w:val="22"/>
              </w:rPr>
            </w:pPr>
            <w:r>
              <w:rPr>
                <w:spacing w:val="-2"/>
                <w:sz w:val="22"/>
              </w:rPr>
              <w:t>社会保险</w:t>
            </w:r>
            <w:r>
              <w:rPr>
                <w:spacing w:val="-63"/>
                <w:sz w:val="22"/>
              </w:rPr>
              <w:t>费</w:t>
            </w:r>
            <w:r>
              <w:rPr>
                <w:sz w:val="22"/>
              </w:rPr>
              <w:t>（</w:t>
            </w:r>
            <w:r>
              <w:rPr>
                <w:spacing w:val="-2"/>
                <w:sz w:val="22"/>
              </w:rPr>
              <w:t>万元</w:t>
            </w:r>
            <w:r>
              <w:rPr>
                <w:spacing w:val="-15"/>
                <w:sz w:val="22"/>
              </w:rPr>
              <w:t>）</w:t>
            </w:r>
          </w:p>
        </w:tc>
        <w:tc>
          <w:tcPr>
            <w:tcW w:w="766" w:type="dxa"/>
            <w:vMerge w:val="restart"/>
            <w:vAlign w:val="top"/>
          </w:tcPr>
          <w:p>
            <w:pPr>
              <w:pStyle w:val="14"/>
              <w:rPr>
                <w:rFonts w:ascii="Times New Roman"/>
                <w:sz w:val="20"/>
              </w:rPr>
            </w:pPr>
          </w:p>
        </w:tc>
        <w:tc>
          <w:tcPr>
            <w:tcW w:w="869" w:type="dxa"/>
            <w:vMerge w:val="restart"/>
            <w:vAlign w:val="top"/>
          </w:tcPr>
          <w:p>
            <w:pPr>
              <w:pStyle w:val="14"/>
              <w:rPr>
                <w:sz w:val="22"/>
              </w:rPr>
            </w:pPr>
          </w:p>
          <w:p>
            <w:pPr>
              <w:pStyle w:val="14"/>
              <w:spacing w:before="11"/>
              <w:rPr>
                <w:sz w:val="29"/>
              </w:rPr>
            </w:pPr>
          </w:p>
          <w:p>
            <w:pPr>
              <w:pStyle w:val="14"/>
              <w:ind w:left="213"/>
              <w:rPr>
                <w:sz w:val="22"/>
              </w:rPr>
            </w:pPr>
            <w:r>
              <w:rPr>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4" w:hRule="atLeast"/>
        </w:trPr>
        <w:tc>
          <w:tcPr>
            <w:tcW w:w="2189" w:type="dxa"/>
            <w:vMerge w:val="continue"/>
            <w:tcBorders>
              <w:top w:val="nil"/>
            </w:tcBorders>
            <w:vAlign w:val="top"/>
          </w:tcPr>
          <w:p>
            <w:pPr>
              <w:rPr>
                <w:sz w:val="2"/>
                <w:szCs w:val="2"/>
              </w:rPr>
            </w:pPr>
          </w:p>
        </w:tc>
        <w:tc>
          <w:tcPr>
            <w:tcW w:w="1321" w:type="dxa"/>
            <w:vAlign w:val="top"/>
          </w:tcPr>
          <w:p>
            <w:pPr>
              <w:pStyle w:val="14"/>
              <w:rPr>
                <w:sz w:val="22"/>
              </w:rPr>
            </w:pPr>
          </w:p>
          <w:p>
            <w:pPr>
              <w:pStyle w:val="14"/>
              <w:spacing w:before="147"/>
              <w:ind w:left="439"/>
              <w:rPr>
                <w:sz w:val="22"/>
              </w:rPr>
            </w:pPr>
            <w:r>
              <w:rPr>
                <w:sz w:val="22"/>
              </w:rPr>
              <w:t>总计</w:t>
            </w:r>
          </w:p>
        </w:tc>
        <w:tc>
          <w:tcPr>
            <w:tcW w:w="1276" w:type="dxa"/>
            <w:vAlign w:val="top"/>
          </w:tcPr>
          <w:p>
            <w:pPr>
              <w:pStyle w:val="14"/>
              <w:spacing w:before="1"/>
              <w:ind w:left="198"/>
              <w:rPr>
                <w:sz w:val="22"/>
              </w:rPr>
            </w:pPr>
            <w:r>
              <w:rPr>
                <w:sz w:val="22"/>
              </w:rPr>
              <w:t>分部分项</w:t>
            </w:r>
          </w:p>
          <w:p>
            <w:pPr>
              <w:pStyle w:val="14"/>
              <w:spacing w:before="8" w:line="420" w:lineRule="atLeast"/>
              <w:ind w:left="526" w:right="184" w:hanging="329"/>
              <w:rPr>
                <w:sz w:val="22"/>
              </w:rPr>
            </w:pPr>
            <w:r>
              <w:rPr>
                <w:sz w:val="22"/>
              </w:rPr>
              <w:t>工程量报价</w:t>
            </w:r>
          </w:p>
        </w:tc>
        <w:tc>
          <w:tcPr>
            <w:tcW w:w="1134" w:type="dxa"/>
            <w:vAlign w:val="top"/>
          </w:tcPr>
          <w:p>
            <w:pPr>
              <w:pStyle w:val="14"/>
              <w:spacing w:before="8"/>
              <w:rPr>
                <w:sz w:val="16"/>
              </w:rPr>
            </w:pPr>
          </w:p>
          <w:p>
            <w:pPr>
              <w:pStyle w:val="14"/>
              <w:spacing w:line="364" w:lineRule="auto"/>
              <w:ind w:left="347" w:right="114" w:hanging="221"/>
              <w:rPr>
                <w:sz w:val="22"/>
              </w:rPr>
            </w:pPr>
            <w:r>
              <w:rPr>
                <w:sz w:val="22"/>
              </w:rPr>
              <w:t>其他项目报价</w:t>
            </w:r>
          </w:p>
        </w:tc>
        <w:tc>
          <w:tcPr>
            <w:tcW w:w="992" w:type="dxa"/>
            <w:vAlign w:val="top"/>
          </w:tcPr>
          <w:p>
            <w:pPr>
              <w:pStyle w:val="14"/>
              <w:spacing w:before="8"/>
              <w:rPr>
                <w:sz w:val="16"/>
              </w:rPr>
            </w:pPr>
          </w:p>
          <w:p>
            <w:pPr>
              <w:pStyle w:val="14"/>
              <w:spacing w:line="364" w:lineRule="auto"/>
              <w:ind w:left="274" w:right="153" w:hanging="108"/>
              <w:rPr>
                <w:sz w:val="22"/>
              </w:rPr>
            </w:pPr>
            <w:r>
              <w:rPr>
                <w:sz w:val="22"/>
              </w:rPr>
              <w:t>措施费报价</w:t>
            </w:r>
          </w:p>
        </w:tc>
        <w:tc>
          <w:tcPr>
            <w:tcW w:w="1134" w:type="dxa"/>
            <w:vAlign w:val="top"/>
          </w:tcPr>
          <w:p>
            <w:pPr>
              <w:pStyle w:val="14"/>
              <w:spacing w:before="8"/>
              <w:rPr>
                <w:sz w:val="16"/>
              </w:rPr>
            </w:pPr>
          </w:p>
          <w:p>
            <w:pPr>
              <w:pStyle w:val="14"/>
              <w:spacing w:line="364" w:lineRule="auto"/>
              <w:ind w:left="345" w:right="113" w:hanging="219"/>
              <w:rPr>
                <w:sz w:val="22"/>
              </w:rPr>
            </w:pPr>
            <w:r>
              <w:rPr>
                <w:sz w:val="22"/>
              </w:rPr>
              <w:t>规费项目报价</w:t>
            </w:r>
          </w:p>
        </w:tc>
        <w:tc>
          <w:tcPr>
            <w:tcW w:w="1062" w:type="dxa"/>
            <w:vAlign w:val="top"/>
          </w:tcPr>
          <w:p>
            <w:pPr>
              <w:pStyle w:val="14"/>
              <w:spacing w:before="1"/>
              <w:ind w:left="200"/>
              <w:rPr>
                <w:sz w:val="22"/>
              </w:rPr>
            </w:pPr>
            <w:r>
              <w:rPr>
                <w:sz w:val="22"/>
              </w:rPr>
              <w:t>增值税</w:t>
            </w:r>
          </w:p>
          <w:p>
            <w:pPr>
              <w:pStyle w:val="14"/>
              <w:spacing w:before="8" w:line="420" w:lineRule="atLeast"/>
              <w:ind w:left="421" w:right="189" w:hanging="221"/>
              <w:rPr>
                <w:sz w:val="22"/>
              </w:rPr>
            </w:pPr>
            <w:r>
              <w:rPr>
                <w:sz w:val="22"/>
              </w:rPr>
              <w:t>项目报价</w:t>
            </w:r>
          </w:p>
        </w:tc>
        <w:tc>
          <w:tcPr>
            <w:tcW w:w="1420" w:type="dxa"/>
            <w:vMerge w:val="continue"/>
            <w:tcBorders>
              <w:top w:val="nil"/>
            </w:tcBorders>
            <w:vAlign w:val="top"/>
          </w:tcPr>
          <w:p>
            <w:pPr>
              <w:rPr>
                <w:sz w:val="2"/>
                <w:szCs w:val="2"/>
              </w:rPr>
            </w:pPr>
          </w:p>
        </w:tc>
        <w:tc>
          <w:tcPr>
            <w:tcW w:w="1216" w:type="dxa"/>
            <w:vMerge w:val="continue"/>
            <w:tcBorders>
              <w:top w:val="nil"/>
            </w:tcBorders>
            <w:vAlign w:val="top"/>
          </w:tcPr>
          <w:p>
            <w:pPr>
              <w:rPr>
                <w:sz w:val="2"/>
                <w:szCs w:val="2"/>
              </w:rPr>
            </w:pPr>
          </w:p>
        </w:tc>
        <w:tc>
          <w:tcPr>
            <w:tcW w:w="1144" w:type="dxa"/>
            <w:vMerge w:val="continue"/>
            <w:tcBorders>
              <w:top w:val="nil"/>
            </w:tcBorders>
            <w:vAlign w:val="top"/>
          </w:tcPr>
          <w:p>
            <w:pPr>
              <w:rPr>
                <w:sz w:val="2"/>
                <w:szCs w:val="2"/>
              </w:rPr>
            </w:pPr>
          </w:p>
        </w:tc>
        <w:tc>
          <w:tcPr>
            <w:tcW w:w="766" w:type="dxa"/>
            <w:vMerge w:val="continue"/>
            <w:tcBorders>
              <w:top w:val="nil"/>
            </w:tcBorders>
            <w:vAlign w:val="top"/>
          </w:tcPr>
          <w:p>
            <w:pPr>
              <w:rPr>
                <w:sz w:val="2"/>
                <w:szCs w:val="2"/>
              </w:rPr>
            </w:pPr>
          </w:p>
        </w:tc>
        <w:tc>
          <w:tcPr>
            <w:tcW w:w="869"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2189" w:type="dxa"/>
            <w:vAlign w:val="top"/>
          </w:tcPr>
          <w:p>
            <w:pPr>
              <w:pStyle w:val="14"/>
              <w:rPr>
                <w:rFonts w:ascii="Times New Roman"/>
                <w:sz w:val="20"/>
              </w:rPr>
            </w:pPr>
          </w:p>
        </w:tc>
        <w:tc>
          <w:tcPr>
            <w:tcW w:w="1321" w:type="dxa"/>
            <w:vAlign w:val="top"/>
          </w:tcPr>
          <w:p>
            <w:pPr>
              <w:pStyle w:val="14"/>
              <w:rPr>
                <w:rFonts w:ascii="Times New Roman"/>
                <w:sz w:val="20"/>
              </w:rPr>
            </w:pPr>
          </w:p>
        </w:tc>
        <w:tc>
          <w:tcPr>
            <w:tcW w:w="1276" w:type="dxa"/>
            <w:vAlign w:val="top"/>
          </w:tcPr>
          <w:p>
            <w:pPr>
              <w:pStyle w:val="14"/>
              <w:rPr>
                <w:rFonts w:ascii="Times New Roman"/>
                <w:sz w:val="20"/>
              </w:rPr>
            </w:pPr>
          </w:p>
        </w:tc>
        <w:tc>
          <w:tcPr>
            <w:tcW w:w="1134" w:type="dxa"/>
            <w:vAlign w:val="top"/>
          </w:tcPr>
          <w:p>
            <w:pPr>
              <w:pStyle w:val="14"/>
              <w:rPr>
                <w:rFonts w:ascii="Times New Roman"/>
                <w:sz w:val="20"/>
              </w:rPr>
            </w:pPr>
          </w:p>
        </w:tc>
        <w:tc>
          <w:tcPr>
            <w:tcW w:w="992" w:type="dxa"/>
            <w:vAlign w:val="top"/>
          </w:tcPr>
          <w:p>
            <w:pPr>
              <w:pStyle w:val="14"/>
              <w:rPr>
                <w:rFonts w:ascii="Times New Roman"/>
                <w:sz w:val="20"/>
              </w:rPr>
            </w:pPr>
          </w:p>
        </w:tc>
        <w:tc>
          <w:tcPr>
            <w:tcW w:w="1134" w:type="dxa"/>
            <w:vAlign w:val="top"/>
          </w:tcPr>
          <w:p>
            <w:pPr>
              <w:pStyle w:val="14"/>
              <w:rPr>
                <w:rFonts w:ascii="Times New Roman"/>
                <w:sz w:val="20"/>
              </w:rPr>
            </w:pPr>
          </w:p>
        </w:tc>
        <w:tc>
          <w:tcPr>
            <w:tcW w:w="1062" w:type="dxa"/>
            <w:vAlign w:val="top"/>
          </w:tcPr>
          <w:p>
            <w:pPr>
              <w:pStyle w:val="14"/>
              <w:rPr>
                <w:rFonts w:ascii="Times New Roman"/>
                <w:sz w:val="20"/>
              </w:rPr>
            </w:pPr>
          </w:p>
        </w:tc>
        <w:tc>
          <w:tcPr>
            <w:tcW w:w="1420" w:type="dxa"/>
            <w:vMerge w:val="restart"/>
            <w:vAlign w:val="top"/>
          </w:tcPr>
          <w:p>
            <w:pPr>
              <w:pStyle w:val="14"/>
              <w:rPr>
                <w:rFonts w:ascii="Times New Roman"/>
                <w:sz w:val="20"/>
              </w:rPr>
            </w:pPr>
          </w:p>
        </w:tc>
        <w:tc>
          <w:tcPr>
            <w:tcW w:w="1216" w:type="dxa"/>
            <w:vMerge w:val="restart"/>
            <w:vAlign w:val="top"/>
          </w:tcPr>
          <w:p>
            <w:pPr>
              <w:pStyle w:val="14"/>
              <w:rPr>
                <w:rFonts w:ascii="Times New Roman"/>
                <w:sz w:val="20"/>
              </w:rPr>
            </w:pPr>
          </w:p>
        </w:tc>
        <w:tc>
          <w:tcPr>
            <w:tcW w:w="1144" w:type="dxa"/>
            <w:vMerge w:val="restart"/>
            <w:vAlign w:val="top"/>
          </w:tcPr>
          <w:p>
            <w:pPr>
              <w:pStyle w:val="14"/>
              <w:rPr>
                <w:rFonts w:ascii="Times New Roman"/>
                <w:sz w:val="20"/>
              </w:rPr>
            </w:pPr>
          </w:p>
        </w:tc>
        <w:tc>
          <w:tcPr>
            <w:tcW w:w="766" w:type="dxa"/>
            <w:vMerge w:val="restart"/>
            <w:vAlign w:val="top"/>
          </w:tcPr>
          <w:p>
            <w:pPr>
              <w:pStyle w:val="14"/>
              <w:rPr>
                <w:rFonts w:ascii="Times New Roman"/>
                <w:sz w:val="20"/>
              </w:rPr>
            </w:pPr>
          </w:p>
        </w:tc>
        <w:tc>
          <w:tcPr>
            <w:tcW w:w="869" w:type="dxa"/>
            <w:vMerge w:val="restart"/>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2189" w:type="dxa"/>
            <w:vAlign w:val="top"/>
          </w:tcPr>
          <w:p>
            <w:pPr>
              <w:pStyle w:val="14"/>
              <w:rPr>
                <w:rFonts w:ascii="Times New Roman"/>
                <w:sz w:val="20"/>
              </w:rPr>
            </w:pPr>
          </w:p>
        </w:tc>
        <w:tc>
          <w:tcPr>
            <w:tcW w:w="1321" w:type="dxa"/>
            <w:vAlign w:val="top"/>
          </w:tcPr>
          <w:p>
            <w:pPr>
              <w:pStyle w:val="14"/>
              <w:rPr>
                <w:rFonts w:ascii="Times New Roman"/>
                <w:sz w:val="20"/>
              </w:rPr>
            </w:pPr>
          </w:p>
        </w:tc>
        <w:tc>
          <w:tcPr>
            <w:tcW w:w="1276" w:type="dxa"/>
            <w:vAlign w:val="top"/>
          </w:tcPr>
          <w:p>
            <w:pPr>
              <w:pStyle w:val="14"/>
              <w:rPr>
                <w:rFonts w:ascii="Times New Roman"/>
                <w:sz w:val="20"/>
              </w:rPr>
            </w:pPr>
          </w:p>
        </w:tc>
        <w:tc>
          <w:tcPr>
            <w:tcW w:w="1134" w:type="dxa"/>
            <w:vAlign w:val="top"/>
          </w:tcPr>
          <w:p>
            <w:pPr>
              <w:pStyle w:val="14"/>
              <w:rPr>
                <w:rFonts w:ascii="Times New Roman"/>
                <w:sz w:val="20"/>
              </w:rPr>
            </w:pPr>
          </w:p>
        </w:tc>
        <w:tc>
          <w:tcPr>
            <w:tcW w:w="992" w:type="dxa"/>
            <w:vAlign w:val="top"/>
          </w:tcPr>
          <w:p>
            <w:pPr>
              <w:pStyle w:val="14"/>
              <w:rPr>
                <w:rFonts w:ascii="Times New Roman"/>
                <w:sz w:val="20"/>
              </w:rPr>
            </w:pPr>
          </w:p>
        </w:tc>
        <w:tc>
          <w:tcPr>
            <w:tcW w:w="1134" w:type="dxa"/>
            <w:vAlign w:val="top"/>
          </w:tcPr>
          <w:p>
            <w:pPr>
              <w:pStyle w:val="14"/>
              <w:rPr>
                <w:rFonts w:ascii="Times New Roman"/>
                <w:sz w:val="20"/>
              </w:rPr>
            </w:pPr>
          </w:p>
        </w:tc>
        <w:tc>
          <w:tcPr>
            <w:tcW w:w="1062" w:type="dxa"/>
            <w:vAlign w:val="top"/>
          </w:tcPr>
          <w:p>
            <w:pPr>
              <w:pStyle w:val="14"/>
              <w:rPr>
                <w:rFonts w:ascii="Times New Roman"/>
                <w:sz w:val="20"/>
              </w:rPr>
            </w:pPr>
          </w:p>
        </w:tc>
        <w:tc>
          <w:tcPr>
            <w:tcW w:w="1420" w:type="dxa"/>
            <w:vMerge w:val="continue"/>
            <w:tcBorders>
              <w:top w:val="nil"/>
            </w:tcBorders>
            <w:vAlign w:val="top"/>
          </w:tcPr>
          <w:p>
            <w:pPr>
              <w:rPr>
                <w:sz w:val="2"/>
                <w:szCs w:val="2"/>
              </w:rPr>
            </w:pPr>
          </w:p>
        </w:tc>
        <w:tc>
          <w:tcPr>
            <w:tcW w:w="1216" w:type="dxa"/>
            <w:vMerge w:val="continue"/>
            <w:tcBorders>
              <w:top w:val="nil"/>
            </w:tcBorders>
            <w:vAlign w:val="top"/>
          </w:tcPr>
          <w:p>
            <w:pPr>
              <w:rPr>
                <w:sz w:val="2"/>
                <w:szCs w:val="2"/>
              </w:rPr>
            </w:pPr>
          </w:p>
        </w:tc>
        <w:tc>
          <w:tcPr>
            <w:tcW w:w="1144" w:type="dxa"/>
            <w:vMerge w:val="continue"/>
            <w:tcBorders>
              <w:top w:val="nil"/>
            </w:tcBorders>
            <w:vAlign w:val="top"/>
          </w:tcPr>
          <w:p>
            <w:pPr>
              <w:rPr>
                <w:sz w:val="2"/>
                <w:szCs w:val="2"/>
              </w:rPr>
            </w:pPr>
          </w:p>
        </w:tc>
        <w:tc>
          <w:tcPr>
            <w:tcW w:w="766" w:type="dxa"/>
            <w:vMerge w:val="continue"/>
            <w:tcBorders>
              <w:top w:val="nil"/>
            </w:tcBorders>
            <w:vAlign w:val="top"/>
          </w:tcPr>
          <w:p>
            <w:pPr>
              <w:rPr>
                <w:sz w:val="2"/>
                <w:szCs w:val="2"/>
              </w:rPr>
            </w:pPr>
          </w:p>
        </w:tc>
        <w:tc>
          <w:tcPr>
            <w:tcW w:w="869"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8" w:hRule="atLeast"/>
        </w:trPr>
        <w:tc>
          <w:tcPr>
            <w:tcW w:w="2189" w:type="dxa"/>
            <w:vAlign w:val="top"/>
          </w:tcPr>
          <w:p>
            <w:pPr>
              <w:pStyle w:val="14"/>
              <w:spacing w:before="1"/>
              <w:ind w:left="108"/>
              <w:rPr>
                <w:sz w:val="22"/>
              </w:rPr>
            </w:pPr>
            <w:r>
              <w:rPr>
                <w:sz w:val="22"/>
              </w:rPr>
              <w:t>合计</w:t>
            </w:r>
          </w:p>
        </w:tc>
        <w:tc>
          <w:tcPr>
            <w:tcW w:w="1321" w:type="dxa"/>
            <w:vAlign w:val="top"/>
          </w:tcPr>
          <w:p>
            <w:pPr>
              <w:pStyle w:val="14"/>
              <w:rPr>
                <w:rFonts w:ascii="Times New Roman"/>
                <w:sz w:val="20"/>
              </w:rPr>
            </w:pPr>
          </w:p>
        </w:tc>
        <w:tc>
          <w:tcPr>
            <w:tcW w:w="1276" w:type="dxa"/>
            <w:vAlign w:val="top"/>
          </w:tcPr>
          <w:p>
            <w:pPr>
              <w:pStyle w:val="14"/>
              <w:rPr>
                <w:rFonts w:ascii="Times New Roman"/>
                <w:sz w:val="20"/>
              </w:rPr>
            </w:pPr>
          </w:p>
        </w:tc>
        <w:tc>
          <w:tcPr>
            <w:tcW w:w="1134" w:type="dxa"/>
            <w:vAlign w:val="top"/>
          </w:tcPr>
          <w:p>
            <w:pPr>
              <w:pStyle w:val="14"/>
              <w:rPr>
                <w:rFonts w:ascii="Times New Roman"/>
                <w:sz w:val="20"/>
              </w:rPr>
            </w:pPr>
          </w:p>
        </w:tc>
        <w:tc>
          <w:tcPr>
            <w:tcW w:w="992" w:type="dxa"/>
            <w:vAlign w:val="top"/>
          </w:tcPr>
          <w:p>
            <w:pPr>
              <w:pStyle w:val="14"/>
              <w:rPr>
                <w:rFonts w:ascii="Times New Roman"/>
                <w:sz w:val="20"/>
              </w:rPr>
            </w:pPr>
          </w:p>
        </w:tc>
        <w:tc>
          <w:tcPr>
            <w:tcW w:w="1134" w:type="dxa"/>
            <w:vAlign w:val="top"/>
          </w:tcPr>
          <w:p>
            <w:pPr>
              <w:pStyle w:val="14"/>
              <w:rPr>
                <w:rFonts w:ascii="Times New Roman"/>
                <w:sz w:val="20"/>
              </w:rPr>
            </w:pPr>
          </w:p>
        </w:tc>
        <w:tc>
          <w:tcPr>
            <w:tcW w:w="1062" w:type="dxa"/>
            <w:vAlign w:val="top"/>
          </w:tcPr>
          <w:p>
            <w:pPr>
              <w:pStyle w:val="14"/>
              <w:rPr>
                <w:rFonts w:ascii="Times New Roman"/>
                <w:sz w:val="20"/>
              </w:rPr>
            </w:pPr>
          </w:p>
        </w:tc>
        <w:tc>
          <w:tcPr>
            <w:tcW w:w="1420" w:type="dxa"/>
            <w:vMerge w:val="continue"/>
            <w:tcBorders>
              <w:top w:val="nil"/>
            </w:tcBorders>
            <w:vAlign w:val="top"/>
          </w:tcPr>
          <w:p>
            <w:pPr>
              <w:rPr>
                <w:sz w:val="2"/>
                <w:szCs w:val="2"/>
              </w:rPr>
            </w:pPr>
          </w:p>
        </w:tc>
        <w:tc>
          <w:tcPr>
            <w:tcW w:w="1216" w:type="dxa"/>
            <w:vMerge w:val="continue"/>
            <w:tcBorders>
              <w:top w:val="nil"/>
            </w:tcBorders>
            <w:vAlign w:val="top"/>
          </w:tcPr>
          <w:p>
            <w:pPr>
              <w:rPr>
                <w:sz w:val="2"/>
                <w:szCs w:val="2"/>
              </w:rPr>
            </w:pPr>
          </w:p>
        </w:tc>
        <w:tc>
          <w:tcPr>
            <w:tcW w:w="1144" w:type="dxa"/>
            <w:vMerge w:val="continue"/>
            <w:tcBorders>
              <w:top w:val="nil"/>
            </w:tcBorders>
            <w:vAlign w:val="top"/>
          </w:tcPr>
          <w:p>
            <w:pPr>
              <w:rPr>
                <w:sz w:val="2"/>
                <w:szCs w:val="2"/>
              </w:rPr>
            </w:pPr>
          </w:p>
        </w:tc>
        <w:tc>
          <w:tcPr>
            <w:tcW w:w="766" w:type="dxa"/>
            <w:vMerge w:val="continue"/>
            <w:tcBorders>
              <w:top w:val="nil"/>
            </w:tcBorders>
            <w:vAlign w:val="top"/>
          </w:tcPr>
          <w:p>
            <w:pPr>
              <w:rPr>
                <w:sz w:val="2"/>
                <w:szCs w:val="2"/>
              </w:rPr>
            </w:pPr>
          </w:p>
        </w:tc>
        <w:tc>
          <w:tcPr>
            <w:tcW w:w="869"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50" w:hRule="atLeast"/>
        </w:trPr>
        <w:tc>
          <w:tcPr>
            <w:tcW w:w="14523" w:type="dxa"/>
            <w:gridSpan w:val="12"/>
            <w:vAlign w:val="top"/>
          </w:tcPr>
          <w:p>
            <w:pPr>
              <w:pStyle w:val="14"/>
              <w:rPr>
                <w:sz w:val="22"/>
              </w:rPr>
            </w:pPr>
          </w:p>
          <w:p>
            <w:pPr>
              <w:pStyle w:val="14"/>
              <w:spacing w:before="145"/>
              <w:ind w:left="108"/>
              <w:rPr>
                <w:sz w:val="22"/>
              </w:rPr>
            </w:pPr>
            <w:r>
              <w:rPr>
                <w:spacing w:val="-2"/>
                <w:w w:val="100"/>
                <w:sz w:val="22"/>
              </w:rPr>
              <w:t>备注：</w:t>
            </w:r>
            <w:r>
              <w:rPr>
                <w:spacing w:val="-166"/>
                <w:w w:val="100"/>
                <w:sz w:val="22"/>
              </w:rPr>
              <w:t>○</w:t>
            </w:r>
            <w:r>
              <w:rPr>
                <w:w w:val="100"/>
                <w:sz w:val="22"/>
              </w:rPr>
              <w:t>1</w:t>
            </w:r>
            <w:r>
              <w:rPr>
                <w:spacing w:val="-58"/>
                <w:sz w:val="22"/>
              </w:rPr>
              <w:t xml:space="preserve"> </w:t>
            </w:r>
            <w:r>
              <w:rPr>
                <w:spacing w:val="-3"/>
                <w:w w:val="100"/>
                <w:sz w:val="22"/>
              </w:rPr>
              <w:t>总报价人民币大写：</w:t>
            </w:r>
          </w:p>
          <w:p>
            <w:pPr>
              <w:pStyle w:val="14"/>
              <w:tabs>
                <w:tab w:val="left" w:pos="3462"/>
                <w:tab w:val="left" w:pos="6320"/>
              </w:tabs>
              <w:spacing w:before="148" w:line="364" w:lineRule="auto"/>
              <w:ind w:left="986" w:right="7913" w:hanging="219"/>
              <w:rPr>
                <w:sz w:val="22"/>
              </w:rPr>
            </w:pPr>
            <w:r>
              <w:rPr>
                <w:spacing w:val="-166"/>
                <w:w w:val="100"/>
                <w:sz w:val="22"/>
              </w:rPr>
              <w:t>○</w:t>
            </w:r>
            <w:r>
              <w:rPr>
                <w:w w:val="100"/>
                <w:sz w:val="22"/>
              </w:rPr>
              <w:t>2</w:t>
            </w:r>
            <w:r>
              <w:rPr>
                <w:spacing w:val="-58"/>
                <w:sz w:val="22"/>
              </w:rPr>
              <w:t xml:space="preserve"> </w:t>
            </w:r>
            <w:r>
              <w:rPr>
                <w:spacing w:val="-1"/>
                <w:w w:val="100"/>
                <w:sz w:val="22"/>
              </w:rPr>
              <w:t>自</w:t>
            </w:r>
            <w:r>
              <w:rPr>
                <w:spacing w:val="-3"/>
                <w:w w:val="100"/>
                <w:sz w:val="22"/>
              </w:rPr>
              <w:t>报</w:t>
            </w:r>
            <w:r>
              <w:rPr>
                <w:spacing w:val="-1"/>
                <w:w w:val="100"/>
                <w:sz w:val="22"/>
              </w:rPr>
              <w:t>施工</w:t>
            </w:r>
            <w:r>
              <w:rPr>
                <w:spacing w:val="-3"/>
                <w:w w:val="100"/>
                <w:sz w:val="22"/>
              </w:rPr>
              <w:t>工</w:t>
            </w:r>
            <w:r>
              <w:rPr>
                <w:spacing w:val="-1"/>
                <w:w w:val="100"/>
                <w:sz w:val="22"/>
              </w:rPr>
              <w:t>期</w:t>
            </w:r>
            <w:r>
              <w:rPr>
                <w:rFonts w:ascii="Times New Roman" w:hAnsi="Times New Roman" w:eastAsia="Times New Roman"/>
                <w:w w:val="100"/>
                <w:sz w:val="22"/>
                <w:u w:val="single"/>
              </w:rPr>
              <w:t xml:space="preserve"> </w:t>
            </w:r>
            <w:r>
              <w:rPr>
                <w:rFonts w:ascii="Times New Roman" w:hAnsi="Times New Roman" w:eastAsia="Times New Roman"/>
                <w:sz w:val="22"/>
                <w:u w:val="single"/>
              </w:rPr>
              <w:tab/>
            </w:r>
            <w:r>
              <w:rPr>
                <w:rFonts w:ascii="Times New Roman" w:hAnsi="Times New Roman" w:eastAsia="Times New Roman"/>
                <w:sz w:val="22"/>
              </w:rPr>
              <w:t xml:space="preserve"> </w:t>
            </w:r>
            <w:r>
              <w:rPr>
                <w:spacing w:val="-1"/>
                <w:w w:val="100"/>
                <w:sz w:val="22"/>
              </w:rPr>
              <w:t>日</w:t>
            </w:r>
            <w:r>
              <w:rPr>
                <w:spacing w:val="-3"/>
                <w:w w:val="100"/>
                <w:sz w:val="22"/>
              </w:rPr>
              <w:t>历</w:t>
            </w:r>
            <w:r>
              <w:rPr>
                <w:spacing w:val="-1"/>
                <w:w w:val="100"/>
                <w:sz w:val="22"/>
              </w:rPr>
              <w:t>天，</w:t>
            </w:r>
            <w:r>
              <w:rPr>
                <w:spacing w:val="-3"/>
                <w:w w:val="100"/>
                <w:sz w:val="22"/>
              </w:rPr>
              <w:t>自</w:t>
            </w:r>
            <w:r>
              <w:rPr>
                <w:spacing w:val="-1"/>
                <w:w w:val="100"/>
                <w:sz w:val="22"/>
              </w:rPr>
              <w:t>保质</w:t>
            </w:r>
            <w:r>
              <w:rPr>
                <w:spacing w:val="-3"/>
                <w:w w:val="100"/>
                <w:sz w:val="22"/>
              </w:rPr>
              <w:t>量</w:t>
            </w:r>
            <w:r>
              <w:rPr>
                <w:rFonts w:ascii="Times New Roman" w:hAnsi="Times New Roman" w:eastAsia="Times New Roman"/>
                <w:w w:val="100"/>
                <w:sz w:val="22"/>
                <w:u w:val="single"/>
              </w:rPr>
              <w:t xml:space="preserve"> </w:t>
            </w:r>
            <w:r>
              <w:rPr>
                <w:rFonts w:ascii="Times New Roman" w:hAnsi="Times New Roman" w:eastAsia="Times New Roman"/>
                <w:sz w:val="22"/>
                <w:u w:val="single"/>
              </w:rPr>
              <w:tab/>
            </w:r>
            <w:r>
              <w:rPr>
                <w:rFonts w:ascii="Times New Roman" w:hAnsi="Times New Roman" w:eastAsia="Times New Roman"/>
                <w:spacing w:val="1"/>
                <w:sz w:val="22"/>
              </w:rPr>
              <w:t xml:space="preserve"> </w:t>
            </w:r>
            <w:r>
              <w:rPr>
                <w:spacing w:val="-17"/>
                <w:w w:val="100"/>
                <w:sz w:val="22"/>
              </w:rPr>
              <w:t>。</w:t>
            </w:r>
            <w:r>
              <w:rPr>
                <w:sz w:val="22"/>
              </w:rPr>
              <w:t>质</w:t>
            </w:r>
            <w:r>
              <w:rPr>
                <w:spacing w:val="-3"/>
                <w:sz w:val="22"/>
              </w:rPr>
              <w:t>量</w:t>
            </w:r>
            <w:r>
              <w:rPr>
                <w:sz w:val="22"/>
              </w:rPr>
              <w:t>、工</w:t>
            </w:r>
            <w:r>
              <w:rPr>
                <w:spacing w:val="-3"/>
                <w:sz w:val="22"/>
              </w:rPr>
              <w:t>期</w:t>
            </w:r>
            <w:r>
              <w:rPr>
                <w:sz w:val="22"/>
              </w:rPr>
              <w:t>奖罚</w:t>
            </w:r>
            <w:r>
              <w:rPr>
                <w:spacing w:val="-3"/>
                <w:sz w:val="22"/>
              </w:rPr>
              <w:t>条</w:t>
            </w:r>
            <w:r>
              <w:rPr>
                <w:sz w:val="22"/>
              </w:rPr>
              <w:t>款：</w:t>
            </w:r>
          </w:p>
          <w:p>
            <w:pPr>
              <w:pStyle w:val="14"/>
              <w:spacing w:line="279" w:lineRule="exact"/>
              <w:ind w:left="763"/>
              <w:rPr>
                <w:sz w:val="22"/>
              </w:rPr>
            </w:pPr>
            <w:r>
              <w:rPr>
                <w:spacing w:val="-166"/>
                <w:w w:val="100"/>
                <w:sz w:val="22"/>
              </w:rPr>
              <w:t>○</w:t>
            </w:r>
            <w:r>
              <w:rPr>
                <w:w w:val="100"/>
                <w:sz w:val="22"/>
              </w:rPr>
              <w:t>3</w:t>
            </w:r>
            <w:r>
              <w:rPr>
                <w:spacing w:val="-55"/>
                <w:sz w:val="22"/>
              </w:rPr>
              <w:t xml:space="preserve"> </w:t>
            </w:r>
            <w:r>
              <w:rPr>
                <w:spacing w:val="-3"/>
                <w:w w:val="100"/>
                <w:sz w:val="22"/>
              </w:rPr>
              <w:t>安全文明措施费（</w:t>
            </w:r>
            <w:r>
              <w:rPr>
                <w:spacing w:val="-1"/>
                <w:w w:val="100"/>
                <w:sz w:val="22"/>
              </w:rPr>
              <w:t>万元</w:t>
            </w:r>
            <w:r>
              <w:rPr>
                <w:spacing w:val="-3"/>
                <w:w w:val="100"/>
                <w:sz w:val="22"/>
              </w:rPr>
              <w:t>）</w:t>
            </w:r>
            <w:r>
              <w:rPr>
                <w:w w:val="100"/>
                <w:sz w:val="22"/>
              </w:rPr>
              <w:t>：</w:t>
            </w:r>
          </w:p>
          <w:p>
            <w:pPr>
              <w:pStyle w:val="14"/>
              <w:tabs>
                <w:tab w:val="left" w:pos="3896"/>
                <w:tab w:val="left" w:pos="6374"/>
                <w:tab w:val="left" w:pos="10168"/>
              </w:tabs>
              <w:spacing w:before="148"/>
              <w:ind w:left="763"/>
              <w:rPr>
                <w:rFonts w:ascii="Times New Roman" w:hAnsi="Times New Roman" w:eastAsia="Times New Roman"/>
                <w:sz w:val="22"/>
              </w:rPr>
            </w:pPr>
            <w:r>
              <w:rPr>
                <w:spacing w:val="-166"/>
                <w:w w:val="100"/>
                <w:sz w:val="22"/>
              </w:rPr>
              <w:t>○</w:t>
            </w:r>
            <w:r>
              <w:rPr>
                <w:w w:val="100"/>
                <w:sz w:val="22"/>
              </w:rPr>
              <w:t>4</w:t>
            </w:r>
            <w:r>
              <w:rPr>
                <w:spacing w:val="-55"/>
                <w:sz w:val="22"/>
              </w:rPr>
              <w:t xml:space="preserve"> </w:t>
            </w:r>
            <w:r>
              <w:rPr>
                <w:spacing w:val="-1"/>
                <w:w w:val="100"/>
                <w:sz w:val="22"/>
              </w:rPr>
              <w:t>项</w:t>
            </w:r>
            <w:r>
              <w:rPr>
                <w:spacing w:val="-3"/>
                <w:w w:val="100"/>
                <w:sz w:val="22"/>
              </w:rPr>
              <w:t>目</w:t>
            </w:r>
            <w:r>
              <w:rPr>
                <w:spacing w:val="-1"/>
                <w:w w:val="100"/>
                <w:sz w:val="22"/>
              </w:rPr>
              <w:t>负责</w:t>
            </w:r>
            <w:r>
              <w:rPr>
                <w:spacing w:val="-3"/>
                <w:w w:val="100"/>
                <w:sz w:val="22"/>
              </w:rPr>
              <w:t>人</w:t>
            </w:r>
            <w:r>
              <w:rPr>
                <w:spacing w:val="-1"/>
                <w:w w:val="100"/>
                <w:sz w:val="22"/>
              </w:rPr>
              <w:t>姓名</w:t>
            </w:r>
            <w:r>
              <w:rPr>
                <w:spacing w:val="-4"/>
                <w:w w:val="100"/>
                <w:sz w:val="22"/>
              </w:rPr>
              <w:t>：</w:t>
            </w:r>
            <w:r>
              <w:rPr>
                <w:rFonts w:ascii="Times New Roman" w:hAnsi="Times New Roman" w:eastAsia="Times New Roman"/>
                <w:w w:val="100"/>
                <w:sz w:val="22"/>
                <w:u w:val="single"/>
              </w:rPr>
              <w:t xml:space="preserve"> </w:t>
            </w:r>
            <w:r>
              <w:rPr>
                <w:rFonts w:ascii="Times New Roman" w:hAnsi="Times New Roman" w:eastAsia="Times New Roman"/>
                <w:sz w:val="22"/>
                <w:u w:val="single"/>
              </w:rPr>
              <w:tab/>
            </w:r>
            <w:r>
              <w:rPr>
                <w:rFonts w:ascii="Times New Roman" w:hAnsi="Times New Roman" w:eastAsia="Times New Roman"/>
                <w:spacing w:val="1"/>
                <w:sz w:val="22"/>
              </w:rPr>
              <w:t xml:space="preserve"> </w:t>
            </w:r>
            <w:r>
              <w:rPr>
                <w:spacing w:val="-1"/>
                <w:w w:val="100"/>
                <w:sz w:val="22"/>
              </w:rPr>
              <w:t>手</w:t>
            </w:r>
            <w:r>
              <w:rPr>
                <w:spacing w:val="-3"/>
                <w:w w:val="100"/>
                <w:sz w:val="22"/>
              </w:rPr>
              <w:t>机</w:t>
            </w:r>
            <w:r>
              <w:rPr>
                <w:spacing w:val="-1"/>
                <w:w w:val="100"/>
                <w:sz w:val="22"/>
              </w:rPr>
              <w:t>号：</w:t>
            </w:r>
            <w:r>
              <w:rPr>
                <w:rFonts w:ascii="Times New Roman" w:hAnsi="Times New Roman" w:eastAsia="Times New Roman"/>
                <w:w w:val="100"/>
                <w:sz w:val="22"/>
                <w:u w:val="single"/>
              </w:rPr>
              <w:t xml:space="preserve"> </w:t>
            </w:r>
            <w:r>
              <w:rPr>
                <w:rFonts w:ascii="Times New Roman" w:hAnsi="Times New Roman" w:eastAsia="Times New Roman"/>
                <w:sz w:val="22"/>
                <w:u w:val="single"/>
              </w:rPr>
              <w:tab/>
            </w:r>
            <w:r>
              <w:rPr>
                <w:spacing w:val="-1"/>
                <w:w w:val="100"/>
                <w:sz w:val="22"/>
              </w:rPr>
              <w:t>身</w:t>
            </w:r>
            <w:r>
              <w:rPr>
                <w:spacing w:val="-3"/>
                <w:w w:val="100"/>
                <w:sz w:val="22"/>
              </w:rPr>
              <w:t>份</w:t>
            </w:r>
            <w:r>
              <w:rPr>
                <w:spacing w:val="-1"/>
                <w:w w:val="100"/>
                <w:sz w:val="22"/>
              </w:rPr>
              <w:t>证号</w:t>
            </w:r>
            <w:r>
              <w:rPr>
                <w:spacing w:val="-3"/>
                <w:w w:val="100"/>
                <w:sz w:val="22"/>
              </w:rPr>
              <w:t>码</w:t>
            </w:r>
            <w:r>
              <w:rPr>
                <w:spacing w:val="-1"/>
                <w:w w:val="100"/>
                <w:sz w:val="22"/>
              </w:rPr>
              <w:t>：</w:t>
            </w:r>
            <w:r>
              <w:rPr>
                <w:rFonts w:ascii="Times New Roman" w:hAnsi="Times New Roman" w:eastAsia="Times New Roman"/>
                <w:w w:val="100"/>
                <w:sz w:val="22"/>
                <w:u w:val="single"/>
              </w:rPr>
              <w:t xml:space="preserve"> </w:t>
            </w:r>
            <w:r>
              <w:rPr>
                <w:rFonts w:ascii="Times New Roman" w:hAnsi="Times New Roman" w:eastAsia="Times New Roman"/>
                <w:sz w:val="22"/>
                <w:u w:val="single"/>
              </w:rPr>
              <w:tab/>
            </w:r>
          </w:p>
          <w:p>
            <w:pPr>
              <w:pStyle w:val="14"/>
              <w:spacing w:before="145"/>
              <w:ind w:left="9900"/>
              <w:rPr>
                <w:sz w:val="22"/>
              </w:rPr>
            </w:pPr>
            <w:r>
              <w:rPr>
                <w:sz w:val="22"/>
              </w:rPr>
              <w:t>投标人：（单位公章）</w:t>
            </w:r>
          </w:p>
          <w:p>
            <w:pPr>
              <w:pStyle w:val="14"/>
              <w:tabs>
                <w:tab w:val="left" w:pos="11496"/>
                <w:tab w:val="left" w:pos="12045"/>
                <w:tab w:val="left" w:pos="12984"/>
              </w:tabs>
              <w:spacing w:before="21" w:line="430" w:lineRule="exact"/>
              <w:ind w:left="10946" w:right="-15" w:hanging="1049"/>
              <w:rPr>
                <w:sz w:val="22"/>
              </w:rPr>
            </w:pPr>
            <w:r>
              <w:rPr>
                <w:sz w:val="22"/>
              </w:rPr>
              <w:t>法</w:t>
            </w:r>
            <w:r>
              <w:rPr>
                <w:spacing w:val="-3"/>
                <w:sz w:val="22"/>
              </w:rPr>
              <w:t>定</w:t>
            </w:r>
            <w:r>
              <w:rPr>
                <w:sz w:val="22"/>
              </w:rPr>
              <w:t>代表</w:t>
            </w:r>
            <w:r>
              <w:rPr>
                <w:spacing w:val="-3"/>
                <w:sz w:val="22"/>
              </w:rPr>
              <w:t>人</w:t>
            </w:r>
            <w:r>
              <w:rPr>
                <w:sz w:val="22"/>
              </w:rPr>
              <w:t>或其</w:t>
            </w:r>
            <w:r>
              <w:rPr>
                <w:spacing w:val="-3"/>
                <w:sz w:val="22"/>
              </w:rPr>
              <w:t>委</w:t>
            </w:r>
            <w:r>
              <w:rPr>
                <w:sz w:val="22"/>
              </w:rPr>
              <w:t>托代</w:t>
            </w:r>
            <w:r>
              <w:rPr>
                <w:spacing w:val="-3"/>
                <w:sz w:val="22"/>
              </w:rPr>
              <w:t>理</w:t>
            </w:r>
            <w:r>
              <w:rPr>
                <w:sz w:val="22"/>
              </w:rPr>
              <w:t>人：</w:t>
            </w:r>
            <w:r>
              <w:rPr>
                <w:sz w:val="22"/>
              </w:rPr>
              <w:tab/>
            </w:r>
            <w:r>
              <w:rPr>
                <w:sz w:val="22"/>
              </w:rPr>
              <w:t>（签</w:t>
            </w:r>
            <w:r>
              <w:rPr>
                <w:spacing w:val="-3"/>
                <w:sz w:val="22"/>
              </w:rPr>
              <w:t>字</w:t>
            </w:r>
            <w:r>
              <w:rPr>
                <w:sz w:val="22"/>
              </w:rPr>
              <w:t>或盖</w:t>
            </w:r>
            <w:r>
              <w:rPr>
                <w:spacing w:val="-3"/>
                <w:sz w:val="22"/>
              </w:rPr>
              <w:t>章</w:t>
            </w:r>
            <w:r>
              <w:rPr>
                <w:spacing w:val="-13"/>
                <w:sz w:val="22"/>
              </w:rPr>
              <w:t xml:space="preserve">） </w:t>
            </w:r>
            <w:r>
              <w:rPr>
                <w:sz w:val="22"/>
              </w:rPr>
              <w:t>年</w:t>
            </w:r>
            <w:r>
              <w:rPr>
                <w:sz w:val="22"/>
              </w:rPr>
              <w:tab/>
            </w:r>
            <w:r>
              <w:rPr>
                <w:sz w:val="22"/>
              </w:rPr>
              <w:t>月</w:t>
            </w:r>
            <w:r>
              <w:rPr>
                <w:sz w:val="22"/>
              </w:rPr>
              <w:tab/>
            </w:r>
            <w:r>
              <w:rPr>
                <w:sz w:val="22"/>
              </w:rPr>
              <w:t>日</w:t>
            </w:r>
          </w:p>
        </w:tc>
      </w:tr>
    </w:tbl>
    <w:p>
      <w:pPr>
        <w:pStyle w:val="9"/>
        <w:rPr>
          <w:sz w:val="24"/>
        </w:rPr>
      </w:pPr>
    </w:p>
    <w:p>
      <w:pPr>
        <w:pStyle w:val="9"/>
        <w:rPr>
          <w:sz w:val="24"/>
        </w:rPr>
      </w:pPr>
    </w:p>
    <w:p>
      <w:pPr>
        <w:pStyle w:val="9"/>
        <w:rPr>
          <w:sz w:val="24"/>
        </w:rPr>
      </w:pPr>
    </w:p>
    <w:p>
      <w:pPr>
        <w:spacing w:before="168"/>
        <w:ind w:left="4450" w:right="4768" w:firstLine="0"/>
        <w:jc w:val="center"/>
        <w:rPr>
          <w:rFonts w:ascii="仿宋"/>
          <w:sz w:val="21"/>
        </w:rPr>
      </w:pPr>
      <w:r>
        <w:rPr>
          <w:rFonts w:ascii="仿宋"/>
          <w:sz w:val="21"/>
        </w:rPr>
        <w:t>117</w:t>
      </w:r>
    </w:p>
    <w:p>
      <w:pPr>
        <w:spacing w:after="0"/>
        <w:jc w:val="center"/>
        <w:rPr>
          <w:rFonts w:ascii="仿宋"/>
          <w:sz w:val="21"/>
        </w:rPr>
        <w:sectPr>
          <w:headerReference r:id="rId19" w:type="default"/>
          <w:footerReference r:id="rId20" w:type="default"/>
          <w:pgSz w:w="16840" w:h="11910" w:orient="landscape"/>
          <w:pgMar w:top="800" w:right="880" w:bottom="280" w:left="1200" w:header="0" w:footer="0" w:gutter="0"/>
          <w:cols w:space="720" w:num="1"/>
        </w:sectPr>
      </w:pPr>
    </w:p>
    <w:p>
      <w:pPr>
        <w:pStyle w:val="9"/>
        <w:spacing w:line="20" w:lineRule="exact"/>
        <w:ind w:left="103"/>
        <w:rPr>
          <w:sz w:val="2"/>
        </w:rPr>
      </w:pPr>
      <w:r>
        <w:rPr>
          <w:rFonts w:ascii="宋体" w:hAnsi="宋体" w:eastAsia="宋体" w:cs="宋体"/>
          <w:sz w:val="2"/>
          <w:szCs w:val="22"/>
          <w:lang w:val="zh-CN" w:eastAsia="zh-CN" w:bidi="zh-CN"/>
        </w:rPr>
        <w:pict>
          <v:group id="组合 23" o:spid="_x0000_s1074" style="height:0.75pt;width:441.05pt;rotation:0f;" coordorigin="0,7" coordsize="8821,0">
            <o:lock v:ext="edit" position="f" selection="f" grouping="f" rotation="f" cropping="f" text="f" aspectratio="f"/>
            <v:line id="直线 24" o:spid="_x0000_s1075" style="position:absolute;left:0;top:7;height:0;width:8821;rotation:0f;" o:ole="f" fillcolor="#FFFFFF" filled="f" o:preferrelative="t" stroked="t" coordsize="21600,21600">
              <v:fill on="f" color2="#FFFFFF" focus="0%"/>
              <v:stroke weight="0.72pt" color="#000000" color2="#FFFFFF" miterlimit="2"/>
              <v:imagedata gain="65536f" blacklevel="0f" gamma="0"/>
              <o:lock v:ext="edit" position="f" selection="f" grouping="f" rotation="f" cropping="f" text="f" aspectratio="f"/>
            </v:line>
            <w10:wrap type="none"/>
            <w10:anchorlock/>
          </v:group>
        </w:pict>
      </w:r>
    </w:p>
    <w:p>
      <w:pPr>
        <w:pStyle w:val="9"/>
        <w:rPr>
          <w:sz w:val="20"/>
        </w:rPr>
      </w:pPr>
    </w:p>
    <w:p>
      <w:pPr>
        <w:pStyle w:val="9"/>
        <w:spacing w:before="5"/>
        <w:rPr>
          <w:sz w:val="16"/>
        </w:rPr>
      </w:pPr>
    </w:p>
    <w:p>
      <w:pPr>
        <w:pStyle w:val="9"/>
        <w:spacing w:before="70"/>
        <w:ind w:left="2258" w:right="2279"/>
        <w:jc w:val="center"/>
      </w:pPr>
      <w:bookmarkStart w:id="131" w:name="投标函附录B"/>
      <w:bookmarkEnd w:id="131"/>
      <w:r>
        <w:t>投标函附录B</w:t>
      </w:r>
    </w:p>
    <w:p>
      <w:pPr>
        <w:pStyle w:val="9"/>
      </w:pPr>
    </w:p>
    <w:p>
      <w:pPr>
        <w:pStyle w:val="9"/>
      </w:pPr>
    </w:p>
    <w:p>
      <w:pPr>
        <w:pStyle w:val="9"/>
        <w:spacing w:before="6"/>
        <w:rPr>
          <w:sz w:val="19"/>
        </w:rPr>
      </w:pPr>
    </w:p>
    <w:p>
      <w:pPr>
        <w:pStyle w:val="9"/>
        <w:tabs>
          <w:tab w:val="left" w:pos="2861"/>
          <w:tab w:val="left" w:pos="4841"/>
        </w:tabs>
        <w:ind w:left="111"/>
      </w:pPr>
      <w:r>
        <w:t>工</w:t>
      </w:r>
      <w:r>
        <w:rPr>
          <w:spacing w:val="-3"/>
        </w:rPr>
        <w:t>程</w:t>
      </w:r>
      <w:r>
        <w:t>名称</w:t>
      </w:r>
      <w:r>
        <w:rPr>
          <w:spacing w:val="-3"/>
        </w:rPr>
        <w:t>：</w:t>
      </w:r>
      <w:r>
        <w:rPr>
          <w:spacing w:val="-3"/>
          <w:u w:val="single"/>
        </w:rPr>
        <w:t xml:space="preserve"> </w:t>
      </w:r>
      <w:r>
        <w:rPr>
          <w:spacing w:val="-3"/>
          <w:u w:val="single"/>
        </w:rPr>
        <w:tab/>
      </w:r>
      <w:r>
        <w:t>（</w:t>
      </w:r>
      <w:r>
        <w:rPr>
          <w:spacing w:val="-3"/>
        </w:rPr>
        <w:t>项</w:t>
      </w:r>
      <w:r>
        <w:t>目名</w:t>
      </w:r>
      <w:r>
        <w:rPr>
          <w:spacing w:val="-3"/>
        </w:rPr>
        <w:t>称</w:t>
      </w:r>
      <w:r>
        <w:t>）</w:t>
      </w:r>
      <w:r>
        <w:rPr>
          <w:u w:val="single"/>
        </w:rPr>
        <w:t xml:space="preserve"> </w:t>
      </w:r>
      <w:r>
        <w:rPr>
          <w:u w:val="single"/>
        </w:rPr>
        <w:tab/>
      </w:r>
      <w:r>
        <w:rPr>
          <w:spacing w:val="-3"/>
          <w:u w:val="single"/>
        </w:rPr>
        <w:t>（</w:t>
      </w:r>
      <w:r>
        <w:t>报</w:t>
      </w:r>
      <w:r>
        <w:rPr>
          <w:spacing w:val="-3"/>
        </w:rPr>
        <w:t>建</w:t>
      </w:r>
      <w:r>
        <w:t>编号</w:t>
      </w:r>
      <w:r>
        <w:rPr>
          <w:spacing w:val="-3"/>
        </w:rPr>
        <w:t>及</w:t>
      </w:r>
      <w:r>
        <w:t>标段</w:t>
      </w:r>
      <w:r>
        <w:rPr>
          <w:spacing w:val="-3"/>
        </w:rPr>
        <w:t>号</w:t>
      </w:r>
      <w:r>
        <w:t>）</w:t>
      </w:r>
    </w:p>
    <w:p>
      <w:pPr>
        <w:pStyle w:val="9"/>
        <w:spacing w:before="4"/>
        <w:rPr>
          <w:sz w:val="11"/>
        </w:rPr>
      </w:pPr>
    </w:p>
    <w:tbl>
      <w:tblPr>
        <w:tblW w:w="828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7"/>
        <w:gridCol w:w="2604"/>
        <w:gridCol w:w="1391"/>
        <w:gridCol w:w="1853"/>
        <w:gridCol w:w="1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847" w:type="dxa"/>
            <w:vAlign w:val="top"/>
          </w:tcPr>
          <w:p>
            <w:pPr>
              <w:pStyle w:val="14"/>
              <w:spacing w:before="103"/>
              <w:ind w:left="128" w:right="118"/>
              <w:jc w:val="center"/>
              <w:rPr>
                <w:sz w:val="22"/>
              </w:rPr>
            </w:pPr>
            <w:r>
              <w:rPr>
                <w:sz w:val="22"/>
              </w:rPr>
              <w:t>序 号</w:t>
            </w:r>
          </w:p>
        </w:tc>
        <w:tc>
          <w:tcPr>
            <w:tcW w:w="2604" w:type="dxa"/>
            <w:vAlign w:val="top"/>
          </w:tcPr>
          <w:p>
            <w:pPr>
              <w:pStyle w:val="14"/>
              <w:spacing w:before="103"/>
              <w:ind w:left="861"/>
              <w:rPr>
                <w:sz w:val="22"/>
              </w:rPr>
            </w:pPr>
            <w:r>
              <w:rPr>
                <w:sz w:val="22"/>
              </w:rPr>
              <w:t>条款内容</w:t>
            </w:r>
          </w:p>
        </w:tc>
        <w:tc>
          <w:tcPr>
            <w:tcW w:w="1391" w:type="dxa"/>
            <w:vAlign w:val="top"/>
          </w:tcPr>
          <w:p>
            <w:pPr>
              <w:pStyle w:val="14"/>
              <w:spacing w:before="103"/>
              <w:ind w:left="144"/>
              <w:rPr>
                <w:sz w:val="22"/>
              </w:rPr>
            </w:pPr>
            <w:r>
              <w:rPr>
                <w:sz w:val="22"/>
              </w:rPr>
              <w:t>合同条款号</w:t>
            </w:r>
          </w:p>
        </w:tc>
        <w:tc>
          <w:tcPr>
            <w:tcW w:w="1853" w:type="dxa"/>
            <w:vAlign w:val="top"/>
          </w:tcPr>
          <w:p>
            <w:pPr>
              <w:pStyle w:val="14"/>
              <w:spacing w:before="103"/>
              <w:ind w:left="9"/>
              <w:jc w:val="center"/>
              <w:rPr>
                <w:sz w:val="22"/>
              </w:rPr>
            </w:pPr>
            <w:r>
              <w:rPr>
                <w:sz w:val="22"/>
              </w:rPr>
              <w:t>约定内容</w:t>
            </w:r>
          </w:p>
        </w:tc>
        <w:tc>
          <w:tcPr>
            <w:tcW w:w="1585" w:type="dxa"/>
            <w:vAlign w:val="top"/>
          </w:tcPr>
          <w:p>
            <w:pPr>
              <w:pStyle w:val="14"/>
              <w:spacing w:before="103"/>
              <w:ind w:left="553" w:right="542"/>
              <w:jc w:val="center"/>
              <w:rPr>
                <w:sz w:val="22"/>
              </w:rPr>
            </w:pPr>
            <w:r>
              <w:rPr>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847" w:type="dxa"/>
            <w:vAlign w:val="top"/>
          </w:tcPr>
          <w:p>
            <w:pPr>
              <w:pStyle w:val="14"/>
              <w:spacing w:before="101"/>
              <w:ind w:left="7"/>
              <w:jc w:val="center"/>
              <w:rPr>
                <w:sz w:val="22"/>
              </w:rPr>
            </w:pPr>
            <w:r>
              <w:rPr>
                <w:w w:val="100"/>
                <w:sz w:val="22"/>
              </w:rPr>
              <w:t>1</w:t>
            </w:r>
          </w:p>
        </w:tc>
        <w:tc>
          <w:tcPr>
            <w:tcW w:w="2604" w:type="dxa"/>
            <w:vAlign w:val="top"/>
          </w:tcPr>
          <w:p>
            <w:pPr>
              <w:pStyle w:val="14"/>
              <w:spacing w:before="101"/>
              <w:ind w:left="108"/>
              <w:rPr>
                <w:sz w:val="22"/>
              </w:rPr>
            </w:pPr>
            <w:r>
              <w:rPr>
                <w:sz w:val="22"/>
              </w:rPr>
              <w:t>项目负责人</w:t>
            </w:r>
          </w:p>
        </w:tc>
        <w:tc>
          <w:tcPr>
            <w:tcW w:w="1391" w:type="dxa"/>
            <w:vAlign w:val="top"/>
          </w:tcPr>
          <w:p>
            <w:pPr>
              <w:pStyle w:val="14"/>
              <w:rPr>
                <w:rFonts w:ascii="Times New Roman"/>
                <w:sz w:val="20"/>
              </w:rPr>
            </w:pPr>
          </w:p>
        </w:tc>
        <w:tc>
          <w:tcPr>
            <w:tcW w:w="1853" w:type="dxa"/>
            <w:vAlign w:val="top"/>
          </w:tcPr>
          <w:p>
            <w:pPr>
              <w:pStyle w:val="14"/>
              <w:tabs>
                <w:tab w:val="left" w:pos="1752"/>
              </w:tabs>
              <w:spacing w:before="101"/>
              <w:ind w:left="61"/>
              <w:jc w:val="center"/>
              <w:rPr>
                <w:rFonts w:ascii="Times New Roman" w:eastAsia="Times New Roman"/>
                <w:sz w:val="22"/>
              </w:rPr>
            </w:pPr>
            <w:r>
              <w:rPr>
                <w:spacing w:val="-1"/>
                <w:sz w:val="22"/>
              </w:rPr>
              <w:t>姓</w:t>
            </w:r>
            <w:r>
              <w:rPr>
                <w:spacing w:val="-3"/>
                <w:sz w:val="22"/>
              </w:rPr>
              <w:t>名</w:t>
            </w:r>
            <w:r>
              <w:rPr>
                <w:spacing w:val="-1"/>
                <w:sz w:val="22"/>
              </w:rPr>
              <w:t>：</w:t>
            </w:r>
            <w:r>
              <w:rPr>
                <w:rFonts w:ascii="Times New Roman" w:eastAsia="Times New Roman"/>
                <w:sz w:val="22"/>
                <w:u w:val="single"/>
              </w:rPr>
              <w:t xml:space="preserve"> </w:t>
            </w:r>
            <w:r>
              <w:rPr>
                <w:rFonts w:ascii="Times New Roman" w:eastAsia="Times New Roman"/>
                <w:sz w:val="22"/>
                <w:u w:val="single"/>
              </w:rPr>
              <w:tab/>
            </w:r>
          </w:p>
        </w:tc>
        <w:tc>
          <w:tcPr>
            <w:tcW w:w="158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847" w:type="dxa"/>
            <w:vAlign w:val="top"/>
          </w:tcPr>
          <w:p>
            <w:pPr>
              <w:pStyle w:val="14"/>
              <w:spacing w:before="102"/>
              <w:ind w:left="7"/>
              <w:jc w:val="center"/>
              <w:rPr>
                <w:sz w:val="22"/>
              </w:rPr>
            </w:pPr>
            <w:r>
              <w:rPr>
                <w:w w:val="100"/>
                <w:sz w:val="22"/>
              </w:rPr>
              <w:t>2</w:t>
            </w:r>
          </w:p>
        </w:tc>
        <w:tc>
          <w:tcPr>
            <w:tcW w:w="2604" w:type="dxa"/>
            <w:vAlign w:val="top"/>
          </w:tcPr>
          <w:p>
            <w:pPr>
              <w:pStyle w:val="14"/>
              <w:spacing w:before="102"/>
              <w:ind w:left="108"/>
              <w:rPr>
                <w:sz w:val="22"/>
              </w:rPr>
            </w:pPr>
            <w:r>
              <w:rPr>
                <w:sz w:val="22"/>
              </w:rPr>
              <w:t>工期</w:t>
            </w:r>
          </w:p>
        </w:tc>
        <w:tc>
          <w:tcPr>
            <w:tcW w:w="1391" w:type="dxa"/>
            <w:vAlign w:val="top"/>
          </w:tcPr>
          <w:p>
            <w:pPr>
              <w:pStyle w:val="14"/>
              <w:rPr>
                <w:rFonts w:ascii="Times New Roman"/>
                <w:sz w:val="20"/>
              </w:rPr>
            </w:pPr>
          </w:p>
        </w:tc>
        <w:tc>
          <w:tcPr>
            <w:tcW w:w="1853" w:type="dxa"/>
            <w:vAlign w:val="top"/>
          </w:tcPr>
          <w:p>
            <w:pPr>
              <w:pStyle w:val="14"/>
              <w:tabs>
                <w:tab w:val="left" w:pos="888"/>
              </w:tabs>
              <w:spacing w:before="102"/>
              <w:ind w:left="7"/>
              <w:jc w:val="center"/>
              <w:rPr>
                <w:sz w:val="22"/>
              </w:rPr>
            </w:pPr>
            <w:r>
              <w:rPr>
                <w:rFonts w:ascii="Times New Roman" w:eastAsia="Times New Roman"/>
                <w:w w:val="100"/>
                <w:sz w:val="22"/>
                <w:u w:val="single"/>
              </w:rPr>
              <w:t xml:space="preserve"> </w:t>
            </w:r>
            <w:r>
              <w:rPr>
                <w:rFonts w:ascii="Times New Roman" w:eastAsia="Times New Roman"/>
                <w:sz w:val="22"/>
                <w:u w:val="single"/>
              </w:rPr>
              <w:tab/>
            </w:r>
            <w:r>
              <w:rPr>
                <w:spacing w:val="-2"/>
                <w:sz w:val="22"/>
              </w:rPr>
              <w:t>日历天</w:t>
            </w:r>
          </w:p>
        </w:tc>
        <w:tc>
          <w:tcPr>
            <w:tcW w:w="158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847" w:type="dxa"/>
            <w:vAlign w:val="top"/>
          </w:tcPr>
          <w:p>
            <w:pPr>
              <w:pStyle w:val="14"/>
              <w:spacing w:before="103"/>
              <w:ind w:left="7"/>
              <w:jc w:val="center"/>
              <w:rPr>
                <w:sz w:val="22"/>
              </w:rPr>
            </w:pPr>
            <w:r>
              <w:rPr>
                <w:w w:val="100"/>
                <w:sz w:val="22"/>
              </w:rPr>
              <w:t>3</w:t>
            </w:r>
          </w:p>
        </w:tc>
        <w:tc>
          <w:tcPr>
            <w:tcW w:w="2604" w:type="dxa"/>
            <w:vAlign w:val="top"/>
          </w:tcPr>
          <w:p>
            <w:pPr>
              <w:pStyle w:val="14"/>
              <w:spacing w:before="103"/>
              <w:ind w:left="108"/>
              <w:rPr>
                <w:sz w:val="22"/>
              </w:rPr>
            </w:pPr>
            <w:r>
              <w:rPr>
                <w:sz w:val="22"/>
              </w:rPr>
              <w:t>缺陷责任期</w:t>
            </w:r>
          </w:p>
        </w:tc>
        <w:tc>
          <w:tcPr>
            <w:tcW w:w="1391" w:type="dxa"/>
            <w:vAlign w:val="top"/>
          </w:tcPr>
          <w:p>
            <w:pPr>
              <w:pStyle w:val="14"/>
              <w:rPr>
                <w:rFonts w:ascii="Times New Roman"/>
                <w:sz w:val="20"/>
              </w:rPr>
            </w:pPr>
          </w:p>
        </w:tc>
        <w:tc>
          <w:tcPr>
            <w:tcW w:w="1853" w:type="dxa"/>
            <w:vAlign w:val="top"/>
          </w:tcPr>
          <w:p>
            <w:pPr>
              <w:pStyle w:val="14"/>
              <w:spacing w:before="103"/>
              <w:ind w:left="10"/>
              <w:jc w:val="center"/>
              <w:rPr>
                <w:sz w:val="22"/>
              </w:rPr>
            </w:pPr>
            <w:r>
              <w:rPr>
                <w:sz w:val="22"/>
              </w:rPr>
              <w:t>2 年</w:t>
            </w:r>
          </w:p>
        </w:tc>
        <w:tc>
          <w:tcPr>
            <w:tcW w:w="158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847" w:type="dxa"/>
            <w:vAlign w:val="top"/>
          </w:tcPr>
          <w:p>
            <w:pPr>
              <w:pStyle w:val="14"/>
              <w:spacing w:before="101"/>
              <w:ind w:left="7"/>
              <w:jc w:val="center"/>
              <w:rPr>
                <w:sz w:val="22"/>
              </w:rPr>
            </w:pPr>
            <w:r>
              <w:rPr>
                <w:w w:val="100"/>
                <w:sz w:val="22"/>
              </w:rPr>
              <w:t>4</w:t>
            </w:r>
          </w:p>
        </w:tc>
        <w:tc>
          <w:tcPr>
            <w:tcW w:w="2604" w:type="dxa"/>
            <w:vAlign w:val="top"/>
          </w:tcPr>
          <w:p>
            <w:pPr>
              <w:pStyle w:val="14"/>
              <w:spacing w:before="101"/>
              <w:ind w:left="108"/>
              <w:rPr>
                <w:sz w:val="22"/>
              </w:rPr>
            </w:pPr>
            <w:r>
              <w:rPr>
                <w:sz w:val="22"/>
              </w:rPr>
              <w:t>承包人履约保证金金额</w:t>
            </w:r>
          </w:p>
        </w:tc>
        <w:tc>
          <w:tcPr>
            <w:tcW w:w="1391" w:type="dxa"/>
            <w:vAlign w:val="top"/>
          </w:tcPr>
          <w:p>
            <w:pPr>
              <w:pStyle w:val="14"/>
              <w:rPr>
                <w:rFonts w:ascii="Times New Roman"/>
                <w:sz w:val="20"/>
              </w:rPr>
            </w:pPr>
          </w:p>
        </w:tc>
        <w:tc>
          <w:tcPr>
            <w:tcW w:w="1853" w:type="dxa"/>
            <w:vAlign w:val="top"/>
          </w:tcPr>
          <w:p>
            <w:pPr>
              <w:pStyle w:val="14"/>
              <w:rPr>
                <w:rFonts w:ascii="Times New Roman"/>
                <w:sz w:val="20"/>
              </w:rPr>
            </w:pPr>
          </w:p>
        </w:tc>
        <w:tc>
          <w:tcPr>
            <w:tcW w:w="158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9" w:hRule="atLeast"/>
        </w:trPr>
        <w:tc>
          <w:tcPr>
            <w:tcW w:w="847" w:type="dxa"/>
            <w:vAlign w:val="top"/>
          </w:tcPr>
          <w:p>
            <w:pPr>
              <w:pStyle w:val="14"/>
              <w:spacing w:before="102"/>
              <w:ind w:left="7"/>
              <w:jc w:val="center"/>
              <w:rPr>
                <w:sz w:val="22"/>
              </w:rPr>
            </w:pPr>
            <w:r>
              <w:rPr>
                <w:w w:val="100"/>
                <w:sz w:val="22"/>
              </w:rPr>
              <w:t>5</w:t>
            </w:r>
          </w:p>
        </w:tc>
        <w:tc>
          <w:tcPr>
            <w:tcW w:w="2604" w:type="dxa"/>
            <w:vAlign w:val="top"/>
          </w:tcPr>
          <w:p>
            <w:pPr>
              <w:pStyle w:val="14"/>
              <w:spacing w:before="102"/>
              <w:ind w:left="108"/>
              <w:rPr>
                <w:sz w:val="22"/>
              </w:rPr>
            </w:pPr>
            <w:r>
              <w:rPr>
                <w:sz w:val="22"/>
              </w:rPr>
              <w:t>逾期竣工违约金</w:t>
            </w:r>
          </w:p>
        </w:tc>
        <w:tc>
          <w:tcPr>
            <w:tcW w:w="1391" w:type="dxa"/>
            <w:vAlign w:val="top"/>
          </w:tcPr>
          <w:p>
            <w:pPr>
              <w:pStyle w:val="14"/>
              <w:rPr>
                <w:rFonts w:ascii="Times New Roman"/>
                <w:sz w:val="20"/>
              </w:rPr>
            </w:pPr>
          </w:p>
        </w:tc>
        <w:tc>
          <w:tcPr>
            <w:tcW w:w="1853" w:type="dxa"/>
            <w:vAlign w:val="top"/>
          </w:tcPr>
          <w:p>
            <w:pPr>
              <w:pStyle w:val="14"/>
              <w:spacing w:before="102"/>
              <w:ind w:left="10"/>
              <w:jc w:val="center"/>
              <w:rPr>
                <w:sz w:val="22"/>
              </w:rPr>
            </w:pPr>
            <w:r>
              <w:rPr>
                <w:sz w:val="22"/>
                <w:u w:val="single"/>
              </w:rPr>
              <w:t>3000</w:t>
            </w:r>
            <w:r>
              <w:rPr>
                <w:sz w:val="22"/>
              </w:rPr>
              <w:t xml:space="preserve"> 元/天</w:t>
            </w:r>
          </w:p>
        </w:tc>
        <w:tc>
          <w:tcPr>
            <w:tcW w:w="158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847" w:type="dxa"/>
            <w:vAlign w:val="top"/>
          </w:tcPr>
          <w:p>
            <w:pPr>
              <w:pStyle w:val="14"/>
              <w:spacing w:before="8"/>
              <w:rPr>
                <w:sz w:val="16"/>
              </w:rPr>
            </w:pPr>
          </w:p>
          <w:p>
            <w:pPr>
              <w:pStyle w:val="14"/>
              <w:ind w:left="7"/>
              <w:jc w:val="center"/>
              <w:rPr>
                <w:sz w:val="22"/>
              </w:rPr>
            </w:pPr>
            <w:r>
              <w:rPr>
                <w:w w:val="100"/>
                <w:sz w:val="22"/>
              </w:rPr>
              <w:t>6</w:t>
            </w:r>
          </w:p>
        </w:tc>
        <w:tc>
          <w:tcPr>
            <w:tcW w:w="2604" w:type="dxa"/>
            <w:vAlign w:val="top"/>
          </w:tcPr>
          <w:p>
            <w:pPr>
              <w:pStyle w:val="14"/>
              <w:spacing w:before="2"/>
              <w:ind w:left="108"/>
              <w:rPr>
                <w:sz w:val="22"/>
              </w:rPr>
            </w:pPr>
            <w:r>
              <w:rPr>
                <w:sz w:val="22"/>
              </w:rPr>
              <w:t>逾期竣工违约金最高限</w:t>
            </w:r>
          </w:p>
          <w:p>
            <w:pPr>
              <w:pStyle w:val="14"/>
              <w:spacing w:before="145"/>
              <w:ind w:left="108"/>
              <w:rPr>
                <w:sz w:val="22"/>
              </w:rPr>
            </w:pPr>
            <w:r>
              <w:rPr>
                <w:w w:val="100"/>
                <w:sz w:val="22"/>
              </w:rPr>
              <w:t>额</w:t>
            </w:r>
          </w:p>
        </w:tc>
        <w:tc>
          <w:tcPr>
            <w:tcW w:w="1391" w:type="dxa"/>
            <w:vAlign w:val="top"/>
          </w:tcPr>
          <w:p>
            <w:pPr>
              <w:pStyle w:val="14"/>
              <w:rPr>
                <w:rFonts w:ascii="Times New Roman"/>
                <w:sz w:val="20"/>
              </w:rPr>
            </w:pPr>
          </w:p>
        </w:tc>
        <w:tc>
          <w:tcPr>
            <w:tcW w:w="1853" w:type="dxa"/>
            <w:vAlign w:val="top"/>
          </w:tcPr>
          <w:p>
            <w:pPr>
              <w:pStyle w:val="14"/>
              <w:tabs>
                <w:tab w:val="left" w:pos="331"/>
              </w:tabs>
              <w:spacing w:before="213"/>
              <w:ind w:right="31"/>
              <w:jc w:val="center"/>
              <w:rPr>
                <w:sz w:val="22"/>
              </w:rPr>
            </w:pPr>
            <w:r>
              <w:rPr>
                <w:rFonts w:ascii="Times New Roman" w:eastAsia="Times New Roman"/>
                <w:w w:val="100"/>
                <w:sz w:val="22"/>
                <w:u w:val="single"/>
              </w:rPr>
              <w:t xml:space="preserve"> </w:t>
            </w:r>
            <w:r>
              <w:rPr>
                <w:rFonts w:ascii="Times New Roman" w:eastAsia="Times New Roman"/>
                <w:sz w:val="22"/>
                <w:u w:val="single"/>
              </w:rPr>
              <w:tab/>
            </w:r>
            <w:r>
              <w:rPr>
                <w:spacing w:val="-14"/>
                <w:sz w:val="22"/>
                <w:u w:val="single"/>
              </w:rPr>
              <w:t xml:space="preserve">合同价的 </w:t>
            </w:r>
            <w:r>
              <w:rPr>
                <w:sz w:val="22"/>
                <w:u w:val="single"/>
              </w:rPr>
              <w:t xml:space="preserve">3% </w:t>
            </w:r>
          </w:p>
        </w:tc>
        <w:tc>
          <w:tcPr>
            <w:tcW w:w="158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6" w:hRule="atLeast"/>
        </w:trPr>
        <w:tc>
          <w:tcPr>
            <w:tcW w:w="847" w:type="dxa"/>
            <w:vAlign w:val="top"/>
          </w:tcPr>
          <w:p>
            <w:pPr>
              <w:pStyle w:val="14"/>
              <w:spacing w:before="8"/>
              <w:rPr>
                <w:sz w:val="16"/>
              </w:rPr>
            </w:pPr>
          </w:p>
          <w:p>
            <w:pPr>
              <w:pStyle w:val="14"/>
              <w:ind w:left="7"/>
              <w:jc w:val="center"/>
              <w:rPr>
                <w:sz w:val="22"/>
              </w:rPr>
            </w:pPr>
            <w:r>
              <w:rPr>
                <w:w w:val="100"/>
                <w:sz w:val="22"/>
              </w:rPr>
              <w:t>7</w:t>
            </w:r>
          </w:p>
        </w:tc>
        <w:tc>
          <w:tcPr>
            <w:tcW w:w="2604" w:type="dxa"/>
            <w:vAlign w:val="top"/>
          </w:tcPr>
          <w:p>
            <w:pPr>
              <w:pStyle w:val="14"/>
              <w:ind w:left="108"/>
              <w:rPr>
                <w:sz w:val="22"/>
              </w:rPr>
            </w:pPr>
            <w:r>
              <w:rPr>
                <w:sz w:val="22"/>
              </w:rPr>
              <w:t>质量标准及违约赔偿承</w:t>
            </w:r>
          </w:p>
          <w:p>
            <w:pPr>
              <w:pStyle w:val="14"/>
              <w:spacing w:before="145"/>
              <w:ind w:left="108"/>
              <w:rPr>
                <w:sz w:val="22"/>
              </w:rPr>
            </w:pPr>
            <w:r>
              <w:rPr>
                <w:w w:val="100"/>
                <w:sz w:val="22"/>
              </w:rPr>
              <w:t>诺</w:t>
            </w:r>
          </w:p>
        </w:tc>
        <w:tc>
          <w:tcPr>
            <w:tcW w:w="1391" w:type="dxa"/>
            <w:vAlign w:val="top"/>
          </w:tcPr>
          <w:p>
            <w:pPr>
              <w:pStyle w:val="14"/>
              <w:rPr>
                <w:rFonts w:ascii="Times New Roman"/>
                <w:sz w:val="20"/>
              </w:rPr>
            </w:pPr>
          </w:p>
        </w:tc>
        <w:tc>
          <w:tcPr>
            <w:tcW w:w="1853" w:type="dxa"/>
            <w:vAlign w:val="top"/>
          </w:tcPr>
          <w:p>
            <w:pPr>
              <w:pStyle w:val="14"/>
              <w:spacing w:before="8"/>
              <w:rPr>
                <w:sz w:val="16"/>
              </w:rPr>
            </w:pPr>
          </w:p>
          <w:p>
            <w:pPr>
              <w:pStyle w:val="14"/>
              <w:ind w:left="7"/>
              <w:jc w:val="center"/>
              <w:rPr>
                <w:sz w:val="22"/>
              </w:rPr>
            </w:pPr>
            <w:r>
              <w:rPr>
                <w:sz w:val="22"/>
                <w:u w:val="single"/>
              </w:rPr>
              <w:t>5%</w:t>
            </w:r>
          </w:p>
        </w:tc>
        <w:tc>
          <w:tcPr>
            <w:tcW w:w="158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847" w:type="dxa"/>
            <w:vAlign w:val="top"/>
          </w:tcPr>
          <w:p>
            <w:pPr>
              <w:pStyle w:val="14"/>
              <w:spacing w:before="101"/>
              <w:ind w:left="7"/>
              <w:jc w:val="center"/>
              <w:rPr>
                <w:sz w:val="22"/>
              </w:rPr>
            </w:pPr>
            <w:r>
              <w:rPr>
                <w:w w:val="100"/>
                <w:sz w:val="22"/>
              </w:rPr>
              <w:t>8</w:t>
            </w:r>
          </w:p>
        </w:tc>
        <w:tc>
          <w:tcPr>
            <w:tcW w:w="2604" w:type="dxa"/>
            <w:vAlign w:val="top"/>
          </w:tcPr>
          <w:p>
            <w:pPr>
              <w:pStyle w:val="14"/>
              <w:spacing w:before="101"/>
              <w:ind w:left="108"/>
              <w:rPr>
                <w:sz w:val="22"/>
              </w:rPr>
            </w:pPr>
            <w:r>
              <w:rPr>
                <w:sz w:val="22"/>
              </w:rPr>
              <w:t>价格调整的差额计算</w:t>
            </w:r>
          </w:p>
        </w:tc>
        <w:tc>
          <w:tcPr>
            <w:tcW w:w="1391" w:type="dxa"/>
            <w:vAlign w:val="top"/>
          </w:tcPr>
          <w:p>
            <w:pPr>
              <w:pStyle w:val="14"/>
              <w:rPr>
                <w:rFonts w:ascii="Times New Roman"/>
                <w:sz w:val="20"/>
              </w:rPr>
            </w:pPr>
          </w:p>
        </w:tc>
        <w:tc>
          <w:tcPr>
            <w:tcW w:w="1853" w:type="dxa"/>
            <w:vAlign w:val="top"/>
          </w:tcPr>
          <w:p>
            <w:pPr>
              <w:pStyle w:val="14"/>
              <w:rPr>
                <w:rFonts w:ascii="Times New Roman"/>
                <w:sz w:val="20"/>
              </w:rPr>
            </w:pPr>
          </w:p>
        </w:tc>
        <w:tc>
          <w:tcPr>
            <w:tcW w:w="158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847" w:type="dxa"/>
            <w:vAlign w:val="top"/>
          </w:tcPr>
          <w:p>
            <w:pPr>
              <w:pStyle w:val="14"/>
              <w:spacing w:before="102"/>
              <w:ind w:left="7"/>
              <w:jc w:val="center"/>
              <w:rPr>
                <w:sz w:val="22"/>
              </w:rPr>
            </w:pPr>
            <w:r>
              <w:rPr>
                <w:w w:val="100"/>
                <w:sz w:val="22"/>
              </w:rPr>
              <w:t>9</w:t>
            </w:r>
          </w:p>
        </w:tc>
        <w:tc>
          <w:tcPr>
            <w:tcW w:w="2604" w:type="dxa"/>
            <w:vAlign w:val="top"/>
          </w:tcPr>
          <w:p>
            <w:pPr>
              <w:pStyle w:val="14"/>
              <w:spacing w:before="102"/>
              <w:ind w:left="108"/>
              <w:rPr>
                <w:sz w:val="22"/>
              </w:rPr>
            </w:pPr>
            <w:r>
              <w:rPr>
                <w:sz w:val="22"/>
              </w:rPr>
              <w:t>预付款额度</w:t>
            </w:r>
          </w:p>
        </w:tc>
        <w:tc>
          <w:tcPr>
            <w:tcW w:w="1391" w:type="dxa"/>
            <w:vAlign w:val="top"/>
          </w:tcPr>
          <w:p>
            <w:pPr>
              <w:pStyle w:val="14"/>
              <w:rPr>
                <w:rFonts w:ascii="Times New Roman"/>
                <w:sz w:val="20"/>
              </w:rPr>
            </w:pPr>
          </w:p>
        </w:tc>
        <w:tc>
          <w:tcPr>
            <w:tcW w:w="1853" w:type="dxa"/>
            <w:vAlign w:val="top"/>
          </w:tcPr>
          <w:p>
            <w:pPr>
              <w:pStyle w:val="14"/>
              <w:rPr>
                <w:rFonts w:ascii="Times New Roman"/>
                <w:sz w:val="20"/>
              </w:rPr>
            </w:pPr>
          </w:p>
        </w:tc>
        <w:tc>
          <w:tcPr>
            <w:tcW w:w="158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847" w:type="dxa"/>
            <w:vAlign w:val="top"/>
          </w:tcPr>
          <w:p>
            <w:pPr>
              <w:pStyle w:val="14"/>
              <w:spacing w:before="102"/>
              <w:ind w:left="125" w:right="118"/>
              <w:jc w:val="center"/>
              <w:rPr>
                <w:sz w:val="22"/>
              </w:rPr>
            </w:pPr>
            <w:r>
              <w:rPr>
                <w:sz w:val="22"/>
              </w:rPr>
              <w:t>10</w:t>
            </w:r>
          </w:p>
        </w:tc>
        <w:tc>
          <w:tcPr>
            <w:tcW w:w="2604" w:type="dxa"/>
            <w:vAlign w:val="top"/>
          </w:tcPr>
          <w:p>
            <w:pPr>
              <w:pStyle w:val="14"/>
              <w:spacing w:before="102"/>
              <w:ind w:left="108"/>
              <w:rPr>
                <w:sz w:val="22"/>
              </w:rPr>
            </w:pPr>
            <w:r>
              <w:rPr>
                <w:sz w:val="22"/>
              </w:rPr>
              <w:t>预付款保函金额</w:t>
            </w:r>
          </w:p>
        </w:tc>
        <w:tc>
          <w:tcPr>
            <w:tcW w:w="1391" w:type="dxa"/>
            <w:vAlign w:val="top"/>
          </w:tcPr>
          <w:p>
            <w:pPr>
              <w:pStyle w:val="14"/>
              <w:rPr>
                <w:rFonts w:ascii="Times New Roman"/>
                <w:sz w:val="20"/>
              </w:rPr>
            </w:pPr>
          </w:p>
        </w:tc>
        <w:tc>
          <w:tcPr>
            <w:tcW w:w="1853" w:type="dxa"/>
            <w:vAlign w:val="top"/>
          </w:tcPr>
          <w:p>
            <w:pPr>
              <w:pStyle w:val="14"/>
              <w:rPr>
                <w:rFonts w:ascii="Times New Roman"/>
                <w:sz w:val="20"/>
              </w:rPr>
            </w:pPr>
          </w:p>
        </w:tc>
        <w:tc>
          <w:tcPr>
            <w:tcW w:w="158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847" w:type="dxa"/>
            <w:vAlign w:val="top"/>
          </w:tcPr>
          <w:p>
            <w:pPr>
              <w:pStyle w:val="14"/>
              <w:spacing w:before="101"/>
              <w:ind w:left="125" w:right="118"/>
              <w:jc w:val="center"/>
              <w:rPr>
                <w:sz w:val="22"/>
              </w:rPr>
            </w:pPr>
            <w:r>
              <w:rPr>
                <w:sz w:val="22"/>
              </w:rPr>
              <w:t>11</w:t>
            </w:r>
          </w:p>
        </w:tc>
        <w:tc>
          <w:tcPr>
            <w:tcW w:w="2604" w:type="dxa"/>
            <w:vAlign w:val="top"/>
          </w:tcPr>
          <w:p>
            <w:pPr>
              <w:pStyle w:val="14"/>
              <w:spacing w:before="101"/>
              <w:ind w:left="108"/>
              <w:rPr>
                <w:sz w:val="22"/>
              </w:rPr>
            </w:pPr>
            <w:r>
              <w:rPr>
                <w:sz w:val="22"/>
              </w:rPr>
              <w:t>质量保证金扣留百分比</w:t>
            </w:r>
          </w:p>
        </w:tc>
        <w:tc>
          <w:tcPr>
            <w:tcW w:w="1391" w:type="dxa"/>
            <w:vAlign w:val="top"/>
          </w:tcPr>
          <w:p>
            <w:pPr>
              <w:pStyle w:val="14"/>
              <w:rPr>
                <w:rFonts w:ascii="Times New Roman"/>
                <w:sz w:val="20"/>
              </w:rPr>
            </w:pPr>
          </w:p>
        </w:tc>
        <w:tc>
          <w:tcPr>
            <w:tcW w:w="1853" w:type="dxa"/>
            <w:vAlign w:val="top"/>
          </w:tcPr>
          <w:p>
            <w:pPr>
              <w:pStyle w:val="14"/>
              <w:spacing w:before="101"/>
              <w:ind w:left="7"/>
              <w:jc w:val="center"/>
              <w:rPr>
                <w:sz w:val="22"/>
              </w:rPr>
            </w:pPr>
            <w:r>
              <w:rPr>
                <w:sz w:val="22"/>
                <w:u w:val="single"/>
              </w:rPr>
              <w:t>3%</w:t>
            </w:r>
          </w:p>
        </w:tc>
        <w:tc>
          <w:tcPr>
            <w:tcW w:w="158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847" w:type="dxa"/>
            <w:vAlign w:val="top"/>
          </w:tcPr>
          <w:p>
            <w:pPr>
              <w:pStyle w:val="14"/>
              <w:rPr>
                <w:rFonts w:ascii="Times New Roman"/>
                <w:sz w:val="20"/>
              </w:rPr>
            </w:pPr>
          </w:p>
        </w:tc>
        <w:tc>
          <w:tcPr>
            <w:tcW w:w="2604" w:type="dxa"/>
            <w:vAlign w:val="top"/>
          </w:tcPr>
          <w:p>
            <w:pPr>
              <w:pStyle w:val="14"/>
              <w:spacing w:before="102"/>
              <w:ind w:left="108"/>
              <w:rPr>
                <w:sz w:val="22"/>
              </w:rPr>
            </w:pPr>
            <w:r>
              <w:rPr>
                <w:sz w:val="22"/>
              </w:rPr>
              <w:t>质量保证金额度</w:t>
            </w:r>
          </w:p>
        </w:tc>
        <w:tc>
          <w:tcPr>
            <w:tcW w:w="1391" w:type="dxa"/>
            <w:vAlign w:val="top"/>
          </w:tcPr>
          <w:p>
            <w:pPr>
              <w:pStyle w:val="14"/>
              <w:rPr>
                <w:rFonts w:ascii="Times New Roman"/>
                <w:sz w:val="20"/>
              </w:rPr>
            </w:pPr>
          </w:p>
        </w:tc>
        <w:tc>
          <w:tcPr>
            <w:tcW w:w="1853" w:type="dxa"/>
            <w:vAlign w:val="top"/>
          </w:tcPr>
          <w:p>
            <w:pPr>
              <w:pStyle w:val="14"/>
              <w:rPr>
                <w:rFonts w:ascii="Times New Roman"/>
                <w:sz w:val="20"/>
              </w:rPr>
            </w:pPr>
          </w:p>
        </w:tc>
        <w:tc>
          <w:tcPr>
            <w:tcW w:w="158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atLeast"/>
        </w:trPr>
        <w:tc>
          <w:tcPr>
            <w:tcW w:w="847" w:type="dxa"/>
            <w:vAlign w:val="top"/>
          </w:tcPr>
          <w:p>
            <w:pPr>
              <w:pStyle w:val="14"/>
              <w:spacing w:before="102"/>
              <w:ind w:left="125" w:right="118"/>
              <w:jc w:val="center"/>
              <w:rPr>
                <w:sz w:val="22"/>
              </w:rPr>
            </w:pPr>
            <w:r>
              <w:rPr>
                <w:sz w:val="22"/>
              </w:rPr>
              <w:t>……</w:t>
            </w:r>
          </w:p>
        </w:tc>
        <w:tc>
          <w:tcPr>
            <w:tcW w:w="2604" w:type="dxa"/>
            <w:vAlign w:val="top"/>
          </w:tcPr>
          <w:p>
            <w:pPr>
              <w:pStyle w:val="14"/>
              <w:spacing w:before="102"/>
              <w:ind w:left="1063" w:right="1051"/>
              <w:jc w:val="center"/>
              <w:rPr>
                <w:sz w:val="22"/>
              </w:rPr>
            </w:pPr>
            <w:r>
              <w:rPr>
                <w:sz w:val="22"/>
              </w:rPr>
              <w:t>……</w:t>
            </w:r>
          </w:p>
        </w:tc>
        <w:tc>
          <w:tcPr>
            <w:tcW w:w="1391" w:type="dxa"/>
            <w:vAlign w:val="top"/>
          </w:tcPr>
          <w:p>
            <w:pPr>
              <w:pStyle w:val="14"/>
              <w:rPr>
                <w:rFonts w:ascii="Times New Roman"/>
                <w:sz w:val="20"/>
              </w:rPr>
            </w:pPr>
          </w:p>
        </w:tc>
        <w:tc>
          <w:tcPr>
            <w:tcW w:w="1853" w:type="dxa"/>
            <w:vAlign w:val="top"/>
          </w:tcPr>
          <w:p>
            <w:pPr>
              <w:pStyle w:val="14"/>
              <w:rPr>
                <w:rFonts w:ascii="Times New Roman"/>
                <w:sz w:val="20"/>
              </w:rPr>
            </w:pPr>
          </w:p>
        </w:tc>
        <w:tc>
          <w:tcPr>
            <w:tcW w:w="158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5" w:hRule="atLeast"/>
        </w:trPr>
        <w:tc>
          <w:tcPr>
            <w:tcW w:w="8280" w:type="dxa"/>
            <w:gridSpan w:val="5"/>
            <w:vAlign w:val="top"/>
          </w:tcPr>
          <w:p>
            <w:pPr>
              <w:pStyle w:val="14"/>
              <w:ind w:left="107"/>
              <w:rPr>
                <w:sz w:val="22"/>
              </w:rPr>
            </w:pPr>
            <w:r>
              <w:rPr>
                <w:sz w:val="22"/>
              </w:rPr>
              <w:t>备注：投标人在响应招标文件中规定的实质性要求和条件的基础上，可作出其他有利</w:t>
            </w:r>
          </w:p>
          <w:p>
            <w:pPr>
              <w:pStyle w:val="14"/>
              <w:spacing w:before="145"/>
              <w:ind w:left="107"/>
              <w:rPr>
                <w:sz w:val="22"/>
              </w:rPr>
            </w:pPr>
            <w:r>
              <w:rPr>
                <w:sz w:val="22"/>
              </w:rPr>
              <w:t>于招标人的承诺。此类承诺可在本表中予以补充填写。</w:t>
            </w:r>
          </w:p>
        </w:tc>
      </w:tr>
    </w:tbl>
    <w:p>
      <w:pPr>
        <w:pStyle w:val="9"/>
        <w:spacing w:before="1"/>
        <w:ind w:left="3644"/>
      </w:pPr>
      <w:r>
        <w:t>投标人（单位公章）：</w:t>
      </w:r>
    </w:p>
    <w:p>
      <w:pPr>
        <w:pStyle w:val="9"/>
        <w:tabs>
          <w:tab w:val="left" w:pos="4743"/>
          <w:tab w:val="left" w:pos="5623"/>
          <w:tab w:val="left" w:pos="6504"/>
        </w:tabs>
        <w:spacing w:before="145" w:line="364" w:lineRule="auto"/>
        <w:ind w:left="3644" w:right="1239"/>
      </w:pPr>
      <w:r>
        <w:rPr>
          <w:spacing w:val="-1"/>
        </w:rPr>
        <w:t>法</w:t>
      </w:r>
      <w:r>
        <w:rPr>
          <w:spacing w:val="-3"/>
        </w:rPr>
        <w:t>定</w:t>
      </w:r>
      <w:r>
        <w:t>代表</w:t>
      </w:r>
      <w:r>
        <w:rPr>
          <w:spacing w:val="-3"/>
        </w:rPr>
        <w:t>人</w:t>
      </w:r>
      <w:r>
        <w:t>或委</w:t>
      </w:r>
      <w:r>
        <w:rPr>
          <w:spacing w:val="-3"/>
        </w:rPr>
        <w:t>托</w:t>
      </w:r>
      <w:r>
        <w:t>代理</w:t>
      </w:r>
      <w:r>
        <w:rPr>
          <w:spacing w:val="-3"/>
        </w:rPr>
        <w:t>人</w:t>
      </w:r>
      <w:r>
        <w:t>（签</w:t>
      </w:r>
      <w:r>
        <w:rPr>
          <w:spacing w:val="-3"/>
        </w:rPr>
        <w:t>字</w:t>
      </w:r>
      <w:r>
        <w:t>或盖</w:t>
      </w:r>
      <w:r>
        <w:rPr>
          <w:spacing w:val="-3"/>
        </w:rPr>
        <w:t>章</w:t>
      </w:r>
      <w:r>
        <w:t>）： 日</w:t>
      </w:r>
      <w:r>
        <w:rPr>
          <w:spacing w:val="-3"/>
        </w:rPr>
        <w:t>期</w:t>
      </w:r>
      <w:r>
        <w:t>：</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line="364" w:lineRule="auto"/>
        <w:sectPr>
          <w:headerReference r:id="rId21" w:type="default"/>
          <w:footerReference r:id="rId22" w:type="default"/>
          <w:pgSz w:w="11910" w:h="16840"/>
          <w:pgMar w:top="780" w:right="1420" w:bottom="1220" w:left="1420" w:header="0" w:footer="1024" w:gutter="0"/>
          <w:cols w:space="720" w:num="1"/>
        </w:sectPr>
      </w:pPr>
    </w:p>
    <w:p>
      <w:pPr>
        <w:pStyle w:val="9"/>
        <w:spacing w:line="20" w:lineRule="exact"/>
        <w:ind w:left="369"/>
        <w:rPr>
          <w:sz w:val="2"/>
        </w:rPr>
      </w:pPr>
      <w:bookmarkStart w:id="132" w:name="法定代表人授权委托书"/>
      <w:bookmarkEnd w:id="132"/>
      <w:r>
        <w:rPr>
          <w:rFonts w:ascii="宋体" w:hAnsi="宋体" w:eastAsia="宋体" w:cs="宋体"/>
          <w:sz w:val="2"/>
          <w:szCs w:val="22"/>
          <w:lang w:val="zh-CN" w:eastAsia="zh-CN" w:bidi="zh-CN"/>
        </w:rPr>
        <w:pict>
          <v:group id="组合 25" o:spid="_x0000_s1076" style="height:0.75pt;width:405.25pt;rotation:0f;" coordorigin="0,7" coordsize="8105,0">
            <o:lock v:ext="edit" position="f" selection="f" grouping="f" rotation="f" cropping="f" text="f" aspectratio="f"/>
            <v:line id="直线 26" o:spid="_x0000_s1077" style="position:absolute;left:0;top:7;height:0;width:8105;rotation:0f;" o:ole="f" fillcolor="#FFFFFF" filled="f" o:preferrelative="t" stroked="t" coordsize="21600,21600">
              <v:fill on="f" color2="#FFFFFF" focus="0%"/>
              <v:stroke weight="0.72pt" color="#000000" color2="#FFFFFF" miterlimit="2"/>
              <v:imagedata gain="65536f" blacklevel="0f" gamma="0"/>
              <o:lock v:ext="edit" position="f" selection="f" grouping="f" rotation="f" cropping="f" text="f" aspectratio="f"/>
            </v:line>
            <w10:wrap type="none"/>
            <w10:anchorlock/>
          </v:group>
        </w:pict>
      </w:r>
    </w:p>
    <w:p>
      <w:pPr>
        <w:pStyle w:val="9"/>
        <w:rPr>
          <w:sz w:val="20"/>
        </w:rPr>
      </w:pPr>
    </w:p>
    <w:p>
      <w:pPr>
        <w:pStyle w:val="9"/>
        <w:spacing w:before="2"/>
        <w:rPr>
          <w:sz w:val="16"/>
        </w:rPr>
      </w:pPr>
    </w:p>
    <w:p>
      <w:pPr>
        <w:pStyle w:val="9"/>
        <w:ind w:left="1006"/>
      </w:pPr>
      <w:bookmarkStart w:id="133" w:name="（二）法定代表人证明及法定代表人授权委托书"/>
      <w:bookmarkEnd w:id="133"/>
      <w:r>
        <w:t>（二）法定代表人证明及法定代表人授权委托书</w:t>
      </w:r>
    </w:p>
    <w:p>
      <w:pPr>
        <w:pStyle w:val="9"/>
        <w:spacing w:before="1"/>
        <w:rPr>
          <w:sz w:val="30"/>
        </w:rPr>
      </w:pPr>
    </w:p>
    <w:p>
      <w:pPr>
        <w:pStyle w:val="9"/>
        <w:ind w:left="3838"/>
      </w:pPr>
      <w:bookmarkStart w:id="134" w:name="法定代表人证明"/>
      <w:bookmarkEnd w:id="134"/>
      <w:r>
        <w:t>法定代表人证明</w:t>
      </w:r>
    </w:p>
    <w:p>
      <w:pPr>
        <w:pStyle w:val="9"/>
      </w:pPr>
    </w:p>
    <w:p>
      <w:pPr>
        <w:pStyle w:val="9"/>
        <w:spacing w:before="11"/>
      </w:pPr>
    </w:p>
    <w:p>
      <w:pPr>
        <w:pStyle w:val="9"/>
        <w:tabs>
          <w:tab w:val="left" w:pos="3346"/>
          <w:tab w:val="left" w:pos="5107"/>
          <w:tab w:val="left" w:pos="6867"/>
          <w:tab w:val="left" w:pos="7691"/>
        </w:tabs>
        <w:spacing w:line="364" w:lineRule="auto"/>
        <w:ind w:left="377" w:right="1373"/>
        <w:jc w:val="both"/>
      </w:pPr>
      <w:r>
        <w:t>投 标 人</w:t>
      </w:r>
      <w:r>
        <w:rPr>
          <w:spacing w:val="-4"/>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spacing w:val="-1"/>
        </w:rPr>
        <w:t>单</w:t>
      </w:r>
      <w:r>
        <w:rPr>
          <w:spacing w:val="-3"/>
        </w:rPr>
        <w:t>位</w:t>
      </w:r>
      <w:r>
        <w:rPr>
          <w:spacing w:val="-1"/>
        </w:rPr>
        <w:t>性质</w:t>
      </w:r>
      <w:r>
        <w:rPr>
          <w:spacing w:val="-4"/>
        </w:rPr>
        <w:t>：</w:t>
      </w:r>
      <w:r>
        <w:rPr>
          <w:spacing w:val="-4"/>
          <w:u w:val="single"/>
        </w:rPr>
        <w:tab/>
      </w:r>
      <w:r>
        <w:rPr>
          <w:spacing w:val="-4"/>
          <w:u w:val="single"/>
        </w:rPr>
        <w:tab/>
      </w:r>
      <w:r>
        <w:rPr>
          <w:spacing w:val="-4"/>
          <w:u w:val="single"/>
        </w:rPr>
        <w:tab/>
      </w:r>
      <w:r>
        <w:rPr>
          <w:spacing w:val="-4"/>
          <w:u w:val="single"/>
        </w:rPr>
        <w:tab/>
      </w:r>
      <w:r>
        <w:rPr>
          <w:u w:val="single"/>
        </w:rPr>
        <w:t xml:space="preserve">                                                       </w:t>
      </w:r>
      <w:r>
        <w:t xml:space="preserve">地   </w:t>
      </w:r>
      <w:r>
        <w:rPr>
          <w:spacing w:val="1"/>
        </w:rPr>
        <w:t xml:space="preserve"> </w:t>
      </w:r>
      <w:r>
        <w:t>址</w:t>
      </w:r>
      <w:r>
        <w:rPr>
          <w:spacing w:val="-4"/>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成</w:t>
      </w:r>
      <w:r>
        <w:rPr>
          <w:spacing w:val="-3"/>
        </w:rPr>
        <w:t>立</w:t>
      </w:r>
      <w:r>
        <w:t>时间</w:t>
      </w:r>
      <w:r>
        <w:rPr>
          <w:spacing w:val="-4"/>
        </w:rPr>
        <w:t>：</w:t>
      </w:r>
      <w:r>
        <w:rPr>
          <w:spacing w:val="-4"/>
          <w:u w:val="single"/>
        </w:rPr>
        <w:t xml:space="preserve"> </w:t>
      </w:r>
      <w:r>
        <w:rPr>
          <w:spacing w:val="-4"/>
          <w:u w:val="single"/>
        </w:rPr>
        <w:tab/>
      </w:r>
      <w:r>
        <w:t>年</w:t>
      </w:r>
      <w:r>
        <w:rPr>
          <w:u w:val="single"/>
        </w:rPr>
        <w:t xml:space="preserve"> </w:t>
      </w:r>
      <w:r>
        <w:rPr>
          <w:u w:val="single"/>
        </w:rPr>
        <w:tab/>
      </w:r>
      <w:r>
        <w:rPr>
          <w:spacing w:val="-3"/>
        </w:rPr>
        <w:t>月</w:t>
      </w:r>
      <w:r>
        <w:rPr>
          <w:spacing w:val="-3"/>
          <w:u w:val="single"/>
        </w:rPr>
        <w:t xml:space="preserve"> </w:t>
      </w:r>
      <w:r>
        <w:rPr>
          <w:spacing w:val="-3"/>
          <w:u w:val="single"/>
        </w:rPr>
        <w:tab/>
      </w:r>
      <w:r>
        <w:t>日</w:t>
      </w:r>
    </w:p>
    <w:p>
      <w:pPr>
        <w:pStyle w:val="9"/>
        <w:tabs>
          <w:tab w:val="left" w:pos="4337"/>
          <w:tab w:val="left" w:pos="7691"/>
        </w:tabs>
        <w:spacing w:line="364" w:lineRule="auto"/>
        <w:ind w:left="377" w:right="1373"/>
        <w:jc w:val="both"/>
        <w:rPr>
          <w:rFonts w:ascii="Times New Roman" w:eastAsia="Times New Roman"/>
        </w:rPr>
      </w:pPr>
      <w:r>
        <w:rPr>
          <w:spacing w:val="-1"/>
        </w:rPr>
        <w:t>经</w:t>
      </w:r>
      <w:r>
        <w:rPr>
          <w:spacing w:val="-3"/>
        </w:rPr>
        <w:t>营</w:t>
      </w:r>
      <w:r>
        <w:rPr>
          <w:spacing w:val="-1"/>
        </w:rPr>
        <w:t>期限</w:t>
      </w:r>
      <w:r>
        <w:rPr>
          <w:spacing w:val="-4"/>
        </w:rPr>
        <w:t>：</w:t>
      </w:r>
      <w:r>
        <w:rPr>
          <w:spacing w:val="-4"/>
          <w:u w:val="single"/>
        </w:rPr>
        <w:tab/>
      </w:r>
      <w:r>
        <w:rPr>
          <w:spacing w:val="-4"/>
          <w:u w:val="single"/>
        </w:rPr>
        <w:tab/>
      </w:r>
      <w:r>
        <w:rPr>
          <w:u w:val="single"/>
        </w:rPr>
        <w:t xml:space="preserve">                                                       </w:t>
      </w:r>
      <w:r>
        <w:t>姓    名</w:t>
      </w:r>
      <w:r>
        <w:rPr>
          <w:spacing w:val="-4"/>
        </w:rPr>
        <w:t>：</w:t>
      </w:r>
      <w:r>
        <w:rPr>
          <w:spacing w:val="-4"/>
          <w:u w:val="single"/>
        </w:rPr>
        <w:t xml:space="preserve"> </w:t>
      </w:r>
      <w:r>
        <w:rPr>
          <w:spacing w:val="-4"/>
          <w:u w:val="single"/>
        </w:rPr>
        <w:tab/>
      </w:r>
      <w:r>
        <w:t>性        别</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 xml:space="preserve">               </w:t>
      </w:r>
      <w:r>
        <w:t>年    龄</w:t>
      </w:r>
      <w:r>
        <w:rPr>
          <w:spacing w:val="-4"/>
        </w:rPr>
        <w:t>：</w:t>
      </w:r>
      <w:r>
        <w:rPr>
          <w:spacing w:val="-4"/>
          <w:u w:val="single"/>
        </w:rPr>
        <w:t xml:space="preserve"> </w:t>
      </w:r>
      <w:r>
        <w:rPr>
          <w:spacing w:val="-4"/>
          <w:u w:val="single"/>
        </w:rPr>
        <w:tab/>
      </w:r>
      <w:r>
        <w:t xml:space="preserve">职       务 </w:t>
      </w:r>
      <w:r>
        <w:rPr>
          <w:spacing w:val="-3"/>
        </w:rPr>
        <w:t>：</w:t>
      </w:r>
      <w:r>
        <w:rPr>
          <w:rFonts w:ascii="Times New Roman" w:eastAsia="Times New Roman"/>
          <w:u w:val="single"/>
        </w:rPr>
        <w:t xml:space="preserve"> </w:t>
      </w:r>
      <w:r>
        <w:rPr>
          <w:rFonts w:ascii="Times New Roman" w:eastAsia="Times New Roman"/>
          <w:u w:val="single"/>
        </w:rPr>
        <w:tab/>
      </w:r>
    </w:p>
    <w:p>
      <w:pPr>
        <w:pStyle w:val="9"/>
        <w:tabs>
          <w:tab w:val="left" w:pos="5767"/>
        </w:tabs>
        <w:spacing w:line="364" w:lineRule="auto"/>
        <w:ind w:left="1916" w:right="216" w:hanging="1539"/>
      </w:pPr>
      <w:r>
        <w:rPr>
          <w:spacing w:val="-3"/>
        </w:rPr>
        <w:t>系</w:t>
      </w:r>
      <w:r>
        <w:rPr>
          <w:spacing w:val="-3"/>
          <w:u w:val="single"/>
        </w:rPr>
        <w:t xml:space="preserve"> </w:t>
      </w:r>
      <w:r>
        <w:rPr>
          <w:spacing w:val="-3"/>
          <w:u w:val="single"/>
        </w:rPr>
        <w:tab/>
      </w:r>
      <w:r>
        <w:rPr>
          <w:spacing w:val="-3"/>
          <w:u w:val="single"/>
        </w:rPr>
        <w:tab/>
      </w:r>
      <w:r>
        <w:t>（</w:t>
      </w:r>
      <w:r>
        <w:rPr>
          <w:spacing w:val="-3"/>
        </w:rPr>
        <w:t>投</w:t>
      </w:r>
      <w:r>
        <w:t>标人</w:t>
      </w:r>
      <w:r>
        <w:rPr>
          <w:spacing w:val="-3"/>
        </w:rPr>
        <w:t>名</w:t>
      </w:r>
      <w:r>
        <w:t>称）</w:t>
      </w:r>
      <w:r>
        <w:rPr>
          <w:spacing w:val="-3"/>
        </w:rPr>
        <w:t>的</w:t>
      </w:r>
      <w:r>
        <w:t>法定</w:t>
      </w:r>
      <w:r>
        <w:rPr>
          <w:spacing w:val="-3"/>
        </w:rPr>
        <w:t>代</w:t>
      </w:r>
      <w:r>
        <w:t>表</w:t>
      </w:r>
      <w:r>
        <w:rPr>
          <w:spacing w:val="-3"/>
        </w:rPr>
        <w:t>人</w:t>
      </w:r>
      <w:r>
        <w:t>。特</w:t>
      </w:r>
      <w:r>
        <w:rPr>
          <w:spacing w:val="-3"/>
        </w:rPr>
        <w:t>此</w:t>
      </w:r>
      <w:r>
        <w:t>证明。</w:t>
      </w:r>
    </w:p>
    <w:p>
      <w:pPr>
        <w:pStyle w:val="9"/>
      </w:pPr>
    </w:p>
    <w:p>
      <w:pPr>
        <w:pStyle w:val="9"/>
      </w:pPr>
    </w:p>
    <w:p>
      <w:pPr>
        <w:pStyle w:val="9"/>
      </w:pPr>
    </w:p>
    <w:p>
      <w:pPr>
        <w:pStyle w:val="9"/>
      </w:pPr>
    </w:p>
    <w:p>
      <w:pPr>
        <w:pStyle w:val="9"/>
      </w:pPr>
    </w:p>
    <w:p>
      <w:pPr>
        <w:pStyle w:val="9"/>
      </w:pPr>
    </w:p>
    <w:p>
      <w:pPr>
        <w:pStyle w:val="9"/>
      </w:pPr>
    </w:p>
    <w:p>
      <w:pPr>
        <w:pStyle w:val="9"/>
        <w:tabs>
          <w:tab w:val="left" w:pos="7522"/>
        </w:tabs>
        <w:spacing w:before="162"/>
        <w:ind w:left="3780"/>
      </w:pPr>
      <w:r>
        <w:t>投</w:t>
      </w:r>
      <w:r>
        <w:rPr>
          <w:spacing w:val="-3"/>
        </w:rPr>
        <w:t>标</w:t>
      </w:r>
      <w:r>
        <w:t>人：</w:t>
      </w:r>
      <w:r>
        <w:rPr>
          <w:u w:val="single"/>
        </w:rPr>
        <w:t xml:space="preserve"> </w:t>
      </w:r>
      <w:r>
        <w:rPr>
          <w:u w:val="single"/>
        </w:rPr>
        <w:tab/>
      </w:r>
      <w:r>
        <w:rPr>
          <w:spacing w:val="-1"/>
        </w:rPr>
        <w:t>（</w:t>
      </w:r>
      <w:r>
        <w:rPr>
          <w:spacing w:val="-3"/>
        </w:rPr>
        <w:t>单</w:t>
      </w:r>
      <w:r>
        <w:rPr>
          <w:spacing w:val="-1"/>
        </w:rPr>
        <w:t>位公</w:t>
      </w:r>
      <w:r>
        <w:rPr>
          <w:spacing w:val="-3"/>
        </w:rPr>
        <w:t>章</w:t>
      </w:r>
      <w:r>
        <w:t>）</w:t>
      </w:r>
    </w:p>
    <w:p>
      <w:pPr>
        <w:pStyle w:val="9"/>
        <w:tabs>
          <w:tab w:val="left" w:pos="6420"/>
          <w:tab w:val="left" w:pos="7522"/>
          <w:tab w:val="left" w:pos="8621"/>
        </w:tabs>
        <w:spacing w:before="147"/>
        <w:ind w:left="5432"/>
      </w:pPr>
      <w:r>
        <w:rPr>
          <w:rFonts w:ascii="Times New Roman" w:eastAsia="Times New Roman"/>
          <w:w w:val="100"/>
          <w:u w:val="single"/>
        </w:rPr>
        <w:t xml:space="preserve"> </w:t>
      </w:r>
      <w:r>
        <w:rPr>
          <w:rFonts w:ascii="Times New Roman" w:eastAsia="Times New Roman"/>
          <w:u w:val="single"/>
        </w:rPr>
        <w:tab/>
      </w:r>
      <w:r>
        <w:t>年</w:t>
      </w:r>
      <w:r>
        <w:rPr>
          <w:u w:val="single"/>
        </w:rPr>
        <w:t xml:space="preserve"> </w:t>
      </w:r>
      <w:r>
        <w:rPr>
          <w:u w:val="single"/>
        </w:rPr>
        <w:tab/>
      </w:r>
      <w:r>
        <w:rPr>
          <w:spacing w:val="-4"/>
        </w:rPr>
        <w:t>月</w:t>
      </w:r>
      <w:r>
        <w:rPr>
          <w:spacing w:val="-4"/>
          <w:u w:val="single"/>
        </w:rPr>
        <w:t xml:space="preserve"> </w:t>
      </w:r>
      <w:r>
        <w:rPr>
          <w:spacing w:val="-4"/>
          <w:u w:val="single"/>
        </w:rPr>
        <w:tab/>
      </w:r>
      <w:r>
        <w:t>日</w:t>
      </w:r>
    </w:p>
    <w:p>
      <w:pPr>
        <w:spacing w:after="0"/>
        <w:sectPr>
          <w:headerReference r:id="rId23" w:type="default"/>
          <w:footerReference r:id="rId24" w:type="default"/>
          <w:pgSz w:w="11910" w:h="16840"/>
          <w:pgMar w:top="1060" w:right="1420" w:bottom="280" w:left="1420" w:header="0" w:footer="0" w:gutter="0"/>
          <w:cols w:space="720" w:num="1"/>
        </w:sectPr>
      </w:pPr>
    </w:p>
    <w:p>
      <w:pPr>
        <w:pStyle w:val="9"/>
        <w:rPr>
          <w:sz w:val="20"/>
        </w:rPr>
      </w:pPr>
    </w:p>
    <w:p>
      <w:pPr>
        <w:pStyle w:val="9"/>
        <w:spacing w:before="6"/>
        <w:rPr>
          <w:sz w:val="18"/>
        </w:rPr>
      </w:pPr>
    </w:p>
    <w:p>
      <w:pPr>
        <w:pStyle w:val="9"/>
        <w:spacing w:before="70"/>
        <w:ind w:left="2342" w:right="2188"/>
        <w:jc w:val="center"/>
      </w:pPr>
      <w:r>
        <w:t>法定代表人授权委托书</w:t>
      </w:r>
    </w:p>
    <w:p>
      <w:pPr>
        <w:pStyle w:val="9"/>
      </w:pPr>
    </w:p>
    <w:p>
      <w:pPr>
        <w:pStyle w:val="9"/>
        <w:spacing w:before="9"/>
      </w:pPr>
    </w:p>
    <w:p>
      <w:pPr>
        <w:pStyle w:val="9"/>
        <w:tabs>
          <w:tab w:val="left" w:pos="2189"/>
          <w:tab w:val="left" w:pos="2686"/>
          <w:tab w:val="left" w:pos="4164"/>
          <w:tab w:val="left" w:pos="4663"/>
        </w:tabs>
        <w:spacing w:line="364" w:lineRule="auto"/>
        <w:ind w:left="377" w:right="216" w:firstLine="439"/>
        <w:jc w:val="both"/>
      </w:pPr>
      <w:r>
        <w:t>本</w:t>
      </w:r>
      <w:r>
        <w:rPr>
          <w:spacing w:val="-3"/>
        </w:rPr>
        <w:t>人</w:t>
      </w:r>
      <w:r>
        <w:rPr>
          <w:spacing w:val="-3"/>
          <w:u w:val="single"/>
        </w:rPr>
        <w:t xml:space="preserve"> </w:t>
      </w:r>
      <w:r>
        <w:rPr>
          <w:spacing w:val="-3"/>
          <w:u w:val="single"/>
        </w:rPr>
        <w:tab/>
      </w:r>
      <w:r>
        <w:rPr>
          <w:u w:val="single"/>
        </w:rPr>
        <w:t>（</w:t>
      </w:r>
      <w:r>
        <w:t>姓</w:t>
      </w:r>
      <w:r>
        <w:rPr>
          <w:spacing w:val="-3"/>
        </w:rPr>
        <w:t>名</w:t>
      </w:r>
      <w:r>
        <w:rPr>
          <w:spacing w:val="-58"/>
        </w:rPr>
        <w:t>）</w:t>
      </w:r>
      <w:r>
        <w:rPr>
          <w:spacing w:val="-3"/>
        </w:rPr>
        <w:t>系</w:t>
      </w:r>
      <w:r>
        <w:rPr>
          <w:spacing w:val="-3"/>
          <w:u w:val="single"/>
        </w:rPr>
        <w:t xml:space="preserve"> </w:t>
      </w:r>
      <w:r>
        <w:rPr>
          <w:spacing w:val="-3"/>
          <w:u w:val="single"/>
        </w:rPr>
        <w:tab/>
      </w:r>
      <w:r>
        <w:rPr>
          <w:u w:val="single"/>
        </w:rPr>
        <w:t>（</w:t>
      </w:r>
      <w:r>
        <w:t>投</w:t>
      </w:r>
      <w:r>
        <w:rPr>
          <w:spacing w:val="-3"/>
        </w:rPr>
        <w:t>标</w:t>
      </w:r>
      <w:r>
        <w:t>人名</w:t>
      </w:r>
      <w:r>
        <w:rPr>
          <w:spacing w:val="-3"/>
        </w:rPr>
        <w:t>称</w:t>
      </w:r>
      <w:r>
        <w:rPr>
          <w:spacing w:val="-58"/>
        </w:rPr>
        <w:t>）</w:t>
      </w:r>
      <w:r>
        <w:t>的</w:t>
      </w:r>
      <w:r>
        <w:rPr>
          <w:spacing w:val="-3"/>
        </w:rPr>
        <w:t>法</w:t>
      </w:r>
      <w:r>
        <w:t>定代表</w:t>
      </w:r>
      <w:r>
        <w:rPr>
          <w:spacing w:val="-3"/>
        </w:rPr>
        <w:t>人</w:t>
      </w:r>
      <w:r>
        <w:rPr>
          <w:spacing w:val="-61"/>
        </w:rPr>
        <w:t>，</w:t>
      </w:r>
      <w:r>
        <w:t>现</w:t>
      </w:r>
      <w:r>
        <w:rPr>
          <w:spacing w:val="-3"/>
        </w:rPr>
        <w:t>授</w:t>
      </w:r>
      <w:r>
        <w:t>权</w:t>
      </w:r>
      <w:r>
        <w:rPr>
          <w:u w:val="single"/>
        </w:rPr>
        <w:t xml:space="preserve">   </w:t>
      </w:r>
      <w:r>
        <w:rPr>
          <w:spacing w:val="78"/>
          <w:u w:val="single"/>
        </w:rPr>
        <w:t xml:space="preserve"> </w:t>
      </w:r>
      <w:r>
        <w:rPr>
          <w:spacing w:val="-3"/>
          <w:u w:val="single"/>
        </w:rPr>
        <w:t>（</w:t>
      </w:r>
      <w:r>
        <w:t>姓名）为我方代理人。代理人根据授权，以我方名义签署、澄清、说明、补正、提交、撤</w:t>
      </w:r>
      <w:r>
        <w:rPr>
          <w:spacing w:val="-3"/>
        </w:rPr>
        <w:t>回</w:t>
      </w:r>
      <w:r>
        <w:t>、修</w:t>
      </w:r>
      <w:r>
        <w:rPr>
          <w:spacing w:val="-3"/>
        </w:rPr>
        <w:t>改</w:t>
      </w:r>
      <w:r>
        <w:rPr>
          <w:spacing w:val="-3"/>
          <w:u w:val="single"/>
        </w:rPr>
        <w:t xml:space="preserve"> </w:t>
      </w:r>
      <w:r>
        <w:rPr>
          <w:spacing w:val="-3"/>
          <w:u w:val="single"/>
        </w:rPr>
        <w:tab/>
      </w:r>
      <w:r>
        <w:rPr>
          <w:spacing w:val="-3"/>
          <w:u w:val="single"/>
        </w:rPr>
        <w:tab/>
      </w:r>
      <w:r>
        <w:rPr>
          <w:spacing w:val="-3"/>
        </w:rPr>
        <w:t>（</w:t>
      </w:r>
      <w:r>
        <w:t>项</w:t>
      </w:r>
      <w:r>
        <w:rPr>
          <w:spacing w:val="-3"/>
        </w:rPr>
        <w:t>目</w:t>
      </w:r>
      <w:r>
        <w:t>名称</w:t>
      </w:r>
      <w:r>
        <w:rPr>
          <w:spacing w:val="-3"/>
        </w:rPr>
        <w:t>）</w:t>
      </w:r>
      <w:r>
        <w:rPr>
          <w:spacing w:val="-3"/>
          <w:u w:val="single"/>
        </w:rPr>
        <w:t xml:space="preserve"> </w:t>
      </w:r>
      <w:r>
        <w:rPr>
          <w:spacing w:val="-3"/>
          <w:u w:val="single"/>
        </w:rPr>
        <w:tab/>
      </w:r>
      <w:r>
        <w:rPr>
          <w:spacing w:val="-3"/>
          <w:u w:val="single"/>
        </w:rPr>
        <w:tab/>
      </w:r>
      <w:r>
        <w:t>（报</w:t>
      </w:r>
      <w:r>
        <w:rPr>
          <w:spacing w:val="-3"/>
        </w:rPr>
        <w:t>建</w:t>
      </w:r>
      <w:r>
        <w:t>编号</w:t>
      </w:r>
      <w:r>
        <w:rPr>
          <w:spacing w:val="-3"/>
        </w:rPr>
        <w:t>及</w:t>
      </w:r>
      <w:r>
        <w:t>标段</w:t>
      </w:r>
      <w:r>
        <w:rPr>
          <w:spacing w:val="-3"/>
        </w:rPr>
        <w:t>号）</w:t>
      </w:r>
      <w:r>
        <w:t>施</w:t>
      </w:r>
      <w:r>
        <w:rPr>
          <w:spacing w:val="-3"/>
        </w:rPr>
        <w:t>工</w:t>
      </w:r>
      <w:r>
        <w:t>投标</w:t>
      </w:r>
      <w:r>
        <w:rPr>
          <w:spacing w:val="-3"/>
        </w:rPr>
        <w:t>文</w:t>
      </w:r>
      <w:r>
        <w:t>件</w:t>
      </w:r>
      <w:r>
        <w:rPr>
          <w:spacing w:val="-3"/>
        </w:rPr>
        <w:t>、</w:t>
      </w:r>
      <w:r>
        <w:t>签订合</w:t>
      </w:r>
      <w:r>
        <w:rPr>
          <w:spacing w:val="-3"/>
        </w:rPr>
        <w:t>同</w:t>
      </w:r>
      <w:r>
        <w:t>和处</w:t>
      </w:r>
      <w:r>
        <w:rPr>
          <w:spacing w:val="-3"/>
        </w:rPr>
        <w:t>理</w:t>
      </w:r>
      <w:r>
        <w:t>有关</w:t>
      </w:r>
      <w:r>
        <w:rPr>
          <w:spacing w:val="-3"/>
        </w:rPr>
        <w:t>事</w:t>
      </w:r>
      <w:r>
        <w:t>宜，</w:t>
      </w:r>
      <w:r>
        <w:rPr>
          <w:spacing w:val="-3"/>
        </w:rPr>
        <w:t>其</w:t>
      </w:r>
      <w:r>
        <w:t>法律</w:t>
      </w:r>
      <w:r>
        <w:rPr>
          <w:spacing w:val="-3"/>
        </w:rPr>
        <w:t>后</w:t>
      </w:r>
      <w:r>
        <w:t>果由</w:t>
      </w:r>
      <w:r>
        <w:rPr>
          <w:spacing w:val="-3"/>
        </w:rPr>
        <w:t>我</w:t>
      </w:r>
      <w:r>
        <w:t>方承</w:t>
      </w:r>
      <w:r>
        <w:rPr>
          <w:spacing w:val="-3"/>
        </w:rPr>
        <w:t>担</w:t>
      </w:r>
      <w:r>
        <w:t>。</w:t>
      </w:r>
    </w:p>
    <w:p>
      <w:pPr>
        <w:pStyle w:val="9"/>
        <w:tabs>
          <w:tab w:val="left" w:pos="7637"/>
        </w:tabs>
        <w:spacing w:before="120"/>
        <w:ind w:left="102"/>
        <w:jc w:val="center"/>
        <w:rPr>
          <w:rFonts w:ascii="Times New Roman" w:eastAsia="Times New Roman"/>
        </w:rPr>
      </w:pPr>
      <w:r>
        <w:rPr>
          <w:spacing w:val="-1"/>
        </w:rPr>
        <w:t>委</w:t>
      </w:r>
      <w:r>
        <w:rPr>
          <w:spacing w:val="-3"/>
        </w:rPr>
        <w:t>托</w:t>
      </w:r>
      <w:r>
        <w:rPr>
          <w:spacing w:val="-1"/>
        </w:rPr>
        <w:t>期限</w:t>
      </w:r>
      <w:r>
        <w:rPr>
          <w:spacing w:val="-3"/>
        </w:rPr>
        <w:t>：</w:t>
      </w:r>
      <w:r>
        <w:rPr>
          <w:rFonts w:ascii="Times New Roman" w:eastAsia="Times New Roman"/>
          <w:u w:val="single"/>
        </w:rPr>
        <w:t xml:space="preserve"> </w:t>
      </w:r>
      <w:r>
        <w:rPr>
          <w:rFonts w:ascii="Times New Roman" w:eastAsia="Times New Roman"/>
          <w:u w:val="single"/>
        </w:rPr>
        <w:tab/>
      </w:r>
    </w:p>
    <w:p>
      <w:pPr>
        <w:pStyle w:val="9"/>
        <w:tabs>
          <w:tab w:val="left" w:pos="8187"/>
        </w:tabs>
        <w:spacing w:before="145" w:line="568" w:lineRule="auto"/>
        <w:ind w:left="816" w:right="655" w:firstLine="1099"/>
      </w:pPr>
      <w:r>
        <w:rPr>
          <w:rFonts w:ascii="Times New Roman" w:eastAsia="Times New Roman"/>
          <w:w w:val="100"/>
          <w:u w:val="single"/>
        </w:rPr>
        <w:t xml:space="preserve"> </w:t>
      </w:r>
      <w:r>
        <w:rPr>
          <w:rFonts w:ascii="Times New Roman" w:eastAsia="Times New Roman"/>
          <w:u w:val="single"/>
        </w:rPr>
        <w:tab/>
      </w:r>
      <w:r>
        <w:rPr>
          <w:spacing w:val="-17"/>
        </w:rPr>
        <w:t>。</w:t>
      </w:r>
      <w:r>
        <w:rPr>
          <w:spacing w:val="-3"/>
        </w:rPr>
        <w:t>代理人无转委托权。</w:t>
      </w:r>
    </w:p>
    <w:p>
      <w:pPr>
        <w:pStyle w:val="9"/>
      </w:pPr>
      <w:r>
        <w:rPr>
          <w:rFonts w:ascii="宋体" w:hAnsi="宋体" w:eastAsia="宋体" w:cs="宋体"/>
          <w:sz w:val="22"/>
          <w:szCs w:val="22"/>
          <w:lang w:val="zh-CN" w:eastAsia="zh-CN" w:bidi="zh-CN"/>
        </w:rPr>
        <w:pict>
          <v:shape id="任意多边形 28" o:spid="_x0000_s1078" type="" style="position:absolute;left:0;margin-left:54.45pt;margin-top:3.15pt;height:171.25pt;width:335.4pt;mso-wrap-distance-bottom:0pt;mso-wrap-distance-top:0pt;rotation:0f;z-index:251680768;" o:ole="f" fillcolor="#000000" filled="t" o:preferrelative="t" stroked="f" coordorigin="0,0" coordsize="6708,3425" path="m6708,3425l0,3425,0,0,6708,0,6708,8,15,8,8,15,15,15,15,3410,8,3410,15,3418,6708,3418,6708,3425xm15,15l8,15,15,8,15,15xm6693,15l15,15,15,8,6693,8,6693,15xm6693,3418l6693,8,6701,15,6708,15,6708,3410,6701,3410,6693,3418xm6708,15l6701,15,6693,8,6708,8,6708,15xm15,3418l8,3410,15,3410,15,3418xm6693,3418l15,3418,15,3410,6693,3410,6693,3418xm6708,3418l6693,3418,6701,3410,6708,3410,6708,3418xe">
            <v:imagedata gain="65536f" blacklevel="0f" gamma="0"/>
            <o:lock v:ext="edit" position="f" selection="f" grouping="f" rotation="f" cropping="f" text="f" aspectratio="f"/>
            <w10:wrap type="topAndBottom"/>
          </v:shape>
        </w:pict>
      </w:r>
    </w:p>
    <w:p>
      <w:pPr>
        <w:pStyle w:val="9"/>
      </w:pPr>
    </w:p>
    <w:p>
      <w:pPr>
        <w:pStyle w:val="9"/>
      </w:pPr>
    </w:p>
    <w:p>
      <w:pPr>
        <w:pStyle w:val="9"/>
        <w:spacing w:before="8"/>
        <w:rPr>
          <w:sz w:val="25"/>
        </w:rPr>
      </w:pPr>
    </w:p>
    <w:p>
      <w:pPr>
        <w:pStyle w:val="9"/>
        <w:tabs>
          <w:tab w:val="left" w:pos="7301"/>
          <w:tab w:val="left" w:pos="7522"/>
          <w:tab w:val="left" w:pos="8011"/>
        </w:tabs>
        <w:spacing w:line="364" w:lineRule="auto"/>
        <w:ind w:left="3452" w:right="221" w:firstLine="110"/>
        <w:jc w:val="both"/>
        <w:rPr>
          <w:rFonts w:ascii="Times New Roman" w:eastAsia="Times New Roman"/>
        </w:rPr>
      </w:pPr>
      <w:r>
        <w:t>投  标</w:t>
      </w:r>
      <w:r>
        <w:rPr>
          <w:spacing w:val="107"/>
        </w:rPr>
        <w:t xml:space="preserve"> </w:t>
      </w:r>
      <w:r>
        <w:t>人：</w:t>
      </w:r>
      <w:r>
        <w:rPr>
          <w:u w:val="single"/>
        </w:rPr>
        <w:t xml:space="preserve"> </w:t>
      </w:r>
      <w:r>
        <w:rPr>
          <w:u w:val="single"/>
        </w:rPr>
        <w:tab/>
      </w:r>
      <w:r>
        <w:rPr>
          <w:u w:val="single"/>
        </w:rPr>
        <w:tab/>
      </w:r>
      <w:r>
        <w:t>（</w:t>
      </w:r>
      <w:r>
        <w:rPr>
          <w:spacing w:val="-3"/>
        </w:rPr>
        <w:t>单</w:t>
      </w:r>
      <w:r>
        <w:t>位公</w:t>
      </w:r>
      <w:r>
        <w:rPr>
          <w:spacing w:val="-3"/>
        </w:rPr>
        <w:t>章</w:t>
      </w:r>
      <w:r>
        <w:rPr>
          <w:spacing w:val="-14"/>
        </w:rPr>
        <w:t xml:space="preserve">） </w:t>
      </w:r>
      <w:r>
        <w:t>法</w:t>
      </w:r>
      <w:r>
        <w:rPr>
          <w:spacing w:val="-3"/>
        </w:rPr>
        <w:t>定</w:t>
      </w:r>
      <w:r>
        <w:t>代表</w:t>
      </w:r>
      <w:r>
        <w:rPr>
          <w:spacing w:val="-3"/>
        </w:rPr>
        <w:t>人</w:t>
      </w:r>
      <w:r>
        <w:t>：</w:t>
      </w:r>
      <w:r>
        <w:rPr>
          <w:u w:val="single"/>
        </w:rPr>
        <w:t xml:space="preserve"> </w:t>
      </w:r>
      <w:r>
        <w:rPr>
          <w:u w:val="single"/>
        </w:rPr>
        <w:tab/>
      </w:r>
      <w:r>
        <w:t>（</w:t>
      </w:r>
      <w:r>
        <w:rPr>
          <w:spacing w:val="-3"/>
        </w:rPr>
        <w:t>签</w:t>
      </w:r>
      <w:r>
        <w:t>字或</w:t>
      </w:r>
      <w:r>
        <w:rPr>
          <w:spacing w:val="-3"/>
        </w:rPr>
        <w:t>盖</w:t>
      </w:r>
      <w:r>
        <w:t>章</w:t>
      </w:r>
      <w:r>
        <w:rPr>
          <w:spacing w:val="-13"/>
        </w:rPr>
        <w:t xml:space="preserve">） </w:t>
      </w:r>
      <w:r>
        <w:rPr>
          <w:spacing w:val="-1"/>
        </w:rPr>
        <w:t>身</w:t>
      </w:r>
      <w:r>
        <w:rPr>
          <w:spacing w:val="-3"/>
        </w:rPr>
        <w:t>份</w:t>
      </w:r>
      <w:r>
        <w:rPr>
          <w:spacing w:val="-1"/>
        </w:rPr>
        <w:t>证号</w:t>
      </w:r>
      <w:r>
        <w:rPr>
          <w:spacing w:val="-3"/>
        </w:rPr>
        <w:t>码</w:t>
      </w:r>
      <w:r>
        <w:rPr>
          <w:spacing w:val="-1"/>
        </w:rP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9"/>
        <w:tabs>
          <w:tab w:val="left" w:pos="7301"/>
          <w:tab w:val="left" w:pos="8896"/>
        </w:tabs>
        <w:spacing w:line="364" w:lineRule="auto"/>
        <w:ind w:left="4116" w:right="168" w:hanging="555"/>
        <w:rPr>
          <w:rFonts w:ascii="Times New Roman" w:eastAsia="Times New Roman"/>
        </w:rPr>
      </w:pPr>
      <w:r>
        <w:t>委</w:t>
      </w:r>
      <w:r>
        <w:rPr>
          <w:spacing w:val="-3"/>
        </w:rPr>
        <w:t>托</w:t>
      </w:r>
      <w:r>
        <w:t>代理</w:t>
      </w:r>
      <w:r>
        <w:rPr>
          <w:spacing w:val="-3"/>
        </w:rPr>
        <w:t>人</w:t>
      </w:r>
      <w:r>
        <w:t>：</w:t>
      </w:r>
      <w:r>
        <w:rPr>
          <w:u w:val="single"/>
        </w:rPr>
        <w:t xml:space="preserve"> </w:t>
      </w:r>
      <w:r>
        <w:rPr>
          <w:u w:val="single"/>
        </w:rPr>
        <w:tab/>
      </w:r>
      <w:r>
        <w:t>（</w:t>
      </w:r>
      <w:r>
        <w:rPr>
          <w:spacing w:val="-3"/>
        </w:rPr>
        <w:t>签</w:t>
      </w:r>
      <w:r>
        <w:t>字或</w:t>
      </w:r>
      <w:r>
        <w:rPr>
          <w:spacing w:val="-3"/>
        </w:rPr>
        <w:t>盖</w:t>
      </w:r>
      <w:r>
        <w:t xml:space="preserve">章） </w:t>
      </w:r>
      <w:r>
        <w:rPr>
          <w:spacing w:val="-1"/>
        </w:rPr>
        <w:t>身</w:t>
      </w:r>
      <w:r>
        <w:rPr>
          <w:spacing w:val="-3"/>
        </w:rPr>
        <w:t>份</w:t>
      </w:r>
      <w:r>
        <w:rPr>
          <w:spacing w:val="-1"/>
        </w:rPr>
        <w:t>证号</w:t>
      </w:r>
      <w:r>
        <w:rPr>
          <w:spacing w:val="-3"/>
        </w:rPr>
        <w:t>码</w:t>
      </w:r>
      <w:r>
        <w:rPr>
          <w:spacing w:val="-1"/>
        </w:rP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9"/>
        <w:tabs>
          <w:tab w:val="left" w:pos="6317"/>
          <w:tab w:val="left" w:pos="7416"/>
          <w:tab w:val="left" w:pos="8515"/>
        </w:tabs>
        <w:ind w:left="5436"/>
      </w:pPr>
      <w:r>
        <w:rPr>
          <w:rFonts w:ascii="Times New Roman" w:eastAsia="Times New Roman"/>
          <w:w w:val="100"/>
          <w:u w:val="single"/>
        </w:rPr>
        <w:t xml:space="preserve"> </w:t>
      </w:r>
      <w:r>
        <w:rPr>
          <w:rFonts w:ascii="Times New Roman" w:eastAsia="Times New Roman"/>
          <w:u w:val="single"/>
        </w:rPr>
        <w:tab/>
      </w:r>
      <w:r>
        <w:rPr>
          <w:spacing w:val="-3"/>
        </w:rPr>
        <w:t>年</w:t>
      </w:r>
      <w:r>
        <w:rPr>
          <w:spacing w:val="-3"/>
          <w:u w:val="single"/>
        </w:rPr>
        <w:t xml:space="preserve"> </w:t>
      </w:r>
      <w:r>
        <w:rPr>
          <w:spacing w:val="-3"/>
          <w:u w:val="single"/>
        </w:rPr>
        <w:tab/>
      </w:r>
      <w:r>
        <w:t>月</w:t>
      </w:r>
      <w:r>
        <w:rPr>
          <w:u w:val="single"/>
        </w:rPr>
        <w:t xml:space="preserve"> </w:t>
      </w:r>
      <w:r>
        <w:rPr>
          <w:u w:val="single"/>
        </w:rPr>
        <w:tab/>
      </w:r>
      <w:r>
        <w:t>日</w:t>
      </w:r>
    </w:p>
    <w:p>
      <w:pPr>
        <w:pStyle w:val="9"/>
        <w:rPr>
          <w:sz w:val="30"/>
        </w:rPr>
      </w:pPr>
    </w:p>
    <w:p>
      <w:pPr>
        <w:pStyle w:val="9"/>
        <w:ind w:left="377"/>
      </w:pPr>
      <w:bookmarkStart w:id="135" w:name="（三）《投标保证金提交确认函》或由收款银行盖章的《投标保证金提交单》"/>
      <w:bookmarkEnd w:id="135"/>
      <w:r>
        <w:t>（三）《投标保证金提交确认函》或由收款银行盖章的《投标保证金提交单》</w:t>
      </w:r>
    </w:p>
    <w:p>
      <w:pPr>
        <w:spacing w:after="0"/>
        <w:sectPr>
          <w:headerReference r:id="rId25" w:type="default"/>
          <w:footerReference r:id="rId26" w:type="default"/>
          <w:pgSz w:w="11910" w:h="16840"/>
          <w:pgMar w:top="1100" w:right="1420" w:bottom="1220" w:left="1420" w:header="878" w:footer="1024" w:gutter="0"/>
          <w:pgNumType w:start="120"/>
          <w:cols w:space="720" w:num="1"/>
        </w:sectPr>
      </w:pPr>
    </w:p>
    <w:p>
      <w:pPr>
        <w:pStyle w:val="9"/>
        <w:rPr>
          <w:sz w:val="20"/>
        </w:rPr>
      </w:pPr>
    </w:p>
    <w:p>
      <w:pPr>
        <w:pStyle w:val="9"/>
        <w:rPr>
          <w:sz w:val="20"/>
        </w:rPr>
      </w:pPr>
    </w:p>
    <w:p>
      <w:pPr>
        <w:pStyle w:val="9"/>
        <w:rPr>
          <w:sz w:val="20"/>
        </w:rPr>
      </w:pPr>
    </w:p>
    <w:p>
      <w:pPr>
        <w:pStyle w:val="9"/>
        <w:spacing w:before="2"/>
        <w:rPr>
          <w:sz w:val="14"/>
        </w:rPr>
      </w:pPr>
    </w:p>
    <w:p>
      <w:pPr>
        <w:pStyle w:val="4"/>
      </w:pPr>
      <w:bookmarkStart w:id="136" w:name="二、商务标"/>
      <w:bookmarkEnd w:id="136"/>
      <w:r>
        <w:t>二、商务标</w:t>
      </w:r>
    </w:p>
    <w:p>
      <w:pPr>
        <w:pStyle w:val="9"/>
        <w:spacing w:before="4"/>
        <w:rPr>
          <w:b/>
          <w:sz w:val="41"/>
        </w:rPr>
      </w:pPr>
    </w:p>
    <w:p>
      <w:pPr>
        <w:spacing w:before="0"/>
        <w:ind w:left="377" w:right="0" w:firstLine="0"/>
        <w:jc w:val="left"/>
        <w:rPr>
          <w:sz w:val="21"/>
        </w:rPr>
      </w:pPr>
      <w:r>
        <w:rPr>
          <w:sz w:val="21"/>
        </w:rPr>
        <w:t>（一）已标价工程量清单</w:t>
      </w:r>
    </w:p>
    <w:p>
      <w:pPr>
        <w:pStyle w:val="9"/>
        <w:spacing w:before="2"/>
        <w:rPr>
          <w:sz w:val="24"/>
        </w:rPr>
      </w:pPr>
    </w:p>
    <w:p>
      <w:pPr>
        <w:spacing w:before="70"/>
        <w:ind w:left="2342" w:right="2193" w:firstLine="0"/>
        <w:jc w:val="center"/>
        <w:rPr>
          <w:sz w:val="21"/>
        </w:rPr>
      </w:pPr>
      <w:r>
        <w:rPr>
          <w:sz w:val="21"/>
        </w:rPr>
        <w:t>已标价工程量清单</w:t>
      </w:r>
    </w:p>
    <w:p>
      <w:pPr>
        <w:pStyle w:val="9"/>
        <w:spacing w:before="2"/>
        <w:rPr>
          <w:sz w:val="20"/>
        </w:rPr>
      </w:pPr>
    </w:p>
    <w:p>
      <w:pPr>
        <w:spacing w:before="0" w:line="364" w:lineRule="auto"/>
        <w:ind w:left="377" w:right="223" w:firstLine="420"/>
        <w:jc w:val="both"/>
        <w:rPr>
          <w:sz w:val="21"/>
        </w:rPr>
      </w:pPr>
      <w:r>
        <w:rPr>
          <w:sz w:val="21"/>
        </w:rPr>
        <w:t>说明：已标价工程量清单按第五章“工程量清单”中的相关清单表格式填写。构成合同文件的已标价工程量清单包括第五章“工程量清单”有关工程量清单、投标报价以及其他说明的内容。</w:t>
      </w:r>
    </w:p>
    <w:p>
      <w:pPr>
        <w:pStyle w:val="9"/>
        <w:rPr>
          <w:sz w:val="20"/>
        </w:rPr>
      </w:pPr>
    </w:p>
    <w:p>
      <w:pPr>
        <w:pStyle w:val="9"/>
        <w:rPr>
          <w:sz w:val="20"/>
        </w:rPr>
      </w:pPr>
    </w:p>
    <w:p>
      <w:pPr>
        <w:spacing w:before="154"/>
        <w:ind w:left="377" w:right="0" w:firstLine="0"/>
        <w:jc w:val="left"/>
        <w:rPr>
          <w:sz w:val="21"/>
        </w:rPr>
      </w:pPr>
      <w:r>
        <w:rPr>
          <w:sz w:val="21"/>
        </w:rPr>
        <w:t>（二）书面工程量清单组价文件（1 份：可装订在商务标正本中，也可以另行成册）</w:t>
      </w:r>
    </w:p>
    <w:p>
      <w:pPr>
        <w:pStyle w:val="9"/>
        <w:spacing w:before="8"/>
        <w:rPr>
          <w:sz w:val="29"/>
        </w:rPr>
      </w:pPr>
    </w:p>
    <w:p>
      <w:pPr>
        <w:spacing w:before="0"/>
        <w:ind w:left="377" w:right="0" w:firstLine="0"/>
        <w:jc w:val="left"/>
        <w:rPr>
          <w:sz w:val="21"/>
        </w:rPr>
      </w:pPr>
      <w:r>
        <w:rPr>
          <w:sz w:val="21"/>
        </w:rPr>
        <w:t>（三）主要建筑材料报价一览表</w:t>
      </w:r>
    </w:p>
    <w:p>
      <w:pPr>
        <w:pStyle w:val="9"/>
        <w:rPr>
          <w:sz w:val="20"/>
        </w:rPr>
      </w:pPr>
    </w:p>
    <w:p>
      <w:pPr>
        <w:pStyle w:val="9"/>
        <w:rPr>
          <w:sz w:val="20"/>
        </w:rPr>
      </w:pPr>
    </w:p>
    <w:p>
      <w:pPr>
        <w:pStyle w:val="9"/>
        <w:rPr>
          <w:sz w:val="20"/>
        </w:rPr>
      </w:pPr>
    </w:p>
    <w:p>
      <w:pPr>
        <w:pStyle w:val="4"/>
        <w:spacing w:before="159"/>
      </w:pPr>
      <w:bookmarkStart w:id="137" w:name="三、技术标"/>
      <w:bookmarkEnd w:id="137"/>
      <w:r>
        <w:t>三、技术标</w:t>
      </w:r>
    </w:p>
    <w:p>
      <w:pPr>
        <w:pStyle w:val="9"/>
        <w:spacing w:before="4"/>
        <w:rPr>
          <w:b/>
          <w:sz w:val="33"/>
        </w:rPr>
      </w:pPr>
    </w:p>
    <w:p>
      <w:pPr>
        <w:spacing w:before="0"/>
        <w:ind w:left="2342" w:right="2193" w:firstLine="0"/>
        <w:jc w:val="center"/>
        <w:rPr>
          <w:sz w:val="21"/>
        </w:rPr>
      </w:pPr>
      <w:bookmarkStart w:id="138" w:name="（一）施工组织设计"/>
      <w:bookmarkEnd w:id="138"/>
      <w:r>
        <w:rPr>
          <w:sz w:val="21"/>
        </w:rPr>
        <w:t>（一）施工组织设计</w:t>
      </w:r>
    </w:p>
    <w:p>
      <w:pPr>
        <w:pStyle w:val="9"/>
        <w:spacing w:before="2"/>
        <w:rPr>
          <w:sz w:val="20"/>
        </w:rPr>
      </w:pPr>
    </w:p>
    <w:p>
      <w:pPr>
        <w:spacing w:before="1" w:line="364" w:lineRule="auto"/>
        <w:ind w:left="377" w:right="184" w:firstLine="420"/>
        <w:jc w:val="left"/>
        <w:rPr>
          <w:sz w:val="21"/>
        </w:rPr>
      </w:pPr>
      <w:r>
        <w:rPr>
          <w:sz w:val="21"/>
        </w:rPr>
        <w:t>1．投标人应根据招标文件和对现场的勘察情况，采用文字并结合图表形式，参考以下要点编制本工程的施工组织设计：</w:t>
      </w:r>
    </w:p>
    <w:p>
      <w:pPr>
        <w:pStyle w:val="13"/>
        <w:numPr>
          <w:ilvl w:val="0"/>
          <w:numId w:val="117"/>
        </w:numPr>
        <w:tabs>
          <w:tab w:val="left" w:pos="1322"/>
        </w:tabs>
        <w:spacing w:before="0" w:after="0" w:line="267" w:lineRule="exact"/>
        <w:ind w:left="1322" w:right="0" w:hanging="525"/>
        <w:jc w:val="left"/>
        <w:rPr>
          <w:sz w:val="21"/>
        </w:rPr>
      </w:pPr>
      <w:r>
        <w:rPr>
          <w:sz w:val="21"/>
        </w:rPr>
        <w:t>施工方案及技术措施；</w:t>
      </w:r>
    </w:p>
    <w:p>
      <w:pPr>
        <w:pStyle w:val="13"/>
        <w:numPr>
          <w:ilvl w:val="0"/>
          <w:numId w:val="117"/>
        </w:numPr>
        <w:tabs>
          <w:tab w:val="left" w:pos="1322"/>
        </w:tabs>
        <w:spacing w:before="138" w:after="0" w:line="240" w:lineRule="auto"/>
        <w:ind w:left="1322" w:right="0" w:hanging="525"/>
        <w:jc w:val="left"/>
        <w:rPr>
          <w:sz w:val="21"/>
        </w:rPr>
      </w:pPr>
      <w:r>
        <w:rPr>
          <w:sz w:val="21"/>
        </w:rPr>
        <w:t>质量保证措施和创优计划；</w:t>
      </w:r>
    </w:p>
    <w:p>
      <w:pPr>
        <w:pStyle w:val="13"/>
        <w:numPr>
          <w:ilvl w:val="0"/>
          <w:numId w:val="117"/>
        </w:numPr>
        <w:tabs>
          <w:tab w:val="left" w:pos="1322"/>
        </w:tabs>
        <w:spacing w:before="142" w:after="0" w:line="364" w:lineRule="auto"/>
        <w:ind w:left="1320" w:right="221" w:hanging="524"/>
        <w:jc w:val="both"/>
        <w:rPr>
          <w:sz w:val="21"/>
        </w:rPr>
      </w:pPr>
      <w:r>
        <w:rPr>
          <w:spacing w:val="-2"/>
          <w:w w:val="95"/>
          <w:sz w:val="21"/>
        </w:rPr>
        <w:t>施工总进度计划及保证措施</w:t>
      </w:r>
      <w:r>
        <w:rPr>
          <w:w w:val="95"/>
          <w:sz w:val="21"/>
        </w:rPr>
        <w:t>（</w:t>
      </w:r>
      <w:r>
        <w:rPr>
          <w:spacing w:val="-1"/>
          <w:w w:val="95"/>
          <w:sz w:val="21"/>
        </w:rPr>
        <w:t xml:space="preserve">包括以横道图或标明关键线路的网络进度计划、保障  </w:t>
      </w:r>
      <w:r>
        <w:rPr>
          <w:spacing w:val="-4"/>
          <w:sz w:val="21"/>
        </w:rPr>
        <w:t>进度计划需要的主要施工机械设备、劳动力需求计划及保证措施、材料设备进场计划及其他保证措施等）；</w:t>
      </w:r>
    </w:p>
    <w:p>
      <w:pPr>
        <w:pStyle w:val="13"/>
        <w:numPr>
          <w:ilvl w:val="0"/>
          <w:numId w:val="117"/>
        </w:numPr>
        <w:tabs>
          <w:tab w:val="left" w:pos="1322"/>
        </w:tabs>
        <w:spacing w:before="0" w:after="0" w:line="266" w:lineRule="exact"/>
        <w:ind w:left="1322" w:right="0" w:hanging="525"/>
        <w:jc w:val="left"/>
        <w:rPr>
          <w:sz w:val="21"/>
        </w:rPr>
      </w:pPr>
      <w:r>
        <w:rPr>
          <w:w w:val="95"/>
          <w:sz w:val="21"/>
        </w:rPr>
        <w:t>施工安全措施计划；</w:t>
      </w:r>
    </w:p>
    <w:p>
      <w:pPr>
        <w:pStyle w:val="13"/>
        <w:numPr>
          <w:ilvl w:val="0"/>
          <w:numId w:val="117"/>
        </w:numPr>
        <w:tabs>
          <w:tab w:val="left" w:pos="1322"/>
        </w:tabs>
        <w:spacing w:before="141" w:after="0" w:line="240" w:lineRule="auto"/>
        <w:ind w:left="1322" w:right="0" w:hanging="525"/>
        <w:jc w:val="left"/>
        <w:rPr>
          <w:sz w:val="21"/>
        </w:rPr>
      </w:pPr>
      <w:r>
        <w:rPr>
          <w:w w:val="95"/>
          <w:sz w:val="21"/>
        </w:rPr>
        <w:t>文明施工措施计划；</w:t>
      </w:r>
    </w:p>
    <w:p>
      <w:pPr>
        <w:pStyle w:val="13"/>
        <w:numPr>
          <w:ilvl w:val="0"/>
          <w:numId w:val="117"/>
        </w:numPr>
        <w:tabs>
          <w:tab w:val="left" w:pos="1322"/>
        </w:tabs>
        <w:spacing w:before="139" w:after="0" w:line="240" w:lineRule="auto"/>
        <w:ind w:left="1322" w:right="0" w:hanging="525"/>
        <w:jc w:val="left"/>
        <w:rPr>
          <w:sz w:val="21"/>
        </w:rPr>
      </w:pPr>
      <w:r>
        <w:rPr>
          <w:sz w:val="21"/>
        </w:rPr>
        <w:t>施工场地治安保卫管理计划；</w:t>
      </w:r>
    </w:p>
    <w:p>
      <w:pPr>
        <w:pStyle w:val="13"/>
        <w:numPr>
          <w:ilvl w:val="0"/>
          <w:numId w:val="117"/>
        </w:numPr>
        <w:tabs>
          <w:tab w:val="left" w:pos="1322"/>
        </w:tabs>
        <w:spacing w:before="139" w:after="0" w:line="240" w:lineRule="auto"/>
        <w:ind w:left="1322" w:right="0" w:hanging="525"/>
        <w:jc w:val="left"/>
        <w:rPr>
          <w:sz w:val="21"/>
        </w:rPr>
      </w:pPr>
      <w:r>
        <w:rPr>
          <w:sz w:val="21"/>
        </w:rPr>
        <w:t>施工环保措施计划；</w:t>
      </w:r>
    </w:p>
    <w:p>
      <w:pPr>
        <w:pStyle w:val="13"/>
        <w:numPr>
          <w:ilvl w:val="0"/>
          <w:numId w:val="117"/>
        </w:numPr>
        <w:tabs>
          <w:tab w:val="left" w:pos="1322"/>
        </w:tabs>
        <w:spacing w:before="139" w:after="0" w:line="364" w:lineRule="auto"/>
        <w:ind w:left="377" w:right="184" w:firstLine="420"/>
        <w:jc w:val="both"/>
        <w:rPr>
          <w:sz w:val="21"/>
        </w:rPr>
      </w:pPr>
      <w:r>
        <w:rPr>
          <w:w w:val="95"/>
          <w:sz w:val="21"/>
        </w:rPr>
        <w:t xml:space="preserve">建筑废弃混凝土处置和再生建材利用措施计划：建筑废弃混凝土的预计产生数量，  </w:t>
      </w:r>
      <w:r>
        <w:rPr>
          <w:spacing w:val="-3"/>
          <w:sz w:val="21"/>
        </w:rPr>
        <w:t>预计排放时间，减排和单独堆放的有效措施及运输计划和要求；</w:t>
      </w:r>
    </w:p>
    <w:p>
      <w:pPr>
        <w:pStyle w:val="13"/>
        <w:numPr>
          <w:ilvl w:val="0"/>
          <w:numId w:val="117"/>
        </w:numPr>
        <w:tabs>
          <w:tab w:val="left" w:pos="1322"/>
        </w:tabs>
        <w:spacing w:before="0" w:after="0" w:line="269" w:lineRule="exact"/>
        <w:ind w:left="1322" w:right="0" w:hanging="525"/>
        <w:jc w:val="left"/>
        <w:rPr>
          <w:sz w:val="21"/>
        </w:rPr>
      </w:pPr>
      <w:r>
        <w:rPr>
          <w:sz w:val="21"/>
        </w:rPr>
        <w:t>特殊气候条件下（高温、冬季、雨季、台风等根据工程实际工期确定）施工方案；</w:t>
      </w:r>
    </w:p>
    <w:p>
      <w:pPr>
        <w:spacing w:after="0" w:line="269" w:lineRule="exact"/>
        <w:jc w:val="left"/>
        <w:rPr>
          <w:sz w:val="21"/>
        </w:rPr>
        <w:sectPr>
          <w:pgSz w:w="11910" w:h="16840"/>
          <w:pgMar w:top="1100" w:right="1420" w:bottom="1220" w:left="1420" w:header="878" w:footer="1024" w:gutter="0"/>
          <w:cols w:space="720" w:num="1"/>
        </w:sectPr>
      </w:pPr>
    </w:p>
    <w:p>
      <w:pPr>
        <w:pStyle w:val="9"/>
        <w:spacing w:before="8"/>
        <w:rPr>
          <w:sz w:val="19"/>
        </w:rPr>
      </w:pPr>
    </w:p>
    <w:p>
      <w:pPr>
        <w:pStyle w:val="13"/>
        <w:numPr>
          <w:ilvl w:val="0"/>
          <w:numId w:val="117"/>
        </w:numPr>
        <w:tabs>
          <w:tab w:val="left" w:pos="1432"/>
        </w:tabs>
        <w:spacing w:before="70" w:after="0" w:line="364" w:lineRule="auto"/>
        <w:ind w:left="377" w:right="118" w:firstLine="420"/>
        <w:jc w:val="left"/>
        <w:rPr>
          <w:sz w:val="21"/>
        </w:rPr>
      </w:pPr>
      <w:r>
        <w:rPr>
          <w:sz w:val="21"/>
        </w:rPr>
        <w:t>施工现场总平面布置</w:t>
      </w:r>
      <w:r>
        <w:rPr>
          <w:spacing w:val="4"/>
          <w:sz w:val="21"/>
        </w:rPr>
        <w:t>（</w:t>
      </w:r>
      <w:r>
        <w:rPr>
          <w:sz w:val="21"/>
        </w:rPr>
        <w:t>投标人应提交一份施工总平面图，绘出现场临时设施布置</w:t>
      </w:r>
      <w:r>
        <w:rPr>
          <w:spacing w:val="-5"/>
          <w:w w:val="95"/>
          <w:sz w:val="21"/>
        </w:rPr>
        <w:t xml:space="preserve">图表并附文字说明，说明临时设施、加工车间、现场办公、设备及仓储、供电、供水、卫生、   </w:t>
      </w:r>
      <w:r>
        <w:rPr>
          <w:spacing w:val="-5"/>
          <w:sz w:val="21"/>
        </w:rPr>
        <w:t>生活、道路、消防等设施的情况和布置）；</w:t>
      </w:r>
    </w:p>
    <w:p>
      <w:pPr>
        <w:pStyle w:val="13"/>
        <w:numPr>
          <w:ilvl w:val="0"/>
          <w:numId w:val="117"/>
        </w:numPr>
        <w:tabs>
          <w:tab w:val="left" w:pos="1428"/>
        </w:tabs>
        <w:spacing w:before="0" w:after="0" w:line="364" w:lineRule="auto"/>
        <w:ind w:left="377" w:right="216" w:firstLine="420"/>
        <w:jc w:val="left"/>
        <w:rPr>
          <w:sz w:val="21"/>
        </w:rPr>
      </w:pPr>
      <w:r>
        <w:rPr>
          <w:spacing w:val="-9"/>
          <w:sz w:val="21"/>
        </w:rPr>
        <w:t>项目组织管理机构</w:t>
      </w:r>
      <w:r>
        <w:rPr>
          <w:sz w:val="21"/>
        </w:rPr>
        <w:t>（</w:t>
      </w:r>
      <w:r>
        <w:rPr>
          <w:spacing w:val="-16"/>
          <w:sz w:val="21"/>
        </w:rPr>
        <w:t xml:space="preserve">若施工组织设计采用“暗标”方式评审，则在任何情况下，“ </w:t>
      </w:r>
      <w:r>
        <w:rPr>
          <w:sz w:val="21"/>
        </w:rPr>
        <w:t>项目管理机构”不得涉及人员姓名、简历、公司名称等暴露投标人身份的内容）；</w:t>
      </w:r>
    </w:p>
    <w:p>
      <w:pPr>
        <w:pStyle w:val="13"/>
        <w:numPr>
          <w:ilvl w:val="0"/>
          <w:numId w:val="117"/>
        </w:numPr>
        <w:tabs>
          <w:tab w:val="left" w:pos="1428"/>
        </w:tabs>
        <w:spacing w:before="0" w:after="0" w:line="367" w:lineRule="auto"/>
        <w:ind w:left="377" w:right="115" w:firstLine="420"/>
        <w:jc w:val="left"/>
        <w:rPr>
          <w:sz w:val="21"/>
        </w:rPr>
      </w:pPr>
      <w:r>
        <w:rPr>
          <w:spacing w:val="-1"/>
          <w:w w:val="95"/>
          <w:sz w:val="21"/>
        </w:rPr>
        <w:t>承包人自行施工范围内拟分包的非主体和非关键性工作</w:t>
      </w:r>
      <w:r>
        <w:rPr>
          <w:w w:val="95"/>
          <w:sz w:val="21"/>
        </w:rPr>
        <w:t>（</w:t>
      </w:r>
      <w:r>
        <w:rPr>
          <w:spacing w:val="-4"/>
          <w:w w:val="95"/>
          <w:sz w:val="21"/>
        </w:rPr>
        <w:t xml:space="preserve">按第二章“投标人须知”  </w:t>
      </w:r>
      <w:r>
        <w:rPr>
          <w:spacing w:val="-30"/>
          <w:sz w:val="21"/>
        </w:rPr>
        <w:t xml:space="preserve">第 </w:t>
      </w:r>
      <w:r>
        <w:rPr>
          <w:sz w:val="21"/>
        </w:rPr>
        <w:t>1.11</w:t>
      </w:r>
      <w:r>
        <w:rPr>
          <w:spacing w:val="-12"/>
          <w:sz w:val="21"/>
        </w:rPr>
        <w:t xml:space="preserve"> 款的规定</w:t>
      </w:r>
      <w:r>
        <w:rPr>
          <w:sz w:val="21"/>
        </w:rPr>
        <w:t>）；</w:t>
      </w:r>
    </w:p>
    <w:p>
      <w:pPr>
        <w:pStyle w:val="13"/>
        <w:numPr>
          <w:ilvl w:val="0"/>
          <w:numId w:val="117"/>
        </w:numPr>
        <w:tabs>
          <w:tab w:val="left" w:pos="1428"/>
        </w:tabs>
        <w:spacing w:before="0" w:after="0" w:line="264" w:lineRule="exact"/>
        <w:ind w:left="1427" w:right="0" w:hanging="631"/>
        <w:jc w:val="left"/>
        <w:rPr>
          <w:sz w:val="21"/>
        </w:rPr>
      </w:pPr>
      <w:r>
        <w:rPr>
          <w:sz w:val="21"/>
        </w:rPr>
        <w:t>成品保护和工程保修工作的管理措施和承诺；</w:t>
      </w:r>
    </w:p>
    <w:p>
      <w:pPr>
        <w:pStyle w:val="13"/>
        <w:numPr>
          <w:ilvl w:val="0"/>
          <w:numId w:val="117"/>
        </w:numPr>
        <w:tabs>
          <w:tab w:val="left" w:pos="1432"/>
        </w:tabs>
        <w:spacing w:before="136" w:after="0" w:line="364" w:lineRule="auto"/>
        <w:ind w:left="377" w:right="224" w:firstLine="420"/>
        <w:jc w:val="left"/>
        <w:rPr>
          <w:sz w:val="21"/>
        </w:rPr>
      </w:pPr>
      <w:r>
        <w:rPr>
          <w:sz w:val="21"/>
        </w:rPr>
        <w:t>任何可能的紧急情况的处理措施、预案以及抵抗风险（包括工程施工过程中可能遇到的各种风险）的措施；</w:t>
      </w:r>
    </w:p>
    <w:p>
      <w:pPr>
        <w:pStyle w:val="13"/>
        <w:numPr>
          <w:ilvl w:val="0"/>
          <w:numId w:val="117"/>
        </w:numPr>
        <w:tabs>
          <w:tab w:val="left" w:pos="1428"/>
        </w:tabs>
        <w:spacing w:before="1" w:after="0" w:line="240" w:lineRule="auto"/>
        <w:ind w:left="1427" w:right="0" w:hanging="631"/>
        <w:jc w:val="left"/>
        <w:rPr>
          <w:sz w:val="21"/>
        </w:rPr>
      </w:pPr>
      <w:r>
        <w:rPr>
          <w:sz w:val="21"/>
        </w:rPr>
        <w:t>对总包管理的认识以及对专业分包工程的配合、协调、管理、服务方案；</w:t>
      </w:r>
    </w:p>
    <w:p>
      <w:pPr>
        <w:pStyle w:val="13"/>
        <w:numPr>
          <w:ilvl w:val="0"/>
          <w:numId w:val="117"/>
        </w:numPr>
        <w:tabs>
          <w:tab w:val="left" w:pos="1428"/>
        </w:tabs>
        <w:spacing w:before="138" w:after="0" w:line="240" w:lineRule="auto"/>
        <w:ind w:left="1427" w:right="0" w:hanging="631"/>
        <w:jc w:val="left"/>
        <w:rPr>
          <w:sz w:val="21"/>
        </w:rPr>
      </w:pPr>
      <w:r>
        <w:rPr>
          <w:sz w:val="21"/>
        </w:rPr>
        <w:t>与发包人、项目管理单位、监理（包括投资监理）及设计人的配合；</w:t>
      </w:r>
    </w:p>
    <w:p>
      <w:pPr>
        <w:pStyle w:val="13"/>
        <w:numPr>
          <w:ilvl w:val="0"/>
          <w:numId w:val="117"/>
        </w:numPr>
        <w:tabs>
          <w:tab w:val="left" w:pos="1428"/>
        </w:tabs>
        <w:spacing w:before="139" w:after="0" w:line="364" w:lineRule="auto"/>
        <w:ind w:left="797" w:right="5117" w:firstLine="0"/>
        <w:jc w:val="left"/>
        <w:rPr>
          <w:sz w:val="21"/>
        </w:rPr>
      </w:pPr>
      <w:r>
        <w:rPr>
          <w:spacing w:val="-1"/>
          <w:sz w:val="21"/>
        </w:rPr>
        <w:t>招标文件规定的其他内容。</w:t>
      </w:r>
      <w:r>
        <w:rPr>
          <w:sz w:val="21"/>
        </w:rPr>
        <w:t>2．不采用暗标。</w:t>
      </w:r>
    </w:p>
    <w:p>
      <w:pPr>
        <w:spacing w:before="0" w:line="364" w:lineRule="auto"/>
        <w:ind w:left="377" w:right="184" w:firstLine="420"/>
        <w:jc w:val="left"/>
        <w:rPr>
          <w:sz w:val="21"/>
        </w:rPr>
      </w:pPr>
      <w:r>
        <w:rPr>
          <w:sz w:val="21"/>
        </w:rPr>
        <w:t>3．施工组织设计除采用文字表述外可附下列图表，图表及格式要求附后。若采用技术暗标评审，则下述表格应按照章节内容，严格按给定的格式附在相应的章节中。</w:t>
      </w:r>
    </w:p>
    <w:p>
      <w:pPr>
        <w:tabs>
          <w:tab w:val="left" w:pos="1637"/>
        </w:tabs>
        <w:spacing w:before="0"/>
        <w:ind w:left="797" w:right="0" w:firstLine="0"/>
        <w:jc w:val="left"/>
        <w:rPr>
          <w:sz w:val="21"/>
        </w:rPr>
      </w:pPr>
      <w:r>
        <w:rPr>
          <w:sz w:val="21"/>
        </w:rPr>
        <w:t>附表一</w:t>
      </w:r>
      <w:r>
        <w:rPr>
          <w:sz w:val="21"/>
        </w:rPr>
        <w:tab/>
      </w:r>
      <w:r>
        <w:rPr>
          <w:sz w:val="21"/>
        </w:rPr>
        <w:t>拟投入本工程的主要施工设备表</w:t>
      </w:r>
    </w:p>
    <w:p>
      <w:pPr>
        <w:tabs>
          <w:tab w:val="left" w:pos="1637"/>
        </w:tabs>
        <w:spacing w:before="138" w:line="364" w:lineRule="auto"/>
        <w:ind w:left="797" w:right="3857" w:firstLine="0"/>
        <w:jc w:val="left"/>
        <w:rPr>
          <w:sz w:val="21"/>
        </w:rPr>
      </w:pPr>
      <w:r>
        <w:rPr>
          <w:sz w:val="21"/>
        </w:rPr>
        <w:t>附表二</w:t>
      </w:r>
      <w:r>
        <w:rPr>
          <w:sz w:val="21"/>
        </w:rPr>
        <w:tab/>
      </w:r>
      <w:r>
        <w:rPr>
          <w:sz w:val="21"/>
        </w:rPr>
        <w:t>拟配备本工程的试验和检测仪器设备表附表三</w:t>
      </w:r>
      <w:r>
        <w:rPr>
          <w:sz w:val="21"/>
        </w:rPr>
        <w:tab/>
      </w:r>
      <w:r>
        <w:rPr>
          <w:sz w:val="21"/>
        </w:rPr>
        <w:t>劳动力计划表</w:t>
      </w:r>
    </w:p>
    <w:p>
      <w:pPr>
        <w:tabs>
          <w:tab w:val="left" w:pos="1637"/>
        </w:tabs>
        <w:spacing w:before="0" w:line="367" w:lineRule="auto"/>
        <w:ind w:left="797" w:right="4068" w:firstLine="0"/>
        <w:jc w:val="left"/>
        <w:rPr>
          <w:sz w:val="21"/>
        </w:rPr>
      </w:pPr>
      <w:r>
        <w:rPr>
          <w:sz w:val="21"/>
        </w:rPr>
        <w:t>附表四</w:t>
      </w:r>
      <w:r>
        <w:rPr>
          <w:sz w:val="21"/>
        </w:rPr>
        <w:tab/>
      </w:r>
      <w:r>
        <w:rPr>
          <w:sz w:val="21"/>
        </w:rPr>
        <w:t>计划开、竣工日期和施工进度网络图附表五</w:t>
      </w:r>
      <w:r>
        <w:rPr>
          <w:sz w:val="21"/>
        </w:rPr>
        <w:tab/>
      </w:r>
      <w:r>
        <w:rPr>
          <w:sz w:val="21"/>
        </w:rPr>
        <w:t>施工总平面图</w:t>
      </w:r>
    </w:p>
    <w:p>
      <w:pPr>
        <w:tabs>
          <w:tab w:val="left" w:pos="1637"/>
        </w:tabs>
        <w:spacing w:before="0" w:line="264" w:lineRule="exact"/>
        <w:ind w:left="797" w:right="0" w:firstLine="0"/>
        <w:jc w:val="left"/>
        <w:rPr>
          <w:sz w:val="21"/>
        </w:rPr>
      </w:pPr>
      <w:r>
        <w:rPr>
          <w:sz w:val="21"/>
        </w:rPr>
        <w:t>附表六</w:t>
      </w:r>
      <w:r>
        <w:rPr>
          <w:sz w:val="21"/>
        </w:rPr>
        <w:tab/>
      </w:r>
      <w:r>
        <w:rPr>
          <w:sz w:val="21"/>
        </w:rPr>
        <w:t>临时用地表</w:t>
      </w:r>
    </w:p>
    <w:p>
      <w:pPr>
        <w:pStyle w:val="9"/>
        <w:rPr>
          <w:sz w:val="20"/>
        </w:rPr>
      </w:pPr>
    </w:p>
    <w:p>
      <w:pPr>
        <w:spacing w:before="1"/>
        <w:ind w:left="377" w:right="0" w:firstLine="0"/>
        <w:jc w:val="left"/>
        <w:rPr>
          <w:sz w:val="21"/>
        </w:rPr>
      </w:pPr>
      <w:bookmarkStart w:id="139" w:name="附表一：拟投入本工程的主要施工设备表（可自行加行）"/>
      <w:bookmarkEnd w:id="139"/>
      <w:r>
        <w:rPr>
          <w:sz w:val="21"/>
        </w:rPr>
        <w:t>附表一：拟投入本工程的主要施工设备表（可自行加行）</w:t>
      </w:r>
    </w:p>
    <w:p>
      <w:pPr>
        <w:pStyle w:val="9"/>
        <w:spacing w:before="7"/>
        <w:rPr>
          <w:sz w:val="29"/>
        </w:rPr>
      </w:pPr>
    </w:p>
    <w:tbl>
      <w:tblPr>
        <w:tblW w:w="8459" w:type="dxa"/>
        <w:tblInd w:w="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58"/>
        <w:gridCol w:w="668"/>
        <w:gridCol w:w="1017"/>
        <w:gridCol w:w="705"/>
        <w:gridCol w:w="705"/>
        <w:gridCol w:w="1170"/>
        <w:gridCol w:w="867"/>
        <w:gridCol w:w="867"/>
        <w:gridCol w:w="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7" w:hRule="atLeast"/>
        </w:trPr>
        <w:tc>
          <w:tcPr>
            <w:tcW w:w="641" w:type="dxa"/>
            <w:vAlign w:val="top"/>
          </w:tcPr>
          <w:p>
            <w:pPr>
              <w:pStyle w:val="14"/>
              <w:spacing w:before="11"/>
              <w:rPr>
                <w:sz w:val="15"/>
              </w:rPr>
            </w:pPr>
          </w:p>
          <w:p>
            <w:pPr>
              <w:pStyle w:val="14"/>
              <w:ind w:left="108"/>
              <w:rPr>
                <w:sz w:val="21"/>
              </w:rPr>
            </w:pPr>
            <w:r>
              <w:rPr>
                <w:sz w:val="21"/>
              </w:rPr>
              <w:t>序号</w:t>
            </w:r>
          </w:p>
        </w:tc>
        <w:tc>
          <w:tcPr>
            <w:tcW w:w="1058" w:type="dxa"/>
            <w:vAlign w:val="top"/>
          </w:tcPr>
          <w:p>
            <w:pPr>
              <w:pStyle w:val="14"/>
              <w:spacing w:before="11"/>
              <w:rPr>
                <w:sz w:val="15"/>
              </w:rPr>
            </w:pPr>
          </w:p>
          <w:p>
            <w:pPr>
              <w:pStyle w:val="14"/>
              <w:ind w:left="108"/>
              <w:rPr>
                <w:sz w:val="21"/>
              </w:rPr>
            </w:pPr>
            <w:r>
              <w:rPr>
                <w:sz w:val="21"/>
              </w:rPr>
              <w:t>设备名称</w:t>
            </w:r>
          </w:p>
        </w:tc>
        <w:tc>
          <w:tcPr>
            <w:tcW w:w="668" w:type="dxa"/>
            <w:vAlign w:val="top"/>
          </w:tcPr>
          <w:p>
            <w:pPr>
              <w:pStyle w:val="14"/>
              <w:spacing w:line="269" w:lineRule="exact"/>
              <w:ind w:left="123"/>
              <w:rPr>
                <w:sz w:val="21"/>
              </w:rPr>
            </w:pPr>
            <w:r>
              <w:rPr>
                <w:spacing w:val="-1"/>
                <w:w w:val="95"/>
                <w:sz w:val="21"/>
              </w:rPr>
              <w:t>型号</w:t>
            </w:r>
          </w:p>
          <w:p>
            <w:pPr>
              <w:pStyle w:val="14"/>
              <w:spacing w:before="139"/>
              <w:ind w:left="123"/>
              <w:rPr>
                <w:sz w:val="21"/>
              </w:rPr>
            </w:pPr>
            <w:r>
              <w:rPr>
                <w:spacing w:val="-1"/>
                <w:w w:val="95"/>
                <w:sz w:val="21"/>
              </w:rPr>
              <w:t>规格</w:t>
            </w:r>
          </w:p>
        </w:tc>
        <w:tc>
          <w:tcPr>
            <w:tcW w:w="1017" w:type="dxa"/>
            <w:vAlign w:val="top"/>
          </w:tcPr>
          <w:p>
            <w:pPr>
              <w:pStyle w:val="14"/>
              <w:spacing w:before="11"/>
              <w:rPr>
                <w:sz w:val="15"/>
              </w:rPr>
            </w:pPr>
          </w:p>
          <w:p>
            <w:pPr>
              <w:pStyle w:val="14"/>
              <w:tabs>
                <w:tab w:val="left" w:pos="612"/>
              </w:tabs>
              <w:ind w:left="192"/>
              <w:rPr>
                <w:sz w:val="21"/>
              </w:rPr>
            </w:pPr>
            <w:r>
              <w:rPr>
                <w:sz w:val="21"/>
              </w:rPr>
              <w:t>数</w:t>
            </w:r>
            <w:r>
              <w:rPr>
                <w:sz w:val="21"/>
              </w:rPr>
              <w:tab/>
            </w:r>
            <w:r>
              <w:rPr>
                <w:sz w:val="21"/>
              </w:rPr>
              <w:t>量</w:t>
            </w:r>
          </w:p>
        </w:tc>
        <w:tc>
          <w:tcPr>
            <w:tcW w:w="705" w:type="dxa"/>
            <w:vAlign w:val="top"/>
          </w:tcPr>
          <w:p>
            <w:pPr>
              <w:pStyle w:val="14"/>
              <w:spacing w:line="269" w:lineRule="exact"/>
              <w:ind w:left="142"/>
              <w:rPr>
                <w:sz w:val="21"/>
              </w:rPr>
            </w:pPr>
            <w:r>
              <w:rPr>
                <w:spacing w:val="-1"/>
                <w:w w:val="95"/>
                <w:sz w:val="21"/>
              </w:rPr>
              <w:t>国别</w:t>
            </w:r>
          </w:p>
          <w:p>
            <w:pPr>
              <w:pStyle w:val="14"/>
              <w:spacing w:before="139"/>
              <w:ind w:left="142"/>
              <w:rPr>
                <w:sz w:val="21"/>
              </w:rPr>
            </w:pPr>
            <w:r>
              <w:rPr>
                <w:spacing w:val="-1"/>
                <w:w w:val="95"/>
                <w:sz w:val="21"/>
              </w:rPr>
              <w:t>产地</w:t>
            </w:r>
          </w:p>
        </w:tc>
        <w:tc>
          <w:tcPr>
            <w:tcW w:w="705" w:type="dxa"/>
            <w:vAlign w:val="top"/>
          </w:tcPr>
          <w:p>
            <w:pPr>
              <w:pStyle w:val="14"/>
              <w:spacing w:line="269" w:lineRule="exact"/>
              <w:ind w:left="140"/>
              <w:rPr>
                <w:sz w:val="21"/>
              </w:rPr>
            </w:pPr>
            <w:r>
              <w:rPr>
                <w:spacing w:val="-1"/>
                <w:w w:val="95"/>
                <w:sz w:val="21"/>
              </w:rPr>
              <w:t>制造</w:t>
            </w:r>
          </w:p>
          <w:p>
            <w:pPr>
              <w:pStyle w:val="14"/>
              <w:spacing w:before="139"/>
              <w:ind w:left="140"/>
              <w:rPr>
                <w:sz w:val="21"/>
              </w:rPr>
            </w:pPr>
            <w:r>
              <w:rPr>
                <w:spacing w:val="-1"/>
                <w:w w:val="95"/>
                <w:sz w:val="21"/>
              </w:rPr>
              <w:t>年份</w:t>
            </w:r>
          </w:p>
        </w:tc>
        <w:tc>
          <w:tcPr>
            <w:tcW w:w="1170" w:type="dxa"/>
            <w:vAlign w:val="top"/>
          </w:tcPr>
          <w:p>
            <w:pPr>
              <w:pStyle w:val="14"/>
              <w:spacing w:line="269" w:lineRule="exact"/>
              <w:ind w:left="144" w:right="136"/>
              <w:jc w:val="center"/>
              <w:rPr>
                <w:sz w:val="21"/>
              </w:rPr>
            </w:pPr>
            <w:r>
              <w:rPr>
                <w:sz w:val="21"/>
              </w:rPr>
              <w:t>额定功率</w:t>
            </w:r>
          </w:p>
          <w:p>
            <w:pPr>
              <w:pStyle w:val="14"/>
              <w:spacing w:before="139"/>
              <w:ind w:left="144" w:right="134"/>
              <w:jc w:val="center"/>
              <w:rPr>
                <w:sz w:val="21"/>
              </w:rPr>
            </w:pPr>
            <w:r>
              <w:rPr>
                <w:sz w:val="21"/>
              </w:rPr>
              <w:t>（KW）</w:t>
            </w:r>
          </w:p>
        </w:tc>
        <w:tc>
          <w:tcPr>
            <w:tcW w:w="867" w:type="dxa"/>
            <w:vAlign w:val="top"/>
          </w:tcPr>
          <w:p>
            <w:pPr>
              <w:pStyle w:val="14"/>
              <w:spacing w:line="269" w:lineRule="exact"/>
              <w:ind w:left="221"/>
              <w:rPr>
                <w:sz w:val="21"/>
              </w:rPr>
            </w:pPr>
            <w:r>
              <w:rPr>
                <w:spacing w:val="-1"/>
                <w:w w:val="95"/>
                <w:sz w:val="21"/>
              </w:rPr>
              <w:t>生产</w:t>
            </w:r>
          </w:p>
          <w:p>
            <w:pPr>
              <w:pStyle w:val="14"/>
              <w:spacing w:before="139"/>
              <w:ind w:left="221"/>
              <w:rPr>
                <w:sz w:val="21"/>
              </w:rPr>
            </w:pPr>
            <w:r>
              <w:rPr>
                <w:spacing w:val="-1"/>
                <w:w w:val="95"/>
                <w:sz w:val="21"/>
              </w:rPr>
              <w:t>能力</w:t>
            </w:r>
          </w:p>
        </w:tc>
        <w:tc>
          <w:tcPr>
            <w:tcW w:w="867" w:type="dxa"/>
            <w:vAlign w:val="top"/>
          </w:tcPr>
          <w:p>
            <w:pPr>
              <w:pStyle w:val="14"/>
              <w:spacing w:line="269" w:lineRule="exact"/>
              <w:ind w:left="117"/>
              <w:rPr>
                <w:sz w:val="21"/>
              </w:rPr>
            </w:pPr>
            <w:r>
              <w:rPr>
                <w:w w:val="95"/>
                <w:sz w:val="21"/>
              </w:rPr>
              <w:t>用于施</w:t>
            </w:r>
          </w:p>
          <w:p>
            <w:pPr>
              <w:pStyle w:val="14"/>
              <w:spacing w:before="139"/>
              <w:ind w:left="117"/>
              <w:rPr>
                <w:sz w:val="21"/>
              </w:rPr>
            </w:pPr>
            <w:r>
              <w:rPr>
                <w:w w:val="95"/>
                <w:sz w:val="21"/>
              </w:rPr>
              <w:t>工部位</w:t>
            </w:r>
          </w:p>
        </w:tc>
        <w:tc>
          <w:tcPr>
            <w:tcW w:w="761" w:type="dxa"/>
            <w:vAlign w:val="top"/>
          </w:tcPr>
          <w:p>
            <w:pPr>
              <w:pStyle w:val="14"/>
              <w:spacing w:before="11"/>
              <w:rPr>
                <w:sz w:val="15"/>
              </w:rPr>
            </w:pPr>
          </w:p>
          <w:p>
            <w:pPr>
              <w:pStyle w:val="14"/>
              <w:ind w:left="169"/>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7" w:hRule="atLeast"/>
        </w:trPr>
        <w:tc>
          <w:tcPr>
            <w:tcW w:w="641" w:type="dxa"/>
            <w:vAlign w:val="top"/>
          </w:tcPr>
          <w:p>
            <w:pPr>
              <w:pStyle w:val="14"/>
              <w:rPr>
                <w:rFonts w:ascii="Times New Roman"/>
                <w:sz w:val="20"/>
              </w:rPr>
            </w:pPr>
          </w:p>
        </w:tc>
        <w:tc>
          <w:tcPr>
            <w:tcW w:w="1058" w:type="dxa"/>
            <w:vAlign w:val="top"/>
          </w:tcPr>
          <w:p>
            <w:pPr>
              <w:pStyle w:val="14"/>
              <w:rPr>
                <w:rFonts w:ascii="Times New Roman"/>
                <w:sz w:val="20"/>
              </w:rPr>
            </w:pPr>
          </w:p>
        </w:tc>
        <w:tc>
          <w:tcPr>
            <w:tcW w:w="668" w:type="dxa"/>
            <w:vAlign w:val="top"/>
          </w:tcPr>
          <w:p>
            <w:pPr>
              <w:pStyle w:val="14"/>
              <w:rPr>
                <w:rFonts w:ascii="Times New Roman"/>
                <w:sz w:val="20"/>
              </w:rPr>
            </w:pPr>
          </w:p>
        </w:tc>
        <w:tc>
          <w:tcPr>
            <w:tcW w:w="1017" w:type="dxa"/>
            <w:vAlign w:val="top"/>
          </w:tcPr>
          <w:p>
            <w:pPr>
              <w:pStyle w:val="14"/>
              <w:rPr>
                <w:rFonts w:ascii="Times New Roman"/>
                <w:sz w:val="20"/>
              </w:rPr>
            </w:pPr>
          </w:p>
        </w:tc>
        <w:tc>
          <w:tcPr>
            <w:tcW w:w="705" w:type="dxa"/>
            <w:vAlign w:val="top"/>
          </w:tcPr>
          <w:p>
            <w:pPr>
              <w:pStyle w:val="14"/>
              <w:rPr>
                <w:rFonts w:ascii="Times New Roman"/>
                <w:sz w:val="20"/>
              </w:rPr>
            </w:pPr>
          </w:p>
        </w:tc>
        <w:tc>
          <w:tcPr>
            <w:tcW w:w="705" w:type="dxa"/>
            <w:vAlign w:val="top"/>
          </w:tcPr>
          <w:p>
            <w:pPr>
              <w:pStyle w:val="14"/>
              <w:rPr>
                <w:rFonts w:ascii="Times New Roman"/>
                <w:sz w:val="20"/>
              </w:rPr>
            </w:pPr>
          </w:p>
        </w:tc>
        <w:tc>
          <w:tcPr>
            <w:tcW w:w="1170" w:type="dxa"/>
            <w:vAlign w:val="top"/>
          </w:tcPr>
          <w:p>
            <w:pPr>
              <w:pStyle w:val="14"/>
              <w:rPr>
                <w:rFonts w:ascii="Times New Roman"/>
                <w:sz w:val="20"/>
              </w:rPr>
            </w:pPr>
          </w:p>
        </w:tc>
        <w:tc>
          <w:tcPr>
            <w:tcW w:w="867" w:type="dxa"/>
            <w:vAlign w:val="top"/>
          </w:tcPr>
          <w:p>
            <w:pPr>
              <w:pStyle w:val="14"/>
              <w:rPr>
                <w:rFonts w:ascii="Times New Roman"/>
                <w:sz w:val="20"/>
              </w:rPr>
            </w:pPr>
          </w:p>
        </w:tc>
        <w:tc>
          <w:tcPr>
            <w:tcW w:w="867" w:type="dxa"/>
            <w:vAlign w:val="top"/>
          </w:tcPr>
          <w:p>
            <w:pPr>
              <w:pStyle w:val="14"/>
              <w:rPr>
                <w:rFonts w:ascii="Times New Roman"/>
                <w:sz w:val="20"/>
              </w:rPr>
            </w:pPr>
          </w:p>
        </w:tc>
        <w:tc>
          <w:tcPr>
            <w:tcW w:w="76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7" w:hRule="atLeast"/>
        </w:trPr>
        <w:tc>
          <w:tcPr>
            <w:tcW w:w="641" w:type="dxa"/>
            <w:vAlign w:val="top"/>
          </w:tcPr>
          <w:p>
            <w:pPr>
              <w:pStyle w:val="14"/>
              <w:rPr>
                <w:rFonts w:ascii="Times New Roman"/>
                <w:sz w:val="20"/>
              </w:rPr>
            </w:pPr>
          </w:p>
        </w:tc>
        <w:tc>
          <w:tcPr>
            <w:tcW w:w="1058" w:type="dxa"/>
            <w:vAlign w:val="top"/>
          </w:tcPr>
          <w:p>
            <w:pPr>
              <w:pStyle w:val="14"/>
              <w:rPr>
                <w:rFonts w:ascii="Times New Roman"/>
                <w:sz w:val="20"/>
              </w:rPr>
            </w:pPr>
          </w:p>
        </w:tc>
        <w:tc>
          <w:tcPr>
            <w:tcW w:w="668" w:type="dxa"/>
            <w:vAlign w:val="top"/>
          </w:tcPr>
          <w:p>
            <w:pPr>
              <w:pStyle w:val="14"/>
              <w:rPr>
                <w:rFonts w:ascii="Times New Roman"/>
                <w:sz w:val="20"/>
              </w:rPr>
            </w:pPr>
          </w:p>
        </w:tc>
        <w:tc>
          <w:tcPr>
            <w:tcW w:w="1017" w:type="dxa"/>
            <w:vAlign w:val="top"/>
          </w:tcPr>
          <w:p>
            <w:pPr>
              <w:pStyle w:val="14"/>
              <w:rPr>
                <w:rFonts w:ascii="Times New Roman"/>
                <w:sz w:val="20"/>
              </w:rPr>
            </w:pPr>
          </w:p>
        </w:tc>
        <w:tc>
          <w:tcPr>
            <w:tcW w:w="705" w:type="dxa"/>
            <w:vAlign w:val="top"/>
          </w:tcPr>
          <w:p>
            <w:pPr>
              <w:pStyle w:val="14"/>
              <w:rPr>
                <w:rFonts w:ascii="Times New Roman"/>
                <w:sz w:val="20"/>
              </w:rPr>
            </w:pPr>
          </w:p>
        </w:tc>
        <w:tc>
          <w:tcPr>
            <w:tcW w:w="705" w:type="dxa"/>
            <w:vAlign w:val="top"/>
          </w:tcPr>
          <w:p>
            <w:pPr>
              <w:pStyle w:val="14"/>
              <w:rPr>
                <w:rFonts w:ascii="Times New Roman"/>
                <w:sz w:val="20"/>
              </w:rPr>
            </w:pPr>
          </w:p>
        </w:tc>
        <w:tc>
          <w:tcPr>
            <w:tcW w:w="1170" w:type="dxa"/>
            <w:vAlign w:val="top"/>
          </w:tcPr>
          <w:p>
            <w:pPr>
              <w:pStyle w:val="14"/>
              <w:rPr>
                <w:rFonts w:ascii="Times New Roman"/>
                <w:sz w:val="20"/>
              </w:rPr>
            </w:pPr>
          </w:p>
        </w:tc>
        <w:tc>
          <w:tcPr>
            <w:tcW w:w="867" w:type="dxa"/>
            <w:vAlign w:val="top"/>
          </w:tcPr>
          <w:p>
            <w:pPr>
              <w:pStyle w:val="14"/>
              <w:rPr>
                <w:rFonts w:ascii="Times New Roman"/>
                <w:sz w:val="20"/>
              </w:rPr>
            </w:pPr>
          </w:p>
        </w:tc>
        <w:tc>
          <w:tcPr>
            <w:tcW w:w="867" w:type="dxa"/>
            <w:vAlign w:val="top"/>
          </w:tcPr>
          <w:p>
            <w:pPr>
              <w:pStyle w:val="14"/>
              <w:rPr>
                <w:rFonts w:ascii="Times New Roman"/>
                <w:sz w:val="20"/>
              </w:rPr>
            </w:pPr>
          </w:p>
        </w:tc>
        <w:tc>
          <w:tcPr>
            <w:tcW w:w="76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7" w:hRule="atLeast"/>
        </w:trPr>
        <w:tc>
          <w:tcPr>
            <w:tcW w:w="641" w:type="dxa"/>
            <w:vAlign w:val="top"/>
          </w:tcPr>
          <w:p>
            <w:pPr>
              <w:pStyle w:val="14"/>
              <w:rPr>
                <w:rFonts w:ascii="Times New Roman"/>
                <w:sz w:val="20"/>
              </w:rPr>
            </w:pPr>
          </w:p>
        </w:tc>
        <w:tc>
          <w:tcPr>
            <w:tcW w:w="1058" w:type="dxa"/>
            <w:vAlign w:val="top"/>
          </w:tcPr>
          <w:p>
            <w:pPr>
              <w:pStyle w:val="14"/>
              <w:rPr>
                <w:rFonts w:ascii="Times New Roman"/>
                <w:sz w:val="20"/>
              </w:rPr>
            </w:pPr>
          </w:p>
        </w:tc>
        <w:tc>
          <w:tcPr>
            <w:tcW w:w="668" w:type="dxa"/>
            <w:vAlign w:val="top"/>
          </w:tcPr>
          <w:p>
            <w:pPr>
              <w:pStyle w:val="14"/>
              <w:rPr>
                <w:rFonts w:ascii="Times New Roman"/>
                <w:sz w:val="20"/>
              </w:rPr>
            </w:pPr>
          </w:p>
        </w:tc>
        <w:tc>
          <w:tcPr>
            <w:tcW w:w="1017" w:type="dxa"/>
            <w:vAlign w:val="top"/>
          </w:tcPr>
          <w:p>
            <w:pPr>
              <w:pStyle w:val="14"/>
              <w:rPr>
                <w:rFonts w:ascii="Times New Roman"/>
                <w:sz w:val="20"/>
              </w:rPr>
            </w:pPr>
          </w:p>
        </w:tc>
        <w:tc>
          <w:tcPr>
            <w:tcW w:w="705" w:type="dxa"/>
            <w:vAlign w:val="top"/>
          </w:tcPr>
          <w:p>
            <w:pPr>
              <w:pStyle w:val="14"/>
              <w:rPr>
                <w:rFonts w:ascii="Times New Roman"/>
                <w:sz w:val="20"/>
              </w:rPr>
            </w:pPr>
          </w:p>
        </w:tc>
        <w:tc>
          <w:tcPr>
            <w:tcW w:w="705" w:type="dxa"/>
            <w:vAlign w:val="top"/>
          </w:tcPr>
          <w:p>
            <w:pPr>
              <w:pStyle w:val="14"/>
              <w:rPr>
                <w:rFonts w:ascii="Times New Roman"/>
                <w:sz w:val="20"/>
              </w:rPr>
            </w:pPr>
          </w:p>
        </w:tc>
        <w:tc>
          <w:tcPr>
            <w:tcW w:w="1170" w:type="dxa"/>
            <w:vAlign w:val="top"/>
          </w:tcPr>
          <w:p>
            <w:pPr>
              <w:pStyle w:val="14"/>
              <w:rPr>
                <w:rFonts w:ascii="Times New Roman"/>
                <w:sz w:val="20"/>
              </w:rPr>
            </w:pPr>
          </w:p>
        </w:tc>
        <w:tc>
          <w:tcPr>
            <w:tcW w:w="867" w:type="dxa"/>
            <w:vAlign w:val="top"/>
          </w:tcPr>
          <w:p>
            <w:pPr>
              <w:pStyle w:val="14"/>
              <w:rPr>
                <w:rFonts w:ascii="Times New Roman"/>
                <w:sz w:val="20"/>
              </w:rPr>
            </w:pPr>
          </w:p>
        </w:tc>
        <w:tc>
          <w:tcPr>
            <w:tcW w:w="867" w:type="dxa"/>
            <w:vAlign w:val="top"/>
          </w:tcPr>
          <w:p>
            <w:pPr>
              <w:pStyle w:val="14"/>
              <w:rPr>
                <w:rFonts w:ascii="Times New Roman"/>
                <w:sz w:val="20"/>
              </w:rPr>
            </w:pPr>
          </w:p>
        </w:tc>
        <w:tc>
          <w:tcPr>
            <w:tcW w:w="76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6" w:hRule="atLeast"/>
        </w:trPr>
        <w:tc>
          <w:tcPr>
            <w:tcW w:w="641" w:type="dxa"/>
            <w:vAlign w:val="top"/>
          </w:tcPr>
          <w:p>
            <w:pPr>
              <w:pStyle w:val="14"/>
              <w:rPr>
                <w:rFonts w:ascii="Times New Roman"/>
                <w:sz w:val="20"/>
              </w:rPr>
            </w:pPr>
          </w:p>
        </w:tc>
        <w:tc>
          <w:tcPr>
            <w:tcW w:w="1058" w:type="dxa"/>
            <w:vAlign w:val="top"/>
          </w:tcPr>
          <w:p>
            <w:pPr>
              <w:pStyle w:val="14"/>
              <w:rPr>
                <w:rFonts w:ascii="Times New Roman"/>
                <w:sz w:val="20"/>
              </w:rPr>
            </w:pPr>
          </w:p>
        </w:tc>
        <w:tc>
          <w:tcPr>
            <w:tcW w:w="668" w:type="dxa"/>
            <w:vAlign w:val="top"/>
          </w:tcPr>
          <w:p>
            <w:pPr>
              <w:pStyle w:val="14"/>
              <w:rPr>
                <w:rFonts w:ascii="Times New Roman"/>
                <w:sz w:val="20"/>
              </w:rPr>
            </w:pPr>
          </w:p>
        </w:tc>
        <w:tc>
          <w:tcPr>
            <w:tcW w:w="1017" w:type="dxa"/>
            <w:vAlign w:val="top"/>
          </w:tcPr>
          <w:p>
            <w:pPr>
              <w:pStyle w:val="14"/>
              <w:rPr>
                <w:rFonts w:ascii="Times New Roman"/>
                <w:sz w:val="20"/>
              </w:rPr>
            </w:pPr>
          </w:p>
        </w:tc>
        <w:tc>
          <w:tcPr>
            <w:tcW w:w="705" w:type="dxa"/>
            <w:vAlign w:val="top"/>
          </w:tcPr>
          <w:p>
            <w:pPr>
              <w:pStyle w:val="14"/>
              <w:rPr>
                <w:rFonts w:ascii="Times New Roman"/>
                <w:sz w:val="20"/>
              </w:rPr>
            </w:pPr>
          </w:p>
        </w:tc>
        <w:tc>
          <w:tcPr>
            <w:tcW w:w="705" w:type="dxa"/>
            <w:vAlign w:val="top"/>
          </w:tcPr>
          <w:p>
            <w:pPr>
              <w:pStyle w:val="14"/>
              <w:rPr>
                <w:rFonts w:ascii="Times New Roman"/>
                <w:sz w:val="20"/>
              </w:rPr>
            </w:pPr>
          </w:p>
        </w:tc>
        <w:tc>
          <w:tcPr>
            <w:tcW w:w="1170" w:type="dxa"/>
            <w:vAlign w:val="top"/>
          </w:tcPr>
          <w:p>
            <w:pPr>
              <w:pStyle w:val="14"/>
              <w:rPr>
                <w:rFonts w:ascii="Times New Roman"/>
                <w:sz w:val="20"/>
              </w:rPr>
            </w:pPr>
          </w:p>
        </w:tc>
        <w:tc>
          <w:tcPr>
            <w:tcW w:w="867" w:type="dxa"/>
            <w:vAlign w:val="top"/>
          </w:tcPr>
          <w:p>
            <w:pPr>
              <w:pStyle w:val="14"/>
              <w:rPr>
                <w:rFonts w:ascii="Times New Roman"/>
                <w:sz w:val="20"/>
              </w:rPr>
            </w:pPr>
          </w:p>
        </w:tc>
        <w:tc>
          <w:tcPr>
            <w:tcW w:w="867" w:type="dxa"/>
            <w:vAlign w:val="top"/>
          </w:tcPr>
          <w:p>
            <w:pPr>
              <w:pStyle w:val="14"/>
              <w:rPr>
                <w:rFonts w:ascii="Times New Roman"/>
                <w:sz w:val="20"/>
              </w:rPr>
            </w:pPr>
          </w:p>
        </w:tc>
        <w:tc>
          <w:tcPr>
            <w:tcW w:w="761"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7" w:hRule="atLeast"/>
        </w:trPr>
        <w:tc>
          <w:tcPr>
            <w:tcW w:w="641" w:type="dxa"/>
            <w:vAlign w:val="top"/>
          </w:tcPr>
          <w:p>
            <w:pPr>
              <w:pStyle w:val="14"/>
              <w:rPr>
                <w:rFonts w:ascii="Times New Roman"/>
                <w:sz w:val="20"/>
              </w:rPr>
            </w:pPr>
          </w:p>
        </w:tc>
        <w:tc>
          <w:tcPr>
            <w:tcW w:w="1058" w:type="dxa"/>
            <w:vAlign w:val="top"/>
          </w:tcPr>
          <w:p>
            <w:pPr>
              <w:pStyle w:val="14"/>
              <w:rPr>
                <w:rFonts w:ascii="Times New Roman"/>
                <w:sz w:val="20"/>
              </w:rPr>
            </w:pPr>
          </w:p>
        </w:tc>
        <w:tc>
          <w:tcPr>
            <w:tcW w:w="668" w:type="dxa"/>
            <w:vAlign w:val="top"/>
          </w:tcPr>
          <w:p>
            <w:pPr>
              <w:pStyle w:val="14"/>
              <w:rPr>
                <w:rFonts w:ascii="Times New Roman"/>
                <w:sz w:val="20"/>
              </w:rPr>
            </w:pPr>
          </w:p>
        </w:tc>
        <w:tc>
          <w:tcPr>
            <w:tcW w:w="1017" w:type="dxa"/>
            <w:vAlign w:val="top"/>
          </w:tcPr>
          <w:p>
            <w:pPr>
              <w:pStyle w:val="14"/>
              <w:rPr>
                <w:rFonts w:ascii="Times New Roman"/>
                <w:sz w:val="20"/>
              </w:rPr>
            </w:pPr>
          </w:p>
        </w:tc>
        <w:tc>
          <w:tcPr>
            <w:tcW w:w="705" w:type="dxa"/>
            <w:vAlign w:val="top"/>
          </w:tcPr>
          <w:p>
            <w:pPr>
              <w:pStyle w:val="14"/>
              <w:rPr>
                <w:rFonts w:ascii="Times New Roman"/>
                <w:sz w:val="20"/>
              </w:rPr>
            </w:pPr>
          </w:p>
        </w:tc>
        <w:tc>
          <w:tcPr>
            <w:tcW w:w="705" w:type="dxa"/>
            <w:vAlign w:val="top"/>
          </w:tcPr>
          <w:p>
            <w:pPr>
              <w:pStyle w:val="14"/>
              <w:rPr>
                <w:rFonts w:ascii="Times New Roman"/>
                <w:sz w:val="20"/>
              </w:rPr>
            </w:pPr>
          </w:p>
        </w:tc>
        <w:tc>
          <w:tcPr>
            <w:tcW w:w="1170" w:type="dxa"/>
            <w:vAlign w:val="top"/>
          </w:tcPr>
          <w:p>
            <w:pPr>
              <w:pStyle w:val="14"/>
              <w:rPr>
                <w:rFonts w:ascii="Times New Roman"/>
                <w:sz w:val="20"/>
              </w:rPr>
            </w:pPr>
          </w:p>
        </w:tc>
        <w:tc>
          <w:tcPr>
            <w:tcW w:w="867" w:type="dxa"/>
            <w:vAlign w:val="top"/>
          </w:tcPr>
          <w:p>
            <w:pPr>
              <w:pStyle w:val="14"/>
              <w:rPr>
                <w:rFonts w:ascii="Times New Roman"/>
                <w:sz w:val="20"/>
              </w:rPr>
            </w:pPr>
          </w:p>
        </w:tc>
        <w:tc>
          <w:tcPr>
            <w:tcW w:w="867" w:type="dxa"/>
            <w:vAlign w:val="top"/>
          </w:tcPr>
          <w:p>
            <w:pPr>
              <w:pStyle w:val="14"/>
              <w:rPr>
                <w:rFonts w:ascii="Times New Roman"/>
                <w:sz w:val="20"/>
              </w:rPr>
            </w:pPr>
          </w:p>
        </w:tc>
        <w:tc>
          <w:tcPr>
            <w:tcW w:w="761" w:type="dxa"/>
            <w:vAlign w:val="top"/>
          </w:tcPr>
          <w:p>
            <w:pPr>
              <w:pStyle w:val="14"/>
              <w:rPr>
                <w:rFonts w:ascii="Times New Roman"/>
                <w:sz w:val="20"/>
              </w:rPr>
            </w:pPr>
          </w:p>
        </w:tc>
      </w:tr>
    </w:tbl>
    <w:p>
      <w:pPr>
        <w:spacing w:after="0"/>
        <w:rPr>
          <w:rFonts w:ascii="Times New Roman"/>
          <w:sz w:val="20"/>
        </w:rPr>
        <w:sectPr>
          <w:pgSz w:w="11910" w:h="16840"/>
          <w:pgMar w:top="1100" w:right="1420" w:bottom="1220" w:left="1420" w:header="878" w:footer="1024" w:gutter="0"/>
          <w:cols w:space="720" w:num="1"/>
        </w:sectPr>
      </w:pPr>
    </w:p>
    <w:p>
      <w:pPr>
        <w:pStyle w:val="9"/>
        <w:spacing w:line="20" w:lineRule="exact"/>
        <w:ind w:left="369"/>
        <w:rPr>
          <w:sz w:val="2"/>
        </w:rPr>
      </w:pPr>
      <w:r>
        <w:rPr>
          <w:rFonts w:ascii="宋体" w:hAnsi="宋体" w:eastAsia="宋体" w:cs="宋体"/>
          <w:sz w:val="2"/>
          <w:szCs w:val="22"/>
          <w:lang w:val="zh-CN" w:eastAsia="zh-CN" w:bidi="zh-CN"/>
        </w:rPr>
        <w:pict>
          <v:group id="组合 30" o:spid="_x0000_s1079" style="height:0.75pt;width:405.25pt;rotation:0f;" coordorigin="0,7" coordsize="8105,0">
            <o:lock v:ext="edit" position="f" selection="f" grouping="f" rotation="f" cropping="f" text="f" aspectratio="f"/>
            <v:line id="直线 31" o:spid="_x0000_s1080" style="position:absolute;left:0;top:7;height:0;width:8105;rotation:0f;" o:ole="f" fillcolor="#FFFFFF" filled="f" o:preferrelative="t" stroked="t" coordsize="21600,21600">
              <v:fill on="f" color2="#FFFFFF" focus="0%"/>
              <v:stroke weight="0.72pt" color="#000000" color2="#FFFFFF" miterlimit="2"/>
              <v:imagedata gain="65536f" blacklevel="0f" gamma="0"/>
              <o:lock v:ext="edit" position="f" selection="f" grouping="f" rotation="f" cropping="f" text="f" aspectratio="f"/>
            </v:line>
            <w10:wrap type="none"/>
            <w10:anchorlock/>
          </v:group>
        </w:pict>
      </w:r>
    </w:p>
    <w:p>
      <w:pPr>
        <w:pStyle w:val="9"/>
        <w:spacing w:before="3"/>
        <w:rPr>
          <w:sz w:val="21"/>
        </w:rPr>
      </w:pPr>
    </w:p>
    <w:p>
      <w:pPr>
        <w:spacing w:before="69"/>
        <w:ind w:left="377" w:right="0" w:firstLine="0"/>
        <w:jc w:val="left"/>
        <w:rPr>
          <w:sz w:val="21"/>
        </w:rPr>
      </w:pPr>
      <w:bookmarkStart w:id="140" w:name="附表二：拟配备本工程的试验和检测仪器设备表（可自行加行）"/>
      <w:bookmarkEnd w:id="140"/>
      <w:r>
        <w:rPr>
          <w:sz w:val="21"/>
        </w:rPr>
        <w:t>附表二：拟配备本工程的试验和检测仪器设备表（可自行加行）</w:t>
      </w:r>
    </w:p>
    <w:p>
      <w:pPr>
        <w:pStyle w:val="9"/>
        <w:spacing w:before="9"/>
        <w:rPr>
          <w:sz w:val="29"/>
        </w:rPr>
      </w:pPr>
    </w:p>
    <w:tbl>
      <w:tblPr>
        <w:tblW w:w="8505" w:type="dxa"/>
        <w:tblInd w:w="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1064"/>
        <w:gridCol w:w="672"/>
        <w:gridCol w:w="1022"/>
        <w:gridCol w:w="709"/>
        <w:gridCol w:w="709"/>
        <w:gridCol w:w="1176"/>
        <w:gridCol w:w="1659"/>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7" w:hRule="atLeast"/>
        </w:trPr>
        <w:tc>
          <w:tcPr>
            <w:tcW w:w="644" w:type="dxa"/>
            <w:vAlign w:val="top"/>
          </w:tcPr>
          <w:p>
            <w:pPr>
              <w:pStyle w:val="14"/>
              <w:spacing w:before="12"/>
              <w:rPr>
                <w:sz w:val="15"/>
              </w:rPr>
            </w:pPr>
          </w:p>
          <w:p>
            <w:pPr>
              <w:pStyle w:val="14"/>
              <w:spacing w:before="1"/>
              <w:ind w:left="111"/>
              <w:rPr>
                <w:sz w:val="21"/>
              </w:rPr>
            </w:pPr>
            <w:r>
              <w:rPr>
                <w:sz w:val="21"/>
              </w:rPr>
              <w:t>序号</w:t>
            </w:r>
          </w:p>
        </w:tc>
        <w:tc>
          <w:tcPr>
            <w:tcW w:w="1064" w:type="dxa"/>
            <w:vAlign w:val="top"/>
          </w:tcPr>
          <w:p>
            <w:pPr>
              <w:pStyle w:val="14"/>
              <w:spacing w:before="1"/>
              <w:ind w:left="112"/>
              <w:rPr>
                <w:sz w:val="21"/>
              </w:rPr>
            </w:pPr>
            <w:r>
              <w:rPr>
                <w:w w:val="95"/>
                <w:sz w:val="21"/>
              </w:rPr>
              <w:t>仪器设备</w:t>
            </w:r>
          </w:p>
          <w:p>
            <w:pPr>
              <w:pStyle w:val="14"/>
              <w:tabs>
                <w:tab w:val="left" w:pos="741"/>
              </w:tabs>
              <w:spacing w:before="139"/>
              <w:ind w:left="112"/>
              <w:rPr>
                <w:sz w:val="21"/>
              </w:rPr>
            </w:pPr>
            <w:r>
              <w:rPr>
                <w:sz w:val="21"/>
              </w:rPr>
              <w:t>名</w:t>
            </w:r>
            <w:r>
              <w:rPr>
                <w:sz w:val="21"/>
              </w:rPr>
              <w:tab/>
            </w:r>
            <w:r>
              <w:rPr>
                <w:sz w:val="21"/>
              </w:rPr>
              <w:t>称</w:t>
            </w:r>
          </w:p>
        </w:tc>
        <w:tc>
          <w:tcPr>
            <w:tcW w:w="672" w:type="dxa"/>
            <w:vAlign w:val="top"/>
          </w:tcPr>
          <w:p>
            <w:pPr>
              <w:pStyle w:val="14"/>
              <w:spacing w:before="1"/>
              <w:ind w:left="126"/>
              <w:rPr>
                <w:sz w:val="21"/>
              </w:rPr>
            </w:pPr>
            <w:r>
              <w:rPr>
                <w:spacing w:val="-1"/>
                <w:w w:val="95"/>
                <w:sz w:val="21"/>
              </w:rPr>
              <w:t>型号</w:t>
            </w:r>
          </w:p>
          <w:p>
            <w:pPr>
              <w:pStyle w:val="14"/>
              <w:spacing w:before="139"/>
              <w:ind w:left="126"/>
              <w:rPr>
                <w:sz w:val="21"/>
              </w:rPr>
            </w:pPr>
            <w:r>
              <w:rPr>
                <w:spacing w:val="-1"/>
                <w:w w:val="95"/>
                <w:sz w:val="21"/>
              </w:rPr>
              <w:t>规格</w:t>
            </w:r>
          </w:p>
        </w:tc>
        <w:tc>
          <w:tcPr>
            <w:tcW w:w="1022" w:type="dxa"/>
            <w:vAlign w:val="top"/>
          </w:tcPr>
          <w:p>
            <w:pPr>
              <w:pStyle w:val="14"/>
              <w:spacing w:before="12"/>
              <w:rPr>
                <w:sz w:val="15"/>
              </w:rPr>
            </w:pPr>
          </w:p>
          <w:p>
            <w:pPr>
              <w:pStyle w:val="14"/>
              <w:tabs>
                <w:tab w:val="left" w:pos="615"/>
              </w:tabs>
              <w:spacing w:before="1"/>
              <w:ind w:left="195"/>
              <w:rPr>
                <w:sz w:val="21"/>
              </w:rPr>
            </w:pPr>
            <w:r>
              <w:rPr>
                <w:sz w:val="21"/>
              </w:rPr>
              <w:t>数</w:t>
            </w:r>
            <w:r>
              <w:rPr>
                <w:sz w:val="21"/>
              </w:rPr>
              <w:tab/>
            </w:r>
            <w:r>
              <w:rPr>
                <w:sz w:val="21"/>
              </w:rPr>
              <w:t>量</w:t>
            </w:r>
          </w:p>
        </w:tc>
        <w:tc>
          <w:tcPr>
            <w:tcW w:w="709" w:type="dxa"/>
            <w:vAlign w:val="top"/>
          </w:tcPr>
          <w:p>
            <w:pPr>
              <w:pStyle w:val="14"/>
              <w:spacing w:before="1"/>
              <w:ind w:left="143"/>
              <w:rPr>
                <w:sz w:val="21"/>
              </w:rPr>
            </w:pPr>
            <w:r>
              <w:rPr>
                <w:spacing w:val="-1"/>
                <w:w w:val="95"/>
                <w:sz w:val="21"/>
              </w:rPr>
              <w:t>国别</w:t>
            </w:r>
          </w:p>
          <w:p>
            <w:pPr>
              <w:pStyle w:val="14"/>
              <w:spacing w:before="139"/>
              <w:ind w:left="143"/>
              <w:rPr>
                <w:sz w:val="21"/>
              </w:rPr>
            </w:pPr>
            <w:r>
              <w:rPr>
                <w:spacing w:val="-1"/>
                <w:w w:val="95"/>
                <w:sz w:val="21"/>
              </w:rPr>
              <w:t>产地</w:t>
            </w:r>
          </w:p>
        </w:tc>
        <w:tc>
          <w:tcPr>
            <w:tcW w:w="709" w:type="dxa"/>
            <w:vAlign w:val="top"/>
          </w:tcPr>
          <w:p>
            <w:pPr>
              <w:pStyle w:val="14"/>
              <w:spacing w:before="1"/>
              <w:ind w:left="142"/>
              <w:rPr>
                <w:sz w:val="21"/>
              </w:rPr>
            </w:pPr>
            <w:r>
              <w:rPr>
                <w:spacing w:val="-1"/>
                <w:w w:val="95"/>
                <w:sz w:val="21"/>
              </w:rPr>
              <w:t>制造</w:t>
            </w:r>
          </w:p>
          <w:p>
            <w:pPr>
              <w:pStyle w:val="14"/>
              <w:spacing w:before="139"/>
              <w:ind w:left="142"/>
              <w:rPr>
                <w:sz w:val="21"/>
              </w:rPr>
            </w:pPr>
            <w:r>
              <w:rPr>
                <w:spacing w:val="-1"/>
                <w:w w:val="95"/>
                <w:sz w:val="21"/>
              </w:rPr>
              <w:t>年份</w:t>
            </w:r>
          </w:p>
        </w:tc>
        <w:tc>
          <w:tcPr>
            <w:tcW w:w="1176" w:type="dxa"/>
            <w:vAlign w:val="top"/>
          </w:tcPr>
          <w:p>
            <w:pPr>
              <w:pStyle w:val="14"/>
              <w:spacing w:before="1"/>
              <w:ind w:left="167"/>
              <w:rPr>
                <w:sz w:val="21"/>
              </w:rPr>
            </w:pPr>
            <w:r>
              <w:rPr>
                <w:w w:val="95"/>
                <w:sz w:val="21"/>
              </w:rPr>
              <w:t>已使用台</w:t>
            </w:r>
          </w:p>
          <w:p>
            <w:pPr>
              <w:pStyle w:val="14"/>
              <w:tabs>
                <w:tab w:val="left" w:pos="796"/>
              </w:tabs>
              <w:spacing w:before="139"/>
              <w:ind w:left="167"/>
              <w:rPr>
                <w:sz w:val="21"/>
              </w:rPr>
            </w:pPr>
            <w:r>
              <w:rPr>
                <w:sz w:val="21"/>
              </w:rPr>
              <w:t>时</w:t>
            </w:r>
            <w:r>
              <w:rPr>
                <w:sz w:val="21"/>
              </w:rPr>
              <w:tab/>
            </w:r>
            <w:r>
              <w:rPr>
                <w:sz w:val="21"/>
              </w:rPr>
              <w:t>数</w:t>
            </w:r>
          </w:p>
        </w:tc>
        <w:tc>
          <w:tcPr>
            <w:tcW w:w="1659" w:type="dxa"/>
            <w:vAlign w:val="top"/>
          </w:tcPr>
          <w:p>
            <w:pPr>
              <w:pStyle w:val="14"/>
              <w:spacing w:before="12"/>
              <w:rPr>
                <w:sz w:val="15"/>
              </w:rPr>
            </w:pPr>
          </w:p>
          <w:p>
            <w:pPr>
              <w:pStyle w:val="14"/>
              <w:tabs>
                <w:tab w:val="left" w:pos="933"/>
              </w:tabs>
              <w:spacing w:before="1"/>
              <w:ind w:left="513"/>
              <w:rPr>
                <w:sz w:val="21"/>
              </w:rPr>
            </w:pPr>
            <w:r>
              <w:rPr>
                <w:sz w:val="21"/>
              </w:rPr>
              <w:t>用</w:t>
            </w:r>
            <w:r>
              <w:rPr>
                <w:sz w:val="21"/>
              </w:rPr>
              <w:tab/>
            </w:r>
            <w:r>
              <w:rPr>
                <w:sz w:val="21"/>
              </w:rPr>
              <w:t>途</w:t>
            </w:r>
          </w:p>
        </w:tc>
        <w:tc>
          <w:tcPr>
            <w:tcW w:w="850" w:type="dxa"/>
            <w:vAlign w:val="top"/>
          </w:tcPr>
          <w:p>
            <w:pPr>
              <w:pStyle w:val="14"/>
              <w:spacing w:before="12"/>
              <w:rPr>
                <w:sz w:val="15"/>
              </w:rPr>
            </w:pPr>
          </w:p>
          <w:p>
            <w:pPr>
              <w:pStyle w:val="14"/>
              <w:spacing w:before="1"/>
              <w:ind w:left="215"/>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644" w:type="dxa"/>
            <w:vAlign w:val="top"/>
          </w:tcPr>
          <w:p>
            <w:pPr>
              <w:pStyle w:val="14"/>
              <w:rPr>
                <w:rFonts w:ascii="Times New Roman"/>
                <w:sz w:val="20"/>
              </w:rPr>
            </w:pPr>
          </w:p>
        </w:tc>
        <w:tc>
          <w:tcPr>
            <w:tcW w:w="1064" w:type="dxa"/>
            <w:vAlign w:val="top"/>
          </w:tcPr>
          <w:p>
            <w:pPr>
              <w:pStyle w:val="14"/>
              <w:rPr>
                <w:rFonts w:ascii="Times New Roman"/>
                <w:sz w:val="20"/>
              </w:rPr>
            </w:pPr>
          </w:p>
        </w:tc>
        <w:tc>
          <w:tcPr>
            <w:tcW w:w="672" w:type="dxa"/>
            <w:vAlign w:val="top"/>
          </w:tcPr>
          <w:p>
            <w:pPr>
              <w:pStyle w:val="14"/>
              <w:rPr>
                <w:rFonts w:ascii="Times New Roman"/>
                <w:sz w:val="20"/>
              </w:rPr>
            </w:pPr>
          </w:p>
        </w:tc>
        <w:tc>
          <w:tcPr>
            <w:tcW w:w="1022" w:type="dxa"/>
            <w:vAlign w:val="top"/>
          </w:tcPr>
          <w:p>
            <w:pPr>
              <w:pStyle w:val="14"/>
              <w:rPr>
                <w:rFonts w:ascii="Times New Roman"/>
                <w:sz w:val="20"/>
              </w:rPr>
            </w:pPr>
          </w:p>
        </w:tc>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1176" w:type="dxa"/>
            <w:vAlign w:val="top"/>
          </w:tcPr>
          <w:p>
            <w:pPr>
              <w:pStyle w:val="14"/>
              <w:rPr>
                <w:rFonts w:ascii="Times New Roman"/>
                <w:sz w:val="20"/>
              </w:rPr>
            </w:pPr>
          </w:p>
        </w:tc>
        <w:tc>
          <w:tcPr>
            <w:tcW w:w="1659" w:type="dxa"/>
            <w:vAlign w:val="top"/>
          </w:tcPr>
          <w:p>
            <w:pPr>
              <w:pStyle w:val="14"/>
              <w:rPr>
                <w:rFonts w:ascii="Times New Roman"/>
                <w:sz w:val="20"/>
              </w:rPr>
            </w:pPr>
          </w:p>
        </w:tc>
        <w:tc>
          <w:tcPr>
            <w:tcW w:w="8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644" w:type="dxa"/>
            <w:vAlign w:val="top"/>
          </w:tcPr>
          <w:p>
            <w:pPr>
              <w:pStyle w:val="14"/>
              <w:rPr>
                <w:rFonts w:ascii="Times New Roman"/>
                <w:sz w:val="20"/>
              </w:rPr>
            </w:pPr>
          </w:p>
        </w:tc>
        <w:tc>
          <w:tcPr>
            <w:tcW w:w="1064" w:type="dxa"/>
            <w:vAlign w:val="top"/>
          </w:tcPr>
          <w:p>
            <w:pPr>
              <w:pStyle w:val="14"/>
              <w:rPr>
                <w:rFonts w:ascii="Times New Roman"/>
                <w:sz w:val="20"/>
              </w:rPr>
            </w:pPr>
          </w:p>
        </w:tc>
        <w:tc>
          <w:tcPr>
            <w:tcW w:w="672" w:type="dxa"/>
            <w:vAlign w:val="top"/>
          </w:tcPr>
          <w:p>
            <w:pPr>
              <w:pStyle w:val="14"/>
              <w:rPr>
                <w:rFonts w:ascii="Times New Roman"/>
                <w:sz w:val="20"/>
              </w:rPr>
            </w:pPr>
          </w:p>
        </w:tc>
        <w:tc>
          <w:tcPr>
            <w:tcW w:w="1022" w:type="dxa"/>
            <w:vAlign w:val="top"/>
          </w:tcPr>
          <w:p>
            <w:pPr>
              <w:pStyle w:val="14"/>
              <w:rPr>
                <w:rFonts w:ascii="Times New Roman"/>
                <w:sz w:val="20"/>
              </w:rPr>
            </w:pPr>
          </w:p>
        </w:tc>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1176" w:type="dxa"/>
            <w:vAlign w:val="top"/>
          </w:tcPr>
          <w:p>
            <w:pPr>
              <w:pStyle w:val="14"/>
              <w:rPr>
                <w:rFonts w:ascii="Times New Roman"/>
                <w:sz w:val="20"/>
              </w:rPr>
            </w:pPr>
          </w:p>
        </w:tc>
        <w:tc>
          <w:tcPr>
            <w:tcW w:w="1659" w:type="dxa"/>
            <w:vAlign w:val="top"/>
          </w:tcPr>
          <w:p>
            <w:pPr>
              <w:pStyle w:val="14"/>
              <w:rPr>
                <w:rFonts w:ascii="Times New Roman"/>
                <w:sz w:val="20"/>
              </w:rPr>
            </w:pPr>
          </w:p>
        </w:tc>
        <w:tc>
          <w:tcPr>
            <w:tcW w:w="8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644" w:type="dxa"/>
            <w:vAlign w:val="top"/>
          </w:tcPr>
          <w:p>
            <w:pPr>
              <w:pStyle w:val="14"/>
              <w:rPr>
                <w:rFonts w:ascii="Times New Roman"/>
                <w:sz w:val="20"/>
              </w:rPr>
            </w:pPr>
          </w:p>
        </w:tc>
        <w:tc>
          <w:tcPr>
            <w:tcW w:w="1064" w:type="dxa"/>
            <w:vAlign w:val="top"/>
          </w:tcPr>
          <w:p>
            <w:pPr>
              <w:pStyle w:val="14"/>
              <w:rPr>
                <w:rFonts w:ascii="Times New Roman"/>
                <w:sz w:val="20"/>
              </w:rPr>
            </w:pPr>
          </w:p>
        </w:tc>
        <w:tc>
          <w:tcPr>
            <w:tcW w:w="672" w:type="dxa"/>
            <w:vAlign w:val="top"/>
          </w:tcPr>
          <w:p>
            <w:pPr>
              <w:pStyle w:val="14"/>
              <w:rPr>
                <w:rFonts w:ascii="Times New Roman"/>
                <w:sz w:val="20"/>
              </w:rPr>
            </w:pPr>
          </w:p>
        </w:tc>
        <w:tc>
          <w:tcPr>
            <w:tcW w:w="1022" w:type="dxa"/>
            <w:vAlign w:val="top"/>
          </w:tcPr>
          <w:p>
            <w:pPr>
              <w:pStyle w:val="14"/>
              <w:rPr>
                <w:rFonts w:ascii="Times New Roman"/>
                <w:sz w:val="20"/>
              </w:rPr>
            </w:pPr>
          </w:p>
        </w:tc>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1176" w:type="dxa"/>
            <w:vAlign w:val="top"/>
          </w:tcPr>
          <w:p>
            <w:pPr>
              <w:pStyle w:val="14"/>
              <w:rPr>
                <w:rFonts w:ascii="Times New Roman"/>
                <w:sz w:val="20"/>
              </w:rPr>
            </w:pPr>
          </w:p>
        </w:tc>
        <w:tc>
          <w:tcPr>
            <w:tcW w:w="1659" w:type="dxa"/>
            <w:vAlign w:val="top"/>
          </w:tcPr>
          <w:p>
            <w:pPr>
              <w:pStyle w:val="14"/>
              <w:rPr>
                <w:rFonts w:ascii="Times New Roman"/>
                <w:sz w:val="20"/>
              </w:rPr>
            </w:pPr>
          </w:p>
        </w:tc>
        <w:tc>
          <w:tcPr>
            <w:tcW w:w="8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644" w:type="dxa"/>
            <w:vAlign w:val="top"/>
          </w:tcPr>
          <w:p>
            <w:pPr>
              <w:pStyle w:val="14"/>
              <w:rPr>
                <w:rFonts w:ascii="Times New Roman"/>
                <w:sz w:val="20"/>
              </w:rPr>
            </w:pPr>
          </w:p>
        </w:tc>
        <w:tc>
          <w:tcPr>
            <w:tcW w:w="1064" w:type="dxa"/>
            <w:vAlign w:val="top"/>
          </w:tcPr>
          <w:p>
            <w:pPr>
              <w:pStyle w:val="14"/>
              <w:rPr>
                <w:rFonts w:ascii="Times New Roman"/>
                <w:sz w:val="20"/>
              </w:rPr>
            </w:pPr>
          </w:p>
        </w:tc>
        <w:tc>
          <w:tcPr>
            <w:tcW w:w="672" w:type="dxa"/>
            <w:vAlign w:val="top"/>
          </w:tcPr>
          <w:p>
            <w:pPr>
              <w:pStyle w:val="14"/>
              <w:rPr>
                <w:rFonts w:ascii="Times New Roman"/>
                <w:sz w:val="20"/>
              </w:rPr>
            </w:pPr>
          </w:p>
        </w:tc>
        <w:tc>
          <w:tcPr>
            <w:tcW w:w="1022" w:type="dxa"/>
            <w:vAlign w:val="top"/>
          </w:tcPr>
          <w:p>
            <w:pPr>
              <w:pStyle w:val="14"/>
              <w:rPr>
                <w:rFonts w:ascii="Times New Roman"/>
                <w:sz w:val="20"/>
              </w:rPr>
            </w:pPr>
          </w:p>
        </w:tc>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1176" w:type="dxa"/>
            <w:vAlign w:val="top"/>
          </w:tcPr>
          <w:p>
            <w:pPr>
              <w:pStyle w:val="14"/>
              <w:rPr>
                <w:rFonts w:ascii="Times New Roman"/>
                <w:sz w:val="20"/>
              </w:rPr>
            </w:pPr>
          </w:p>
        </w:tc>
        <w:tc>
          <w:tcPr>
            <w:tcW w:w="1659" w:type="dxa"/>
            <w:vAlign w:val="top"/>
          </w:tcPr>
          <w:p>
            <w:pPr>
              <w:pStyle w:val="14"/>
              <w:rPr>
                <w:rFonts w:ascii="Times New Roman"/>
                <w:sz w:val="20"/>
              </w:rPr>
            </w:pPr>
          </w:p>
        </w:tc>
        <w:tc>
          <w:tcPr>
            <w:tcW w:w="8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644" w:type="dxa"/>
            <w:vAlign w:val="top"/>
          </w:tcPr>
          <w:p>
            <w:pPr>
              <w:pStyle w:val="14"/>
              <w:rPr>
                <w:rFonts w:ascii="Times New Roman"/>
                <w:sz w:val="20"/>
              </w:rPr>
            </w:pPr>
          </w:p>
        </w:tc>
        <w:tc>
          <w:tcPr>
            <w:tcW w:w="1064" w:type="dxa"/>
            <w:vAlign w:val="top"/>
          </w:tcPr>
          <w:p>
            <w:pPr>
              <w:pStyle w:val="14"/>
              <w:rPr>
                <w:rFonts w:ascii="Times New Roman"/>
                <w:sz w:val="20"/>
              </w:rPr>
            </w:pPr>
          </w:p>
        </w:tc>
        <w:tc>
          <w:tcPr>
            <w:tcW w:w="672" w:type="dxa"/>
            <w:vAlign w:val="top"/>
          </w:tcPr>
          <w:p>
            <w:pPr>
              <w:pStyle w:val="14"/>
              <w:rPr>
                <w:rFonts w:ascii="Times New Roman"/>
                <w:sz w:val="20"/>
              </w:rPr>
            </w:pPr>
          </w:p>
        </w:tc>
        <w:tc>
          <w:tcPr>
            <w:tcW w:w="1022" w:type="dxa"/>
            <w:vAlign w:val="top"/>
          </w:tcPr>
          <w:p>
            <w:pPr>
              <w:pStyle w:val="14"/>
              <w:rPr>
                <w:rFonts w:ascii="Times New Roman"/>
                <w:sz w:val="20"/>
              </w:rPr>
            </w:pPr>
          </w:p>
        </w:tc>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1176" w:type="dxa"/>
            <w:vAlign w:val="top"/>
          </w:tcPr>
          <w:p>
            <w:pPr>
              <w:pStyle w:val="14"/>
              <w:rPr>
                <w:rFonts w:ascii="Times New Roman"/>
                <w:sz w:val="20"/>
              </w:rPr>
            </w:pPr>
          </w:p>
        </w:tc>
        <w:tc>
          <w:tcPr>
            <w:tcW w:w="1659" w:type="dxa"/>
            <w:vAlign w:val="top"/>
          </w:tcPr>
          <w:p>
            <w:pPr>
              <w:pStyle w:val="14"/>
              <w:rPr>
                <w:rFonts w:ascii="Times New Roman"/>
                <w:sz w:val="20"/>
              </w:rPr>
            </w:pPr>
          </w:p>
        </w:tc>
        <w:tc>
          <w:tcPr>
            <w:tcW w:w="8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644" w:type="dxa"/>
            <w:vAlign w:val="top"/>
          </w:tcPr>
          <w:p>
            <w:pPr>
              <w:pStyle w:val="14"/>
              <w:rPr>
                <w:rFonts w:ascii="Times New Roman"/>
                <w:sz w:val="20"/>
              </w:rPr>
            </w:pPr>
          </w:p>
        </w:tc>
        <w:tc>
          <w:tcPr>
            <w:tcW w:w="1064" w:type="dxa"/>
            <w:vAlign w:val="top"/>
          </w:tcPr>
          <w:p>
            <w:pPr>
              <w:pStyle w:val="14"/>
              <w:rPr>
                <w:rFonts w:ascii="Times New Roman"/>
                <w:sz w:val="20"/>
              </w:rPr>
            </w:pPr>
          </w:p>
        </w:tc>
        <w:tc>
          <w:tcPr>
            <w:tcW w:w="672" w:type="dxa"/>
            <w:vAlign w:val="top"/>
          </w:tcPr>
          <w:p>
            <w:pPr>
              <w:pStyle w:val="14"/>
              <w:rPr>
                <w:rFonts w:ascii="Times New Roman"/>
                <w:sz w:val="20"/>
              </w:rPr>
            </w:pPr>
          </w:p>
        </w:tc>
        <w:tc>
          <w:tcPr>
            <w:tcW w:w="1022" w:type="dxa"/>
            <w:vAlign w:val="top"/>
          </w:tcPr>
          <w:p>
            <w:pPr>
              <w:pStyle w:val="14"/>
              <w:rPr>
                <w:rFonts w:ascii="Times New Roman"/>
                <w:sz w:val="20"/>
              </w:rPr>
            </w:pPr>
          </w:p>
        </w:tc>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1176" w:type="dxa"/>
            <w:vAlign w:val="top"/>
          </w:tcPr>
          <w:p>
            <w:pPr>
              <w:pStyle w:val="14"/>
              <w:rPr>
                <w:rFonts w:ascii="Times New Roman"/>
                <w:sz w:val="20"/>
              </w:rPr>
            </w:pPr>
          </w:p>
        </w:tc>
        <w:tc>
          <w:tcPr>
            <w:tcW w:w="1659" w:type="dxa"/>
            <w:vAlign w:val="top"/>
          </w:tcPr>
          <w:p>
            <w:pPr>
              <w:pStyle w:val="14"/>
              <w:rPr>
                <w:rFonts w:ascii="Times New Roman"/>
                <w:sz w:val="20"/>
              </w:rPr>
            </w:pPr>
          </w:p>
        </w:tc>
        <w:tc>
          <w:tcPr>
            <w:tcW w:w="850"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644" w:type="dxa"/>
            <w:vAlign w:val="top"/>
          </w:tcPr>
          <w:p>
            <w:pPr>
              <w:pStyle w:val="14"/>
              <w:rPr>
                <w:rFonts w:ascii="Times New Roman"/>
                <w:sz w:val="20"/>
              </w:rPr>
            </w:pPr>
          </w:p>
        </w:tc>
        <w:tc>
          <w:tcPr>
            <w:tcW w:w="1064" w:type="dxa"/>
            <w:vAlign w:val="top"/>
          </w:tcPr>
          <w:p>
            <w:pPr>
              <w:pStyle w:val="14"/>
              <w:rPr>
                <w:rFonts w:ascii="Times New Roman"/>
                <w:sz w:val="20"/>
              </w:rPr>
            </w:pPr>
          </w:p>
        </w:tc>
        <w:tc>
          <w:tcPr>
            <w:tcW w:w="672" w:type="dxa"/>
            <w:vAlign w:val="top"/>
          </w:tcPr>
          <w:p>
            <w:pPr>
              <w:pStyle w:val="14"/>
              <w:rPr>
                <w:rFonts w:ascii="Times New Roman"/>
                <w:sz w:val="20"/>
              </w:rPr>
            </w:pPr>
          </w:p>
        </w:tc>
        <w:tc>
          <w:tcPr>
            <w:tcW w:w="1022" w:type="dxa"/>
            <w:vAlign w:val="top"/>
          </w:tcPr>
          <w:p>
            <w:pPr>
              <w:pStyle w:val="14"/>
              <w:rPr>
                <w:rFonts w:ascii="Times New Roman"/>
                <w:sz w:val="20"/>
              </w:rPr>
            </w:pPr>
          </w:p>
        </w:tc>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1176" w:type="dxa"/>
            <w:vAlign w:val="top"/>
          </w:tcPr>
          <w:p>
            <w:pPr>
              <w:pStyle w:val="14"/>
              <w:rPr>
                <w:rFonts w:ascii="Times New Roman"/>
                <w:sz w:val="20"/>
              </w:rPr>
            </w:pPr>
          </w:p>
        </w:tc>
        <w:tc>
          <w:tcPr>
            <w:tcW w:w="1659" w:type="dxa"/>
            <w:vAlign w:val="top"/>
          </w:tcPr>
          <w:p>
            <w:pPr>
              <w:pStyle w:val="14"/>
              <w:rPr>
                <w:rFonts w:ascii="Times New Roman"/>
                <w:sz w:val="20"/>
              </w:rPr>
            </w:pPr>
          </w:p>
        </w:tc>
        <w:tc>
          <w:tcPr>
            <w:tcW w:w="850" w:type="dxa"/>
            <w:vAlign w:val="top"/>
          </w:tcPr>
          <w:p>
            <w:pPr>
              <w:pStyle w:val="14"/>
              <w:rPr>
                <w:rFonts w:ascii="Times New Roman"/>
                <w:sz w:val="20"/>
              </w:rPr>
            </w:pPr>
          </w:p>
        </w:tc>
      </w:tr>
    </w:tbl>
    <w:p>
      <w:pPr>
        <w:pStyle w:val="9"/>
        <w:rPr>
          <w:sz w:val="20"/>
        </w:rPr>
      </w:pPr>
    </w:p>
    <w:p>
      <w:pPr>
        <w:pStyle w:val="9"/>
        <w:spacing w:before="2"/>
        <w:rPr>
          <w:sz w:val="25"/>
        </w:rPr>
      </w:pPr>
    </w:p>
    <w:p>
      <w:pPr>
        <w:spacing w:before="70"/>
        <w:ind w:left="377" w:right="0" w:firstLine="0"/>
        <w:jc w:val="left"/>
        <w:rPr>
          <w:sz w:val="21"/>
        </w:rPr>
      </w:pPr>
      <w:bookmarkStart w:id="141" w:name="附表三：劳动力计划表（可自行加行）"/>
      <w:bookmarkEnd w:id="141"/>
      <w:r>
        <w:rPr>
          <w:sz w:val="21"/>
        </w:rPr>
        <w:t>附表三：劳动力计划表（可自行加行）</w:t>
      </w:r>
    </w:p>
    <w:p>
      <w:pPr>
        <w:pStyle w:val="9"/>
        <w:spacing w:before="9"/>
        <w:rPr>
          <w:sz w:val="14"/>
        </w:rPr>
      </w:pPr>
    </w:p>
    <w:p>
      <w:pPr>
        <w:spacing w:before="70"/>
        <w:ind w:left="0" w:right="223" w:firstLine="0"/>
        <w:jc w:val="right"/>
        <w:rPr>
          <w:sz w:val="21"/>
        </w:rPr>
      </w:pPr>
      <w:r>
        <w:rPr>
          <w:w w:val="95"/>
          <w:sz w:val="21"/>
        </w:rPr>
        <w:t>单位：人</w:t>
      </w:r>
    </w:p>
    <w:p>
      <w:pPr>
        <w:pStyle w:val="9"/>
        <w:spacing w:before="12"/>
        <w:rPr>
          <w:sz w:val="10"/>
        </w:rPr>
      </w:pPr>
    </w:p>
    <w:tbl>
      <w:tblPr>
        <w:tblW w:w="8505" w:type="dxa"/>
        <w:tblInd w:w="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418"/>
        <w:gridCol w:w="1063"/>
        <w:gridCol w:w="1063"/>
        <w:gridCol w:w="1063"/>
        <w:gridCol w:w="1063"/>
        <w:gridCol w:w="1063"/>
        <w:gridCol w:w="1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709" w:type="dxa"/>
            <w:vAlign w:val="top"/>
          </w:tcPr>
          <w:p>
            <w:pPr>
              <w:pStyle w:val="14"/>
              <w:spacing w:before="107"/>
              <w:ind w:left="144"/>
              <w:rPr>
                <w:sz w:val="21"/>
              </w:rPr>
            </w:pPr>
            <w:r>
              <w:rPr>
                <w:sz w:val="21"/>
              </w:rPr>
              <w:t>工种</w:t>
            </w:r>
          </w:p>
        </w:tc>
        <w:tc>
          <w:tcPr>
            <w:tcW w:w="7796" w:type="dxa"/>
            <w:gridSpan w:val="7"/>
            <w:vAlign w:val="top"/>
          </w:tcPr>
          <w:p>
            <w:pPr>
              <w:pStyle w:val="14"/>
              <w:spacing w:before="107"/>
              <w:ind w:left="2407" w:right="2399"/>
              <w:jc w:val="center"/>
              <w:rPr>
                <w:sz w:val="21"/>
              </w:rPr>
            </w:pPr>
            <w:r>
              <w:rPr>
                <w:sz w:val="21"/>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709" w:type="dxa"/>
            <w:vAlign w:val="top"/>
          </w:tcPr>
          <w:p>
            <w:pPr>
              <w:pStyle w:val="14"/>
              <w:rPr>
                <w:rFonts w:ascii="Times New Roman"/>
                <w:sz w:val="20"/>
              </w:rPr>
            </w:pPr>
          </w:p>
        </w:tc>
        <w:tc>
          <w:tcPr>
            <w:tcW w:w="1418" w:type="dxa"/>
            <w:vAlign w:val="top"/>
          </w:tcPr>
          <w:p>
            <w:pPr>
              <w:pStyle w:val="14"/>
              <w:rPr>
                <w:rFonts w:ascii="Times New Roman"/>
                <w:sz w:val="20"/>
              </w:rPr>
            </w:pPr>
          </w:p>
        </w:tc>
        <w:tc>
          <w:tcPr>
            <w:tcW w:w="1063" w:type="dxa"/>
            <w:vAlign w:val="top"/>
          </w:tcPr>
          <w:p>
            <w:pPr>
              <w:pStyle w:val="14"/>
              <w:rPr>
                <w:rFonts w:ascii="Times New Roman"/>
                <w:sz w:val="20"/>
              </w:rPr>
            </w:pPr>
          </w:p>
        </w:tc>
        <w:tc>
          <w:tcPr>
            <w:tcW w:w="1063" w:type="dxa"/>
            <w:vAlign w:val="top"/>
          </w:tcPr>
          <w:p>
            <w:pPr>
              <w:pStyle w:val="14"/>
              <w:rPr>
                <w:rFonts w:ascii="Times New Roman"/>
                <w:sz w:val="20"/>
              </w:rPr>
            </w:pPr>
          </w:p>
        </w:tc>
        <w:tc>
          <w:tcPr>
            <w:tcW w:w="1063" w:type="dxa"/>
            <w:vAlign w:val="top"/>
          </w:tcPr>
          <w:p>
            <w:pPr>
              <w:pStyle w:val="14"/>
              <w:rPr>
                <w:rFonts w:ascii="Times New Roman"/>
                <w:sz w:val="20"/>
              </w:rPr>
            </w:pPr>
          </w:p>
        </w:tc>
        <w:tc>
          <w:tcPr>
            <w:tcW w:w="1063" w:type="dxa"/>
            <w:vAlign w:val="top"/>
          </w:tcPr>
          <w:p>
            <w:pPr>
              <w:pStyle w:val="14"/>
              <w:rPr>
                <w:rFonts w:ascii="Times New Roman"/>
                <w:sz w:val="20"/>
              </w:rPr>
            </w:pPr>
          </w:p>
        </w:tc>
        <w:tc>
          <w:tcPr>
            <w:tcW w:w="1063" w:type="dxa"/>
            <w:vAlign w:val="top"/>
          </w:tcPr>
          <w:p>
            <w:pPr>
              <w:pStyle w:val="14"/>
              <w:rPr>
                <w:rFonts w:ascii="Times New Roman"/>
                <w:sz w:val="20"/>
              </w:rPr>
            </w:pPr>
          </w:p>
        </w:tc>
        <w:tc>
          <w:tcPr>
            <w:tcW w:w="106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709" w:type="dxa"/>
            <w:vAlign w:val="top"/>
          </w:tcPr>
          <w:p>
            <w:pPr>
              <w:pStyle w:val="14"/>
              <w:rPr>
                <w:rFonts w:ascii="Times New Roman"/>
                <w:sz w:val="20"/>
              </w:rPr>
            </w:pPr>
          </w:p>
        </w:tc>
        <w:tc>
          <w:tcPr>
            <w:tcW w:w="1418" w:type="dxa"/>
            <w:vAlign w:val="top"/>
          </w:tcPr>
          <w:p>
            <w:pPr>
              <w:pStyle w:val="14"/>
              <w:rPr>
                <w:rFonts w:ascii="Times New Roman"/>
                <w:sz w:val="20"/>
              </w:rPr>
            </w:pPr>
          </w:p>
        </w:tc>
        <w:tc>
          <w:tcPr>
            <w:tcW w:w="1063" w:type="dxa"/>
            <w:vAlign w:val="top"/>
          </w:tcPr>
          <w:p>
            <w:pPr>
              <w:pStyle w:val="14"/>
              <w:rPr>
                <w:rFonts w:ascii="Times New Roman"/>
                <w:sz w:val="20"/>
              </w:rPr>
            </w:pPr>
          </w:p>
        </w:tc>
        <w:tc>
          <w:tcPr>
            <w:tcW w:w="1063" w:type="dxa"/>
            <w:vAlign w:val="top"/>
          </w:tcPr>
          <w:p>
            <w:pPr>
              <w:pStyle w:val="14"/>
              <w:rPr>
                <w:rFonts w:ascii="Times New Roman"/>
                <w:sz w:val="20"/>
              </w:rPr>
            </w:pPr>
          </w:p>
        </w:tc>
        <w:tc>
          <w:tcPr>
            <w:tcW w:w="1063" w:type="dxa"/>
            <w:vAlign w:val="top"/>
          </w:tcPr>
          <w:p>
            <w:pPr>
              <w:pStyle w:val="14"/>
              <w:rPr>
                <w:rFonts w:ascii="Times New Roman"/>
                <w:sz w:val="20"/>
              </w:rPr>
            </w:pPr>
          </w:p>
        </w:tc>
        <w:tc>
          <w:tcPr>
            <w:tcW w:w="1063" w:type="dxa"/>
            <w:vAlign w:val="top"/>
          </w:tcPr>
          <w:p>
            <w:pPr>
              <w:pStyle w:val="14"/>
              <w:rPr>
                <w:rFonts w:ascii="Times New Roman"/>
                <w:sz w:val="20"/>
              </w:rPr>
            </w:pPr>
          </w:p>
        </w:tc>
        <w:tc>
          <w:tcPr>
            <w:tcW w:w="1063" w:type="dxa"/>
            <w:vAlign w:val="top"/>
          </w:tcPr>
          <w:p>
            <w:pPr>
              <w:pStyle w:val="14"/>
              <w:rPr>
                <w:rFonts w:ascii="Times New Roman"/>
                <w:sz w:val="20"/>
              </w:rPr>
            </w:pPr>
          </w:p>
        </w:tc>
        <w:tc>
          <w:tcPr>
            <w:tcW w:w="1063"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709" w:type="dxa"/>
            <w:vAlign w:val="top"/>
          </w:tcPr>
          <w:p>
            <w:pPr>
              <w:pStyle w:val="14"/>
              <w:rPr>
                <w:rFonts w:ascii="Times New Roman"/>
                <w:sz w:val="20"/>
              </w:rPr>
            </w:pPr>
          </w:p>
        </w:tc>
        <w:tc>
          <w:tcPr>
            <w:tcW w:w="1418" w:type="dxa"/>
            <w:vAlign w:val="top"/>
          </w:tcPr>
          <w:p>
            <w:pPr>
              <w:pStyle w:val="14"/>
              <w:rPr>
                <w:rFonts w:ascii="Times New Roman"/>
                <w:sz w:val="20"/>
              </w:rPr>
            </w:pPr>
          </w:p>
        </w:tc>
        <w:tc>
          <w:tcPr>
            <w:tcW w:w="1063" w:type="dxa"/>
            <w:vAlign w:val="top"/>
          </w:tcPr>
          <w:p>
            <w:pPr>
              <w:pStyle w:val="14"/>
              <w:rPr>
                <w:rFonts w:ascii="Times New Roman"/>
                <w:sz w:val="20"/>
              </w:rPr>
            </w:pPr>
          </w:p>
        </w:tc>
        <w:tc>
          <w:tcPr>
            <w:tcW w:w="1063" w:type="dxa"/>
            <w:vAlign w:val="top"/>
          </w:tcPr>
          <w:p>
            <w:pPr>
              <w:pStyle w:val="14"/>
              <w:rPr>
                <w:rFonts w:ascii="Times New Roman"/>
                <w:sz w:val="20"/>
              </w:rPr>
            </w:pPr>
          </w:p>
        </w:tc>
        <w:tc>
          <w:tcPr>
            <w:tcW w:w="1063" w:type="dxa"/>
            <w:vAlign w:val="top"/>
          </w:tcPr>
          <w:p>
            <w:pPr>
              <w:pStyle w:val="14"/>
              <w:rPr>
                <w:rFonts w:ascii="Times New Roman"/>
                <w:sz w:val="20"/>
              </w:rPr>
            </w:pPr>
          </w:p>
        </w:tc>
        <w:tc>
          <w:tcPr>
            <w:tcW w:w="1063" w:type="dxa"/>
            <w:vAlign w:val="top"/>
          </w:tcPr>
          <w:p>
            <w:pPr>
              <w:pStyle w:val="14"/>
              <w:rPr>
                <w:rFonts w:ascii="Times New Roman"/>
                <w:sz w:val="20"/>
              </w:rPr>
            </w:pPr>
          </w:p>
        </w:tc>
        <w:tc>
          <w:tcPr>
            <w:tcW w:w="1063" w:type="dxa"/>
            <w:vAlign w:val="top"/>
          </w:tcPr>
          <w:p>
            <w:pPr>
              <w:pStyle w:val="14"/>
              <w:rPr>
                <w:rFonts w:ascii="Times New Roman"/>
                <w:sz w:val="20"/>
              </w:rPr>
            </w:pPr>
          </w:p>
        </w:tc>
        <w:tc>
          <w:tcPr>
            <w:tcW w:w="1063" w:type="dxa"/>
            <w:vAlign w:val="top"/>
          </w:tcPr>
          <w:p>
            <w:pPr>
              <w:pStyle w:val="14"/>
              <w:rPr>
                <w:rFonts w:ascii="Times New Roman"/>
                <w:sz w:val="20"/>
              </w:rPr>
            </w:pPr>
          </w:p>
        </w:tc>
      </w:tr>
    </w:tbl>
    <w:p>
      <w:pPr>
        <w:pStyle w:val="9"/>
        <w:rPr>
          <w:sz w:val="20"/>
        </w:rPr>
      </w:pPr>
    </w:p>
    <w:p>
      <w:pPr>
        <w:pStyle w:val="9"/>
        <w:rPr>
          <w:sz w:val="20"/>
        </w:rPr>
      </w:pPr>
    </w:p>
    <w:p>
      <w:pPr>
        <w:pStyle w:val="9"/>
        <w:rPr>
          <w:sz w:val="20"/>
        </w:rPr>
      </w:pPr>
    </w:p>
    <w:p>
      <w:pPr>
        <w:spacing w:before="0"/>
        <w:ind w:left="377" w:right="0" w:firstLine="0"/>
        <w:jc w:val="left"/>
        <w:rPr>
          <w:sz w:val="21"/>
        </w:rPr>
      </w:pPr>
      <w:bookmarkStart w:id="142" w:name="附表四：计划开、竣工日期和施工进度网络图"/>
      <w:bookmarkEnd w:id="142"/>
      <w:r>
        <w:rPr>
          <w:sz w:val="21"/>
        </w:rPr>
        <w:t>附表四：计划开、竣工日期和施工进度网络图</w:t>
      </w:r>
    </w:p>
    <w:p>
      <w:pPr>
        <w:pStyle w:val="9"/>
        <w:spacing w:before="7"/>
        <w:rPr>
          <w:sz w:val="29"/>
        </w:rPr>
      </w:pPr>
    </w:p>
    <w:p>
      <w:pPr>
        <w:pStyle w:val="13"/>
        <w:numPr>
          <w:ilvl w:val="0"/>
          <w:numId w:val="118"/>
        </w:numPr>
        <w:tabs>
          <w:tab w:val="left" w:pos="1111"/>
        </w:tabs>
        <w:spacing w:before="1" w:after="0" w:line="364" w:lineRule="auto"/>
        <w:ind w:left="377" w:right="223" w:firstLine="420"/>
        <w:jc w:val="left"/>
        <w:rPr>
          <w:sz w:val="21"/>
        </w:rPr>
      </w:pPr>
      <w:r>
        <w:rPr>
          <w:spacing w:val="-1"/>
          <w:w w:val="95"/>
          <w:sz w:val="21"/>
        </w:rPr>
        <w:t xml:space="preserve">投标人应提交施工进度网络图或施工进度表，说明按招标文件要求的计划工期进行施  </w:t>
      </w:r>
      <w:r>
        <w:rPr>
          <w:spacing w:val="-1"/>
          <w:sz w:val="21"/>
        </w:rPr>
        <w:t>工的各个关键日期。</w:t>
      </w:r>
    </w:p>
    <w:p>
      <w:pPr>
        <w:pStyle w:val="13"/>
        <w:numPr>
          <w:ilvl w:val="0"/>
          <w:numId w:val="118"/>
        </w:numPr>
        <w:tabs>
          <w:tab w:val="left" w:pos="1111"/>
        </w:tabs>
        <w:spacing w:before="0" w:after="0" w:line="240" w:lineRule="auto"/>
        <w:ind w:left="1110" w:right="0" w:hanging="314"/>
        <w:jc w:val="left"/>
        <w:rPr>
          <w:sz w:val="21"/>
        </w:rPr>
      </w:pPr>
      <w:r>
        <w:rPr>
          <w:sz w:val="21"/>
        </w:rPr>
        <w:t>施工进度表可采用网络图和（或）横道图表示。</w:t>
      </w:r>
    </w:p>
    <w:p>
      <w:pPr>
        <w:pStyle w:val="9"/>
        <w:rPr>
          <w:sz w:val="20"/>
        </w:rPr>
      </w:pPr>
    </w:p>
    <w:p>
      <w:pPr>
        <w:pStyle w:val="9"/>
        <w:rPr>
          <w:sz w:val="20"/>
        </w:rPr>
      </w:pPr>
    </w:p>
    <w:p>
      <w:pPr>
        <w:pStyle w:val="9"/>
        <w:rPr>
          <w:sz w:val="20"/>
        </w:rPr>
      </w:pPr>
    </w:p>
    <w:p>
      <w:pPr>
        <w:spacing w:before="138"/>
        <w:ind w:left="377" w:right="0" w:firstLine="0"/>
        <w:jc w:val="left"/>
        <w:rPr>
          <w:sz w:val="21"/>
        </w:rPr>
      </w:pPr>
      <w:bookmarkStart w:id="143" w:name="附表五：施工总平面图"/>
      <w:bookmarkEnd w:id="143"/>
      <w:r>
        <w:rPr>
          <w:sz w:val="21"/>
        </w:rPr>
        <w:t>附表五：施工总平面图</w:t>
      </w:r>
    </w:p>
    <w:p>
      <w:pPr>
        <w:pStyle w:val="9"/>
        <w:spacing w:before="7"/>
        <w:rPr>
          <w:sz w:val="29"/>
        </w:rPr>
      </w:pPr>
    </w:p>
    <w:p>
      <w:pPr>
        <w:spacing w:before="1" w:line="364" w:lineRule="auto"/>
        <w:ind w:left="377" w:right="221" w:firstLine="420"/>
        <w:jc w:val="both"/>
        <w:rPr>
          <w:sz w:val="21"/>
        </w:rPr>
      </w:pPr>
      <w:r>
        <w:rPr>
          <w:sz w:val="21"/>
        </w:rPr>
        <w:t>投标人应提交一份施工总平面图，绘出现场临时设施布置图表并附文字说明，说明临时设施、加工车间、现场办公、设备及仓储、供电、供水、卫生、生活、道路、消防等设施的情况和布置。</w:t>
      </w:r>
    </w:p>
    <w:p>
      <w:pPr>
        <w:spacing w:after="0" w:line="364" w:lineRule="auto"/>
        <w:jc w:val="both"/>
        <w:rPr>
          <w:sz w:val="21"/>
        </w:rPr>
        <w:sectPr>
          <w:headerReference r:id="rId27" w:type="default"/>
          <w:footerReference r:id="rId28" w:type="default"/>
          <w:pgSz w:w="11910" w:h="16840"/>
          <w:pgMar w:top="1060" w:right="1420" w:bottom="280" w:left="1420" w:header="0" w:footer="0" w:gutter="0"/>
          <w:cols w:space="720" w:num="1"/>
        </w:sectPr>
      </w:pPr>
    </w:p>
    <w:p>
      <w:pPr>
        <w:pStyle w:val="9"/>
        <w:spacing w:before="8"/>
        <w:rPr>
          <w:sz w:val="19"/>
        </w:rPr>
      </w:pPr>
    </w:p>
    <w:p>
      <w:pPr>
        <w:spacing w:before="70"/>
        <w:ind w:left="377" w:right="0" w:firstLine="0"/>
        <w:jc w:val="left"/>
        <w:rPr>
          <w:sz w:val="21"/>
        </w:rPr>
      </w:pPr>
      <w:bookmarkStart w:id="144" w:name="附表六：临时用地表"/>
      <w:bookmarkEnd w:id="144"/>
      <w:bookmarkStart w:id="145" w:name="2.主要人员简历表"/>
      <w:bookmarkEnd w:id="145"/>
      <w:r>
        <w:rPr>
          <w:sz w:val="21"/>
        </w:rPr>
        <w:t>附表六：临时用地表</w:t>
      </w:r>
    </w:p>
    <w:p>
      <w:pPr>
        <w:pStyle w:val="9"/>
        <w:spacing w:before="8"/>
        <w:rPr>
          <w:sz w:val="29"/>
        </w:rPr>
      </w:pPr>
    </w:p>
    <w:tbl>
      <w:tblPr>
        <w:tblW w:w="8505" w:type="dxa"/>
        <w:tblInd w:w="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2079"/>
        <w:gridCol w:w="2079"/>
        <w:gridCol w:w="2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8" w:hRule="atLeast"/>
        </w:trPr>
        <w:tc>
          <w:tcPr>
            <w:tcW w:w="2268" w:type="dxa"/>
            <w:vAlign w:val="top"/>
          </w:tcPr>
          <w:p>
            <w:pPr>
              <w:pStyle w:val="14"/>
              <w:tabs>
                <w:tab w:val="left" w:pos="429"/>
              </w:tabs>
              <w:spacing w:before="1"/>
              <w:ind w:left="9"/>
              <w:jc w:val="center"/>
              <w:rPr>
                <w:sz w:val="21"/>
              </w:rPr>
            </w:pPr>
            <w:r>
              <w:rPr>
                <w:sz w:val="21"/>
              </w:rPr>
              <w:t>用</w:t>
            </w:r>
            <w:r>
              <w:rPr>
                <w:sz w:val="21"/>
              </w:rPr>
              <w:tab/>
            </w:r>
            <w:r>
              <w:rPr>
                <w:sz w:val="21"/>
              </w:rPr>
              <w:t>途</w:t>
            </w:r>
          </w:p>
        </w:tc>
        <w:tc>
          <w:tcPr>
            <w:tcW w:w="2079" w:type="dxa"/>
            <w:vAlign w:val="top"/>
          </w:tcPr>
          <w:p>
            <w:pPr>
              <w:pStyle w:val="14"/>
              <w:spacing w:before="1"/>
              <w:ind w:left="487"/>
              <w:rPr>
                <w:sz w:val="21"/>
              </w:rPr>
            </w:pPr>
            <w:r>
              <w:rPr>
                <w:w w:val="99"/>
                <w:sz w:val="21"/>
              </w:rPr>
              <w:t>面</w:t>
            </w:r>
            <w:r>
              <w:rPr>
                <w:sz w:val="21"/>
              </w:rPr>
              <w:t xml:space="preserve"> </w:t>
            </w:r>
            <w:r>
              <w:rPr>
                <w:spacing w:val="-1"/>
                <w:w w:val="99"/>
                <w:sz w:val="21"/>
              </w:rPr>
              <w:t>积</w:t>
            </w:r>
            <w:r>
              <w:rPr>
                <w:spacing w:val="2"/>
                <w:w w:val="99"/>
                <w:sz w:val="21"/>
              </w:rPr>
              <w:t>（</w:t>
            </w:r>
            <w:r>
              <w:rPr>
                <w:spacing w:val="1"/>
                <w:w w:val="99"/>
                <w:sz w:val="21"/>
              </w:rPr>
              <w:t>M</w:t>
            </w:r>
            <w:r>
              <w:rPr>
                <w:spacing w:val="-1"/>
                <w:w w:val="106"/>
                <w:position w:val="11"/>
                <w:sz w:val="10"/>
              </w:rPr>
              <w:t>2</w:t>
            </w:r>
            <w:r>
              <w:rPr>
                <w:w w:val="99"/>
                <w:sz w:val="21"/>
              </w:rPr>
              <w:t>）</w:t>
            </w:r>
          </w:p>
        </w:tc>
        <w:tc>
          <w:tcPr>
            <w:tcW w:w="2079" w:type="dxa"/>
            <w:vAlign w:val="top"/>
          </w:tcPr>
          <w:p>
            <w:pPr>
              <w:pStyle w:val="14"/>
              <w:tabs>
                <w:tab w:val="left" w:pos="425"/>
              </w:tabs>
              <w:spacing w:before="1"/>
              <w:ind w:left="5"/>
              <w:jc w:val="center"/>
              <w:rPr>
                <w:sz w:val="21"/>
              </w:rPr>
            </w:pPr>
            <w:r>
              <w:rPr>
                <w:sz w:val="21"/>
              </w:rPr>
              <w:t>位</w:t>
            </w:r>
            <w:r>
              <w:rPr>
                <w:sz w:val="21"/>
              </w:rPr>
              <w:tab/>
            </w:r>
            <w:r>
              <w:rPr>
                <w:sz w:val="21"/>
              </w:rPr>
              <w:t>置</w:t>
            </w:r>
          </w:p>
        </w:tc>
        <w:tc>
          <w:tcPr>
            <w:tcW w:w="2079" w:type="dxa"/>
            <w:vAlign w:val="top"/>
          </w:tcPr>
          <w:p>
            <w:pPr>
              <w:pStyle w:val="14"/>
              <w:spacing w:before="1"/>
              <w:ind w:left="618"/>
              <w:rPr>
                <w:sz w:val="21"/>
              </w:rPr>
            </w:pPr>
            <w:r>
              <w:rPr>
                <w:sz w:val="21"/>
              </w:rPr>
              <w:t>需用时间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8" w:hRule="atLeast"/>
        </w:trPr>
        <w:tc>
          <w:tcPr>
            <w:tcW w:w="2268" w:type="dxa"/>
            <w:vAlign w:val="top"/>
          </w:tcPr>
          <w:p>
            <w:pPr>
              <w:pStyle w:val="14"/>
              <w:rPr>
                <w:rFonts w:ascii="Times New Roman"/>
                <w:sz w:val="20"/>
              </w:rPr>
            </w:pPr>
          </w:p>
        </w:tc>
        <w:tc>
          <w:tcPr>
            <w:tcW w:w="2079" w:type="dxa"/>
            <w:vAlign w:val="top"/>
          </w:tcPr>
          <w:p>
            <w:pPr>
              <w:pStyle w:val="14"/>
              <w:rPr>
                <w:rFonts w:ascii="Times New Roman"/>
                <w:sz w:val="20"/>
              </w:rPr>
            </w:pPr>
          </w:p>
        </w:tc>
        <w:tc>
          <w:tcPr>
            <w:tcW w:w="2079" w:type="dxa"/>
            <w:vAlign w:val="top"/>
          </w:tcPr>
          <w:p>
            <w:pPr>
              <w:pStyle w:val="14"/>
              <w:rPr>
                <w:rFonts w:ascii="Times New Roman"/>
                <w:sz w:val="20"/>
              </w:rPr>
            </w:pPr>
          </w:p>
        </w:tc>
        <w:tc>
          <w:tcPr>
            <w:tcW w:w="2079"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atLeast"/>
        </w:trPr>
        <w:tc>
          <w:tcPr>
            <w:tcW w:w="2268" w:type="dxa"/>
            <w:vAlign w:val="top"/>
          </w:tcPr>
          <w:p>
            <w:pPr>
              <w:pStyle w:val="14"/>
              <w:rPr>
                <w:rFonts w:ascii="Times New Roman"/>
                <w:sz w:val="20"/>
              </w:rPr>
            </w:pPr>
          </w:p>
        </w:tc>
        <w:tc>
          <w:tcPr>
            <w:tcW w:w="2079" w:type="dxa"/>
            <w:vAlign w:val="top"/>
          </w:tcPr>
          <w:p>
            <w:pPr>
              <w:pStyle w:val="14"/>
              <w:rPr>
                <w:rFonts w:ascii="Times New Roman"/>
                <w:sz w:val="20"/>
              </w:rPr>
            </w:pPr>
          </w:p>
        </w:tc>
        <w:tc>
          <w:tcPr>
            <w:tcW w:w="2079" w:type="dxa"/>
            <w:vAlign w:val="top"/>
          </w:tcPr>
          <w:p>
            <w:pPr>
              <w:pStyle w:val="14"/>
              <w:rPr>
                <w:rFonts w:ascii="Times New Roman"/>
                <w:sz w:val="20"/>
              </w:rPr>
            </w:pPr>
          </w:p>
        </w:tc>
        <w:tc>
          <w:tcPr>
            <w:tcW w:w="2079"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trPr>
        <w:tc>
          <w:tcPr>
            <w:tcW w:w="2268" w:type="dxa"/>
            <w:vAlign w:val="top"/>
          </w:tcPr>
          <w:p>
            <w:pPr>
              <w:pStyle w:val="14"/>
              <w:rPr>
                <w:rFonts w:ascii="Times New Roman"/>
                <w:sz w:val="20"/>
              </w:rPr>
            </w:pPr>
          </w:p>
        </w:tc>
        <w:tc>
          <w:tcPr>
            <w:tcW w:w="2079" w:type="dxa"/>
            <w:vAlign w:val="top"/>
          </w:tcPr>
          <w:p>
            <w:pPr>
              <w:pStyle w:val="14"/>
              <w:rPr>
                <w:rFonts w:ascii="Times New Roman"/>
                <w:sz w:val="20"/>
              </w:rPr>
            </w:pPr>
          </w:p>
        </w:tc>
        <w:tc>
          <w:tcPr>
            <w:tcW w:w="2079" w:type="dxa"/>
            <w:vAlign w:val="top"/>
          </w:tcPr>
          <w:p>
            <w:pPr>
              <w:pStyle w:val="14"/>
              <w:rPr>
                <w:rFonts w:ascii="Times New Roman"/>
                <w:sz w:val="20"/>
              </w:rPr>
            </w:pPr>
          </w:p>
        </w:tc>
        <w:tc>
          <w:tcPr>
            <w:tcW w:w="2079"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atLeast"/>
        </w:trPr>
        <w:tc>
          <w:tcPr>
            <w:tcW w:w="2268" w:type="dxa"/>
            <w:vAlign w:val="top"/>
          </w:tcPr>
          <w:p>
            <w:pPr>
              <w:pStyle w:val="14"/>
              <w:rPr>
                <w:rFonts w:ascii="Times New Roman"/>
                <w:sz w:val="20"/>
              </w:rPr>
            </w:pPr>
          </w:p>
        </w:tc>
        <w:tc>
          <w:tcPr>
            <w:tcW w:w="2079" w:type="dxa"/>
            <w:vAlign w:val="top"/>
          </w:tcPr>
          <w:p>
            <w:pPr>
              <w:pStyle w:val="14"/>
              <w:rPr>
                <w:rFonts w:ascii="Times New Roman"/>
                <w:sz w:val="20"/>
              </w:rPr>
            </w:pPr>
          </w:p>
        </w:tc>
        <w:tc>
          <w:tcPr>
            <w:tcW w:w="2079" w:type="dxa"/>
            <w:vAlign w:val="top"/>
          </w:tcPr>
          <w:p>
            <w:pPr>
              <w:pStyle w:val="14"/>
              <w:rPr>
                <w:rFonts w:ascii="Times New Roman"/>
                <w:sz w:val="20"/>
              </w:rPr>
            </w:pPr>
          </w:p>
        </w:tc>
        <w:tc>
          <w:tcPr>
            <w:tcW w:w="2079"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trPr>
        <w:tc>
          <w:tcPr>
            <w:tcW w:w="2268" w:type="dxa"/>
            <w:vAlign w:val="top"/>
          </w:tcPr>
          <w:p>
            <w:pPr>
              <w:pStyle w:val="14"/>
              <w:rPr>
                <w:rFonts w:ascii="Times New Roman"/>
                <w:sz w:val="20"/>
              </w:rPr>
            </w:pPr>
          </w:p>
        </w:tc>
        <w:tc>
          <w:tcPr>
            <w:tcW w:w="2079" w:type="dxa"/>
            <w:vAlign w:val="top"/>
          </w:tcPr>
          <w:p>
            <w:pPr>
              <w:pStyle w:val="14"/>
              <w:rPr>
                <w:rFonts w:ascii="Times New Roman"/>
                <w:sz w:val="20"/>
              </w:rPr>
            </w:pPr>
          </w:p>
        </w:tc>
        <w:tc>
          <w:tcPr>
            <w:tcW w:w="2079" w:type="dxa"/>
            <w:vAlign w:val="top"/>
          </w:tcPr>
          <w:p>
            <w:pPr>
              <w:pStyle w:val="14"/>
              <w:rPr>
                <w:rFonts w:ascii="Times New Roman"/>
                <w:sz w:val="20"/>
              </w:rPr>
            </w:pPr>
          </w:p>
        </w:tc>
        <w:tc>
          <w:tcPr>
            <w:tcW w:w="2079"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atLeast"/>
        </w:trPr>
        <w:tc>
          <w:tcPr>
            <w:tcW w:w="2268" w:type="dxa"/>
            <w:vAlign w:val="top"/>
          </w:tcPr>
          <w:p>
            <w:pPr>
              <w:pStyle w:val="14"/>
              <w:rPr>
                <w:rFonts w:ascii="Times New Roman"/>
                <w:sz w:val="20"/>
              </w:rPr>
            </w:pPr>
          </w:p>
        </w:tc>
        <w:tc>
          <w:tcPr>
            <w:tcW w:w="2079" w:type="dxa"/>
            <w:vAlign w:val="top"/>
          </w:tcPr>
          <w:p>
            <w:pPr>
              <w:pStyle w:val="14"/>
              <w:rPr>
                <w:rFonts w:ascii="Times New Roman"/>
                <w:sz w:val="20"/>
              </w:rPr>
            </w:pPr>
          </w:p>
        </w:tc>
        <w:tc>
          <w:tcPr>
            <w:tcW w:w="2079" w:type="dxa"/>
            <w:vAlign w:val="top"/>
          </w:tcPr>
          <w:p>
            <w:pPr>
              <w:pStyle w:val="14"/>
              <w:rPr>
                <w:rFonts w:ascii="Times New Roman"/>
                <w:sz w:val="20"/>
              </w:rPr>
            </w:pPr>
          </w:p>
        </w:tc>
        <w:tc>
          <w:tcPr>
            <w:tcW w:w="2079"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trPr>
        <w:tc>
          <w:tcPr>
            <w:tcW w:w="2268" w:type="dxa"/>
            <w:vAlign w:val="top"/>
          </w:tcPr>
          <w:p>
            <w:pPr>
              <w:pStyle w:val="14"/>
              <w:rPr>
                <w:rFonts w:ascii="Times New Roman"/>
                <w:sz w:val="20"/>
              </w:rPr>
            </w:pPr>
          </w:p>
        </w:tc>
        <w:tc>
          <w:tcPr>
            <w:tcW w:w="2079" w:type="dxa"/>
            <w:vAlign w:val="top"/>
          </w:tcPr>
          <w:p>
            <w:pPr>
              <w:pStyle w:val="14"/>
              <w:rPr>
                <w:rFonts w:ascii="Times New Roman"/>
                <w:sz w:val="20"/>
              </w:rPr>
            </w:pPr>
          </w:p>
        </w:tc>
        <w:tc>
          <w:tcPr>
            <w:tcW w:w="2079" w:type="dxa"/>
            <w:vAlign w:val="top"/>
          </w:tcPr>
          <w:p>
            <w:pPr>
              <w:pStyle w:val="14"/>
              <w:rPr>
                <w:rFonts w:ascii="Times New Roman"/>
                <w:sz w:val="20"/>
              </w:rPr>
            </w:pPr>
          </w:p>
        </w:tc>
        <w:tc>
          <w:tcPr>
            <w:tcW w:w="2079" w:type="dxa"/>
            <w:vAlign w:val="top"/>
          </w:tcPr>
          <w:p>
            <w:pPr>
              <w:pStyle w:val="14"/>
              <w:rPr>
                <w:rFonts w:ascii="Times New Roman"/>
                <w:sz w:val="20"/>
              </w:rPr>
            </w:pPr>
          </w:p>
        </w:tc>
      </w:tr>
    </w:tbl>
    <w:p>
      <w:pPr>
        <w:pStyle w:val="9"/>
        <w:rPr>
          <w:sz w:val="20"/>
        </w:rPr>
      </w:pPr>
    </w:p>
    <w:p>
      <w:pPr>
        <w:pStyle w:val="9"/>
        <w:spacing w:before="3"/>
        <w:rPr>
          <w:sz w:val="25"/>
        </w:rPr>
      </w:pPr>
    </w:p>
    <w:p>
      <w:pPr>
        <w:spacing w:before="69"/>
        <w:ind w:left="377" w:right="0" w:firstLine="0"/>
        <w:jc w:val="left"/>
        <w:rPr>
          <w:sz w:val="21"/>
        </w:rPr>
      </w:pPr>
      <w:bookmarkStart w:id="146" w:name="（二）项目管理机构人员情况表"/>
      <w:bookmarkEnd w:id="146"/>
      <w:r>
        <w:rPr>
          <w:sz w:val="21"/>
        </w:rPr>
        <w:t>（二）项目管理机构人员情况表</w:t>
      </w:r>
    </w:p>
    <w:p>
      <w:pPr>
        <w:pStyle w:val="9"/>
        <w:spacing w:before="10"/>
        <w:rPr>
          <w:sz w:val="14"/>
        </w:rPr>
      </w:pPr>
    </w:p>
    <w:p>
      <w:pPr>
        <w:pStyle w:val="13"/>
        <w:numPr>
          <w:ilvl w:val="1"/>
          <w:numId w:val="118"/>
        </w:numPr>
        <w:tabs>
          <w:tab w:val="left" w:pos="3560"/>
        </w:tabs>
        <w:spacing w:before="70" w:after="0" w:line="240" w:lineRule="auto"/>
        <w:ind w:left="3560" w:right="0" w:hanging="3409"/>
        <w:jc w:val="left"/>
        <w:rPr>
          <w:sz w:val="21"/>
        </w:rPr>
      </w:pPr>
      <w:bookmarkStart w:id="147" w:name="1.项目管理机构人员组成表"/>
      <w:bookmarkEnd w:id="147"/>
      <w:r>
        <w:rPr>
          <w:sz w:val="21"/>
        </w:rPr>
        <w:t>项目管理机构人员组成表</w:t>
      </w:r>
    </w:p>
    <w:p>
      <w:pPr>
        <w:pStyle w:val="9"/>
        <w:spacing w:before="7"/>
        <w:rPr>
          <w:sz w:val="29"/>
        </w:rPr>
      </w:pPr>
    </w:p>
    <w:tbl>
      <w:tblPr>
        <w:tblW w:w="8509" w:type="dxa"/>
        <w:tblInd w:w="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709"/>
        <w:gridCol w:w="709"/>
        <w:gridCol w:w="1135"/>
        <w:gridCol w:w="771"/>
        <w:gridCol w:w="788"/>
        <w:gridCol w:w="850"/>
        <w:gridCol w:w="2130"/>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709" w:type="dxa"/>
            <w:vMerge w:val="restart"/>
            <w:vAlign w:val="top"/>
          </w:tcPr>
          <w:p>
            <w:pPr>
              <w:pStyle w:val="14"/>
              <w:spacing w:before="10"/>
              <w:rPr>
                <w:sz w:val="19"/>
              </w:rPr>
            </w:pPr>
          </w:p>
          <w:p>
            <w:pPr>
              <w:pStyle w:val="14"/>
              <w:ind w:left="144"/>
              <w:rPr>
                <w:sz w:val="21"/>
              </w:rPr>
            </w:pPr>
            <w:r>
              <w:rPr>
                <w:sz w:val="21"/>
              </w:rPr>
              <w:t>职务</w:t>
            </w:r>
          </w:p>
        </w:tc>
        <w:tc>
          <w:tcPr>
            <w:tcW w:w="709" w:type="dxa"/>
            <w:vMerge w:val="restart"/>
            <w:vAlign w:val="top"/>
          </w:tcPr>
          <w:p>
            <w:pPr>
              <w:pStyle w:val="14"/>
              <w:spacing w:before="10"/>
              <w:rPr>
                <w:sz w:val="19"/>
              </w:rPr>
            </w:pPr>
          </w:p>
          <w:p>
            <w:pPr>
              <w:pStyle w:val="14"/>
              <w:ind w:left="143"/>
              <w:rPr>
                <w:sz w:val="21"/>
              </w:rPr>
            </w:pPr>
            <w:r>
              <w:rPr>
                <w:sz w:val="21"/>
              </w:rPr>
              <w:t>姓名</w:t>
            </w:r>
          </w:p>
        </w:tc>
        <w:tc>
          <w:tcPr>
            <w:tcW w:w="709" w:type="dxa"/>
            <w:vMerge w:val="restart"/>
            <w:vAlign w:val="top"/>
          </w:tcPr>
          <w:p>
            <w:pPr>
              <w:pStyle w:val="14"/>
              <w:spacing w:before="10"/>
              <w:rPr>
                <w:sz w:val="19"/>
              </w:rPr>
            </w:pPr>
          </w:p>
          <w:p>
            <w:pPr>
              <w:pStyle w:val="14"/>
              <w:ind w:left="142"/>
              <w:rPr>
                <w:sz w:val="21"/>
              </w:rPr>
            </w:pPr>
            <w:r>
              <w:rPr>
                <w:sz w:val="21"/>
              </w:rPr>
              <w:t>职称</w:t>
            </w:r>
          </w:p>
        </w:tc>
        <w:tc>
          <w:tcPr>
            <w:tcW w:w="5674" w:type="dxa"/>
            <w:gridSpan w:val="5"/>
            <w:vAlign w:val="top"/>
          </w:tcPr>
          <w:p>
            <w:pPr>
              <w:pStyle w:val="14"/>
              <w:spacing w:before="23"/>
              <w:ind w:left="1891"/>
              <w:rPr>
                <w:sz w:val="21"/>
              </w:rPr>
            </w:pPr>
            <w:r>
              <w:rPr>
                <w:sz w:val="21"/>
              </w:rPr>
              <w:t>执业或职业资格证明</w:t>
            </w:r>
          </w:p>
        </w:tc>
        <w:tc>
          <w:tcPr>
            <w:tcW w:w="708" w:type="dxa"/>
            <w:vMerge w:val="restart"/>
            <w:vAlign w:val="top"/>
          </w:tcPr>
          <w:p>
            <w:pPr>
              <w:pStyle w:val="14"/>
              <w:spacing w:before="10"/>
              <w:rPr>
                <w:sz w:val="19"/>
              </w:rPr>
            </w:pPr>
          </w:p>
          <w:p>
            <w:pPr>
              <w:pStyle w:val="14"/>
              <w:ind w:left="143"/>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709" w:type="dxa"/>
            <w:vMerge w:val="continue"/>
            <w:tcBorders>
              <w:top w:val="nil"/>
            </w:tcBorders>
            <w:vAlign w:val="top"/>
          </w:tcPr>
          <w:p>
            <w:pPr>
              <w:rPr>
                <w:sz w:val="2"/>
                <w:szCs w:val="2"/>
              </w:rPr>
            </w:pPr>
          </w:p>
        </w:tc>
        <w:tc>
          <w:tcPr>
            <w:tcW w:w="709" w:type="dxa"/>
            <w:vMerge w:val="continue"/>
            <w:tcBorders>
              <w:top w:val="nil"/>
            </w:tcBorders>
            <w:vAlign w:val="top"/>
          </w:tcPr>
          <w:p>
            <w:pPr>
              <w:rPr>
                <w:sz w:val="2"/>
                <w:szCs w:val="2"/>
              </w:rPr>
            </w:pPr>
          </w:p>
        </w:tc>
        <w:tc>
          <w:tcPr>
            <w:tcW w:w="709" w:type="dxa"/>
            <w:vMerge w:val="continue"/>
            <w:tcBorders>
              <w:top w:val="nil"/>
            </w:tcBorders>
            <w:vAlign w:val="top"/>
          </w:tcPr>
          <w:p>
            <w:pPr>
              <w:rPr>
                <w:sz w:val="2"/>
                <w:szCs w:val="2"/>
              </w:rPr>
            </w:pPr>
          </w:p>
        </w:tc>
        <w:tc>
          <w:tcPr>
            <w:tcW w:w="1135" w:type="dxa"/>
            <w:vAlign w:val="top"/>
          </w:tcPr>
          <w:p>
            <w:pPr>
              <w:pStyle w:val="14"/>
              <w:spacing w:before="22"/>
              <w:ind w:left="146"/>
              <w:rPr>
                <w:sz w:val="21"/>
              </w:rPr>
            </w:pPr>
            <w:r>
              <w:rPr>
                <w:sz w:val="21"/>
              </w:rPr>
              <w:t>证书名称</w:t>
            </w:r>
          </w:p>
        </w:tc>
        <w:tc>
          <w:tcPr>
            <w:tcW w:w="771" w:type="dxa"/>
            <w:vAlign w:val="top"/>
          </w:tcPr>
          <w:p>
            <w:pPr>
              <w:pStyle w:val="14"/>
              <w:spacing w:before="22"/>
              <w:ind w:left="175"/>
              <w:rPr>
                <w:sz w:val="21"/>
              </w:rPr>
            </w:pPr>
            <w:r>
              <w:rPr>
                <w:sz w:val="21"/>
              </w:rPr>
              <w:t>级别</w:t>
            </w:r>
          </w:p>
        </w:tc>
        <w:tc>
          <w:tcPr>
            <w:tcW w:w="788" w:type="dxa"/>
            <w:vAlign w:val="top"/>
          </w:tcPr>
          <w:p>
            <w:pPr>
              <w:pStyle w:val="14"/>
              <w:spacing w:before="22"/>
              <w:ind w:left="184"/>
              <w:rPr>
                <w:sz w:val="21"/>
              </w:rPr>
            </w:pPr>
            <w:r>
              <w:rPr>
                <w:sz w:val="21"/>
              </w:rPr>
              <w:t>证号</w:t>
            </w:r>
          </w:p>
        </w:tc>
        <w:tc>
          <w:tcPr>
            <w:tcW w:w="850" w:type="dxa"/>
            <w:vAlign w:val="top"/>
          </w:tcPr>
          <w:p>
            <w:pPr>
              <w:pStyle w:val="14"/>
              <w:spacing w:before="22"/>
              <w:ind w:left="214"/>
              <w:rPr>
                <w:sz w:val="21"/>
              </w:rPr>
            </w:pPr>
            <w:r>
              <w:rPr>
                <w:sz w:val="21"/>
              </w:rPr>
              <w:t>专业</w:t>
            </w:r>
          </w:p>
        </w:tc>
        <w:tc>
          <w:tcPr>
            <w:tcW w:w="2130" w:type="dxa"/>
            <w:vAlign w:val="top"/>
          </w:tcPr>
          <w:p>
            <w:pPr>
              <w:pStyle w:val="14"/>
              <w:spacing w:before="22"/>
              <w:ind w:left="538"/>
              <w:rPr>
                <w:sz w:val="21"/>
              </w:rPr>
            </w:pPr>
            <w:r>
              <w:rPr>
                <w:sz w:val="21"/>
              </w:rPr>
              <w:t>养老保险号</w:t>
            </w:r>
          </w:p>
        </w:tc>
        <w:tc>
          <w:tcPr>
            <w:tcW w:w="708" w:type="dxa"/>
            <w:vMerge w:val="continue"/>
            <w:tcBorders>
              <w:top w:val="nil"/>
            </w:tcBorders>
            <w:vAlign w:val="top"/>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1135" w:type="dxa"/>
            <w:vAlign w:val="top"/>
          </w:tcPr>
          <w:p>
            <w:pPr>
              <w:pStyle w:val="14"/>
              <w:rPr>
                <w:rFonts w:ascii="Times New Roman"/>
                <w:sz w:val="20"/>
              </w:rPr>
            </w:pPr>
          </w:p>
        </w:tc>
        <w:tc>
          <w:tcPr>
            <w:tcW w:w="771" w:type="dxa"/>
            <w:vAlign w:val="top"/>
          </w:tcPr>
          <w:p>
            <w:pPr>
              <w:pStyle w:val="14"/>
              <w:rPr>
                <w:rFonts w:ascii="Times New Roman"/>
                <w:sz w:val="20"/>
              </w:rPr>
            </w:pPr>
          </w:p>
        </w:tc>
        <w:tc>
          <w:tcPr>
            <w:tcW w:w="788" w:type="dxa"/>
            <w:vAlign w:val="top"/>
          </w:tcPr>
          <w:p>
            <w:pPr>
              <w:pStyle w:val="14"/>
              <w:rPr>
                <w:rFonts w:ascii="Times New Roman"/>
                <w:sz w:val="20"/>
              </w:rPr>
            </w:pPr>
          </w:p>
        </w:tc>
        <w:tc>
          <w:tcPr>
            <w:tcW w:w="850" w:type="dxa"/>
            <w:vAlign w:val="top"/>
          </w:tcPr>
          <w:p>
            <w:pPr>
              <w:pStyle w:val="14"/>
              <w:rPr>
                <w:rFonts w:ascii="Times New Roman"/>
                <w:sz w:val="20"/>
              </w:rPr>
            </w:pPr>
          </w:p>
        </w:tc>
        <w:tc>
          <w:tcPr>
            <w:tcW w:w="2130" w:type="dxa"/>
            <w:vAlign w:val="top"/>
          </w:tcPr>
          <w:p>
            <w:pPr>
              <w:pStyle w:val="14"/>
              <w:rPr>
                <w:rFonts w:ascii="Times New Roman"/>
                <w:sz w:val="20"/>
              </w:rPr>
            </w:pPr>
          </w:p>
        </w:tc>
        <w:tc>
          <w:tcPr>
            <w:tcW w:w="708"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1135" w:type="dxa"/>
            <w:vAlign w:val="top"/>
          </w:tcPr>
          <w:p>
            <w:pPr>
              <w:pStyle w:val="14"/>
              <w:rPr>
                <w:rFonts w:ascii="Times New Roman"/>
                <w:sz w:val="20"/>
              </w:rPr>
            </w:pPr>
          </w:p>
        </w:tc>
        <w:tc>
          <w:tcPr>
            <w:tcW w:w="771" w:type="dxa"/>
            <w:vAlign w:val="top"/>
          </w:tcPr>
          <w:p>
            <w:pPr>
              <w:pStyle w:val="14"/>
              <w:rPr>
                <w:rFonts w:ascii="Times New Roman"/>
                <w:sz w:val="20"/>
              </w:rPr>
            </w:pPr>
          </w:p>
        </w:tc>
        <w:tc>
          <w:tcPr>
            <w:tcW w:w="788" w:type="dxa"/>
            <w:vAlign w:val="top"/>
          </w:tcPr>
          <w:p>
            <w:pPr>
              <w:pStyle w:val="14"/>
              <w:rPr>
                <w:rFonts w:ascii="Times New Roman"/>
                <w:sz w:val="20"/>
              </w:rPr>
            </w:pPr>
          </w:p>
        </w:tc>
        <w:tc>
          <w:tcPr>
            <w:tcW w:w="850" w:type="dxa"/>
            <w:vAlign w:val="top"/>
          </w:tcPr>
          <w:p>
            <w:pPr>
              <w:pStyle w:val="14"/>
              <w:rPr>
                <w:rFonts w:ascii="Times New Roman"/>
                <w:sz w:val="20"/>
              </w:rPr>
            </w:pPr>
          </w:p>
        </w:tc>
        <w:tc>
          <w:tcPr>
            <w:tcW w:w="2130" w:type="dxa"/>
            <w:vAlign w:val="top"/>
          </w:tcPr>
          <w:p>
            <w:pPr>
              <w:pStyle w:val="14"/>
              <w:rPr>
                <w:rFonts w:ascii="Times New Roman"/>
                <w:sz w:val="20"/>
              </w:rPr>
            </w:pPr>
          </w:p>
        </w:tc>
        <w:tc>
          <w:tcPr>
            <w:tcW w:w="708"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1135" w:type="dxa"/>
            <w:vAlign w:val="top"/>
          </w:tcPr>
          <w:p>
            <w:pPr>
              <w:pStyle w:val="14"/>
              <w:rPr>
                <w:rFonts w:ascii="Times New Roman"/>
                <w:sz w:val="20"/>
              </w:rPr>
            </w:pPr>
          </w:p>
        </w:tc>
        <w:tc>
          <w:tcPr>
            <w:tcW w:w="771" w:type="dxa"/>
            <w:vAlign w:val="top"/>
          </w:tcPr>
          <w:p>
            <w:pPr>
              <w:pStyle w:val="14"/>
              <w:rPr>
                <w:rFonts w:ascii="Times New Roman"/>
                <w:sz w:val="20"/>
              </w:rPr>
            </w:pPr>
          </w:p>
        </w:tc>
        <w:tc>
          <w:tcPr>
            <w:tcW w:w="788" w:type="dxa"/>
            <w:vAlign w:val="top"/>
          </w:tcPr>
          <w:p>
            <w:pPr>
              <w:pStyle w:val="14"/>
              <w:rPr>
                <w:rFonts w:ascii="Times New Roman"/>
                <w:sz w:val="20"/>
              </w:rPr>
            </w:pPr>
          </w:p>
        </w:tc>
        <w:tc>
          <w:tcPr>
            <w:tcW w:w="850" w:type="dxa"/>
            <w:vAlign w:val="top"/>
          </w:tcPr>
          <w:p>
            <w:pPr>
              <w:pStyle w:val="14"/>
              <w:rPr>
                <w:rFonts w:ascii="Times New Roman"/>
                <w:sz w:val="20"/>
              </w:rPr>
            </w:pPr>
          </w:p>
        </w:tc>
        <w:tc>
          <w:tcPr>
            <w:tcW w:w="2130" w:type="dxa"/>
            <w:vAlign w:val="top"/>
          </w:tcPr>
          <w:p>
            <w:pPr>
              <w:pStyle w:val="14"/>
              <w:rPr>
                <w:rFonts w:ascii="Times New Roman"/>
                <w:sz w:val="20"/>
              </w:rPr>
            </w:pPr>
          </w:p>
        </w:tc>
        <w:tc>
          <w:tcPr>
            <w:tcW w:w="708"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1135" w:type="dxa"/>
            <w:vAlign w:val="top"/>
          </w:tcPr>
          <w:p>
            <w:pPr>
              <w:pStyle w:val="14"/>
              <w:rPr>
                <w:rFonts w:ascii="Times New Roman"/>
                <w:sz w:val="20"/>
              </w:rPr>
            </w:pPr>
          </w:p>
        </w:tc>
        <w:tc>
          <w:tcPr>
            <w:tcW w:w="771" w:type="dxa"/>
            <w:vAlign w:val="top"/>
          </w:tcPr>
          <w:p>
            <w:pPr>
              <w:pStyle w:val="14"/>
              <w:rPr>
                <w:rFonts w:ascii="Times New Roman"/>
                <w:sz w:val="20"/>
              </w:rPr>
            </w:pPr>
          </w:p>
        </w:tc>
        <w:tc>
          <w:tcPr>
            <w:tcW w:w="788" w:type="dxa"/>
            <w:vAlign w:val="top"/>
          </w:tcPr>
          <w:p>
            <w:pPr>
              <w:pStyle w:val="14"/>
              <w:rPr>
                <w:rFonts w:ascii="Times New Roman"/>
                <w:sz w:val="20"/>
              </w:rPr>
            </w:pPr>
          </w:p>
        </w:tc>
        <w:tc>
          <w:tcPr>
            <w:tcW w:w="850" w:type="dxa"/>
            <w:vAlign w:val="top"/>
          </w:tcPr>
          <w:p>
            <w:pPr>
              <w:pStyle w:val="14"/>
              <w:rPr>
                <w:rFonts w:ascii="Times New Roman"/>
                <w:sz w:val="20"/>
              </w:rPr>
            </w:pPr>
          </w:p>
        </w:tc>
        <w:tc>
          <w:tcPr>
            <w:tcW w:w="2130" w:type="dxa"/>
            <w:vAlign w:val="top"/>
          </w:tcPr>
          <w:p>
            <w:pPr>
              <w:pStyle w:val="14"/>
              <w:rPr>
                <w:rFonts w:ascii="Times New Roman"/>
                <w:sz w:val="20"/>
              </w:rPr>
            </w:pPr>
          </w:p>
        </w:tc>
        <w:tc>
          <w:tcPr>
            <w:tcW w:w="708"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1135" w:type="dxa"/>
            <w:vAlign w:val="top"/>
          </w:tcPr>
          <w:p>
            <w:pPr>
              <w:pStyle w:val="14"/>
              <w:rPr>
                <w:rFonts w:ascii="Times New Roman"/>
                <w:sz w:val="20"/>
              </w:rPr>
            </w:pPr>
          </w:p>
        </w:tc>
        <w:tc>
          <w:tcPr>
            <w:tcW w:w="771" w:type="dxa"/>
            <w:vAlign w:val="top"/>
          </w:tcPr>
          <w:p>
            <w:pPr>
              <w:pStyle w:val="14"/>
              <w:rPr>
                <w:rFonts w:ascii="Times New Roman"/>
                <w:sz w:val="20"/>
              </w:rPr>
            </w:pPr>
          </w:p>
        </w:tc>
        <w:tc>
          <w:tcPr>
            <w:tcW w:w="788" w:type="dxa"/>
            <w:vAlign w:val="top"/>
          </w:tcPr>
          <w:p>
            <w:pPr>
              <w:pStyle w:val="14"/>
              <w:rPr>
                <w:rFonts w:ascii="Times New Roman"/>
                <w:sz w:val="20"/>
              </w:rPr>
            </w:pPr>
          </w:p>
        </w:tc>
        <w:tc>
          <w:tcPr>
            <w:tcW w:w="850" w:type="dxa"/>
            <w:vAlign w:val="top"/>
          </w:tcPr>
          <w:p>
            <w:pPr>
              <w:pStyle w:val="14"/>
              <w:rPr>
                <w:rFonts w:ascii="Times New Roman"/>
                <w:sz w:val="20"/>
              </w:rPr>
            </w:pPr>
          </w:p>
        </w:tc>
        <w:tc>
          <w:tcPr>
            <w:tcW w:w="2130" w:type="dxa"/>
            <w:vAlign w:val="top"/>
          </w:tcPr>
          <w:p>
            <w:pPr>
              <w:pStyle w:val="14"/>
              <w:rPr>
                <w:rFonts w:ascii="Times New Roman"/>
                <w:sz w:val="20"/>
              </w:rPr>
            </w:pPr>
          </w:p>
        </w:tc>
        <w:tc>
          <w:tcPr>
            <w:tcW w:w="708"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1135" w:type="dxa"/>
            <w:vAlign w:val="top"/>
          </w:tcPr>
          <w:p>
            <w:pPr>
              <w:pStyle w:val="14"/>
              <w:rPr>
                <w:rFonts w:ascii="Times New Roman"/>
                <w:sz w:val="20"/>
              </w:rPr>
            </w:pPr>
          </w:p>
        </w:tc>
        <w:tc>
          <w:tcPr>
            <w:tcW w:w="771" w:type="dxa"/>
            <w:vAlign w:val="top"/>
          </w:tcPr>
          <w:p>
            <w:pPr>
              <w:pStyle w:val="14"/>
              <w:rPr>
                <w:rFonts w:ascii="Times New Roman"/>
                <w:sz w:val="20"/>
              </w:rPr>
            </w:pPr>
          </w:p>
        </w:tc>
        <w:tc>
          <w:tcPr>
            <w:tcW w:w="788" w:type="dxa"/>
            <w:vAlign w:val="top"/>
          </w:tcPr>
          <w:p>
            <w:pPr>
              <w:pStyle w:val="14"/>
              <w:rPr>
                <w:rFonts w:ascii="Times New Roman"/>
                <w:sz w:val="20"/>
              </w:rPr>
            </w:pPr>
          </w:p>
        </w:tc>
        <w:tc>
          <w:tcPr>
            <w:tcW w:w="850" w:type="dxa"/>
            <w:vAlign w:val="top"/>
          </w:tcPr>
          <w:p>
            <w:pPr>
              <w:pStyle w:val="14"/>
              <w:rPr>
                <w:rFonts w:ascii="Times New Roman"/>
                <w:sz w:val="20"/>
              </w:rPr>
            </w:pPr>
          </w:p>
        </w:tc>
        <w:tc>
          <w:tcPr>
            <w:tcW w:w="2130" w:type="dxa"/>
            <w:vAlign w:val="top"/>
          </w:tcPr>
          <w:p>
            <w:pPr>
              <w:pStyle w:val="14"/>
              <w:rPr>
                <w:rFonts w:ascii="Times New Roman"/>
                <w:sz w:val="20"/>
              </w:rPr>
            </w:pPr>
          </w:p>
        </w:tc>
        <w:tc>
          <w:tcPr>
            <w:tcW w:w="708"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709" w:type="dxa"/>
            <w:vAlign w:val="top"/>
          </w:tcPr>
          <w:p>
            <w:pPr>
              <w:pStyle w:val="14"/>
              <w:rPr>
                <w:rFonts w:ascii="Times New Roman"/>
                <w:sz w:val="20"/>
              </w:rPr>
            </w:pPr>
          </w:p>
        </w:tc>
        <w:tc>
          <w:tcPr>
            <w:tcW w:w="1135" w:type="dxa"/>
            <w:vAlign w:val="top"/>
          </w:tcPr>
          <w:p>
            <w:pPr>
              <w:pStyle w:val="14"/>
              <w:rPr>
                <w:rFonts w:ascii="Times New Roman"/>
                <w:sz w:val="20"/>
              </w:rPr>
            </w:pPr>
          </w:p>
        </w:tc>
        <w:tc>
          <w:tcPr>
            <w:tcW w:w="771" w:type="dxa"/>
            <w:vAlign w:val="top"/>
          </w:tcPr>
          <w:p>
            <w:pPr>
              <w:pStyle w:val="14"/>
              <w:rPr>
                <w:rFonts w:ascii="Times New Roman"/>
                <w:sz w:val="20"/>
              </w:rPr>
            </w:pPr>
          </w:p>
        </w:tc>
        <w:tc>
          <w:tcPr>
            <w:tcW w:w="788" w:type="dxa"/>
            <w:vAlign w:val="top"/>
          </w:tcPr>
          <w:p>
            <w:pPr>
              <w:pStyle w:val="14"/>
              <w:rPr>
                <w:rFonts w:ascii="Times New Roman"/>
                <w:sz w:val="20"/>
              </w:rPr>
            </w:pPr>
          </w:p>
        </w:tc>
        <w:tc>
          <w:tcPr>
            <w:tcW w:w="850" w:type="dxa"/>
            <w:vAlign w:val="top"/>
          </w:tcPr>
          <w:p>
            <w:pPr>
              <w:pStyle w:val="14"/>
              <w:rPr>
                <w:rFonts w:ascii="Times New Roman"/>
                <w:sz w:val="20"/>
              </w:rPr>
            </w:pPr>
          </w:p>
        </w:tc>
        <w:tc>
          <w:tcPr>
            <w:tcW w:w="2130" w:type="dxa"/>
            <w:vAlign w:val="top"/>
          </w:tcPr>
          <w:p>
            <w:pPr>
              <w:pStyle w:val="14"/>
              <w:rPr>
                <w:rFonts w:ascii="Times New Roman"/>
                <w:sz w:val="20"/>
              </w:rPr>
            </w:pPr>
          </w:p>
        </w:tc>
        <w:tc>
          <w:tcPr>
            <w:tcW w:w="708" w:type="dxa"/>
            <w:vAlign w:val="top"/>
          </w:tcPr>
          <w:p>
            <w:pPr>
              <w:pStyle w:val="14"/>
              <w:rPr>
                <w:rFonts w:ascii="Times New Roman"/>
                <w:sz w:val="20"/>
              </w:rPr>
            </w:pPr>
          </w:p>
        </w:tc>
      </w:tr>
    </w:tbl>
    <w:p>
      <w:pPr>
        <w:spacing w:after="0"/>
        <w:rPr>
          <w:rFonts w:ascii="Times New Roman"/>
          <w:sz w:val="20"/>
        </w:rPr>
        <w:sectPr>
          <w:headerReference r:id="rId29" w:type="default"/>
          <w:footerReference r:id="rId30" w:type="default"/>
          <w:pgSz w:w="11910" w:h="16840"/>
          <w:pgMar w:top="1100" w:right="1420" w:bottom="1220" w:left="1420" w:header="878" w:footer="1024" w:gutter="0"/>
          <w:pgNumType w:start="124"/>
          <w:cols w:space="720" w:num="1"/>
        </w:sectPr>
      </w:pPr>
    </w:p>
    <w:p>
      <w:pPr>
        <w:pStyle w:val="9"/>
        <w:rPr>
          <w:sz w:val="29"/>
        </w:rPr>
      </w:pPr>
    </w:p>
    <w:p>
      <w:pPr>
        <w:pStyle w:val="13"/>
        <w:numPr>
          <w:ilvl w:val="1"/>
          <w:numId w:val="118"/>
        </w:numPr>
        <w:tabs>
          <w:tab w:val="left" w:pos="3980"/>
        </w:tabs>
        <w:spacing w:before="70" w:after="0" w:line="240" w:lineRule="auto"/>
        <w:ind w:left="3980" w:right="0" w:hanging="3829"/>
        <w:jc w:val="left"/>
        <w:rPr>
          <w:sz w:val="21"/>
        </w:rPr>
      </w:pPr>
      <w:r>
        <w:rPr>
          <w:sz w:val="21"/>
        </w:rPr>
        <w:t>主要人员简历表</w:t>
      </w:r>
    </w:p>
    <w:p>
      <w:pPr>
        <w:pStyle w:val="9"/>
        <w:spacing w:before="1"/>
        <w:rPr>
          <w:sz w:val="24"/>
        </w:rPr>
      </w:pPr>
    </w:p>
    <w:p>
      <w:pPr>
        <w:spacing w:before="70"/>
        <w:ind w:left="377" w:right="0" w:firstLine="0"/>
        <w:jc w:val="left"/>
        <w:rPr>
          <w:sz w:val="21"/>
        </w:rPr>
      </w:pPr>
      <w:r>
        <w:rPr>
          <w:sz w:val="21"/>
        </w:rPr>
        <w:t>附 1：项目负责人简历表</w:t>
      </w:r>
    </w:p>
    <w:p>
      <w:pPr>
        <w:pStyle w:val="9"/>
        <w:rPr>
          <w:sz w:val="20"/>
        </w:rPr>
      </w:pPr>
    </w:p>
    <w:p>
      <w:pPr>
        <w:pStyle w:val="9"/>
        <w:spacing w:before="11"/>
      </w:pPr>
    </w:p>
    <w:tbl>
      <w:tblPr>
        <w:tblW w:w="8508" w:type="dxa"/>
        <w:tblInd w:w="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2"/>
        <w:gridCol w:w="1035"/>
        <w:gridCol w:w="1135"/>
        <w:gridCol w:w="138"/>
        <w:gridCol w:w="1137"/>
        <w:gridCol w:w="1844"/>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092" w:type="dxa"/>
            <w:vAlign w:val="top"/>
          </w:tcPr>
          <w:p>
            <w:pPr>
              <w:pStyle w:val="14"/>
              <w:tabs>
                <w:tab w:val="left" w:pos="429"/>
              </w:tabs>
              <w:spacing w:before="21"/>
              <w:ind w:left="9"/>
              <w:jc w:val="center"/>
              <w:rPr>
                <w:sz w:val="21"/>
              </w:rPr>
            </w:pPr>
            <w:r>
              <w:rPr>
                <w:sz w:val="21"/>
              </w:rPr>
              <w:t>姓</w:t>
            </w:r>
            <w:r>
              <w:rPr>
                <w:sz w:val="21"/>
              </w:rPr>
              <w:tab/>
            </w:r>
            <w:r>
              <w:rPr>
                <w:sz w:val="21"/>
              </w:rPr>
              <w:t>名</w:t>
            </w:r>
          </w:p>
        </w:tc>
        <w:tc>
          <w:tcPr>
            <w:tcW w:w="1035" w:type="dxa"/>
            <w:vAlign w:val="top"/>
          </w:tcPr>
          <w:p>
            <w:pPr>
              <w:pStyle w:val="14"/>
              <w:rPr>
                <w:rFonts w:ascii="Times New Roman"/>
                <w:sz w:val="20"/>
              </w:rPr>
            </w:pPr>
          </w:p>
        </w:tc>
        <w:tc>
          <w:tcPr>
            <w:tcW w:w="1135" w:type="dxa"/>
            <w:vAlign w:val="top"/>
          </w:tcPr>
          <w:p>
            <w:pPr>
              <w:pStyle w:val="14"/>
              <w:spacing w:before="21"/>
              <w:ind w:left="5"/>
              <w:jc w:val="center"/>
              <w:rPr>
                <w:sz w:val="21"/>
              </w:rPr>
            </w:pPr>
            <w:r>
              <w:rPr>
                <w:sz w:val="21"/>
              </w:rPr>
              <w:t>出生年月</w:t>
            </w:r>
          </w:p>
        </w:tc>
        <w:tc>
          <w:tcPr>
            <w:tcW w:w="1275" w:type="dxa"/>
            <w:gridSpan w:val="2"/>
            <w:vAlign w:val="top"/>
          </w:tcPr>
          <w:p>
            <w:pPr>
              <w:pStyle w:val="14"/>
              <w:rPr>
                <w:rFonts w:ascii="Times New Roman"/>
                <w:sz w:val="20"/>
              </w:rPr>
            </w:pPr>
          </w:p>
        </w:tc>
        <w:tc>
          <w:tcPr>
            <w:tcW w:w="1844" w:type="dxa"/>
            <w:vAlign w:val="top"/>
          </w:tcPr>
          <w:p>
            <w:pPr>
              <w:pStyle w:val="14"/>
              <w:spacing w:before="21"/>
              <w:ind w:left="166" w:right="158"/>
              <w:jc w:val="center"/>
              <w:rPr>
                <w:sz w:val="21"/>
              </w:rPr>
            </w:pPr>
            <w:r>
              <w:rPr>
                <w:sz w:val="21"/>
              </w:rPr>
              <w:t>学历</w:t>
            </w:r>
          </w:p>
        </w:tc>
        <w:tc>
          <w:tcPr>
            <w:tcW w:w="2127"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1092" w:type="dxa"/>
            <w:vAlign w:val="top"/>
          </w:tcPr>
          <w:p>
            <w:pPr>
              <w:pStyle w:val="14"/>
              <w:tabs>
                <w:tab w:val="left" w:pos="429"/>
              </w:tabs>
              <w:spacing w:before="23"/>
              <w:ind w:left="9"/>
              <w:jc w:val="center"/>
              <w:rPr>
                <w:sz w:val="21"/>
              </w:rPr>
            </w:pPr>
            <w:r>
              <w:rPr>
                <w:sz w:val="21"/>
              </w:rPr>
              <w:t>职</w:t>
            </w:r>
            <w:r>
              <w:rPr>
                <w:sz w:val="21"/>
              </w:rPr>
              <w:tab/>
            </w:r>
            <w:r>
              <w:rPr>
                <w:sz w:val="21"/>
              </w:rPr>
              <w:t>称</w:t>
            </w:r>
          </w:p>
        </w:tc>
        <w:tc>
          <w:tcPr>
            <w:tcW w:w="1035" w:type="dxa"/>
            <w:vAlign w:val="top"/>
          </w:tcPr>
          <w:p>
            <w:pPr>
              <w:pStyle w:val="14"/>
              <w:rPr>
                <w:rFonts w:ascii="Times New Roman"/>
                <w:sz w:val="20"/>
              </w:rPr>
            </w:pPr>
          </w:p>
        </w:tc>
        <w:tc>
          <w:tcPr>
            <w:tcW w:w="1135" w:type="dxa"/>
            <w:vAlign w:val="top"/>
          </w:tcPr>
          <w:p>
            <w:pPr>
              <w:pStyle w:val="14"/>
              <w:tabs>
                <w:tab w:val="left" w:pos="428"/>
              </w:tabs>
              <w:spacing w:before="23"/>
              <w:ind w:left="8"/>
              <w:jc w:val="center"/>
              <w:rPr>
                <w:sz w:val="21"/>
              </w:rPr>
            </w:pPr>
            <w:r>
              <w:rPr>
                <w:sz w:val="21"/>
              </w:rPr>
              <w:t>职</w:t>
            </w:r>
            <w:r>
              <w:rPr>
                <w:sz w:val="21"/>
              </w:rPr>
              <w:tab/>
            </w:r>
            <w:r>
              <w:rPr>
                <w:sz w:val="21"/>
              </w:rPr>
              <w:t>务</w:t>
            </w:r>
          </w:p>
        </w:tc>
        <w:tc>
          <w:tcPr>
            <w:tcW w:w="1275" w:type="dxa"/>
            <w:gridSpan w:val="2"/>
            <w:vAlign w:val="top"/>
          </w:tcPr>
          <w:p>
            <w:pPr>
              <w:pStyle w:val="14"/>
              <w:rPr>
                <w:rFonts w:ascii="Times New Roman"/>
                <w:sz w:val="20"/>
              </w:rPr>
            </w:pPr>
          </w:p>
        </w:tc>
        <w:tc>
          <w:tcPr>
            <w:tcW w:w="1844" w:type="dxa"/>
            <w:vAlign w:val="top"/>
          </w:tcPr>
          <w:p>
            <w:pPr>
              <w:pStyle w:val="14"/>
              <w:spacing w:before="23"/>
              <w:ind w:left="166" w:right="158"/>
              <w:jc w:val="center"/>
              <w:rPr>
                <w:sz w:val="21"/>
              </w:rPr>
            </w:pPr>
            <w:r>
              <w:rPr>
                <w:sz w:val="21"/>
              </w:rPr>
              <w:t>拟在本工程任职</w:t>
            </w:r>
          </w:p>
        </w:tc>
        <w:tc>
          <w:tcPr>
            <w:tcW w:w="2127" w:type="dxa"/>
            <w:vAlign w:val="top"/>
          </w:tcPr>
          <w:p>
            <w:pPr>
              <w:pStyle w:val="14"/>
              <w:spacing w:before="23"/>
              <w:ind w:left="201" w:right="196"/>
              <w:jc w:val="center"/>
              <w:rPr>
                <w:sz w:val="21"/>
              </w:rPr>
            </w:pPr>
            <w:r>
              <w:rPr>
                <w:sz w:val="21"/>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3262" w:type="dxa"/>
            <w:gridSpan w:val="3"/>
            <w:vAlign w:val="top"/>
          </w:tcPr>
          <w:p>
            <w:pPr>
              <w:pStyle w:val="14"/>
              <w:spacing w:before="22"/>
              <w:ind w:left="475"/>
              <w:rPr>
                <w:sz w:val="21"/>
              </w:rPr>
            </w:pPr>
            <w:r>
              <w:rPr>
                <w:sz w:val="21"/>
              </w:rPr>
              <w:t>注册建造师执业资格等级</w:t>
            </w:r>
          </w:p>
        </w:tc>
        <w:tc>
          <w:tcPr>
            <w:tcW w:w="1275" w:type="dxa"/>
            <w:gridSpan w:val="2"/>
            <w:vAlign w:val="top"/>
          </w:tcPr>
          <w:p>
            <w:pPr>
              <w:pStyle w:val="14"/>
              <w:spacing w:before="22"/>
              <w:ind w:right="206"/>
              <w:jc w:val="right"/>
              <w:rPr>
                <w:sz w:val="21"/>
              </w:rPr>
            </w:pPr>
            <w:r>
              <w:rPr>
                <w:w w:val="99"/>
                <w:sz w:val="21"/>
              </w:rPr>
              <w:t>级</w:t>
            </w:r>
          </w:p>
        </w:tc>
        <w:tc>
          <w:tcPr>
            <w:tcW w:w="1844" w:type="dxa"/>
            <w:vAlign w:val="top"/>
          </w:tcPr>
          <w:p>
            <w:pPr>
              <w:pStyle w:val="14"/>
              <w:spacing w:before="22"/>
              <w:ind w:left="164" w:right="158"/>
              <w:jc w:val="center"/>
              <w:rPr>
                <w:sz w:val="21"/>
              </w:rPr>
            </w:pPr>
            <w:r>
              <w:rPr>
                <w:sz w:val="21"/>
              </w:rPr>
              <w:t>建造师专业</w:t>
            </w:r>
          </w:p>
        </w:tc>
        <w:tc>
          <w:tcPr>
            <w:tcW w:w="2127"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3262" w:type="dxa"/>
            <w:gridSpan w:val="3"/>
            <w:vAlign w:val="top"/>
          </w:tcPr>
          <w:p>
            <w:pPr>
              <w:pStyle w:val="14"/>
              <w:spacing w:before="21"/>
              <w:ind w:left="581"/>
              <w:rPr>
                <w:sz w:val="21"/>
              </w:rPr>
            </w:pPr>
            <w:r>
              <w:rPr>
                <w:sz w:val="21"/>
              </w:rPr>
              <w:t>安全生产考核合格证书</w:t>
            </w:r>
          </w:p>
        </w:tc>
        <w:tc>
          <w:tcPr>
            <w:tcW w:w="5246" w:type="dxa"/>
            <w:gridSpan w:val="4"/>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1092" w:type="dxa"/>
            <w:vAlign w:val="top"/>
          </w:tcPr>
          <w:p>
            <w:pPr>
              <w:pStyle w:val="14"/>
              <w:spacing w:before="23"/>
              <w:ind w:left="6"/>
              <w:jc w:val="center"/>
              <w:rPr>
                <w:sz w:val="21"/>
              </w:rPr>
            </w:pPr>
            <w:r>
              <w:rPr>
                <w:sz w:val="21"/>
              </w:rPr>
              <w:t>毕业学校</w:t>
            </w:r>
          </w:p>
        </w:tc>
        <w:tc>
          <w:tcPr>
            <w:tcW w:w="7416" w:type="dxa"/>
            <w:gridSpan w:val="6"/>
            <w:vAlign w:val="top"/>
          </w:tcPr>
          <w:p>
            <w:pPr>
              <w:pStyle w:val="14"/>
              <w:tabs>
                <w:tab w:val="left" w:pos="3677"/>
                <w:tab w:val="left" w:pos="5357"/>
              </w:tabs>
              <w:spacing w:before="23"/>
              <w:ind w:left="948"/>
              <w:rPr>
                <w:sz w:val="21"/>
              </w:rPr>
            </w:pPr>
            <w:r>
              <w:rPr>
                <w:sz w:val="21"/>
              </w:rPr>
              <w:t>年毕业于</w:t>
            </w:r>
            <w:r>
              <w:rPr>
                <w:sz w:val="21"/>
              </w:rPr>
              <w:tab/>
            </w:r>
            <w:r>
              <w:rPr>
                <w:sz w:val="21"/>
              </w:rPr>
              <w:t>学校</w:t>
            </w:r>
            <w:r>
              <w:rPr>
                <w:sz w:val="21"/>
              </w:rPr>
              <w:tab/>
            </w:r>
            <w:r>
              <w:rPr>
                <w:sz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8508" w:type="dxa"/>
            <w:gridSpan w:val="7"/>
            <w:vAlign w:val="top"/>
          </w:tcPr>
          <w:p>
            <w:pPr>
              <w:pStyle w:val="14"/>
              <w:spacing w:before="22"/>
              <w:ind w:left="3603" w:right="3594"/>
              <w:jc w:val="center"/>
              <w:rPr>
                <w:sz w:val="21"/>
              </w:rPr>
            </w:pPr>
            <w:r>
              <w:rPr>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6" w:hRule="atLeast"/>
        </w:trPr>
        <w:tc>
          <w:tcPr>
            <w:tcW w:w="1092" w:type="dxa"/>
            <w:vAlign w:val="top"/>
          </w:tcPr>
          <w:p>
            <w:pPr>
              <w:pStyle w:val="14"/>
              <w:spacing w:before="11"/>
              <w:rPr>
                <w:sz w:val="15"/>
              </w:rPr>
            </w:pPr>
          </w:p>
          <w:p>
            <w:pPr>
              <w:pStyle w:val="14"/>
              <w:tabs>
                <w:tab w:val="left" w:pos="429"/>
              </w:tabs>
              <w:spacing w:before="1"/>
              <w:ind w:left="9"/>
              <w:jc w:val="center"/>
              <w:rPr>
                <w:sz w:val="21"/>
              </w:rPr>
            </w:pPr>
            <w:r>
              <w:rPr>
                <w:sz w:val="21"/>
              </w:rPr>
              <w:t>时</w:t>
            </w:r>
            <w:r>
              <w:rPr>
                <w:sz w:val="21"/>
              </w:rPr>
              <w:tab/>
            </w:r>
            <w:r>
              <w:rPr>
                <w:sz w:val="21"/>
              </w:rPr>
              <w:t>间</w:t>
            </w:r>
          </w:p>
        </w:tc>
        <w:tc>
          <w:tcPr>
            <w:tcW w:w="2308" w:type="dxa"/>
            <w:gridSpan w:val="3"/>
            <w:vAlign w:val="top"/>
          </w:tcPr>
          <w:p>
            <w:pPr>
              <w:pStyle w:val="14"/>
              <w:ind w:left="502" w:right="495"/>
              <w:jc w:val="center"/>
              <w:rPr>
                <w:sz w:val="21"/>
              </w:rPr>
            </w:pPr>
            <w:r>
              <w:rPr>
                <w:sz w:val="21"/>
              </w:rPr>
              <w:t>参加过的类似</w:t>
            </w:r>
          </w:p>
          <w:p>
            <w:pPr>
              <w:pStyle w:val="14"/>
              <w:spacing w:before="139"/>
              <w:ind w:left="500" w:right="495"/>
              <w:jc w:val="center"/>
              <w:rPr>
                <w:sz w:val="21"/>
              </w:rPr>
            </w:pPr>
            <w:r>
              <w:rPr>
                <w:sz w:val="21"/>
              </w:rPr>
              <w:t>项目名称</w:t>
            </w:r>
          </w:p>
        </w:tc>
        <w:tc>
          <w:tcPr>
            <w:tcW w:w="1137" w:type="dxa"/>
            <w:vAlign w:val="top"/>
          </w:tcPr>
          <w:p>
            <w:pPr>
              <w:pStyle w:val="14"/>
              <w:spacing w:before="11"/>
              <w:rPr>
                <w:sz w:val="15"/>
              </w:rPr>
            </w:pPr>
          </w:p>
          <w:p>
            <w:pPr>
              <w:pStyle w:val="14"/>
              <w:spacing w:before="1"/>
              <w:ind w:left="147"/>
              <w:rPr>
                <w:sz w:val="21"/>
              </w:rPr>
            </w:pPr>
            <w:r>
              <w:rPr>
                <w:sz w:val="21"/>
              </w:rPr>
              <w:t>担任职务</w:t>
            </w:r>
          </w:p>
        </w:tc>
        <w:tc>
          <w:tcPr>
            <w:tcW w:w="1844" w:type="dxa"/>
            <w:vAlign w:val="top"/>
          </w:tcPr>
          <w:p>
            <w:pPr>
              <w:pStyle w:val="14"/>
              <w:spacing w:before="11"/>
              <w:rPr>
                <w:sz w:val="15"/>
              </w:rPr>
            </w:pPr>
          </w:p>
          <w:p>
            <w:pPr>
              <w:pStyle w:val="14"/>
              <w:spacing w:before="1"/>
              <w:ind w:left="166" w:right="158"/>
              <w:jc w:val="center"/>
              <w:rPr>
                <w:sz w:val="21"/>
              </w:rPr>
            </w:pPr>
            <w:r>
              <w:rPr>
                <w:sz w:val="21"/>
              </w:rPr>
              <w:t>工程概况说明</w:t>
            </w:r>
          </w:p>
        </w:tc>
        <w:tc>
          <w:tcPr>
            <w:tcW w:w="2127" w:type="dxa"/>
            <w:vAlign w:val="top"/>
          </w:tcPr>
          <w:p>
            <w:pPr>
              <w:pStyle w:val="14"/>
              <w:spacing w:before="11"/>
              <w:rPr>
                <w:sz w:val="15"/>
              </w:rPr>
            </w:pPr>
          </w:p>
          <w:p>
            <w:pPr>
              <w:pStyle w:val="14"/>
              <w:spacing w:before="1"/>
              <w:ind w:left="201" w:right="196"/>
              <w:jc w:val="center"/>
              <w:rPr>
                <w:sz w:val="21"/>
              </w:rPr>
            </w:pPr>
            <w:r>
              <w:rPr>
                <w:sz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1092" w:type="dxa"/>
            <w:vAlign w:val="top"/>
          </w:tcPr>
          <w:p>
            <w:pPr>
              <w:pStyle w:val="14"/>
              <w:rPr>
                <w:rFonts w:ascii="Times New Roman"/>
                <w:sz w:val="20"/>
              </w:rPr>
            </w:pPr>
          </w:p>
        </w:tc>
        <w:tc>
          <w:tcPr>
            <w:tcW w:w="2308" w:type="dxa"/>
            <w:gridSpan w:val="3"/>
            <w:vAlign w:val="top"/>
          </w:tcPr>
          <w:p>
            <w:pPr>
              <w:pStyle w:val="14"/>
              <w:rPr>
                <w:rFonts w:ascii="Times New Roman"/>
                <w:sz w:val="20"/>
              </w:rPr>
            </w:pPr>
          </w:p>
        </w:tc>
        <w:tc>
          <w:tcPr>
            <w:tcW w:w="1137" w:type="dxa"/>
            <w:vAlign w:val="top"/>
          </w:tcPr>
          <w:p>
            <w:pPr>
              <w:pStyle w:val="14"/>
              <w:rPr>
                <w:rFonts w:ascii="Times New Roman"/>
                <w:sz w:val="20"/>
              </w:rPr>
            </w:pPr>
          </w:p>
        </w:tc>
        <w:tc>
          <w:tcPr>
            <w:tcW w:w="1844" w:type="dxa"/>
            <w:vAlign w:val="top"/>
          </w:tcPr>
          <w:p>
            <w:pPr>
              <w:pStyle w:val="14"/>
              <w:rPr>
                <w:rFonts w:ascii="Times New Roman"/>
                <w:sz w:val="20"/>
              </w:rPr>
            </w:pPr>
          </w:p>
        </w:tc>
        <w:tc>
          <w:tcPr>
            <w:tcW w:w="2127"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1092" w:type="dxa"/>
            <w:vAlign w:val="top"/>
          </w:tcPr>
          <w:p>
            <w:pPr>
              <w:pStyle w:val="14"/>
              <w:rPr>
                <w:rFonts w:ascii="Times New Roman"/>
                <w:sz w:val="20"/>
              </w:rPr>
            </w:pPr>
          </w:p>
        </w:tc>
        <w:tc>
          <w:tcPr>
            <w:tcW w:w="2308" w:type="dxa"/>
            <w:gridSpan w:val="3"/>
            <w:vAlign w:val="top"/>
          </w:tcPr>
          <w:p>
            <w:pPr>
              <w:pStyle w:val="14"/>
              <w:rPr>
                <w:rFonts w:ascii="Times New Roman"/>
                <w:sz w:val="20"/>
              </w:rPr>
            </w:pPr>
          </w:p>
        </w:tc>
        <w:tc>
          <w:tcPr>
            <w:tcW w:w="1137" w:type="dxa"/>
            <w:vAlign w:val="top"/>
          </w:tcPr>
          <w:p>
            <w:pPr>
              <w:pStyle w:val="14"/>
              <w:rPr>
                <w:rFonts w:ascii="Times New Roman"/>
                <w:sz w:val="20"/>
              </w:rPr>
            </w:pPr>
          </w:p>
        </w:tc>
        <w:tc>
          <w:tcPr>
            <w:tcW w:w="1844" w:type="dxa"/>
            <w:vAlign w:val="top"/>
          </w:tcPr>
          <w:p>
            <w:pPr>
              <w:pStyle w:val="14"/>
              <w:rPr>
                <w:rFonts w:ascii="Times New Roman"/>
                <w:sz w:val="20"/>
              </w:rPr>
            </w:pPr>
          </w:p>
        </w:tc>
        <w:tc>
          <w:tcPr>
            <w:tcW w:w="2127"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1092" w:type="dxa"/>
            <w:vAlign w:val="top"/>
          </w:tcPr>
          <w:p>
            <w:pPr>
              <w:pStyle w:val="14"/>
              <w:rPr>
                <w:rFonts w:ascii="Times New Roman"/>
                <w:sz w:val="20"/>
              </w:rPr>
            </w:pPr>
          </w:p>
        </w:tc>
        <w:tc>
          <w:tcPr>
            <w:tcW w:w="2308" w:type="dxa"/>
            <w:gridSpan w:val="3"/>
            <w:vAlign w:val="top"/>
          </w:tcPr>
          <w:p>
            <w:pPr>
              <w:pStyle w:val="14"/>
              <w:rPr>
                <w:rFonts w:ascii="Times New Roman"/>
                <w:sz w:val="20"/>
              </w:rPr>
            </w:pPr>
          </w:p>
        </w:tc>
        <w:tc>
          <w:tcPr>
            <w:tcW w:w="1137" w:type="dxa"/>
            <w:vAlign w:val="top"/>
          </w:tcPr>
          <w:p>
            <w:pPr>
              <w:pStyle w:val="14"/>
              <w:rPr>
                <w:rFonts w:ascii="Times New Roman"/>
                <w:sz w:val="20"/>
              </w:rPr>
            </w:pPr>
          </w:p>
        </w:tc>
        <w:tc>
          <w:tcPr>
            <w:tcW w:w="1844" w:type="dxa"/>
            <w:vAlign w:val="top"/>
          </w:tcPr>
          <w:p>
            <w:pPr>
              <w:pStyle w:val="14"/>
              <w:rPr>
                <w:rFonts w:ascii="Times New Roman"/>
                <w:sz w:val="20"/>
              </w:rPr>
            </w:pPr>
          </w:p>
        </w:tc>
        <w:tc>
          <w:tcPr>
            <w:tcW w:w="2127"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1092" w:type="dxa"/>
            <w:vAlign w:val="top"/>
          </w:tcPr>
          <w:p>
            <w:pPr>
              <w:pStyle w:val="14"/>
              <w:rPr>
                <w:rFonts w:ascii="Times New Roman"/>
                <w:sz w:val="20"/>
              </w:rPr>
            </w:pPr>
          </w:p>
        </w:tc>
        <w:tc>
          <w:tcPr>
            <w:tcW w:w="2308" w:type="dxa"/>
            <w:gridSpan w:val="3"/>
            <w:vAlign w:val="top"/>
          </w:tcPr>
          <w:p>
            <w:pPr>
              <w:pStyle w:val="14"/>
              <w:rPr>
                <w:rFonts w:ascii="Times New Roman"/>
                <w:sz w:val="20"/>
              </w:rPr>
            </w:pPr>
          </w:p>
        </w:tc>
        <w:tc>
          <w:tcPr>
            <w:tcW w:w="1137" w:type="dxa"/>
            <w:vAlign w:val="top"/>
          </w:tcPr>
          <w:p>
            <w:pPr>
              <w:pStyle w:val="14"/>
              <w:rPr>
                <w:rFonts w:ascii="Times New Roman"/>
                <w:sz w:val="20"/>
              </w:rPr>
            </w:pPr>
          </w:p>
        </w:tc>
        <w:tc>
          <w:tcPr>
            <w:tcW w:w="1844" w:type="dxa"/>
            <w:vAlign w:val="top"/>
          </w:tcPr>
          <w:p>
            <w:pPr>
              <w:pStyle w:val="14"/>
              <w:rPr>
                <w:rFonts w:ascii="Times New Roman"/>
                <w:sz w:val="20"/>
              </w:rPr>
            </w:pPr>
          </w:p>
        </w:tc>
        <w:tc>
          <w:tcPr>
            <w:tcW w:w="2127"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1092" w:type="dxa"/>
            <w:vAlign w:val="top"/>
          </w:tcPr>
          <w:p>
            <w:pPr>
              <w:pStyle w:val="14"/>
              <w:rPr>
                <w:rFonts w:ascii="Times New Roman"/>
                <w:sz w:val="20"/>
              </w:rPr>
            </w:pPr>
          </w:p>
        </w:tc>
        <w:tc>
          <w:tcPr>
            <w:tcW w:w="2308" w:type="dxa"/>
            <w:gridSpan w:val="3"/>
            <w:vAlign w:val="top"/>
          </w:tcPr>
          <w:p>
            <w:pPr>
              <w:pStyle w:val="14"/>
              <w:rPr>
                <w:rFonts w:ascii="Times New Roman"/>
                <w:sz w:val="20"/>
              </w:rPr>
            </w:pPr>
          </w:p>
        </w:tc>
        <w:tc>
          <w:tcPr>
            <w:tcW w:w="1137" w:type="dxa"/>
            <w:vAlign w:val="top"/>
          </w:tcPr>
          <w:p>
            <w:pPr>
              <w:pStyle w:val="14"/>
              <w:rPr>
                <w:rFonts w:ascii="Times New Roman"/>
                <w:sz w:val="20"/>
              </w:rPr>
            </w:pPr>
          </w:p>
        </w:tc>
        <w:tc>
          <w:tcPr>
            <w:tcW w:w="1844" w:type="dxa"/>
            <w:vAlign w:val="top"/>
          </w:tcPr>
          <w:p>
            <w:pPr>
              <w:pStyle w:val="14"/>
              <w:rPr>
                <w:rFonts w:ascii="Times New Roman"/>
                <w:sz w:val="20"/>
              </w:rPr>
            </w:pPr>
          </w:p>
        </w:tc>
        <w:tc>
          <w:tcPr>
            <w:tcW w:w="2127"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1092" w:type="dxa"/>
            <w:vAlign w:val="top"/>
          </w:tcPr>
          <w:p>
            <w:pPr>
              <w:pStyle w:val="14"/>
              <w:rPr>
                <w:rFonts w:ascii="Times New Roman"/>
                <w:sz w:val="20"/>
              </w:rPr>
            </w:pPr>
          </w:p>
        </w:tc>
        <w:tc>
          <w:tcPr>
            <w:tcW w:w="2308" w:type="dxa"/>
            <w:gridSpan w:val="3"/>
            <w:vAlign w:val="top"/>
          </w:tcPr>
          <w:p>
            <w:pPr>
              <w:pStyle w:val="14"/>
              <w:rPr>
                <w:rFonts w:ascii="Times New Roman"/>
                <w:sz w:val="20"/>
              </w:rPr>
            </w:pPr>
          </w:p>
        </w:tc>
        <w:tc>
          <w:tcPr>
            <w:tcW w:w="1137" w:type="dxa"/>
            <w:vAlign w:val="top"/>
          </w:tcPr>
          <w:p>
            <w:pPr>
              <w:pStyle w:val="14"/>
              <w:rPr>
                <w:rFonts w:ascii="Times New Roman"/>
                <w:sz w:val="20"/>
              </w:rPr>
            </w:pPr>
          </w:p>
        </w:tc>
        <w:tc>
          <w:tcPr>
            <w:tcW w:w="1844" w:type="dxa"/>
            <w:vAlign w:val="top"/>
          </w:tcPr>
          <w:p>
            <w:pPr>
              <w:pStyle w:val="14"/>
              <w:rPr>
                <w:rFonts w:ascii="Times New Roman"/>
                <w:sz w:val="20"/>
              </w:rPr>
            </w:pPr>
          </w:p>
        </w:tc>
        <w:tc>
          <w:tcPr>
            <w:tcW w:w="2127"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1092" w:type="dxa"/>
            <w:vAlign w:val="top"/>
          </w:tcPr>
          <w:p>
            <w:pPr>
              <w:pStyle w:val="14"/>
              <w:rPr>
                <w:rFonts w:ascii="Times New Roman"/>
                <w:sz w:val="20"/>
              </w:rPr>
            </w:pPr>
          </w:p>
        </w:tc>
        <w:tc>
          <w:tcPr>
            <w:tcW w:w="2308" w:type="dxa"/>
            <w:gridSpan w:val="3"/>
            <w:vAlign w:val="top"/>
          </w:tcPr>
          <w:p>
            <w:pPr>
              <w:pStyle w:val="14"/>
              <w:rPr>
                <w:rFonts w:ascii="Times New Roman"/>
                <w:sz w:val="20"/>
              </w:rPr>
            </w:pPr>
          </w:p>
        </w:tc>
        <w:tc>
          <w:tcPr>
            <w:tcW w:w="1137" w:type="dxa"/>
            <w:vAlign w:val="top"/>
          </w:tcPr>
          <w:p>
            <w:pPr>
              <w:pStyle w:val="14"/>
              <w:rPr>
                <w:rFonts w:ascii="Times New Roman"/>
                <w:sz w:val="20"/>
              </w:rPr>
            </w:pPr>
          </w:p>
        </w:tc>
        <w:tc>
          <w:tcPr>
            <w:tcW w:w="1844" w:type="dxa"/>
            <w:vAlign w:val="top"/>
          </w:tcPr>
          <w:p>
            <w:pPr>
              <w:pStyle w:val="14"/>
              <w:rPr>
                <w:rFonts w:ascii="Times New Roman"/>
                <w:sz w:val="20"/>
              </w:rPr>
            </w:pPr>
          </w:p>
        </w:tc>
        <w:tc>
          <w:tcPr>
            <w:tcW w:w="2127"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1092" w:type="dxa"/>
            <w:vAlign w:val="top"/>
          </w:tcPr>
          <w:p>
            <w:pPr>
              <w:pStyle w:val="14"/>
              <w:rPr>
                <w:rFonts w:ascii="Times New Roman"/>
                <w:sz w:val="20"/>
              </w:rPr>
            </w:pPr>
          </w:p>
        </w:tc>
        <w:tc>
          <w:tcPr>
            <w:tcW w:w="2308" w:type="dxa"/>
            <w:gridSpan w:val="3"/>
            <w:vAlign w:val="top"/>
          </w:tcPr>
          <w:p>
            <w:pPr>
              <w:pStyle w:val="14"/>
              <w:rPr>
                <w:rFonts w:ascii="Times New Roman"/>
                <w:sz w:val="20"/>
              </w:rPr>
            </w:pPr>
          </w:p>
        </w:tc>
        <w:tc>
          <w:tcPr>
            <w:tcW w:w="1137" w:type="dxa"/>
            <w:vAlign w:val="top"/>
          </w:tcPr>
          <w:p>
            <w:pPr>
              <w:pStyle w:val="14"/>
              <w:rPr>
                <w:rFonts w:ascii="Times New Roman"/>
                <w:sz w:val="20"/>
              </w:rPr>
            </w:pPr>
          </w:p>
        </w:tc>
        <w:tc>
          <w:tcPr>
            <w:tcW w:w="1844" w:type="dxa"/>
            <w:vAlign w:val="top"/>
          </w:tcPr>
          <w:p>
            <w:pPr>
              <w:pStyle w:val="14"/>
              <w:rPr>
                <w:rFonts w:ascii="Times New Roman"/>
                <w:sz w:val="20"/>
              </w:rPr>
            </w:pPr>
          </w:p>
        </w:tc>
        <w:tc>
          <w:tcPr>
            <w:tcW w:w="2127"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0" w:hRule="atLeast"/>
        </w:trPr>
        <w:tc>
          <w:tcPr>
            <w:tcW w:w="1092" w:type="dxa"/>
            <w:vAlign w:val="top"/>
          </w:tcPr>
          <w:p>
            <w:pPr>
              <w:pStyle w:val="14"/>
              <w:rPr>
                <w:rFonts w:ascii="Times New Roman"/>
                <w:sz w:val="20"/>
              </w:rPr>
            </w:pPr>
          </w:p>
        </w:tc>
        <w:tc>
          <w:tcPr>
            <w:tcW w:w="2308" w:type="dxa"/>
            <w:gridSpan w:val="3"/>
            <w:vAlign w:val="top"/>
          </w:tcPr>
          <w:p>
            <w:pPr>
              <w:pStyle w:val="14"/>
              <w:rPr>
                <w:rFonts w:ascii="Times New Roman"/>
                <w:sz w:val="20"/>
              </w:rPr>
            </w:pPr>
          </w:p>
        </w:tc>
        <w:tc>
          <w:tcPr>
            <w:tcW w:w="1137" w:type="dxa"/>
            <w:vAlign w:val="top"/>
          </w:tcPr>
          <w:p>
            <w:pPr>
              <w:pStyle w:val="14"/>
              <w:rPr>
                <w:rFonts w:ascii="Times New Roman"/>
                <w:sz w:val="20"/>
              </w:rPr>
            </w:pPr>
          </w:p>
        </w:tc>
        <w:tc>
          <w:tcPr>
            <w:tcW w:w="1844" w:type="dxa"/>
            <w:vAlign w:val="top"/>
          </w:tcPr>
          <w:p>
            <w:pPr>
              <w:pStyle w:val="14"/>
              <w:rPr>
                <w:rFonts w:ascii="Times New Roman"/>
                <w:sz w:val="20"/>
              </w:rPr>
            </w:pPr>
          </w:p>
        </w:tc>
        <w:tc>
          <w:tcPr>
            <w:tcW w:w="2127" w:type="dxa"/>
            <w:vAlign w:val="top"/>
          </w:tcPr>
          <w:p>
            <w:pPr>
              <w:pStyle w:val="14"/>
              <w:rPr>
                <w:rFonts w:ascii="Times New Roman"/>
                <w:sz w:val="20"/>
              </w:rPr>
            </w:pPr>
          </w:p>
        </w:tc>
      </w:tr>
    </w:tbl>
    <w:p>
      <w:pPr>
        <w:spacing w:before="0" w:line="367" w:lineRule="auto"/>
        <w:ind w:left="377" w:right="221" w:firstLine="420"/>
        <w:jc w:val="left"/>
        <w:rPr>
          <w:sz w:val="21"/>
        </w:rPr>
      </w:pPr>
      <w:r>
        <w:rPr>
          <w:sz w:val="21"/>
        </w:rPr>
        <w:t>应附建造师执业注册证书、安全生产考核合格证书、身份证、职称证、学历证、养老保险复印件（退休人员可提供退休证和聘用证）。</w:t>
      </w:r>
    </w:p>
    <w:p>
      <w:pPr>
        <w:spacing w:after="0" w:line="367" w:lineRule="auto"/>
        <w:jc w:val="left"/>
        <w:rPr>
          <w:sz w:val="21"/>
        </w:rPr>
        <w:sectPr>
          <w:pgSz w:w="11910" w:h="16840"/>
          <w:pgMar w:top="1100" w:right="1420" w:bottom="1220" w:left="1420" w:header="878" w:footer="1024" w:gutter="0"/>
          <w:cols w:space="720" w:num="1"/>
        </w:sectPr>
      </w:pPr>
    </w:p>
    <w:p>
      <w:pPr>
        <w:pStyle w:val="9"/>
        <w:spacing w:before="8"/>
        <w:rPr>
          <w:sz w:val="19"/>
        </w:rPr>
      </w:pPr>
    </w:p>
    <w:p>
      <w:pPr>
        <w:spacing w:before="70"/>
        <w:ind w:left="377" w:right="0" w:firstLine="0"/>
        <w:jc w:val="left"/>
        <w:rPr>
          <w:sz w:val="21"/>
        </w:rPr>
      </w:pPr>
      <w:r>
        <w:rPr>
          <w:sz w:val="21"/>
        </w:rPr>
        <w:t>附 2：主要项目管理人员简历表</w:t>
      </w:r>
    </w:p>
    <w:p>
      <w:pPr>
        <w:pStyle w:val="9"/>
        <w:rPr>
          <w:sz w:val="20"/>
        </w:rPr>
      </w:pPr>
    </w:p>
    <w:p>
      <w:pPr>
        <w:pStyle w:val="9"/>
        <w:spacing w:before="9" w:after="1"/>
      </w:pPr>
    </w:p>
    <w:tbl>
      <w:tblPr>
        <w:tblW w:w="8477" w:type="dxa"/>
        <w:tblInd w:w="3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062"/>
        <w:gridCol w:w="2117"/>
        <w:gridCol w:w="1059"/>
        <w:gridCol w:w="1060"/>
        <w:gridCol w:w="2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8" w:hRule="atLeast"/>
        </w:trPr>
        <w:tc>
          <w:tcPr>
            <w:tcW w:w="2123" w:type="dxa"/>
            <w:gridSpan w:val="2"/>
            <w:vAlign w:val="top"/>
          </w:tcPr>
          <w:p>
            <w:pPr>
              <w:pStyle w:val="14"/>
              <w:spacing w:before="1"/>
              <w:ind w:left="641"/>
              <w:rPr>
                <w:sz w:val="21"/>
              </w:rPr>
            </w:pPr>
            <w:r>
              <w:rPr>
                <w:sz w:val="21"/>
              </w:rPr>
              <w:t>岗位名称</w:t>
            </w:r>
          </w:p>
        </w:tc>
        <w:tc>
          <w:tcPr>
            <w:tcW w:w="6354" w:type="dxa"/>
            <w:gridSpan w:val="4"/>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atLeast"/>
        </w:trPr>
        <w:tc>
          <w:tcPr>
            <w:tcW w:w="1061" w:type="dxa"/>
            <w:tcBorders>
              <w:right w:val="nil"/>
            </w:tcBorders>
            <w:vAlign w:val="top"/>
          </w:tcPr>
          <w:p>
            <w:pPr>
              <w:pStyle w:val="14"/>
              <w:spacing w:line="269" w:lineRule="exact"/>
              <w:ind w:right="203"/>
              <w:jc w:val="right"/>
              <w:rPr>
                <w:sz w:val="21"/>
              </w:rPr>
            </w:pPr>
            <w:r>
              <w:rPr>
                <w:w w:val="99"/>
                <w:sz w:val="21"/>
              </w:rPr>
              <w:t>姓</w:t>
            </w:r>
          </w:p>
        </w:tc>
        <w:tc>
          <w:tcPr>
            <w:tcW w:w="1062" w:type="dxa"/>
            <w:tcBorders>
              <w:left w:val="nil"/>
            </w:tcBorders>
            <w:vAlign w:val="top"/>
          </w:tcPr>
          <w:p>
            <w:pPr>
              <w:pStyle w:val="14"/>
              <w:spacing w:line="269" w:lineRule="exact"/>
              <w:ind w:left="214"/>
              <w:rPr>
                <w:sz w:val="21"/>
              </w:rPr>
            </w:pPr>
            <w:r>
              <w:rPr>
                <w:w w:val="99"/>
                <w:sz w:val="21"/>
              </w:rPr>
              <w:t>名</w:t>
            </w:r>
          </w:p>
        </w:tc>
        <w:tc>
          <w:tcPr>
            <w:tcW w:w="2117" w:type="dxa"/>
            <w:vAlign w:val="top"/>
          </w:tcPr>
          <w:p>
            <w:pPr>
              <w:pStyle w:val="14"/>
              <w:rPr>
                <w:rFonts w:ascii="Times New Roman"/>
                <w:sz w:val="20"/>
              </w:rPr>
            </w:pPr>
          </w:p>
        </w:tc>
        <w:tc>
          <w:tcPr>
            <w:tcW w:w="1059" w:type="dxa"/>
            <w:tcBorders>
              <w:right w:val="nil"/>
            </w:tcBorders>
            <w:vAlign w:val="top"/>
          </w:tcPr>
          <w:p>
            <w:pPr>
              <w:pStyle w:val="14"/>
              <w:spacing w:line="269" w:lineRule="exact"/>
              <w:ind w:left="635"/>
              <w:rPr>
                <w:sz w:val="21"/>
              </w:rPr>
            </w:pPr>
            <w:r>
              <w:rPr>
                <w:w w:val="99"/>
                <w:sz w:val="21"/>
              </w:rPr>
              <w:t>年</w:t>
            </w:r>
          </w:p>
        </w:tc>
        <w:tc>
          <w:tcPr>
            <w:tcW w:w="1060" w:type="dxa"/>
            <w:tcBorders>
              <w:left w:val="nil"/>
            </w:tcBorders>
            <w:vAlign w:val="top"/>
          </w:tcPr>
          <w:p>
            <w:pPr>
              <w:pStyle w:val="14"/>
              <w:spacing w:line="269" w:lineRule="exact"/>
              <w:ind w:left="212"/>
              <w:rPr>
                <w:sz w:val="21"/>
              </w:rPr>
            </w:pPr>
            <w:r>
              <w:rPr>
                <w:w w:val="99"/>
                <w:sz w:val="21"/>
              </w:rPr>
              <w:t>龄</w:t>
            </w:r>
          </w:p>
        </w:tc>
        <w:tc>
          <w:tcPr>
            <w:tcW w:w="2118"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trPr>
        <w:tc>
          <w:tcPr>
            <w:tcW w:w="1061" w:type="dxa"/>
            <w:tcBorders>
              <w:right w:val="nil"/>
            </w:tcBorders>
            <w:vAlign w:val="top"/>
          </w:tcPr>
          <w:p>
            <w:pPr>
              <w:pStyle w:val="14"/>
              <w:spacing w:before="1"/>
              <w:ind w:right="203"/>
              <w:jc w:val="right"/>
              <w:rPr>
                <w:sz w:val="21"/>
              </w:rPr>
            </w:pPr>
            <w:r>
              <w:rPr>
                <w:w w:val="99"/>
                <w:sz w:val="21"/>
              </w:rPr>
              <w:t>性</w:t>
            </w:r>
          </w:p>
        </w:tc>
        <w:tc>
          <w:tcPr>
            <w:tcW w:w="1062" w:type="dxa"/>
            <w:tcBorders>
              <w:left w:val="nil"/>
            </w:tcBorders>
            <w:vAlign w:val="top"/>
          </w:tcPr>
          <w:p>
            <w:pPr>
              <w:pStyle w:val="14"/>
              <w:spacing w:before="1"/>
              <w:ind w:left="214"/>
              <w:rPr>
                <w:sz w:val="21"/>
              </w:rPr>
            </w:pPr>
            <w:r>
              <w:rPr>
                <w:w w:val="99"/>
                <w:sz w:val="21"/>
              </w:rPr>
              <w:t>别</w:t>
            </w:r>
          </w:p>
        </w:tc>
        <w:tc>
          <w:tcPr>
            <w:tcW w:w="2117" w:type="dxa"/>
            <w:vAlign w:val="top"/>
          </w:tcPr>
          <w:p>
            <w:pPr>
              <w:pStyle w:val="14"/>
              <w:rPr>
                <w:rFonts w:ascii="Times New Roman"/>
                <w:sz w:val="20"/>
              </w:rPr>
            </w:pPr>
          </w:p>
        </w:tc>
        <w:tc>
          <w:tcPr>
            <w:tcW w:w="2119" w:type="dxa"/>
            <w:gridSpan w:val="2"/>
            <w:vAlign w:val="top"/>
          </w:tcPr>
          <w:p>
            <w:pPr>
              <w:pStyle w:val="14"/>
              <w:spacing w:before="1"/>
              <w:ind w:left="635"/>
              <w:rPr>
                <w:sz w:val="21"/>
              </w:rPr>
            </w:pPr>
            <w:r>
              <w:rPr>
                <w:sz w:val="21"/>
              </w:rPr>
              <w:t>毕业学校</w:t>
            </w:r>
          </w:p>
        </w:tc>
        <w:tc>
          <w:tcPr>
            <w:tcW w:w="2118"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atLeast"/>
        </w:trPr>
        <w:tc>
          <w:tcPr>
            <w:tcW w:w="2123" w:type="dxa"/>
            <w:gridSpan w:val="2"/>
            <w:vAlign w:val="top"/>
          </w:tcPr>
          <w:p>
            <w:pPr>
              <w:pStyle w:val="14"/>
              <w:ind w:left="535"/>
              <w:rPr>
                <w:sz w:val="21"/>
              </w:rPr>
            </w:pPr>
            <w:r>
              <w:rPr>
                <w:sz w:val="21"/>
              </w:rPr>
              <w:t>学历和专业</w:t>
            </w:r>
          </w:p>
        </w:tc>
        <w:tc>
          <w:tcPr>
            <w:tcW w:w="2117" w:type="dxa"/>
            <w:vAlign w:val="top"/>
          </w:tcPr>
          <w:p>
            <w:pPr>
              <w:pStyle w:val="14"/>
              <w:rPr>
                <w:rFonts w:ascii="Times New Roman"/>
                <w:sz w:val="20"/>
              </w:rPr>
            </w:pPr>
          </w:p>
        </w:tc>
        <w:tc>
          <w:tcPr>
            <w:tcW w:w="2119" w:type="dxa"/>
            <w:gridSpan w:val="2"/>
            <w:vAlign w:val="top"/>
          </w:tcPr>
          <w:p>
            <w:pPr>
              <w:pStyle w:val="14"/>
              <w:ind w:left="635"/>
              <w:rPr>
                <w:sz w:val="21"/>
              </w:rPr>
            </w:pPr>
            <w:r>
              <w:rPr>
                <w:sz w:val="21"/>
              </w:rPr>
              <w:t>毕业时间</w:t>
            </w:r>
          </w:p>
        </w:tc>
        <w:tc>
          <w:tcPr>
            <w:tcW w:w="2118"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9" w:hRule="atLeast"/>
        </w:trPr>
        <w:tc>
          <w:tcPr>
            <w:tcW w:w="2123" w:type="dxa"/>
            <w:gridSpan w:val="2"/>
            <w:vAlign w:val="top"/>
          </w:tcPr>
          <w:p>
            <w:pPr>
              <w:pStyle w:val="14"/>
              <w:spacing w:before="2"/>
              <w:ind w:left="324"/>
              <w:rPr>
                <w:sz w:val="21"/>
              </w:rPr>
            </w:pPr>
            <w:r>
              <w:rPr>
                <w:sz w:val="21"/>
              </w:rPr>
              <w:t>拥有的执业资格</w:t>
            </w:r>
          </w:p>
        </w:tc>
        <w:tc>
          <w:tcPr>
            <w:tcW w:w="2117" w:type="dxa"/>
            <w:vAlign w:val="top"/>
          </w:tcPr>
          <w:p>
            <w:pPr>
              <w:pStyle w:val="14"/>
              <w:rPr>
                <w:rFonts w:ascii="Times New Roman"/>
                <w:sz w:val="20"/>
              </w:rPr>
            </w:pPr>
          </w:p>
        </w:tc>
        <w:tc>
          <w:tcPr>
            <w:tcW w:w="2119" w:type="dxa"/>
            <w:gridSpan w:val="2"/>
            <w:vAlign w:val="top"/>
          </w:tcPr>
          <w:p>
            <w:pPr>
              <w:pStyle w:val="14"/>
              <w:spacing w:before="2"/>
              <w:ind w:left="635"/>
              <w:rPr>
                <w:sz w:val="21"/>
              </w:rPr>
            </w:pPr>
            <w:r>
              <w:rPr>
                <w:sz w:val="21"/>
              </w:rPr>
              <w:t>专业职称</w:t>
            </w:r>
          </w:p>
        </w:tc>
        <w:tc>
          <w:tcPr>
            <w:tcW w:w="2118"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atLeast"/>
        </w:trPr>
        <w:tc>
          <w:tcPr>
            <w:tcW w:w="2123" w:type="dxa"/>
            <w:gridSpan w:val="2"/>
            <w:vAlign w:val="top"/>
          </w:tcPr>
          <w:p>
            <w:pPr>
              <w:pStyle w:val="14"/>
              <w:spacing w:before="1"/>
              <w:ind w:left="221"/>
              <w:rPr>
                <w:sz w:val="21"/>
              </w:rPr>
            </w:pPr>
            <w:r>
              <w:rPr>
                <w:sz w:val="21"/>
              </w:rPr>
              <w:t>执业资格证书编号</w:t>
            </w:r>
          </w:p>
        </w:tc>
        <w:tc>
          <w:tcPr>
            <w:tcW w:w="2117" w:type="dxa"/>
            <w:vAlign w:val="top"/>
          </w:tcPr>
          <w:p>
            <w:pPr>
              <w:pStyle w:val="14"/>
              <w:rPr>
                <w:rFonts w:ascii="Times New Roman"/>
                <w:sz w:val="20"/>
              </w:rPr>
            </w:pPr>
          </w:p>
        </w:tc>
        <w:tc>
          <w:tcPr>
            <w:tcW w:w="2119" w:type="dxa"/>
            <w:gridSpan w:val="2"/>
            <w:vAlign w:val="top"/>
          </w:tcPr>
          <w:p>
            <w:pPr>
              <w:pStyle w:val="14"/>
              <w:spacing w:before="1"/>
              <w:ind w:left="635"/>
              <w:rPr>
                <w:sz w:val="21"/>
              </w:rPr>
            </w:pPr>
            <w:r>
              <w:rPr>
                <w:sz w:val="21"/>
              </w:rPr>
              <w:t>工作年限</w:t>
            </w:r>
          </w:p>
        </w:tc>
        <w:tc>
          <w:tcPr>
            <w:tcW w:w="2118"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95" w:hRule="atLeast"/>
        </w:trPr>
        <w:tc>
          <w:tcPr>
            <w:tcW w:w="2123" w:type="dxa"/>
            <w:gridSpan w:val="2"/>
            <w:vAlign w:val="top"/>
          </w:tcPr>
          <w:p>
            <w:pPr>
              <w:pStyle w:val="14"/>
              <w:rPr>
                <w:sz w:val="20"/>
              </w:rPr>
            </w:pPr>
          </w:p>
          <w:p>
            <w:pPr>
              <w:pStyle w:val="14"/>
              <w:spacing w:before="152" w:line="364" w:lineRule="auto"/>
              <w:ind w:left="1054" w:right="847"/>
              <w:jc w:val="both"/>
              <w:rPr>
                <w:sz w:val="21"/>
              </w:rPr>
            </w:pPr>
            <w:r>
              <w:rPr>
                <w:sz w:val="21"/>
              </w:rPr>
              <w:t>主要工作业绩及担任的主要工作</w:t>
            </w:r>
          </w:p>
        </w:tc>
        <w:tc>
          <w:tcPr>
            <w:tcW w:w="6354" w:type="dxa"/>
            <w:gridSpan w:val="4"/>
            <w:vAlign w:val="top"/>
          </w:tcPr>
          <w:p>
            <w:pPr>
              <w:pStyle w:val="14"/>
              <w:rPr>
                <w:rFonts w:ascii="Times New Roman"/>
                <w:sz w:val="20"/>
              </w:rPr>
            </w:pPr>
          </w:p>
        </w:tc>
      </w:tr>
    </w:tbl>
    <w:p>
      <w:pPr>
        <w:pStyle w:val="9"/>
        <w:spacing w:before="7"/>
        <w:rPr>
          <w:sz w:val="26"/>
        </w:rPr>
      </w:pPr>
    </w:p>
    <w:p>
      <w:pPr>
        <w:spacing w:before="70" w:line="364" w:lineRule="auto"/>
        <w:ind w:left="377" w:right="221" w:firstLine="420"/>
        <w:jc w:val="both"/>
        <w:rPr>
          <w:sz w:val="21"/>
        </w:rPr>
      </w:pPr>
      <w:r>
        <w:rPr>
          <w:sz w:val="21"/>
        </w:rPr>
        <w:t>主要项目管理人员指拟任项目副经理、技术负责人、合同商务负责人、专职质量管理人员、专职安全生产管理人员及其他关键岗位人员等。应附执业资格或岗位证书、身份证、职称证、学历证、养老保险复印件（退休人员可提供退休证和聘用证），专职安全生产管理人员应附安全生产考核合格证书复印件。</w:t>
      </w:r>
    </w:p>
    <w:p>
      <w:pPr>
        <w:spacing w:after="0" w:line="364" w:lineRule="auto"/>
        <w:jc w:val="both"/>
        <w:rPr>
          <w:sz w:val="21"/>
        </w:rPr>
        <w:sectPr>
          <w:pgSz w:w="11910" w:h="16840"/>
          <w:pgMar w:top="1100" w:right="1420" w:bottom="1220" w:left="1420" w:header="878" w:footer="1024" w:gutter="0"/>
          <w:cols w:space="720" w:num="1"/>
        </w:sectPr>
      </w:pPr>
    </w:p>
    <w:p>
      <w:pPr>
        <w:pStyle w:val="9"/>
        <w:spacing w:line="20" w:lineRule="exact"/>
        <w:ind w:left="369"/>
        <w:rPr>
          <w:sz w:val="2"/>
        </w:rPr>
      </w:pPr>
      <w:r>
        <w:rPr>
          <w:rFonts w:ascii="宋体" w:hAnsi="宋体" w:eastAsia="宋体" w:cs="宋体"/>
          <w:sz w:val="2"/>
          <w:szCs w:val="22"/>
          <w:lang w:val="zh-CN" w:eastAsia="zh-CN" w:bidi="zh-CN"/>
        </w:rPr>
        <w:pict>
          <v:group id="组合 32" o:spid="_x0000_s1081" style="height:0.75pt;width:405.25pt;rotation:0f;" coordorigin="0,7" coordsize="8105,0">
            <o:lock v:ext="edit" position="f" selection="f" grouping="f" rotation="f" cropping="f" text="f" aspectratio="f"/>
            <v:line id="直线 33" o:spid="_x0000_s1082" style="position:absolute;left:0;top:7;height:0;width:8105;rotation:0f;" o:ole="f" fillcolor="#FFFFFF" filled="f" o:preferrelative="t" stroked="t" coordsize="21600,21600">
              <v:fill on="f" color2="#FFFFFF" focus="0%"/>
              <v:stroke weight="0.72pt" color="#000000" color2="#FFFFFF" miterlimit="2"/>
              <v:imagedata gain="65536f" blacklevel="0f" gamma="0"/>
              <o:lock v:ext="edit" position="f" selection="f" grouping="f" rotation="f" cropping="f" text="f" aspectratio="f"/>
            </v:line>
            <w10:wrap type="none"/>
            <w10:anchorlock/>
          </v:group>
        </w:pict>
      </w:r>
    </w:p>
    <w:p>
      <w:pPr>
        <w:pStyle w:val="9"/>
        <w:rPr>
          <w:sz w:val="20"/>
        </w:rPr>
      </w:pPr>
    </w:p>
    <w:p>
      <w:pPr>
        <w:pStyle w:val="9"/>
        <w:spacing w:before="12"/>
        <w:rPr>
          <w:sz w:val="19"/>
        </w:rPr>
      </w:pPr>
    </w:p>
    <w:p>
      <w:pPr>
        <w:spacing w:before="70"/>
        <w:ind w:left="377" w:right="0" w:firstLine="0"/>
        <w:jc w:val="left"/>
        <w:rPr>
          <w:sz w:val="21"/>
        </w:rPr>
      </w:pPr>
      <w:bookmarkStart w:id="148" w:name="（三）投标人基本资料"/>
      <w:bookmarkEnd w:id="148"/>
      <w:r>
        <w:rPr>
          <w:sz w:val="21"/>
        </w:rPr>
        <w:t>（三）投标人基本资料</w:t>
      </w:r>
    </w:p>
    <w:p>
      <w:pPr>
        <w:pStyle w:val="9"/>
        <w:spacing w:before="10"/>
        <w:rPr>
          <w:sz w:val="14"/>
        </w:rPr>
      </w:pPr>
    </w:p>
    <w:p>
      <w:pPr>
        <w:pStyle w:val="13"/>
        <w:numPr>
          <w:ilvl w:val="0"/>
          <w:numId w:val="119"/>
        </w:numPr>
        <w:tabs>
          <w:tab w:val="left" w:pos="3875"/>
        </w:tabs>
        <w:spacing w:before="69" w:after="0" w:line="240" w:lineRule="auto"/>
        <w:ind w:left="3874" w:right="0" w:hanging="3726"/>
        <w:jc w:val="left"/>
        <w:rPr>
          <w:sz w:val="21"/>
        </w:rPr>
      </w:pPr>
      <w:bookmarkStart w:id="149" w:name="1.投标人基本情况表"/>
      <w:bookmarkEnd w:id="149"/>
      <w:r>
        <w:rPr>
          <w:sz w:val="21"/>
        </w:rPr>
        <w:t>投标人基本情况表</w:t>
      </w:r>
    </w:p>
    <w:p>
      <w:pPr>
        <w:pStyle w:val="9"/>
        <w:spacing w:before="9"/>
        <w:rPr>
          <w:sz w:val="29"/>
        </w:rPr>
      </w:pPr>
    </w:p>
    <w:tbl>
      <w:tblPr>
        <w:tblW w:w="8398" w:type="dxa"/>
        <w:tblInd w:w="4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7"/>
        <w:gridCol w:w="897"/>
        <w:gridCol w:w="1021"/>
        <w:gridCol w:w="993"/>
        <w:gridCol w:w="283"/>
        <w:gridCol w:w="195"/>
        <w:gridCol w:w="1246"/>
        <w:gridCol w:w="261"/>
        <w:gridCol w:w="709"/>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1377" w:type="dxa"/>
            <w:vAlign w:val="top"/>
          </w:tcPr>
          <w:p>
            <w:pPr>
              <w:pStyle w:val="14"/>
              <w:spacing w:before="80"/>
              <w:ind w:left="141" w:right="136"/>
              <w:jc w:val="center"/>
              <w:rPr>
                <w:sz w:val="21"/>
              </w:rPr>
            </w:pPr>
            <w:r>
              <w:rPr>
                <w:sz w:val="21"/>
              </w:rPr>
              <w:t>投标人名称</w:t>
            </w:r>
          </w:p>
        </w:tc>
        <w:tc>
          <w:tcPr>
            <w:tcW w:w="7021" w:type="dxa"/>
            <w:gridSpan w:val="9"/>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377" w:type="dxa"/>
            <w:vAlign w:val="top"/>
          </w:tcPr>
          <w:p>
            <w:pPr>
              <w:pStyle w:val="14"/>
              <w:spacing w:before="79"/>
              <w:ind w:left="141" w:right="136"/>
              <w:jc w:val="center"/>
              <w:rPr>
                <w:sz w:val="21"/>
              </w:rPr>
            </w:pPr>
            <w:r>
              <w:rPr>
                <w:sz w:val="21"/>
              </w:rPr>
              <w:t>注册地址</w:t>
            </w:r>
          </w:p>
        </w:tc>
        <w:tc>
          <w:tcPr>
            <w:tcW w:w="3389" w:type="dxa"/>
            <w:gridSpan w:val="5"/>
            <w:vAlign w:val="top"/>
          </w:tcPr>
          <w:p>
            <w:pPr>
              <w:pStyle w:val="14"/>
              <w:rPr>
                <w:rFonts w:ascii="Times New Roman"/>
                <w:sz w:val="20"/>
              </w:rPr>
            </w:pPr>
          </w:p>
        </w:tc>
        <w:tc>
          <w:tcPr>
            <w:tcW w:w="1246" w:type="dxa"/>
            <w:vAlign w:val="top"/>
          </w:tcPr>
          <w:p>
            <w:pPr>
              <w:pStyle w:val="14"/>
              <w:spacing w:before="79"/>
              <w:ind w:left="7"/>
              <w:jc w:val="center"/>
              <w:rPr>
                <w:sz w:val="21"/>
              </w:rPr>
            </w:pPr>
            <w:r>
              <w:rPr>
                <w:sz w:val="21"/>
              </w:rPr>
              <w:t>邮政编码</w:t>
            </w:r>
          </w:p>
        </w:tc>
        <w:tc>
          <w:tcPr>
            <w:tcW w:w="2386" w:type="dxa"/>
            <w:gridSpan w:val="3"/>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377" w:type="dxa"/>
            <w:vMerge w:val="restart"/>
            <w:vAlign w:val="top"/>
          </w:tcPr>
          <w:p>
            <w:pPr>
              <w:pStyle w:val="14"/>
              <w:spacing w:before="9"/>
              <w:rPr>
                <w:sz w:val="28"/>
              </w:rPr>
            </w:pPr>
          </w:p>
          <w:p>
            <w:pPr>
              <w:pStyle w:val="14"/>
              <w:spacing w:before="1"/>
              <w:ind w:left="267"/>
              <w:rPr>
                <w:sz w:val="21"/>
              </w:rPr>
            </w:pPr>
            <w:r>
              <w:rPr>
                <w:sz w:val="21"/>
              </w:rPr>
              <w:t>联系方式</w:t>
            </w:r>
          </w:p>
        </w:tc>
        <w:tc>
          <w:tcPr>
            <w:tcW w:w="897" w:type="dxa"/>
            <w:vAlign w:val="top"/>
          </w:tcPr>
          <w:p>
            <w:pPr>
              <w:pStyle w:val="14"/>
              <w:spacing w:before="80"/>
              <w:ind w:left="9"/>
              <w:jc w:val="center"/>
              <w:rPr>
                <w:sz w:val="21"/>
              </w:rPr>
            </w:pPr>
            <w:r>
              <w:rPr>
                <w:sz w:val="21"/>
              </w:rPr>
              <w:t>联系人</w:t>
            </w:r>
          </w:p>
        </w:tc>
        <w:tc>
          <w:tcPr>
            <w:tcW w:w="2492" w:type="dxa"/>
            <w:gridSpan w:val="4"/>
            <w:vAlign w:val="top"/>
          </w:tcPr>
          <w:p>
            <w:pPr>
              <w:pStyle w:val="14"/>
              <w:rPr>
                <w:rFonts w:ascii="Times New Roman"/>
                <w:sz w:val="20"/>
              </w:rPr>
            </w:pPr>
          </w:p>
        </w:tc>
        <w:tc>
          <w:tcPr>
            <w:tcW w:w="1246" w:type="dxa"/>
            <w:vAlign w:val="top"/>
          </w:tcPr>
          <w:p>
            <w:pPr>
              <w:pStyle w:val="14"/>
              <w:tabs>
                <w:tab w:val="left" w:pos="430"/>
              </w:tabs>
              <w:spacing w:before="80"/>
              <w:ind w:left="10"/>
              <w:jc w:val="center"/>
              <w:rPr>
                <w:sz w:val="21"/>
              </w:rPr>
            </w:pPr>
            <w:r>
              <w:rPr>
                <w:sz w:val="21"/>
              </w:rPr>
              <w:t>电</w:t>
            </w:r>
            <w:r>
              <w:rPr>
                <w:sz w:val="21"/>
              </w:rPr>
              <w:tab/>
            </w:r>
            <w:r>
              <w:rPr>
                <w:sz w:val="21"/>
              </w:rPr>
              <w:t>话</w:t>
            </w:r>
          </w:p>
        </w:tc>
        <w:tc>
          <w:tcPr>
            <w:tcW w:w="2386" w:type="dxa"/>
            <w:gridSpan w:val="3"/>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377" w:type="dxa"/>
            <w:vMerge w:val="continue"/>
            <w:tcBorders>
              <w:top w:val="nil"/>
            </w:tcBorders>
            <w:vAlign w:val="top"/>
          </w:tcPr>
          <w:p>
            <w:pPr>
              <w:rPr>
                <w:sz w:val="2"/>
                <w:szCs w:val="2"/>
              </w:rPr>
            </w:pPr>
          </w:p>
        </w:tc>
        <w:tc>
          <w:tcPr>
            <w:tcW w:w="897" w:type="dxa"/>
            <w:vAlign w:val="top"/>
          </w:tcPr>
          <w:p>
            <w:pPr>
              <w:pStyle w:val="14"/>
              <w:tabs>
                <w:tab w:val="left" w:pos="429"/>
              </w:tabs>
              <w:spacing w:before="79"/>
              <w:ind w:left="9"/>
              <w:jc w:val="center"/>
              <w:rPr>
                <w:sz w:val="21"/>
              </w:rPr>
            </w:pPr>
            <w:r>
              <w:rPr>
                <w:sz w:val="21"/>
              </w:rPr>
              <w:t>传</w:t>
            </w:r>
            <w:r>
              <w:rPr>
                <w:sz w:val="21"/>
              </w:rPr>
              <w:tab/>
            </w:r>
            <w:r>
              <w:rPr>
                <w:sz w:val="21"/>
              </w:rPr>
              <w:t>真</w:t>
            </w:r>
          </w:p>
        </w:tc>
        <w:tc>
          <w:tcPr>
            <w:tcW w:w="2492" w:type="dxa"/>
            <w:gridSpan w:val="4"/>
            <w:vAlign w:val="top"/>
          </w:tcPr>
          <w:p>
            <w:pPr>
              <w:pStyle w:val="14"/>
              <w:rPr>
                <w:rFonts w:ascii="Times New Roman"/>
                <w:sz w:val="20"/>
              </w:rPr>
            </w:pPr>
          </w:p>
        </w:tc>
        <w:tc>
          <w:tcPr>
            <w:tcW w:w="1246" w:type="dxa"/>
            <w:vAlign w:val="top"/>
          </w:tcPr>
          <w:p>
            <w:pPr>
              <w:pStyle w:val="14"/>
              <w:tabs>
                <w:tab w:val="left" w:pos="430"/>
              </w:tabs>
              <w:spacing w:before="79"/>
              <w:ind w:left="10"/>
              <w:jc w:val="center"/>
              <w:rPr>
                <w:sz w:val="21"/>
              </w:rPr>
            </w:pPr>
            <w:r>
              <w:rPr>
                <w:sz w:val="21"/>
              </w:rPr>
              <w:t>网</w:t>
            </w:r>
            <w:r>
              <w:rPr>
                <w:sz w:val="21"/>
              </w:rPr>
              <w:tab/>
            </w:r>
            <w:r>
              <w:rPr>
                <w:sz w:val="21"/>
              </w:rPr>
              <w:t>址</w:t>
            </w:r>
          </w:p>
        </w:tc>
        <w:tc>
          <w:tcPr>
            <w:tcW w:w="2386" w:type="dxa"/>
            <w:gridSpan w:val="3"/>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377" w:type="dxa"/>
            <w:vAlign w:val="top"/>
          </w:tcPr>
          <w:p>
            <w:pPr>
              <w:pStyle w:val="14"/>
              <w:spacing w:before="81"/>
              <w:ind w:left="141" w:right="136"/>
              <w:jc w:val="center"/>
              <w:rPr>
                <w:sz w:val="21"/>
              </w:rPr>
            </w:pPr>
            <w:r>
              <w:rPr>
                <w:sz w:val="21"/>
              </w:rPr>
              <w:t>组织结构</w:t>
            </w:r>
          </w:p>
        </w:tc>
        <w:tc>
          <w:tcPr>
            <w:tcW w:w="7021" w:type="dxa"/>
            <w:gridSpan w:val="9"/>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1377" w:type="dxa"/>
            <w:vAlign w:val="top"/>
          </w:tcPr>
          <w:p>
            <w:pPr>
              <w:pStyle w:val="14"/>
              <w:spacing w:before="80"/>
              <w:ind w:left="141" w:right="136"/>
              <w:jc w:val="center"/>
              <w:rPr>
                <w:sz w:val="21"/>
              </w:rPr>
            </w:pPr>
            <w:r>
              <w:rPr>
                <w:sz w:val="21"/>
              </w:rPr>
              <w:t>法定代表人</w:t>
            </w:r>
          </w:p>
        </w:tc>
        <w:tc>
          <w:tcPr>
            <w:tcW w:w="897" w:type="dxa"/>
            <w:vAlign w:val="top"/>
          </w:tcPr>
          <w:p>
            <w:pPr>
              <w:pStyle w:val="14"/>
              <w:spacing w:before="80"/>
              <w:ind w:left="4"/>
              <w:jc w:val="center"/>
              <w:rPr>
                <w:sz w:val="21"/>
              </w:rPr>
            </w:pPr>
            <w:r>
              <w:rPr>
                <w:sz w:val="21"/>
              </w:rPr>
              <w:t>姓名</w:t>
            </w:r>
          </w:p>
        </w:tc>
        <w:tc>
          <w:tcPr>
            <w:tcW w:w="1021" w:type="dxa"/>
            <w:vAlign w:val="top"/>
          </w:tcPr>
          <w:p>
            <w:pPr>
              <w:pStyle w:val="14"/>
              <w:rPr>
                <w:rFonts w:ascii="Times New Roman"/>
                <w:sz w:val="20"/>
              </w:rPr>
            </w:pPr>
          </w:p>
        </w:tc>
        <w:tc>
          <w:tcPr>
            <w:tcW w:w="1276" w:type="dxa"/>
            <w:gridSpan w:val="2"/>
            <w:vAlign w:val="top"/>
          </w:tcPr>
          <w:p>
            <w:pPr>
              <w:pStyle w:val="14"/>
              <w:spacing w:before="80"/>
              <w:ind w:left="217"/>
              <w:rPr>
                <w:sz w:val="21"/>
              </w:rPr>
            </w:pPr>
            <w:r>
              <w:rPr>
                <w:sz w:val="21"/>
              </w:rPr>
              <w:t>技术职称</w:t>
            </w:r>
          </w:p>
        </w:tc>
        <w:tc>
          <w:tcPr>
            <w:tcW w:w="1702" w:type="dxa"/>
            <w:gridSpan w:val="3"/>
            <w:vAlign w:val="top"/>
          </w:tcPr>
          <w:p>
            <w:pPr>
              <w:pStyle w:val="14"/>
              <w:rPr>
                <w:rFonts w:ascii="Times New Roman"/>
                <w:sz w:val="20"/>
              </w:rPr>
            </w:pPr>
          </w:p>
        </w:tc>
        <w:tc>
          <w:tcPr>
            <w:tcW w:w="709" w:type="dxa"/>
            <w:vAlign w:val="top"/>
          </w:tcPr>
          <w:p>
            <w:pPr>
              <w:pStyle w:val="14"/>
              <w:spacing w:before="80"/>
              <w:ind w:left="122" w:right="117"/>
              <w:jc w:val="center"/>
              <w:rPr>
                <w:sz w:val="21"/>
              </w:rPr>
            </w:pPr>
            <w:r>
              <w:rPr>
                <w:sz w:val="21"/>
              </w:rPr>
              <w:t>电话</w:t>
            </w:r>
          </w:p>
        </w:tc>
        <w:tc>
          <w:tcPr>
            <w:tcW w:w="1416"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377" w:type="dxa"/>
            <w:vAlign w:val="top"/>
          </w:tcPr>
          <w:p>
            <w:pPr>
              <w:pStyle w:val="14"/>
              <w:spacing w:before="79"/>
              <w:ind w:left="141" w:right="136"/>
              <w:jc w:val="center"/>
              <w:rPr>
                <w:sz w:val="21"/>
              </w:rPr>
            </w:pPr>
            <w:r>
              <w:rPr>
                <w:sz w:val="21"/>
              </w:rPr>
              <w:t>技术负责人</w:t>
            </w:r>
          </w:p>
        </w:tc>
        <w:tc>
          <w:tcPr>
            <w:tcW w:w="897" w:type="dxa"/>
            <w:vAlign w:val="top"/>
          </w:tcPr>
          <w:p>
            <w:pPr>
              <w:pStyle w:val="14"/>
              <w:spacing w:before="79"/>
              <w:ind w:left="4"/>
              <w:jc w:val="center"/>
              <w:rPr>
                <w:sz w:val="21"/>
              </w:rPr>
            </w:pPr>
            <w:r>
              <w:rPr>
                <w:sz w:val="21"/>
              </w:rPr>
              <w:t>姓名</w:t>
            </w:r>
          </w:p>
        </w:tc>
        <w:tc>
          <w:tcPr>
            <w:tcW w:w="1021" w:type="dxa"/>
            <w:vAlign w:val="top"/>
          </w:tcPr>
          <w:p>
            <w:pPr>
              <w:pStyle w:val="14"/>
              <w:rPr>
                <w:rFonts w:ascii="Times New Roman"/>
                <w:sz w:val="20"/>
              </w:rPr>
            </w:pPr>
          </w:p>
        </w:tc>
        <w:tc>
          <w:tcPr>
            <w:tcW w:w="1276" w:type="dxa"/>
            <w:gridSpan w:val="2"/>
            <w:vAlign w:val="top"/>
          </w:tcPr>
          <w:p>
            <w:pPr>
              <w:pStyle w:val="14"/>
              <w:spacing w:before="79"/>
              <w:ind w:left="217"/>
              <w:rPr>
                <w:sz w:val="21"/>
              </w:rPr>
            </w:pPr>
            <w:r>
              <w:rPr>
                <w:sz w:val="21"/>
              </w:rPr>
              <w:t>技术职称</w:t>
            </w:r>
          </w:p>
        </w:tc>
        <w:tc>
          <w:tcPr>
            <w:tcW w:w="1702" w:type="dxa"/>
            <w:gridSpan w:val="3"/>
            <w:vAlign w:val="top"/>
          </w:tcPr>
          <w:p>
            <w:pPr>
              <w:pStyle w:val="14"/>
              <w:rPr>
                <w:rFonts w:ascii="Times New Roman"/>
                <w:sz w:val="20"/>
              </w:rPr>
            </w:pPr>
          </w:p>
        </w:tc>
        <w:tc>
          <w:tcPr>
            <w:tcW w:w="709" w:type="dxa"/>
            <w:vAlign w:val="top"/>
          </w:tcPr>
          <w:p>
            <w:pPr>
              <w:pStyle w:val="14"/>
              <w:spacing w:before="79"/>
              <w:ind w:left="122" w:right="117"/>
              <w:jc w:val="center"/>
              <w:rPr>
                <w:sz w:val="21"/>
              </w:rPr>
            </w:pPr>
            <w:r>
              <w:rPr>
                <w:sz w:val="21"/>
              </w:rPr>
              <w:t>电话</w:t>
            </w:r>
          </w:p>
        </w:tc>
        <w:tc>
          <w:tcPr>
            <w:tcW w:w="1416"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1377" w:type="dxa"/>
            <w:vAlign w:val="top"/>
          </w:tcPr>
          <w:p>
            <w:pPr>
              <w:pStyle w:val="14"/>
              <w:spacing w:before="80"/>
              <w:ind w:left="141" w:right="136"/>
              <w:jc w:val="center"/>
              <w:rPr>
                <w:sz w:val="21"/>
              </w:rPr>
            </w:pPr>
            <w:r>
              <w:rPr>
                <w:sz w:val="21"/>
              </w:rPr>
              <w:t>成立时间</w:t>
            </w:r>
          </w:p>
        </w:tc>
        <w:tc>
          <w:tcPr>
            <w:tcW w:w="1918" w:type="dxa"/>
            <w:gridSpan w:val="2"/>
            <w:vAlign w:val="top"/>
          </w:tcPr>
          <w:p>
            <w:pPr>
              <w:pStyle w:val="14"/>
              <w:rPr>
                <w:rFonts w:ascii="Times New Roman"/>
                <w:sz w:val="20"/>
              </w:rPr>
            </w:pPr>
          </w:p>
        </w:tc>
        <w:tc>
          <w:tcPr>
            <w:tcW w:w="5103" w:type="dxa"/>
            <w:gridSpan w:val="7"/>
            <w:vAlign w:val="top"/>
          </w:tcPr>
          <w:p>
            <w:pPr>
              <w:pStyle w:val="14"/>
              <w:spacing w:before="80"/>
              <w:ind w:left="1900" w:right="1893"/>
              <w:jc w:val="center"/>
              <w:rPr>
                <w:sz w:val="21"/>
              </w:rPr>
            </w:pPr>
            <w:r>
              <w:rPr>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7" w:hRule="atLeast"/>
        </w:trPr>
        <w:tc>
          <w:tcPr>
            <w:tcW w:w="1377" w:type="dxa"/>
            <w:vAlign w:val="top"/>
          </w:tcPr>
          <w:p>
            <w:pPr>
              <w:pStyle w:val="14"/>
              <w:ind w:left="141" w:right="136"/>
              <w:jc w:val="center"/>
              <w:rPr>
                <w:sz w:val="21"/>
              </w:rPr>
            </w:pPr>
            <w:r>
              <w:rPr>
                <w:sz w:val="21"/>
              </w:rPr>
              <w:t>企业资质等</w:t>
            </w:r>
          </w:p>
          <w:p>
            <w:pPr>
              <w:pStyle w:val="14"/>
              <w:spacing w:before="139"/>
              <w:ind w:left="5"/>
              <w:jc w:val="center"/>
              <w:rPr>
                <w:sz w:val="21"/>
              </w:rPr>
            </w:pPr>
            <w:r>
              <w:rPr>
                <w:w w:val="99"/>
                <w:sz w:val="21"/>
              </w:rPr>
              <w:t>级</w:t>
            </w:r>
          </w:p>
        </w:tc>
        <w:tc>
          <w:tcPr>
            <w:tcW w:w="897" w:type="dxa"/>
            <w:vAlign w:val="top"/>
          </w:tcPr>
          <w:p>
            <w:pPr>
              <w:pStyle w:val="14"/>
              <w:rPr>
                <w:rFonts w:ascii="Times New Roman"/>
                <w:sz w:val="20"/>
              </w:rPr>
            </w:pPr>
          </w:p>
        </w:tc>
        <w:tc>
          <w:tcPr>
            <w:tcW w:w="1021" w:type="dxa"/>
            <w:vAlign w:val="top"/>
          </w:tcPr>
          <w:p>
            <w:pPr>
              <w:pStyle w:val="14"/>
              <w:rPr>
                <w:rFonts w:ascii="Times New Roman"/>
                <w:sz w:val="20"/>
              </w:rPr>
            </w:pPr>
          </w:p>
        </w:tc>
        <w:tc>
          <w:tcPr>
            <w:tcW w:w="993" w:type="dxa"/>
            <w:vMerge w:val="restart"/>
            <w:vAlign w:val="top"/>
          </w:tcPr>
          <w:p>
            <w:pPr>
              <w:pStyle w:val="14"/>
              <w:rPr>
                <w:sz w:val="20"/>
              </w:rPr>
            </w:pPr>
          </w:p>
          <w:p>
            <w:pPr>
              <w:pStyle w:val="14"/>
              <w:rPr>
                <w:sz w:val="20"/>
              </w:rPr>
            </w:pPr>
          </w:p>
          <w:p>
            <w:pPr>
              <w:pStyle w:val="14"/>
              <w:rPr>
                <w:sz w:val="20"/>
              </w:rPr>
            </w:pPr>
          </w:p>
          <w:p>
            <w:pPr>
              <w:pStyle w:val="14"/>
              <w:rPr>
                <w:sz w:val="20"/>
              </w:rPr>
            </w:pPr>
          </w:p>
          <w:p>
            <w:pPr>
              <w:pStyle w:val="14"/>
              <w:rPr>
                <w:sz w:val="26"/>
              </w:rPr>
            </w:pPr>
          </w:p>
          <w:p>
            <w:pPr>
              <w:pStyle w:val="14"/>
              <w:ind w:left="286"/>
              <w:rPr>
                <w:sz w:val="21"/>
              </w:rPr>
            </w:pPr>
            <w:r>
              <w:rPr>
                <w:sz w:val="21"/>
              </w:rPr>
              <w:t>其中</w:t>
            </w:r>
          </w:p>
        </w:tc>
        <w:tc>
          <w:tcPr>
            <w:tcW w:w="1985" w:type="dxa"/>
            <w:gridSpan w:val="4"/>
            <w:vAlign w:val="top"/>
          </w:tcPr>
          <w:p>
            <w:pPr>
              <w:pStyle w:val="14"/>
              <w:spacing w:before="12"/>
              <w:rPr>
                <w:sz w:val="15"/>
              </w:rPr>
            </w:pPr>
          </w:p>
          <w:p>
            <w:pPr>
              <w:pStyle w:val="14"/>
              <w:ind w:left="467"/>
              <w:rPr>
                <w:sz w:val="21"/>
              </w:rPr>
            </w:pPr>
            <w:r>
              <w:rPr>
                <w:sz w:val="21"/>
              </w:rPr>
              <w:t>项目负责人</w:t>
            </w:r>
          </w:p>
        </w:tc>
        <w:tc>
          <w:tcPr>
            <w:tcW w:w="2125" w:type="dxa"/>
            <w:gridSpan w:val="2"/>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1377" w:type="dxa"/>
            <w:vAlign w:val="top"/>
          </w:tcPr>
          <w:p>
            <w:pPr>
              <w:pStyle w:val="14"/>
              <w:spacing w:before="80"/>
              <w:ind w:left="141" w:right="136"/>
              <w:jc w:val="center"/>
              <w:rPr>
                <w:sz w:val="21"/>
              </w:rPr>
            </w:pPr>
            <w:r>
              <w:rPr>
                <w:sz w:val="21"/>
              </w:rPr>
              <w:t>营业执照号</w:t>
            </w:r>
          </w:p>
        </w:tc>
        <w:tc>
          <w:tcPr>
            <w:tcW w:w="897" w:type="dxa"/>
            <w:vAlign w:val="top"/>
          </w:tcPr>
          <w:p>
            <w:pPr>
              <w:pStyle w:val="14"/>
              <w:rPr>
                <w:rFonts w:ascii="Times New Roman"/>
                <w:sz w:val="20"/>
              </w:rPr>
            </w:pPr>
          </w:p>
        </w:tc>
        <w:tc>
          <w:tcPr>
            <w:tcW w:w="1021" w:type="dxa"/>
            <w:vAlign w:val="top"/>
          </w:tcPr>
          <w:p>
            <w:pPr>
              <w:pStyle w:val="14"/>
              <w:rPr>
                <w:rFonts w:ascii="Times New Roman"/>
                <w:sz w:val="20"/>
              </w:rPr>
            </w:pPr>
          </w:p>
        </w:tc>
        <w:tc>
          <w:tcPr>
            <w:tcW w:w="993" w:type="dxa"/>
            <w:vMerge w:val="continue"/>
            <w:tcBorders>
              <w:top w:val="nil"/>
            </w:tcBorders>
            <w:vAlign w:val="top"/>
          </w:tcPr>
          <w:p>
            <w:pPr>
              <w:rPr>
                <w:sz w:val="2"/>
                <w:szCs w:val="2"/>
              </w:rPr>
            </w:pPr>
          </w:p>
        </w:tc>
        <w:tc>
          <w:tcPr>
            <w:tcW w:w="1985" w:type="dxa"/>
            <w:gridSpan w:val="4"/>
            <w:vAlign w:val="top"/>
          </w:tcPr>
          <w:p>
            <w:pPr>
              <w:pStyle w:val="14"/>
              <w:spacing w:before="80"/>
              <w:ind w:left="361"/>
              <w:rPr>
                <w:sz w:val="21"/>
              </w:rPr>
            </w:pPr>
            <w:r>
              <w:rPr>
                <w:sz w:val="21"/>
              </w:rPr>
              <w:t>高级职称人员</w:t>
            </w:r>
          </w:p>
        </w:tc>
        <w:tc>
          <w:tcPr>
            <w:tcW w:w="2125" w:type="dxa"/>
            <w:gridSpan w:val="2"/>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377" w:type="dxa"/>
            <w:vAlign w:val="top"/>
          </w:tcPr>
          <w:p>
            <w:pPr>
              <w:pStyle w:val="14"/>
              <w:spacing w:before="79"/>
              <w:ind w:left="141" w:right="136"/>
              <w:jc w:val="center"/>
              <w:rPr>
                <w:sz w:val="21"/>
              </w:rPr>
            </w:pPr>
            <w:r>
              <w:rPr>
                <w:sz w:val="21"/>
              </w:rPr>
              <w:t>注册资金</w:t>
            </w:r>
          </w:p>
        </w:tc>
        <w:tc>
          <w:tcPr>
            <w:tcW w:w="897" w:type="dxa"/>
            <w:vAlign w:val="top"/>
          </w:tcPr>
          <w:p>
            <w:pPr>
              <w:pStyle w:val="14"/>
              <w:rPr>
                <w:rFonts w:ascii="Times New Roman"/>
                <w:sz w:val="20"/>
              </w:rPr>
            </w:pPr>
          </w:p>
        </w:tc>
        <w:tc>
          <w:tcPr>
            <w:tcW w:w="1021" w:type="dxa"/>
            <w:vAlign w:val="top"/>
          </w:tcPr>
          <w:p>
            <w:pPr>
              <w:pStyle w:val="14"/>
              <w:rPr>
                <w:rFonts w:ascii="Times New Roman"/>
                <w:sz w:val="20"/>
              </w:rPr>
            </w:pPr>
          </w:p>
        </w:tc>
        <w:tc>
          <w:tcPr>
            <w:tcW w:w="993" w:type="dxa"/>
            <w:vMerge w:val="continue"/>
            <w:tcBorders>
              <w:top w:val="nil"/>
            </w:tcBorders>
            <w:vAlign w:val="top"/>
          </w:tcPr>
          <w:p>
            <w:pPr>
              <w:rPr>
                <w:sz w:val="2"/>
                <w:szCs w:val="2"/>
              </w:rPr>
            </w:pPr>
          </w:p>
        </w:tc>
        <w:tc>
          <w:tcPr>
            <w:tcW w:w="1985" w:type="dxa"/>
            <w:gridSpan w:val="4"/>
            <w:vAlign w:val="top"/>
          </w:tcPr>
          <w:p>
            <w:pPr>
              <w:pStyle w:val="14"/>
              <w:spacing w:before="79"/>
              <w:ind w:left="361"/>
              <w:rPr>
                <w:sz w:val="21"/>
              </w:rPr>
            </w:pPr>
            <w:r>
              <w:rPr>
                <w:sz w:val="21"/>
              </w:rPr>
              <w:t>中级职称人员</w:t>
            </w:r>
          </w:p>
        </w:tc>
        <w:tc>
          <w:tcPr>
            <w:tcW w:w="2125" w:type="dxa"/>
            <w:gridSpan w:val="2"/>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377" w:type="dxa"/>
            <w:vAlign w:val="top"/>
          </w:tcPr>
          <w:p>
            <w:pPr>
              <w:pStyle w:val="14"/>
              <w:spacing w:before="80"/>
              <w:ind w:left="141" w:right="136"/>
              <w:jc w:val="center"/>
              <w:rPr>
                <w:sz w:val="21"/>
              </w:rPr>
            </w:pPr>
            <w:r>
              <w:rPr>
                <w:sz w:val="21"/>
              </w:rPr>
              <w:t>开户银行</w:t>
            </w:r>
          </w:p>
        </w:tc>
        <w:tc>
          <w:tcPr>
            <w:tcW w:w="897" w:type="dxa"/>
            <w:vAlign w:val="top"/>
          </w:tcPr>
          <w:p>
            <w:pPr>
              <w:pStyle w:val="14"/>
              <w:rPr>
                <w:rFonts w:ascii="Times New Roman"/>
                <w:sz w:val="20"/>
              </w:rPr>
            </w:pPr>
          </w:p>
        </w:tc>
        <w:tc>
          <w:tcPr>
            <w:tcW w:w="1021" w:type="dxa"/>
            <w:vAlign w:val="top"/>
          </w:tcPr>
          <w:p>
            <w:pPr>
              <w:pStyle w:val="14"/>
              <w:rPr>
                <w:rFonts w:ascii="Times New Roman"/>
                <w:sz w:val="20"/>
              </w:rPr>
            </w:pPr>
          </w:p>
        </w:tc>
        <w:tc>
          <w:tcPr>
            <w:tcW w:w="993" w:type="dxa"/>
            <w:vMerge w:val="continue"/>
            <w:tcBorders>
              <w:top w:val="nil"/>
            </w:tcBorders>
            <w:vAlign w:val="top"/>
          </w:tcPr>
          <w:p>
            <w:pPr>
              <w:rPr>
                <w:sz w:val="2"/>
                <w:szCs w:val="2"/>
              </w:rPr>
            </w:pPr>
          </w:p>
        </w:tc>
        <w:tc>
          <w:tcPr>
            <w:tcW w:w="1985" w:type="dxa"/>
            <w:gridSpan w:val="4"/>
            <w:vAlign w:val="top"/>
          </w:tcPr>
          <w:p>
            <w:pPr>
              <w:pStyle w:val="14"/>
              <w:spacing w:before="80"/>
              <w:ind w:left="361"/>
              <w:rPr>
                <w:sz w:val="21"/>
              </w:rPr>
            </w:pPr>
            <w:r>
              <w:rPr>
                <w:sz w:val="21"/>
              </w:rPr>
              <w:t>初级职称人员</w:t>
            </w:r>
          </w:p>
        </w:tc>
        <w:tc>
          <w:tcPr>
            <w:tcW w:w="2125" w:type="dxa"/>
            <w:gridSpan w:val="2"/>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1377" w:type="dxa"/>
            <w:vAlign w:val="top"/>
          </w:tcPr>
          <w:p>
            <w:pPr>
              <w:pStyle w:val="14"/>
              <w:spacing w:before="80"/>
              <w:ind w:left="141" w:right="134"/>
              <w:jc w:val="center"/>
              <w:rPr>
                <w:sz w:val="21"/>
              </w:rPr>
            </w:pPr>
            <w:r>
              <w:rPr>
                <w:sz w:val="21"/>
              </w:rPr>
              <w:t>账号</w:t>
            </w:r>
          </w:p>
        </w:tc>
        <w:tc>
          <w:tcPr>
            <w:tcW w:w="897" w:type="dxa"/>
            <w:vAlign w:val="top"/>
          </w:tcPr>
          <w:p>
            <w:pPr>
              <w:pStyle w:val="14"/>
              <w:rPr>
                <w:rFonts w:ascii="Times New Roman"/>
                <w:sz w:val="20"/>
              </w:rPr>
            </w:pPr>
          </w:p>
        </w:tc>
        <w:tc>
          <w:tcPr>
            <w:tcW w:w="1021" w:type="dxa"/>
            <w:vAlign w:val="top"/>
          </w:tcPr>
          <w:p>
            <w:pPr>
              <w:pStyle w:val="14"/>
              <w:rPr>
                <w:rFonts w:ascii="Times New Roman"/>
                <w:sz w:val="20"/>
              </w:rPr>
            </w:pPr>
          </w:p>
        </w:tc>
        <w:tc>
          <w:tcPr>
            <w:tcW w:w="993" w:type="dxa"/>
            <w:vMerge w:val="continue"/>
            <w:tcBorders>
              <w:top w:val="nil"/>
            </w:tcBorders>
            <w:vAlign w:val="top"/>
          </w:tcPr>
          <w:p>
            <w:pPr>
              <w:rPr>
                <w:sz w:val="2"/>
                <w:szCs w:val="2"/>
              </w:rPr>
            </w:pPr>
          </w:p>
        </w:tc>
        <w:tc>
          <w:tcPr>
            <w:tcW w:w="1985" w:type="dxa"/>
            <w:gridSpan w:val="4"/>
            <w:vAlign w:val="top"/>
          </w:tcPr>
          <w:p>
            <w:pPr>
              <w:pStyle w:val="14"/>
              <w:tabs>
                <w:tab w:val="left" w:pos="426"/>
              </w:tabs>
              <w:spacing w:before="80"/>
              <w:ind w:left="6"/>
              <w:jc w:val="center"/>
              <w:rPr>
                <w:sz w:val="21"/>
              </w:rPr>
            </w:pPr>
            <w:r>
              <w:rPr>
                <w:sz w:val="21"/>
              </w:rPr>
              <w:t>技</w:t>
            </w:r>
            <w:r>
              <w:rPr>
                <w:sz w:val="21"/>
              </w:rPr>
              <w:tab/>
            </w:r>
            <w:r>
              <w:rPr>
                <w:sz w:val="21"/>
              </w:rPr>
              <w:t>工</w:t>
            </w:r>
          </w:p>
        </w:tc>
        <w:tc>
          <w:tcPr>
            <w:tcW w:w="2125" w:type="dxa"/>
            <w:gridSpan w:val="2"/>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77" w:hRule="atLeast"/>
        </w:trPr>
        <w:tc>
          <w:tcPr>
            <w:tcW w:w="1377" w:type="dxa"/>
            <w:vAlign w:val="top"/>
          </w:tcPr>
          <w:p>
            <w:pPr>
              <w:pStyle w:val="14"/>
              <w:rPr>
                <w:sz w:val="20"/>
              </w:rPr>
            </w:pPr>
          </w:p>
          <w:p>
            <w:pPr>
              <w:pStyle w:val="14"/>
              <w:rPr>
                <w:sz w:val="20"/>
              </w:rPr>
            </w:pPr>
          </w:p>
          <w:p>
            <w:pPr>
              <w:pStyle w:val="14"/>
              <w:spacing w:before="1"/>
              <w:rPr>
                <w:sz w:val="25"/>
              </w:rPr>
            </w:pPr>
          </w:p>
          <w:p>
            <w:pPr>
              <w:pStyle w:val="14"/>
              <w:spacing w:before="1"/>
              <w:ind w:left="141" w:right="136"/>
              <w:jc w:val="center"/>
              <w:rPr>
                <w:sz w:val="21"/>
              </w:rPr>
            </w:pPr>
            <w:r>
              <w:rPr>
                <w:sz w:val="21"/>
              </w:rPr>
              <w:t>经营范围</w:t>
            </w:r>
          </w:p>
        </w:tc>
        <w:tc>
          <w:tcPr>
            <w:tcW w:w="7021" w:type="dxa"/>
            <w:gridSpan w:val="9"/>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377" w:type="dxa"/>
            <w:vAlign w:val="top"/>
          </w:tcPr>
          <w:p>
            <w:pPr>
              <w:pStyle w:val="14"/>
              <w:spacing w:before="81"/>
              <w:ind w:left="141" w:right="134"/>
              <w:jc w:val="center"/>
              <w:rPr>
                <w:sz w:val="21"/>
              </w:rPr>
            </w:pPr>
            <w:r>
              <w:rPr>
                <w:sz w:val="21"/>
              </w:rPr>
              <w:t>备注</w:t>
            </w:r>
          </w:p>
        </w:tc>
        <w:tc>
          <w:tcPr>
            <w:tcW w:w="7021" w:type="dxa"/>
            <w:gridSpan w:val="9"/>
            <w:vAlign w:val="top"/>
          </w:tcPr>
          <w:p>
            <w:pPr>
              <w:pStyle w:val="14"/>
              <w:rPr>
                <w:rFonts w:ascii="Times New Roman"/>
                <w:sz w:val="20"/>
              </w:rPr>
            </w:pPr>
          </w:p>
        </w:tc>
      </w:tr>
    </w:tbl>
    <w:p>
      <w:pPr>
        <w:spacing w:before="1" w:line="364" w:lineRule="auto"/>
        <w:ind w:left="377" w:right="221" w:firstLine="0"/>
        <w:jc w:val="left"/>
        <w:rPr>
          <w:sz w:val="21"/>
        </w:rPr>
      </w:pPr>
      <w:r>
        <w:rPr>
          <w:sz w:val="21"/>
        </w:rPr>
        <w:t>注：本表后应附企业法人营业执照及其年检合格的证明材料、资质证书副本、安全生产许可证等材料的复印件。</w:t>
      </w:r>
    </w:p>
    <w:p>
      <w:pPr>
        <w:spacing w:after="0" w:line="364" w:lineRule="auto"/>
        <w:jc w:val="left"/>
        <w:rPr>
          <w:sz w:val="21"/>
        </w:rPr>
        <w:sectPr>
          <w:headerReference r:id="rId31" w:type="default"/>
          <w:footerReference r:id="rId32" w:type="default"/>
          <w:pgSz w:w="11910" w:h="16840"/>
          <w:pgMar w:top="1060" w:right="1420" w:bottom="280" w:left="1420" w:header="0" w:footer="0" w:gutter="0"/>
          <w:cols w:space="720" w:num="1"/>
        </w:sectPr>
      </w:pPr>
    </w:p>
    <w:p>
      <w:pPr>
        <w:spacing w:before="55" w:after="19"/>
        <w:ind w:left="2342" w:right="2191" w:firstLine="0"/>
        <w:jc w:val="center"/>
        <w:rPr>
          <w:sz w:val="18"/>
        </w:rPr>
      </w:pPr>
      <w:r>
        <w:rPr>
          <w:sz w:val="18"/>
        </w:rPr>
        <w:t>上海外国语大学松江第一和第四教学楼大教室整修项目</w:t>
      </w:r>
    </w:p>
    <w:p>
      <w:pPr>
        <w:pStyle w:val="9"/>
        <w:spacing w:line="20" w:lineRule="exact"/>
        <w:ind w:left="369"/>
        <w:rPr>
          <w:sz w:val="2"/>
        </w:rPr>
      </w:pPr>
      <w:r>
        <w:rPr>
          <w:rFonts w:ascii="宋体" w:hAnsi="宋体" w:eastAsia="宋体" w:cs="宋体"/>
          <w:sz w:val="2"/>
          <w:szCs w:val="22"/>
          <w:lang w:val="zh-CN" w:eastAsia="zh-CN" w:bidi="zh-CN"/>
        </w:rPr>
        <w:pict>
          <v:group id="组合 34" o:spid="_x0000_s1083" style="height:0.75pt;width:423.25pt;rotation:0f;" coordorigin="0,7" coordsize="8465,0">
            <o:lock v:ext="edit" position="f" selection="f" grouping="f" rotation="f" cropping="f" text="f" aspectratio="f"/>
            <v:line id="直线 35" o:spid="_x0000_s1084" style="position:absolute;left:0;top:7;height:0;width:8465;rotation:0f;" o:ole="f" fillcolor="#FFFFFF" filled="f" o:preferrelative="t" stroked="t" coordsize="21600,21600">
              <v:fill on="f" color2="#FFFFFF" focus="0%"/>
              <v:stroke weight="0.72pt" color="#000000" color2="#FFFFFF" miterlimit="2"/>
              <v:imagedata gain="65536f" blacklevel="0f" gamma="0"/>
              <o:lock v:ext="edit" position="f" selection="f" grouping="f" rotation="f" cropping="f" text="f" aspectratio="f"/>
            </v:line>
            <w10:wrap type="none"/>
            <w10:anchorlock/>
          </v:group>
        </w:pict>
      </w:r>
    </w:p>
    <w:p>
      <w:pPr>
        <w:pStyle w:val="9"/>
        <w:spacing w:before="3"/>
        <w:rPr>
          <w:sz w:val="19"/>
        </w:rPr>
      </w:pPr>
    </w:p>
    <w:p>
      <w:pPr>
        <w:pStyle w:val="13"/>
        <w:numPr>
          <w:ilvl w:val="0"/>
          <w:numId w:val="119"/>
        </w:numPr>
        <w:tabs>
          <w:tab w:val="left" w:pos="3455"/>
        </w:tabs>
        <w:spacing w:before="70" w:after="0" w:line="240" w:lineRule="auto"/>
        <w:ind w:left="3454" w:right="0" w:hanging="3306"/>
        <w:jc w:val="left"/>
        <w:rPr>
          <w:sz w:val="21"/>
        </w:rPr>
      </w:pPr>
      <w:bookmarkStart w:id="150" w:name="2.近年完成的类似项目情况表"/>
      <w:bookmarkEnd w:id="150"/>
      <w:r>
        <w:rPr>
          <w:sz w:val="21"/>
        </w:rPr>
        <w:t>近年完成的类似项目情况表</w:t>
      </w:r>
    </w:p>
    <w:p>
      <w:pPr>
        <w:pStyle w:val="9"/>
        <w:spacing w:before="4"/>
        <w:rPr>
          <w:sz w:val="20"/>
        </w:rPr>
      </w:pPr>
    </w:p>
    <w:tbl>
      <w:tblPr>
        <w:tblW w:w="8397" w:type="dxa"/>
        <w:tblInd w:w="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3"/>
        <w:gridCol w:w="6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303" w:type="dxa"/>
            <w:vAlign w:val="top"/>
          </w:tcPr>
          <w:p>
            <w:pPr>
              <w:pStyle w:val="14"/>
              <w:spacing w:before="106"/>
              <w:ind w:left="180" w:right="177"/>
              <w:jc w:val="center"/>
              <w:rPr>
                <w:sz w:val="21"/>
              </w:rPr>
            </w:pPr>
            <w:r>
              <w:rPr>
                <w:sz w:val="21"/>
              </w:rPr>
              <w:t>项目名称</w:t>
            </w:r>
          </w:p>
        </w:tc>
        <w:tc>
          <w:tcPr>
            <w:tcW w:w="609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303" w:type="dxa"/>
            <w:vAlign w:val="top"/>
          </w:tcPr>
          <w:p>
            <w:pPr>
              <w:pStyle w:val="14"/>
              <w:spacing w:before="106"/>
              <w:ind w:left="185" w:right="177"/>
              <w:jc w:val="center"/>
              <w:rPr>
                <w:sz w:val="21"/>
              </w:rPr>
            </w:pPr>
            <w:r>
              <w:rPr>
                <w:sz w:val="21"/>
              </w:rPr>
              <w:t>项目所在地</w:t>
            </w:r>
          </w:p>
        </w:tc>
        <w:tc>
          <w:tcPr>
            <w:tcW w:w="609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303" w:type="dxa"/>
            <w:vAlign w:val="top"/>
          </w:tcPr>
          <w:p>
            <w:pPr>
              <w:pStyle w:val="14"/>
              <w:spacing w:before="108"/>
              <w:ind w:left="185" w:right="177"/>
              <w:jc w:val="center"/>
              <w:rPr>
                <w:sz w:val="21"/>
              </w:rPr>
            </w:pPr>
            <w:r>
              <w:rPr>
                <w:sz w:val="21"/>
              </w:rPr>
              <w:t>发包人名称</w:t>
            </w:r>
          </w:p>
        </w:tc>
        <w:tc>
          <w:tcPr>
            <w:tcW w:w="609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303" w:type="dxa"/>
            <w:vAlign w:val="top"/>
          </w:tcPr>
          <w:p>
            <w:pPr>
              <w:pStyle w:val="14"/>
              <w:spacing w:before="108"/>
              <w:ind w:left="185" w:right="177"/>
              <w:jc w:val="center"/>
              <w:rPr>
                <w:sz w:val="21"/>
              </w:rPr>
            </w:pPr>
            <w:r>
              <w:rPr>
                <w:sz w:val="21"/>
              </w:rPr>
              <w:t>发包人地址</w:t>
            </w:r>
          </w:p>
        </w:tc>
        <w:tc>
          <w:tcPr>
            <w:tcW w:w="609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303" w:type="dxa"/>
            <w:vAlign w:val="top"/>
          </w:tcPr>
          <w:p>
            <w:pPr>
              <w:pStyle w:val="14"/>
              <w:spacing w:before="107"/>
              <w:ind w:left="185" w:right="177"/>
              <w:jc w:val="center"/>
              <w:rPr>
                <w:sz w:val="21"/>
              </w:rPr>
            </w:pPr>
            <w:r>
              <w:rPr>
                <w:sz w:val="21"/>
              </w:rPr>
              <w:t>发包人联系人及电话</w:t>
            </w:r>
          </w:p>
        </w:tc>
        <w:tc>
          <w:tcPr>
            <w:tcW w:w="609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303" w:type="dxa"/>
            <w:vAlign w:val="top"/>
          </w:tcPr>
          <w:p>
            <w:pPr>
              <w:pStyle w:val="14"/>
              <w:spacing w:before="107"/>
              <w:ind w:left="180" w:right="177"/>
              <w:jc w:val="center"/>
              <w:rPr>
                <w:sz w:val="21"/>
              </w:rPr>
            </w:pPr>
            <w:r>
              <w:rPr>
                <w:sz w:val="21"/>
              </w:rPr>
              <w:t>合同价格</w:t>
            </w:r>
          </w:p>
        </w:tc>
        <w:tc>
          <w:tcPr>
            <w:tcW w:w="609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303" w:type="dxa"/>
            <w:vAlign w:val="top"/>
          </w:tcPr>
          <w:p>
            <w:pPr>
              <w:pStyle w:val="14"/>
              <w:spacing w:before="106"/>
              <w:ind w:left="180" w:right="177"/>
              <w:jc w:val="center"/>
              <w:rPr>
                <w:sz w:val="21"/>
              </w:rPr>
            </w:pPr>
            <w:r>
              <w:rPr>
                <w:sz w:val="21"/>
              </w:rPr>
              <w:t>开工日期</w:t>
            </w:r>
          </w:p>
        </w:tc>
        <w:tc>
          <w:tcPr>
            <w:tcW w:w="609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303" w:type="dxa"/>
            <w:vAlign w:val="top"/>
          </w:tcPr>
          <w:p>
            <w:pPr>
              <w:pStyle w:val="14"/>
              <w:spacing w:before="106"/>
              <w:ind w:left="180" w:right="177"/>
              <w:jc w:val="center"/>
              <w:rPr>
                <w:sz w:val="21"/>
              </w:rPr>
            </w:pPr>
            <w:r>
              <w:rPr>
                <w:sz w:val="21"/>
              </w:rPr>
              <w:t>竣工日期</w:t>
            </w:r>
          </w:p>
        </w:tc>
        <w:tc>
          <w:tcPr>
            <w:tcW w:w="609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303" w:type="dxa"/>
            <w:vAlign w:val="top"/>
          </w:tcPr>
          <w:p>
            <w:pPr>
              <w:pStyle w:val="14"/>
              <w:spacing w:before="108"/>
              <w:ind w:left="185" w:right="177"/>
              <w:jc w:val="center"/>
              <w:rPr>
                <w:sz w:val="21"/>
              </w:rPr>
            </w:pPr>
            <w:r>
              <w:rPr>
                <w:sz w:val="21"/>
              </w:rPr>
              <w:t>承担的工作</w:t>
            </w:r>
          </w:p>
        </w:tc>
        <w:tc>
          <w:tcPr>
            <w:tcW w:w="609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303" w:type="dxa"/>
            <w:vAlign w:val="top"/>
          </w:tcPr>
          <w:p>
            <w:pPr>
              <w:pStyle w:val="14"/>
              <w:spacing w:before="108"/>
              <w:ind w:left="180" w:right="177"/>
              <w:jc w:val="center"/>
              <w:rPr>
                <w:sz w:val="21"/>
              </w:rPr>
            </w:pPr>
            <w:r>
              <w:rPr>
                <w:sz w:val="21"/>
              </w:rPr>
              <w:t>工程质量</w:t>
            </w:r>
          </w:p>
        </w:tc>
        <w:tc>
          <w:tcPr>
            <w:tcW w:w="609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303" w:type="dxa"/>
            <w:vAlign w:val="top"/>
          </w:tcPr>
          <w:p>
            <w:pPr>
              <w:pStyle w:val="14"/>
              <w:spacing w:before="107"/>
              <w:ind w:left="185" w:right="177"/>
              <w:jc w:val="center"/>
              <w:rPr>
                <w:sz w:val="21"/>
              </w:rPr>
            </w:pPr>
            <w:r>
              <w:rPr>
                <w:sz w:val="21"/>
              </w:rPr>
              <w:t>项目负责人</w:t>
            </w:r>
          </w:p>
        </w:tc>
        <w:tc>
          <w:tcPr>
            <w:tcW w:w="609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303" w:type="dxa"/>
            <w:vAlign w:val="top"/>
          </w:tcPr>
          <w:p>
            <w:pPr>
              <w:pStyle w:val="14"/>
              <w:spacing w:before="107"/>
              <w:ind w:left="185" w:right="177"/>
              <w:jc w:val="center"/>
              <w:rPr>
                <w:sz w:val="21"/>
              </w:rPr>
            </w:pPr>
            <w:r>
              <w:rPr>
                <w:sz w:val="21"/>
              </w:rPr>
              <w:t>技术负责人</w:t>
            </w:r>
          </w:p>
        </w:tc>
        <w:tc>
          <w:tcPr>
            <w:tcW w:w="609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303" w:type="dxa"/>
            <w:vAlign w:val="top"/>
          </w:tcPr>
          <w:p>
            <w:pPr>
              <w:pStyle w:val="14"/>
              <w:spacing w:before="106"/>
              <w:ind w:left="185" w:right="177"/>
              <w:jc w:val="center"/>
              <w:rPr>
                <w:sz w:val="21"/>
              </w:rPr>
            </w:pPr>
            <w:r>
              <w:rPr>
                <w:sz w:val="21"/>
              </w:rPr>
              <w:t>总监理工程师及电话</w:t>
            </w:r>
          </w:p>
        </w:tc>
        <w:tc>
          <w:tcPr>
            <w:tcW w:w="609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56" w:hRule="atLeast"/>
        </w:trPr>
        <w:tc>
          <w:tcPr>
            <w:tcW w:w="2303" w:type="dxa"/>
            <w:vAlign w:val="top"/>
          </w:tcPr>
          <w:p>
            <w:pPr>
              <w:pStyle w:val="14"/>
              <w:rPr>
                <w:sz w:val="20"/>
              </w:rPr>
            </w:pPr>
          </w:p>
          <w:p>
            <w:pPr>
              <w:pStyle w:val="14"/>
              <w:spacing w:before="11"/>
              <w:rPr>
                <w:sz w:val="20"/>
              </w:rPr>
            </w:pPr>
          </w:p>
          <w:p>
            <w:pPr>
              <w:pStyle w:val="14"/>
              <w:ind w:left="180" w:right="177"/>
              <w:jc w:val="center"/>
              <w:rPr>
                <w:sz w:val="21"/>
              </w:rPr>
            </w:pPr>
            <w:r>
              <w:rPr>
                <w:sz w:val="21"/>
              </w:rPr>
              <w:t>项目描述</w:t>
            </w:r>
          </w:p>
        </w:tc>
        <w:tc>
          <w:tcPr>
            <w:tcW w:w="6094"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303" w:type="dxa"/>
            <w:vAlign w:val="top"/>
          </w:tcPr>
          <w:p>
            <w:pPr>
              <w:pStyle w:val="14"/>
              <w:spacing w:before="108"/>
              <w:ind w:left="183" w:right="177"/>
              <w:jc w:val="center"/>
              <w:rPr>
                <w:sz w:val="21"/>
              </w:rPr>
            </w:pPr>
            <w:r>
              <w:rPr>
                <w:sz w:val="21"/>
              </w:rPr>
              <w:t>备注</w:t>
            </w:r>
          </w:p>
        </w:tc>
        <w:tc>
          <w:tcPr>
            <w:tcW w:w="6094" w:type="dxa"/>
            <w:vAlign w:val="top"/>
          </w:tcPr>
          <w:p>
            <w:pPr>
              <w:pStyle w:val="14"/>
              <w:rPr>
                <w:rFonts w:ascii="Times New Roman"/>
                <w:sz w:val="20"/>
              </w:rPr>
            </w:pPr>
          </w:p>
        </w:tc>
      </w:tr>
    </w:tbl>
    <w:p>
      <w:pPr>
        <w:spacing w:before="0" w:line="472" w:lineRule="auto"/>
        <w:ind w:left="797" w:right="2597" w:hanging="420"/>
        <w:jc w:val="left"/>
        <w:rPr>
          <w:sz w:val="21"/>
        </w:rPr>
      </w:pPr>
      <w:r>
        <w:rPr>
          <w:sz w:val="21"/>
        </w:rPr>
        <w:t>注：1、本表类似项目定义及具体年份要求见投标人须知前附表 。2、每张表格只填写一个项目，并标明序号。</w:t>
      </w:r>
    </w:p>
    <w:p>
      <w:pPr>
        <w:spacing w:after="0" w:line="472" w:lineRule="auto"/>
        <w:jc w:val="left"/>
        <w:rPr>
          <w:sz w:val="21"/>
        </w:rPr>
        <w:sectPr>
          <w:headerReference r:id="rId33" w:type="default"/>
          <w:footerReference r:id="rId34" w:type="default"/>
          <w:pgSz w:w="11910" w:h="16840"/>
          <w:pgMar w:top="780" w:right="1420" w:bottom="1220" w:left="1420" w:header="0" w:footer="1024" w:gutter="0"/>
          <w:cols w:space="720" w:num="1"/>
        </w:sectPr>
      </w:pPr>
    </w:p>
    <w:p>
      <w:pPr>
        <w:pStyle w:val="9"/>
        <w:spacing w:before="9"/>
        <w:rPr>
          <w:sz w:val="27"/>
        </w:rPr>
      </w:pPr>
    </w:p>
    <w:p>
      <w:pPr>
        <w:pStyle w:val="13"/>
        <w:numPr>
          <w:ilvl w:val="0"/>
          <w:numId w:val="119"/>
        </w:numPr>
        <w:tabs>
          <w:tab w:val="left" w:pos="3157"/>
        </w:tabs>
        <w:spacing w:before="69" w:after="0" w:line="240" w:lineRule="auto"/>
        <w:ind w:left="3156" w:right="0" w:hanging="2972"/>
        <w:jc w:val="left"/>
        <w:rPr>
          <w:sz w:val="21"/>
        </w:rPr>
      </w:pPr>
      <w:bookmarkStart w:id="151" w:name="4.近年信誉情况"/>
      <w:bookmarkEnd w:id="151"/>
      <w:bookmarkStart w:id="152" w:name="3.正在施工的和新承接的项目情况表"/>
      <w:bookmarkEnd w:id="152"/>
      <w:r>
        <w:rPr>
          <w:sz w:val="21"/>
        </w:rPr>
        <w:t>正在施工的和新承接的项目情况表</w:t>
      </w:r>
    </w:p>
    <w:p>
      <w:pPr>
        <w:pStyle w:val="9"/>
        <w:spacing w:before="4"/>
        <w:rPr>
          <w:sz w:val="20"/>
        </w:rPr>
      </w:pPr>
    </w:p>
    <w:tbl>
      <w:tblPr>
        <w:tblW w:w="8397" w:type="dxa"/>
        <w:tblInd w:w="3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2"/>
        <w:gridCol w:w="6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302" w:type="dxa"/>
            <w:vAlign w:val="top"/>
          </w:tcPr>
          <w:p>
            <w:pPr>
              <w:pStyle w:val="14"/>
              <w:spacing w:before="107"/>
              <w:ind w:left="185" w:right="177"/>
              <w:jc w:val="center"/>
              <w:rPr>
                <w:sz w:val="21"/>
              </w:rPr>
            </w:pPr>
            <w:r>
              <w:rPr>
                <w:sz w:val="21"/>
              </w:rPr>
              <w:t>项目名称</w:t>
            </w:r>
          </w:p>
        </w:tc>
        <w:tc>
          <w:tcPr>
            <w:tcW w:w="609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302" w:type="dxa"/>
            <w:vAlign w:val="top"/>
          </w:tcPr>
          <w:p>
            <w:pPr>
              <w:pStyle w:val="14"/>
              <w:spacing w:before="106"/>
              <w:ind w:left="185" w:right="177"/>
              <w:jc w:val="center"/>
              <w:rPr>
                <w:sz w:val="21"/>
              </w:rPr>
            </w:pPr>
            <w:r>
              <w:rPr>
                <w:sz w:val="21"/>
              </w:rPr>
              <w:t>项目所在地</w:t>
            </w:r>
          </w:p>
        </w:tc>
        <w:tc>
          <w:tcPr>
            <w:tcW w:w="609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302" w:type="dxa"/>
            <w:vAlign w:val="top"/>
          </w:tcPr>
          <w:p>
            <w:pPr>
              <w:pStyle w:val="14"/>
              <w:spacing w:before="106"/>
              <w:ind w:left="185" w:right="177"/>
              <w:jc w:val="center"/>
              <w:rPr>
                <w:sz w:val="21"/>
              </w:rPr>
            </w:pPr>
            <w:r>
              <w:rPr>
                <w:sz w:val="21"/>
              </w:rPr>
              <w:t>发包人名称</w:t>
            </w:r>
          </w:p>
        </w:tc>
        <w:tc>
          <w:tcPr>
            <w:tcW w:w="609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302" w:type="dxa"/>
            <w:vAlign w:val="top"/>
          </w:tcPr>
          <w:p>
            <w:pPr>
              <w:pStyle w:val="14"/>
              <w:spacing w:before="108"/>
              <w:ind w:left="185" w:right="177"/>
              <w:jc w:val="center"/>
              <w:rPr>
                <w:sz w:val="21"/>
              </w:rPr>
            </w:pPr>
            <w:r>
              <w:rPr>
                <w:sz w:val="21"/>
              </w:rPr>
              <w:t>发包人地址</w:t>
            </w:r>
          </w:p>
        </w:tc>
        <w:tc>
          <w:tcPr>
            <w:tcW w:w="609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302" w:type="dxa"/>
            <w:vAlign w:val="top"/>
          </w:tcPr>
          <w:p>
            <w:pPr>
              <w:pStyle w:val="14"/>
              <w:spacing w:before="108"/>
              <w:ind w:left="185" w:right="177"/>
              <w:jc w:val="center"/>
              <w:rPr>
                <w:sz w:val="21"/>
              </w:rPr>
            </w:pPr>
            <w:r>
              <w:rPr>
                <w:sz w:val="21"/>
              </w:rPr>
              <w:t>发包人电话</w:t>
            </w:r>
          </w:p>
        </w:tc>
        <w:tc>
          <w:tcPr>
            <w:tcW w:w="609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302" w:type="dxa"/>
            <w:vAlign w:val="top"/>
          </w:tcPr>
          <w:p>
            <w:pPr>
              <w:pStyle w:val="14"/>
              <w:spacing w:before="107"/>
              <w:ind w:left="185" w:right="177"/>
              <w:jc w:val="center"/>
              <w:rPr>
                <w:sz w:val="21"/>
              </w:rPr>
            </w:pPr>
            <w:r>
              <w:rPr>
                <w:sz w:val="21"/>
              </w:rPr>
              <w:t>签约合同价</w:t>
            </w:r>
          </w:p>
        </w:tc>
        <w:tc>
          <w:tcPr>
            <w:tcW w:w="609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302" w:type="dxa"/>
            <w:vAlign w:val="top"/>
          </w:tcPr>
          <w:p>
            <w:pPr>
              <w:pStyle w:val="14"/>
              <w:spacing w:before="107"/>
              <w:ind w:left="185" w:right="177"/>
              <w:jc w:val="center"/>
              <w:rPr>
                <w:sz w:val="21"/>
              </w:rPr>
            </w:pPr>
            <w:r>
              <w:rPr>
                <w:sz w:val="21"/>
              </w:rPr>
              <w:t>开工日期</w:t>
            </w:r>
          </w:p>
        </w:tc>
        <w:tc>
          <w:tcPr>
            <w:tcW w:w="609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302" w:type="dxa"/>
            <w:vAlign w:val="top"/>
          </w:tcPr>
          <w:p>
            <w:pPr>
              <w:pStyle w:val="14"/>
              <w:spacing w:before="106"/>
              <w:ind w:left="182" w:right="177"/>
              <w:jc w:val="center"/>
              <w:rPr>
                <w:sz w:val="21"/>
              </w:rPr>
            </w:pPr>
            <w:r>
              <w:rPr>
                <w:sz w:val="21"/>
              </w:rPr>
              <w:t>计划竣工日期</w:t>
            </w:r>
          </w:p>
        </w:tc>
        <w:tc>
          <w:tcPr>
            <w:tcW w:w="609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302" w:type="dxa"/>
            <w:vAlign w:val="top"/>
          </w:tcPr>
          <w:p>
            <w:pPr>
              <w:pStyle w:val="14"/>
              <w:spacing w:before="106"/>
              <w:ind w:left="185" w:right="177"/>
              <w:jc w:val="center"/>
              <w:rPr>
                <w:sz w:val="21"/>
              </w:rPr>
            </w:pPr>
            <w:r>
              <w:rPr>
                <w:sz w:val="21"/>
              </w:rPr>
              <w:t>承担的工作</w:t>
            </w:r>
          </w:p>
        </w:tc>
        <w:tc>
          <w:tcPr>
            <w:tcW w:w="609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302" w:type="dxa"/>
            <w:vAlign w:val="top"/>
          </w:tcPr>
          <w:p>
            <w:pPr>
              <w:pStyle w:val="14"/>
              <w:spacing w:before="108"/>
              <w:ind w:left="185" w:right="177"/>
              <w:jc w:val="center"/>
              <w:rPr>
                <w:sz w:val="21"/>
              </w:rPr>
            </w:pPr>
            <w:r>
              <w:rPr>
                <w:sz w:val="21"/>
              </w:rPr>
              <w:t>工程质量</w:t>
            </w:r>
          </w:p>
        </w:tc>
        <w:tc>
          <w:tcPr>
            <w:tcW w:w="609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302" w:type="dxa"/>
            <w:vAlign w:val="top"/>
          </w:tcPr>
          <w:p>
            <w:pPr>
              <w:pStyle w:val="14"/>
              <w:spacing w:before="107"/>
              <w:ind w:left="185" w:right="177"/>
              <w:jc w:val="center"/>
              <w:rPr>
                <w:sz w:val="21"/>
              </w:rPr>
            </w:pPr>
            <w:r>
              <w:rPr>
                <w:sz w:val="21"/>
              </w:rPr>
              <w:t>项目负责人</w:t>
            </w:r>
          </w:p>
        </w:tc>
        <w:tc>
          <w:tcPr>
            <w:tcW w:w="609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302" w:type="dxa"/>
            <w:vAlign w:val="top"/>
          </w:tcPr>
          <w:p>
            <w:pPr>
              <w:pStyle w:val="14"/>
              <w:spacing w:before="107"/>
              <w:ind w:left="185" w:right="177"/>
              <w:jc w:val="center"/>
              <w:rPr>
                <w:sz w:val="21"/>
              </w:rPr>
            </w:pPr>
            <w:r>
              <w:rPr>
                <w:sz w:val="21"/>
              </w:rPr>
              <w:t>技术负责人</w:t>
            </w:r>
          </w:p>
        </w:tc>
        <w:tc>
          <w:tcPr>
            <w:tcW w:w="609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302" w:type="dxa"/>
            <w:vAlign w:val="top"/>
          </w:tcPr>
          <w:p>
            <w:pPr>
              <w:pStyle w:val="14"/>
              <w:spacing w:before="107"/>
              <w:ind w:left="185" w:right="177"/>
              <w:jc w:val="center"/>
              <w:rPr>
                <w:sz w:val="21"/>
              </w:rPr>
            </w:pPr>
            <w:r>
              <w:rPr>
                <w:sz w:val="21"/>
              </w:rPr>
              <w:t>总监理工程师及电话</w:t>
            </w:r>
          </w:p>
        </w:tc>
        <w:tc>
          <w:tcPr>
            <w:tcW w:w="609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0" w:hRule="atLeast"/>
        </w:trPr>
        <w:tc>
          <w:tcPr>
            <w:tcW w:w="2302" w:type="dxa"/>
            <w:vAlign w:val="top"/>
          </w:tcPr>
          <w:p>
            <w:pPr>
              <w:pStyle w:val="14"/>
              <w:spacing w:before="10"/>
              <w:rPr>
                <w:sz w:val="18"/>
              </w:rPr>
            </w:pPr>
          </w:p>
          <w:p>
            <w:pPr>
              <w:pStyle w:val="14"/>
              <w:ind w:left="185" w:right="177"/>
              <w:jc w:val="center"/>
              <w:rPr>
                <w:sz w:val="21"/>
              </w:rPr>
            </w:pPr>
            <w:r>
              <w:rPr>
                <w:sz w:val="21"/>
              </w:rPr>
              <w:t>项目描述</w:t>
            </w:r>
          </w:p>
        </w:tc>
        <w:tc>
          <w:tcPr>
            <w:tcW w:w="6095" w:type="dxa"/>
            <w:vAlign w:val="top"/>
          </w:tcPr>
          <w:p>
            <w:pPr>
              <w:pStyle w:val="14"/>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302" w:type="dxa"/>
            <w:vAlign w:val="top"/>
          </w:tcPr>
          <w:p>
            <w:pPr>
              <w:pStyle w:val="14"/>
              <w:spacing w:before="106"/>
              <w:ind w:left="182" w:right="177"/>
              <w:jc w:val="center"/>
              <w:rPr>
                <w:sz w:val="21"/>
              </w:rPr>
            </w:pPr>
            <w:r>
              <w:rPr>
                <w:sz w:val="21"/>
              </w:rPr>
              <w:t>备注</w:t>
            </w:r>
          </w:p>
        </w:tc>
        <w:tc>
          <w:tcPr>
            <w:tcW w:w="6095" w:type="dxa"/>
            <w:vAlign w:val="top"/>
          </w:tcPr>
          <w:p>
            <w:pPr>
              <w:pStyle w:val="14"/>
              <w:rPr>
                <w:rFonts w:ascii="Times New Roman"/>
                <w:sz w:val="20"/>
              </w:rPr>
            </w:pPr>
          </w:p>
        </w:tc>
      </w:tr>
    </w:tbl>
    <w:p>
      <w:pPr>
        <w:spacing w:before="0"/>
        <w:ind w:left="111" w:right="0" w:firstLine="0"/>
        <w:jc w:val="left"/>
        <w:rPr>
          <w:sz w:val="21"/>
        </w:rPr>
      </w:pPr>
      <w:r>
        <w:rPr>
          <w:sz w:val="21"/>
        </w:rPr>
        <w:t>注：本表每张表格只填写一个项目，并标明序号。</w:t>
      </w:r>
    </w:p>
    <w:p>
      <w:pPr>
        <w:spacing w:after="0"/>
        <w:jc w:val="left"/>
        <w:rPr>
          <w:sz w:val="21"/>
        </w:rPr>
        <w:sectPr>
          <w:headerReference r:id="rId35" w:type="default"/>
          <w:footerReference r:id="rId36" w:type="default"/>
          <w:pgSz w:w="11910" w:h="16840"/>
          <w:pgMar w:top="1100" w:right="1420" w:bottom="820" w:left="1420" w:header="878" w:footer="621" w:gutter="0"/>
          <w:pgNumType w:start="129"/>
          <w:cols w:space="720" w:num="1"/>
        </w:sectPr>
      </w:pPr>
    </w:p>
    <w:p>
      <w:pPr>
        <w:pStyle w:val="9"/>
        <w:spacing w:before="9"/>
        <w:rPr>
          <w:sz w:val="27"/>
        </w:rPr>
      </w:pPr>
    </w:p>
    <w:p>
      <w:pPr>
        <w:pStyle w:val="13"/>
        <w:numPr>
          <w:ilvl w:val="0"/>
          <w:numId w:val="119"/>
        </w:numPr>
        <w:tabs>
          <w:tab w:val="left" w:pos="323"/>
        </w:tabs>
        <w:spacing w:before="69" w:after="0" w:line="240" w:lineRule="auto"/>
        <w:ind w:left="322" w:right="0" w:hanging="212"/>
        <w:jc w:val="left"/>
        <w:rPr>
          <w:sz w:val="21"/>
        </w:rPr>
      </w:pPr>
      <w:r>
        <w:rPr>
          <w:sz w:val="21"/>
        </w:rPr>
        <w:t>近年信誉情况</w:t>
      </w:r>
    </w:p>
    <w:p>
      <w:pPr>
        <w:pStyle w:val="9"/>
        <w:spacing w:before="3"/>
        <w:rPr>
          <w:sz w:val="20"/>
        </w:rPr>
      </w:pPr>
    </w:p>
    <w:p>
      <w:pPr>
        <w:spacing w:before="0" w:line="364" w:lineRule="auto"/>
        <w:ind w:left="111" w:right="132" w:firstLine="420"/>
        <w:jc w:val="both"/>
        <w:rPr>
          <w:sz w:val="21"/>
        </w:rPr>
      </w:pPr>
      <w:r>
        <w:rPr>
          <w:w w:val="95"/>
          <w:sz w:val="21"/>
        </w:rPr>
        <w:t xml:space="preserve">指企业是否具备管理体系证书，行贿犯罪记录，企业信用情况，荣誉情况、履约情况，有未   出现重大工程质量和安全事故不良记录，是否处于破产清偿状态以及诉讼及仲裁等内容。其中诉   讼及仲裁仅限于投标人败诉的，且与履行施工承包合同有关的案件，不包括调解结案以及未裁决   的仲裁或未终审判决的诉讼。应说明相关情况，法院或仲裁机构已作出判决或裁决的，应附此类   </w:t>
      </w:r>
      <w:r>
        <w:rPr>
          <w:sz w:val="21"/>
        </w:rPr>
        <w:t>判决、裁决等有关法律文书。</w:t>
      </w:r>
    </w:p>
    <w:p>
      <w:pPr>
        <w:spacing w:before="120"/>
        <w:ind w:left="531" w:right="0" w:firstLine="0"/>
        <w:jc w:val="left"/>
        <w:rPr>
          <w:sz w:val="21"/>
        </w:rPr>
      </w:pPr>
      <w:r>
        <w:rPr>
          <w:sz w:val="21"/>
        </w:rPr>
        <w:t>提供的具体年份要求见投标人须知前附表。</w:t>
      </w:r>
    </w:p>
    <w:p>
      <w:pPr>
        <w:pStyle w:val="9"/>
        <w:spacing w:before="2"/>
        <w:rPr>
          <w:sz w:val="20"/>
        </w:rPr>
      </w:pPr>
    </w:p>
    <w:p>
      <w:pPr>
        <w:spacing w:before="1"/>
        <w:ind w:left="524" w:right="0" w:firstLine="0"/>
        <w:jc w:val="left"/>
        <w:rPr>
          <w:sz w:val="21"/>
        </w:rPr>
      </w:pPr>
      <w:r>
        <w:rPr>
          <w:sz w:val="21"/>
        </w:rPr>
        <w:t>投标人须知前附表规定就上述内容需提供相关支持性材料的，应附有关材料复印件。</w:t>
      </w:r>
    </w:p>
    <w:p>
      <w:pPr>
        <w:pStyle w:val="9"/>
        <w:rPr>
          <w:sz w:val="20"/>
        </w:rPr>
      </w:pPr>
    </w:p>
    <w:p>
      <w:pPr>
        <w:pStyle w:val="9"/>
        <w:rPr>
          <w:sz w:val="20"/>
        </w:rPr>
      </w:pPr>
    </w:p>
    <w:p>
      <w:pPr>
        <w:pStyle w:val="9"/>
        <w:rPr>
          <w:sz w:val="20"/>
        </w:rPr>
      </w:pPr>
    </w:p>
    <w:p>
      <w:pPr>
        <w:spacing w:before="138"/>
        <w:ind w:left="111" w:right="0" w:firstLine="0"/>
        <w:jc w:val="left"/>
        <w:rPr>
          <w:sz w:val="21"/>
        </w:rPr>
      </w:pPr>
      <w:bookmarkStart w:id="153" w:name="（四）其他材料"/>
      <w:bookmarkEnd w:id="153"/>
      <w:r>
        <w:rPr>
          <w:sz w:val="21"/>
        </w:rPr>
        <w:t>（四）其他材料</w:t>
      </w:r>
    </w:p>
    <w:p>
      <w:pPr>
        <w:pStyle w:val="9"/>
        <w:spacing w:before="7"/>
        <w:rPr>
          <w:sz w:val="29"/>
        </w:rPr>
      </w:pPr>
    </w:p>
    <w:p>
      <w:pPr>
        <w:spacing w:before="0"/>
        <w:ind w:left="111" w:right="0" w:firstLine="0"/>
        <w:jc w:val="left"/>
        <w:rPr>
          <w:sz w:val="21"/>
        </w:rPr>
      </w:pPr>
      <w:r>
        <w:rPr>
          <w:sz w:val="21"/>
        </w:rPr>
        <w:t>投标人须知前附表规定的构成投标文件投标公函的其他材料和投标人认为需要补充的其他内容。</w:t>
      </w:r>
    </w:p>
    <w:p>
      <w:pPr>
        <w:pStyle w:val="9"/>
        <w:spacing w:before="3"/>
        <w:rPr>
          <w:sz w:val="20"/>
        </w:rPr>
      </w:pPr>
    </w:p>
    <w:p>
      <w:pPr>
        <w:spacing w:before="0" w:line="367" w:lineRule="auto"/>
        <w:ind w:left="111" w:right="132" w:firstLine="0"/>
        <w:jc w:val="left"/>
        <w:rPr>
          <w:sz w:val="21"/>
        </w:rPr>
      </w:pPr>
      <w:r>
        <w:rPr>
          <w:w w:val="95"/>
          <w:sz w:val="21"/>
        </w:rPr>
        <w:t xml:space="preserve">（注：投标人须知前附表规定接受联合体投标的，本条规定的表格和资料应包括联合体各方相关   </w:t>
      </w:r>
      <w:r>
        <w:rPr>
          <w:sz w:val="21"/>
        </w:rPr>
        <w:t>情况。）</w:t>
      </w:r>
    </w:p>
    <w:p>
      <w:pPr>
        <w:pStyle w:val="9"/>
        <w:spacing w:before="4"/>
        <w:rPr>
          <w:sz w:val="18"/>
        </w:rPr>
      </w:pPr>
    </w:p>
    <w:p>
      <w:pPr>
        <w:spacing w:before="0"/>
        <w:ind w:left="111" w:right="0" w:firstLine="0"/>
        <w:jc w:val="left"/>
        <w:rPr>
          <w:sz w:val="21"/>
        </w:rPr>
      </w:pPr>
      <w:bookmarkStart w:id="154" w:name="（五）其他材料"/>
      <w:bookmarkEnd w:id="154"/>
      <w:r>
        <w:rPr>
          <w:sz w:val="21"/>
        </w:rPr>
        <w:t>（五）其他材料</w:t>
      </w:r>
    </w:p>
    <w:p>
      <w:pPr>
        <w:pStyle w:val="9"/>
        <w:spacing w:before="3"/>
        <w:rPr>
          <w:sz w:val="20"/>
        </w:rPr>
      </w:pPr>
    </w:p>
    <w:p>
      <w:pPr>
        <w:spacing w:before="0" w:line="364" w:lineRule="auto"/>
        <w:ind w:left="111" w:right="132" w:firstLine="420"/>
        <w:jc w:val="left"/>
        <w:rPr>
          <w:sz w:val="21"/>
        </w:rPr>
      </w:pPr>
      <w:r>
        <w:rPr>
          <w:w w:val="95"/>
          <w:sz w:val="21"/>
        </w:rPr>
        <w:t xml:space="preserve">投标人须知前附表规定的材料或投标人认为需要补充的其他内容，由投标人按实际情况提供   </w:t>
      </w:r>
      <w:r>
        <w:rPr>
          <w:sz w:val="21"/>
        </w:rPr>
        <w:t>或补充。</w:t>
      </w:r>
    </w:p>
    <w:sectPr>
      <w:footerReference r:id="rId37" w:type="default"/>
      <w:pgSz w:w="11910" w:h="16840"/>
      <w:pgMar w:top="1100" w:right="1420" w:bottom="820" w:left="1420" w:header="878" w:footer="621" w:gutter="0"/>
      <w:pgNumType w:start="13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Segoe UI Symbol">
    <w:panose1 w:val="020B0502040204020203"/>
    <w:charset w:val="00"/>
    <w:family w:val="auto"/>
    <w:pitch w:val="default"/>
    <w:sig w:usb0="800001E3" w:usb1="1200FFEF" w:usb2="00040000" w:usb3="04000000" w:csb0="00000001" w:csb1="40000000"/>
  </w:font>
  <w:font w:name="MS Gothic">
    <w:panose1 w:val="020B0609070205080204"/>
    <w:charset w:val="80"/>
    <w:family w:val="auto"/>
    <w:pitch w:val="default"/>
    <w:sig w:usb0="E00002FF" w:usb1="6AC7FDFB" w:usb2="08000012" w:usb3="00000000" w:csb0="4002009F" w:csb1="DFD70000"/>
  </w:font>
  <w:font w:name="Calibri">
    <w:panose1 w:val="020F0502020204030204"/>
    <w:charset w:val="86"/>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2" o:spid="_x0000_s1026" style="position:absolute;left:0;margin-left:289.8pt;margin-top:781.2pt;height:19.05pt;width:12.1pt;mso-position-horizontal-relative:page;mso-position-vertical-relative:page;rotation:0f;z-index:-251657216;"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154"/>
                  <w:ind w:left="112"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rect>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15" o:spid="_x0000_s1038" style="position:absolute;left:0;margin-left:289.8pt;margin-top:780.7pt;height:12.45pt;width:14.55pt;mso-position-horizontal-relative:page;mso-position-vertical-relative:page;rotation:0f;z-index:-251644928;"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49" w:lineRule="exact"/>
                  <w:ind w:left="40" w:right="0" w:firstLine="0"/>
                  <w:jc w:val="left"/>
                  <w:rPr>
                    <w:rFonts w:ascii="仿宋"/>
                    <w:sz w:val="21"/>
                  </w:rPr>
                </w:pPr>
                <w:r>
                  <w:fldChar w:fldCharType="begin"/>
                </w:r>
                <w:r>
                  <w:rPr>
                    <w:rFonts w:ascii="仿宋"/>
                    <w:sz w:val="21"/>
                  </w:rPr>
                  <w:instrText xml:space="preserve"> PAGE </w:instrText>
                </w:r>
                <w:r>
                  <w:fldChar w:fldCharType="separate"/>
                </w:r>
                <w:r>
                  <w:t>90</w:t>
                </w:r>
                <w:r>
                  <w:fldChar w:fldCharType="end"/>
                </w:r>
              </w:p>
            </w:txbxContent>
          </v:textbox>
        </v:rect>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16" o:spid="_x0000_s1039" style="position:absolute;left:0;margin-left:287.2pt;margin-top:780.7pt;height:12.45pt;width:19.8pt;mso-position-horizontal-relative:page;mso-position-vertical-relative:page;rotation:0f;z-index:-251643904;"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49" w:lineRule="exact"/>
                  <w:ind w:left="40" w:right="0" w:firstLine="0"/>
                  <w:jc w:val="left"/>
                  <w:rPr>
                    <w:rFonts w:ascii="仿宋"/>
                    <w:sz w:val="21"/>
                  </w:rPr>
                </w:pPr>
                <w:r>
                  <w:fldChar w:fldCharType="begin"/>
                </w:r>
                <w:r>
                  <w:rPr>
                    <w:rFonts w:ascii="仿宋"/>
                    <w:sz w:val="21"/>
                  </w:rPr>
                  <w:instrText xml:space="preserve"> PAGE </w:instrText>
                </w:r>
                <w:r>
                  <w:fldChar w:fldCharType="separate"/>
                </w:r>
                <w:r>
                  <w:t>100</w:t>
                </w:r>
                <w:r>
                  <w:fldChar w:fldCharType="end"/>
                </w:r>
              </w:p>
            </w:txbxContent>
          </v:textbox>
        </v:rect>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17" o:spid="_x0000_s1040" style="position:absolute;left:0;margin-left:287.2pt;margin-top:780.7pt;height:12.45pt;width:19.8pt;mso-position-horizontal-relative:page;mso-position-vertical-relative:page;rotation:0f;z-index:-251642880;"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49" w:lineRule="exact"/>
                  <w:ind w:left="40" w:right="0" w:firstLine="0"/>
                  <w:jc w:val="left"/>
                  <w:rPr>
                    <w:rFonts w:ascii="仿宋"/>
                    <w:sz w:val="21"/>
                  </w:rPr>
                </w:pPr>
                <w:r>
                  <w:fldChar w:fldCharType="begin"/>
                </w:r>
                <w:r>
                  <w:rPr>
                    <w:rFonts w:ascii="仿宋"/>
                    <w:sz w:val="21"/>
                  </w:rPr>
                  <w:instrText xml:space="preserve"> PAGE </w:instrText>
                </w:r>
                <w:r>
                  <w:fldChar w:fldCharType="separate"/>
                </w:r>
                <w:r>
                  <w:t>110</w:t>
                </w:r>
                <w:r>
                  <w:fldChar w:fldCharType="end"/>
                </w:r>
              </w:p>
            </w:txbxContent>
          </v:textbox>
        </v:rect>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18" o:spid="_x0000_s1041" style="position:absolute;left:0;margin-left:288.4pt;margin-top:779.65pt;height:13.6pt;width:17.45pt;mso-position-horizontal-relative:page;mso-position-vertical-relative:page;rotation:0f;z-index:-251641856;"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10"/>
                  <w:ind w:left="20" w:right="0" w:firstLine="0"/>
                  <w:jc w:val="left"/>
                  <w:rPr>
                    <w:rFonts w:ascii="Times New Roman"/>
                    <w:sz w:val="21"/>
                  </w:rPr>
                </w:pPr>
                <w:r>
                  <w:rPr>
                    <w:rFonts w:ascii="Times New Roman"/>
                    <w:sz w:val="21"/>
                  </w:rPr>
                  <w:t>118</w:t>
                </w:r>
              </w:p>
            </w:txbxContent>
          </v:textbox>
        </v:rect>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21" o:spid="_x0000_s1044" style="position:absolute;left:0;margin-left:291.6pt;margin-top:779.65pt;height:13.6pt;width:19.8pt;mso-position-horizontal-relative:page;mso-position-vertical-relative:page;rotation:0f;z-index:-251638784;"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120</w:t>
                </w:r>
                <w:r>
                  <w:fldChar w:fldCharType="end"/>
                </w:r>
              </w:p>
            </w:txbxContent>
          </v:textbox>
        </v:rect>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24" o:spid="_x0000_s1047" style="position:absolute;left:0;margin-left:291.6pt;margin-top:779.65pt;height:13.6pt;width:19.8pt;mso-position-horizontal-relative:page;mso-position-vertical-relative:page;rotation:0f;z-index:-251635712;"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124</w:t>
                </w:r>
                <w:r>
                  <w:fldChar w:fldCharType="end"/>
                </w:r>
              </w:p>
            </w:txbxContent>
          </v:textbox>
        </v:rect>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5" o:spid="_x0000_s1028" style="position:absolute;left:0;margin-left:287.65pt;margin-top:781.2pt;height:12pt;width:13.1pt;mso-position-horizontal-relative:page;mso-position-vertical-relative:page;rotation:0f;z-index:-251655168;"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rect>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25" o:spid="_x0000_s1048" style="position:absolute;left:0;margin-left:292.6pt;margin-top:779.65pt;height:13.6pt;width:17.8pt;mso-position-horizontal-relative:page;mso-position-vertical-relative:page;rotation:0f;z-index:-251634688;"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10"/>
                  <w:ind w:left="20" w:right="0" w:firstLine="0"/>
                  <w:jc w:val="left"/>
                  <w:rPr>
                    <w:rFonts w:ascii="Times New Roman"/>
                    <w:sz w:val="21"/>
                  </w:rPr>
                </w:pPr>
                <w:r>
                  <w:rPr>
                    <w:rFonts w:ascii="Times New Roman"/>
                    <w:sz w:val="21"/>
                  </w:rPr>
                  <w:t>128</w:t>
                </w:r>
              </w:p>
            </w:txbxContent>
          </v:textbox>
        </v:rect>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28" o:spid="_x0000_s1051" style="position:absolute;left:0;margin-left:287.2pt;margin-top:799.85pt;height:13.6pt;width:19.8pt;mso-position-horizontal-relative:page;mso-position-vertical-relative:page;rotation:0f;z-index:-251631616;"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129</w:t>
                </w:r>
                <w:r>
                  <w:fldChar w:fldCharType="end"/>
                </w:r>
              </w:p>
            </w:txbxContent>
          </v:textbox>
        </v:rect>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29" o:spid="_x0000_s1052" style="position:absolute;left:0;margin-left:287.2pt;margin-top:799.85pt;height:13.6pt;width:19.8pt;mso-position-horizontal-relative:page;mso-position-vertical-relative:page;rotation:0f;z-index:-251630592;"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10"/>
                  <w:ind w:left="40" w:right="0" w:firstLine="0"/>
                  <w:jc w:val="left"/>
                  <w:rPr>
                    <w:rFonts w:ascii="Times New Roman"/>
                    <w:sz w:val="21"/>
                  </w:rPr>
                </w:pPr>
                <w:r>
                  <w:fldChar w:fldCharType="begin"/>
                </w:r>
                <w:r>
                  <w:rPr>
                    <w:rFonts w:ascii="Times New Roman"/>
                    <w:sz w:val="21"/>
                  </w:rPr>
                  <w:instrText xml:space="preserve"> PAGE </w:instrText>
                </w:r>
                <w:r>
                  <w:fldChar w:fldCharType="separate"/>
                </w:r>
                <w:r>
                  <w:t>130</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6" o:spid="_x0000_s1029" style="position:absolute;left:0;margin-left:287.65pt;margin-top:780.7pt;height:12.45pt;width:16.7pt;mso-position-horizontal-relative:page;mso-position-vertical-relative:page;rotation:0f;z-index:-251654144;"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49" w:lineRule="exact"/>
                  <w:ind w:left="83" w:right="0" w:firstLine="0"/>
                  <w:jc w:val="left"/>
                  <w:rPr>
                    <w:rFonts w:ascii="仿宋"/>
                    <w:sz w:val="21"/>
                  </w:rPr>
                </w:pPr>
                <w:r>
                  <w:fldChar w:fldCharType="begin"/>
                </w:r>
                <w:r>
                  <w:rPr>
                    <w:rFonts w:ascii="仿宋"/>
                    <w:sz w:val="21"/>
                  </w:rPr>
                  <w:instrText xml:space="preserve"> PAGE </w:instrText>
                </w:r>
                <w:r>
                  <w:fldChar w:fldCharType="separate"/>
                </w:r>
                <w:r>
                  <w:t>24</w:t>
                </w:r>
                <w: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9" o:spid="_x0000_s1032" style="position:absolute;left:0;margin-left:289.8pt;margin-top:780.7pt;height:12.45pt;width:14.55pt;mso-position-horizontal-relative:page;mso-position-vertical-relative:page;rotation:0f;z-index:-251651072;"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49" w:lineRule="exact"/>
                  <w:ind w:left="40" w:right="0" w:firstLine="0"/>
                  <w:jc w:val="left"/>
                  <w:rPr>
                    <w:rFonts w:ascii="仿宋"/>
                    <w:sz w:val="21"/>
                  </w:rPr>
                </w:pPr>
                <w:r>
                  <w:fldChar w:fldCharType="begin"/>
                </w:r>
                <w:r>
                  <w:rPr>
                    <w:rFonts w:ascii="仿宋"/>
                    <w:sz w:val="21"/>
                  </w:rPr>
                  <w:instrText xml:space="preserve"> PAGE </w:instrText>
                </w:r>
                <w:r>
                  <w:fldChar w:fldCharType="separate"/>
                </w:r>
                <w:r>
                  <w:t>30</w:t>
                </w:r>
                <w: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10" o:spid="_x0000_s1033" style="position:absolute;left:0;margin-left:289.8pt;margin-top:780.7pt;height:12.45pt;width:14.55pt;mso-position-horizontal-relative:page;mso-position-vertical-relative:page;rotation:0f;z-index:-251650048;"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49" w:lineRule="exact"/>
                  <w:ind w:left="40" w:right="0" w:firstLine="0"/>
                  <w:jc w:val="left"/>
                  <w:rPr>
                    <w:rFonts w:ascii="仿宋"/>
                    <w:sz w:val="21"/>
                  </w:rPr>
                </w:pPr>
                <w:r>
                  <w:fldChar w:fldCharType="begin"/>
                </w:r>
                <w:r>
                  <w:rPr>
                    <w:rFonts w:ascii="仿宋"/>
                    <w:sz w:val="21"/>
                  </w:rPr>
                  <w:instrText xml:space="preserve"> PAGE </w:instrText>
                </w:r>
                <w:r>
                  <w:fldChar w:fldCharType="separate"/>
                </w:r>
                <w:r>
                  <w:t>40</w:t>
                </w:r>
                <w: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11" o:spid="_x0000_s1034" style="position:absolute;left:0;margin-left:289.8pt;margin-top:780.7pt;height:12.45pt;width:14.55pt;mso-position-horizontal-relative:page;mso-position-vertical-relative:page;rotation:0f;z-index:-251649024;"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49" w:lineRule="exact"/>
                  <w:ind w:left="40" w:right="0" w:firstLine="0"/>
                  <w:jc w:val="left"/>
                  <w:rPr>
                    <w:rFonts w:ascii="仿宋"/>
                    <w:sz w:val="21"/>
                  </w:rPr>
                </w:pPr>
                <w:r>
                  <w:fldChar w:fldCharType="begin"/>
                </w:r>
                <w:r>
                  <w:rPr>
                    <w:rFonts w:ascii="仿宋"/>
                    <w:sz w:val="21"/>
                  </w:rPr>
                  <w:instrText xml:space="preserve"> PAGE </w:instrText>
                </w:r>
                <w:r>
                  <w:fldChar w:fldCharType="separate"/>
                </w:r>
                <w:r>
                  <w:t>50</w:t>
                </w:r>
                <w:r>
                  <w:fldChar w:fldCharType="end"/>
                </w:r>
              </w:p>
            </w:txbxContent>
          </v:textbox>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12" o:spid="_x0000_s1035" style="position:absolute;left:0;margin-left:289.8pt;margin-top:780.7pt;height:12.45pt;width:14.55pt;mso-position-horizontal-relative:page;mso-position-vertical-relative:page;rotation:0f;z-index:-251648000;"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49" w:lineRule="exact"/>
                  <w:ind w:left="40" w:right="0" w:firstLine="0"/>
                  <w:jc w:val="left"/>
                  <w:rPr>
                    <w:rFonts w:ascii="仿宋"/>
                    <w:sz w:val="21"/>
                  </w:rPr>
                </w:pPr>
                <w:r>
                  <w:fldChar w:fldCharType="begin"/>
                </w:r>
                <w:r>
                  <w:rPr>
                    <w:rFonts w:ascii="仿宋"/>
                    <w:sz w:val="21"/>
                  </w:rPr>
                  <w:instrText xml:space="preserve"> PAGE </w:instrText>
                </w:r>
                <w:r>
                  <w:fldChar w:fldCharType="separate"/>
                </w:r>
                <w:r>
                  <w:t>60</w:t>
                </w:r>
                <w:r>
                  <w:fldChar w:fldCharType="end"/>
                </w:r>
              </w:p>
            </w:txbxContent>
          </v:textbox>
        </v:rect>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13" o:spid="_x0000_s1036" style="position:absolute;left:0;margin-left:289.8pt;margin-top:780.7pt;height:12.45pt;width:14.55pt;mso-position-horizontal-relative:page;mso-position-vertical-relative:page;rotation:0f;z-index:-251646976;"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49" w:lineRule="exact"/>
                  <w:ind w:left="40" w:right="0" w:firstLine="0"/>
                  <w:jc w:val="left"/>
                  <w:rPr>
                    <w:rFonts w:ascii="仿宋"/>
                    <w:sz w:val="21"/>
                  </w:rPr>
                </w:pPr>
                <w:r>
                  <w:fldChar w:fldCharType="begin"/>
                </w:r>
                <w:r>
                  <w:rPr>
                    <w:rFonts w:ascii="仿宋"/>
                    <w:sz w:val="21"/>
                  </w:rPr>
                  <w:instrText xml:space="preserve"> PAGE </w:instrText>
                </w:r>
                <w:r>
                  <w:fldChar w:fldCharType="separate"/>
                </w:r>
                <w:r>
                  <w:t>70</w:t>
                </w:r>
                <w:r>
                  <w:fldChar w:fldCharType="end"/>
                </w:r>
              </w:p>
            </w:txbxContent>
          </v:textbox>
        </v:rect>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14" o:spid="_x0000_s1037" style="position:absolute;left:0;margin-left:289.8pt;margin-top:780.7pt;height:12.45pt;width:14.55pt;mso-position-horizontal-relative:page;mso-position-vertical-relative:page;rotation:0f;z-index:-251645952;"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49" w:lineRule="exact"/>
                  <w:ind w:left="40" w:right="0" w:firstLine="0"/>
                  <w:jc w:val="left"/>
                  <w:rPr>
                    <w:rFonts w:ascii="仿宋"/>
                    <w:sz w:val="21"/>
                  </w:rPr>
                </w:pPr>
                <w:r>
                  <w:fldChar w:fldCharType="begin"/>
                </w:r>
                <w:r>
                  <w:rPr>
                    <w:rFonts w:ascii="仿宋"/>
                    <w:sz w:val="21"/>
                  </w:rPr>
                  <w:instrText xml:space="preserve"> PAGE </w:instrText>
                </w:r>
                <w:r>
                  <w:fldChar w:fldCharType="separate"/>
                </w:r>
                <w:r>
                  <w:t>80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rect id="文本框 1" o:spid="_x0000_s1025" style="position:absolute;left:0;margin-left:188.6pt;margin-top:42.9pt;height:11pt;width:218pt;mso-position-horizontal-relative:page;mso-position-vertical-relative:pag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20" w:lineRule="exact"/>
                  <w:ind w:left="20" w:right="0" w:firstLine="0"/>
                  <w:jc w:val="left"/>
                  <w:rPr>
                    <w:sz w:val="18"/>
                  </w:rPr>
                </w:pPr>
              </w:p>
            </w:txbxContent>
          </v:textbox>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line id="直线 26" o:spid="_x0000_s1049" style="position:absolute;left:0;margin-left:76.55pt;margin-top:55.4pt;height:0.05pt;width:441.05pt;mso-position-horizontal-relative:page;mso-position-vertical-relative:page;rotation:0f;z-index:-251633664;" o:ole="f" fillcolor="#FFFFFF" filled="f" o:preferrelative="t" stroked="t" coordsize="21600,21600">
          <v:fill on="f" color2="#FFFFFF" focus="0%"/>
          <v:stroke weight="0.48pt" color="#000000" color2="#FFFFFF" miterlimit="2"/>
          <v:imagedata gain="65536f" blacklevel="0f" gamma="0"/>
          <o:lock v:ext="edit" position="f" selection="f" grouping="f" rotation="f" cropping="f" text="f" aspectratio="f"/>
        </v:line>
      </w:pict>
    </w:r>
    <w:r>
      <w:rPr>
        <w:rFonts w:ascii="宋体" w:hAnsi="宋体" w:eastAsia="宋体" w:cs="宋体"/>
        <w:sz w:val="22"/>
        <w:szCs w:val="22"/>
        <w:lang w:val="zh-CN" w:eastAsia="zh-CN" w:bidi="zh-CN"/>
      </w:rPr>
      <w:pict>
        <v:rect id="文本框 27" o:spid="_x0000_s1050" style="position:absolute;left:0;margin-left:318.55pt;margin-top:42.9pt;height:11pt;width:200pt;mso-position-horizontal-relative:page;mso-position-vertical-relative:page;rotation:0f;z-index:-251632640;"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20" w:lineRule="exact"/>
                  <w:ind w:left="20" w:right="0" w:firstLine="0"/>
                  <w:jc w:val="left"/>
                  <w:rPr>
                    <w:sz w:val="18"/>
                  </w:rPr>
                </w:pPr>
                <w:r>
                  <w:rPr>
                    <w:sz w:val="18"/>
                  </w:rPr>
                  <w:t>目</w:t>
                </w:r>
              </w:p>
            </w:txbxContent>
          </v:textbox>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line id="直线 3" o:spid="_x0000_s1027" style="position:absolute;left:0;margin-left:56.7pt;margin-top:55.55pt;height:0.05pt;width:474.9pt;mso-position-horizontal-relative:page;mso-position-vertical-relative:page;rotation:0f;z-index:-251656192;" o:ole="f" fillcolor="#FFFFFF" filled="f" o:preferrelative="t" stroked="t" coordsize="21600,21600">
          <v:fill on="f" color2="#FFFFFF" focus="0%"/>
          <v:stroke weight="0.72pt" color="#000000" color2="#FFFFFF" miterlimit="2"/>
          <v:imagedata gain="65536f" blacklevel="0f" gamma="0"/>
          <o:lock v:ext="edit" position="f" selection="f" grouping="f" rotation="f" cropping="f" text="f" aspectratio="f"/>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line id="直线 7" o:spid="_x0000_s1030" style="position:absolute;left:0;margin-left:76.55pt;margin-top:55.55pt;height:0.05pt;width:441.05pt;mso-position-horizontal-relative:page;mso-position-vertical-relative:page;rotation:0f;z-index:-251653120;" o:ole="f" fillcolor="#FFFFFF" filled="f" o:preferrelative="t" stroked="t" coordsize="21600,21600">
          <v:fill on="f" color2="#FFFFFF" focus="0%"/>
          <v:stroke weight="0.72pt" color="#000000" color2="#FFFFFF" miterlimit="2"/>
          <v:imagedata gain="65536f" blacklevel="0f" gamma="0"/>
          <o:lock v:ext="edit" position="f" selection="f" grouping="f" rotation="f" cropping="f" text="f" aspectratio="f"/>
        </v:line>
      </w:pict>
    </w:r>
    <w:r>
      <w:rPr>
        <w:rFonts w:ascii="宋体" w:hAnsi="宋体" w:eastAsia="宋体" w:cs="宋体"/>
        <w:sz w:val="22"/>
        <w:szCs w:val="22"/>
        <w:lang w:val="zh-CN" w:eastAsia="zh-CN" w:bidi="zh-CN"/>
      </w:rPr>
      <w:pict>
        <v:rect id="文本框 8" o:spid="_x0000_s1031" style="position:absolute;left:0;margin-left:188pt;margin-top:42.9pt;height:11pt;width:218pt;mso-position-horizontal-relative:page;mso-position-vertical-relative:page;rotation:0f;z-index:-251652096;"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20" w:lineRule="exact"/>
                  <w:ind w:left="20" w:right="0" w:firstLine="0"/>
                  <w:jc w:val="left"/>
                  <w:rPr>
                    <w:sz w:val="18"/>
                  </w:rPr>
                </w:pPr>
              </w:p>
            </w:txbxContent>
          </v:textbox>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line id="直线 19" o:spid="_x0000_s1042" style="position:absolute;left:0;margin-left:89.8pt;margin-top:55.55pt;height:0.05pt;width:423.25pt;mso-position-horizontal-relative:page;mso-position-vertical-relative:page;rotation:0f;z-index:-251640832;" o:ole="f" fillcolor="#FFFFFF" filled="f" o:preferrelative="t" stroked="t" coordsize="21600,21600">
          <v:fill on="f" color2="#FFFFFF" focus="0%"/>
          <v:stroke weight="0.72pt" color="#000000" color2="#FFFFFF" miterlimit="2"/>
          <v:imagedata gain="65536f" blacklevel="0f" gamma="0"/>
          <o:lock v:ext="edit" position="f" selection="f" grouping="f" rotation="f" cropping="f" text="f" aspectratio="f"/>
        </v:line>
      </w:pict>
    </w:r>
    <w:r>
      <w:rPr>
        <w:rFonts w:ascii="宋体" w:hAnsi="宋体" w:eastAsia="宋体" w:cs="宋体"/>
        <w:sz w:val="22"/>
        <w:szCs w:val="22"/>
        <w:lang w:val="zh-CN" w:eastAsia="zh-CN" w:bidi="zh-CN"/>
      </w:rPr>
      <w:pict>
        <v:rect id="文本框 20" o:spid="_x0000_s1043" style="position:absolute;left:0;margin-left:192.4pt;margin-top:42.9pt;height:11pt;width:218pt;mso-position-horizontal-relative:page;mso-position-vertical-relative:page;rotation:0f;z-index:-251639808;"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20" w:lineRule="exact"/>
                  <w:ind w:left="20" w:right="0" w:firstLine="0"/>
                  <w:jc w:val="left"/>
                  <w:rPr>
                    <w:sz w:val="18"/>
                  </w:rPr>
                </w:pPr>
                <w:r>
                  <w:rPr>
                    <w:sz w:val="18"/>
                  </w:rPr>
                  <w:t>目</w:t>
                </w:r>
              </w:p>
            </w:txbxContent>
          </v:textbox>
        </v:rect>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spacing w:line="14" w:lineRule="auto"/>
      <w:rPr>
        <w:sz w:val="20"/>
      </w:rPr>
    </w:pPr>
    <w:r>
      <w:rPr>
        <w:rFonts w:ascii="宋体" w:hAnsi="宋体" w:eastAsia="宋体" w:cs="宋体"/>
        <w:sz w:val="22"/>
        <w:szCs w:val="22"/>
        <w:lang w:val="zh-CN" w:eastAsia="zh-CN" w:bidi="zh-CN"/>
      </w:rPr>
      <w:pict>
        <v:line id="直线 22" o:spid="_x0000_s1045" style="position:absolute;left:0;margin-left:89.8pt;margin-top:55.55pt;height:0.05pt;width:423.25pt;mso-position-horizontal-relative:page;mso-position-vertical-relative:page;rotation:0f;z-index:-251637760;" o:ole="f" fillcolor="#FFFFFF" filled="f" o:preferrelative="t" stroked="t" coordsize="21600,21600">
          <v:fill on="f" color2="#FFFFFF" focus="0%"/>
          <v:stroke weight="0.72pt" color="#000000" color2="#FFFFFF" miterlimit="2"/>
          <v:imagedata gain="65536f" blacklevel="0f" gamma="0"/>
          <o:lock v:ext="edit" position="f" selection="f" grouping="f" rotation="f" cropping="f" text="f" aspectratio="f"/>
        </v:line>
      </w:pict>
    </w:r>
    <w:r>
      <w:rPr>
        <w:rFonts w:ascii="宋体" w:hAnsi="宋体" w:eastAsia="宋体" w:cs="宋体"/>
        <w:sz w:val="22"/>
        <w:szCs w:val="22"/>
        <w:lang w:val="zh-CN" w:eastAsia="zh-CN" w:bidi="zh-CN"/>
      </w:rPr>
      <w:pict>
        <v:rect id="文本框 23" o:spid="_x0000_s1046" style="position:absolute;left:0;margin-left:192.4pt;margin-top:42.9pt;height:11pt;width:218pt;mso-position-horizontal-relative:page;mso-position-vertical-relative:page;rotation:0f;z-index:-251636736;"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20" w:lineRule="exact"/>
                  <w:ind w:left="20" w:right="0" w:firstLine="0"/>
                  <w:jc w:val="left"/>
                  <w:rPr>
                    <w:sz w:val="18"/>
                  </w:rPr>
                </w:pPr>
              </w:p>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52615465">
    <w:nsid w:val="804E4E29"/>
    <w:multiLevelType w:val="multilevel"/>
    <w:tmpl w:val="804E4E29"/>
    <w:lvl w:ilvl="0" w:tentative="1">
      <w:start w:val="2"/>
      <w:numFmt w:val="decimal"/>
      <w:lvlText w:val="（%1）"/>
      <w:lvlJc w:val="left"/>
      <w:pPr>
        <w:ind w:left="731" w:hanging="554"/>
      </w:pPr>
      <w:rPr>
        <w:rFonts w:hint="default" w:ascii="宋体" w:hAnsi="宋体" w:eastAsia="宋体" w:cs="宋体"/>
        <w:spacing w:val="-34"/>
        <w:w w:val="100"/>
        <w:sz w:val="20"/>
        <w:szCs w:val="20"/>
        <w:lang w:val="zh-CN" w:eastAsia="zh-CN" w:bidi="zh-CN"/>
      </w:rPr>
    </w:lvl>
    <w:lvl w:ilvl="1" w:tentative="1">
      <w:start w:val="0"/>
      <w:numFmt w:val="bullet"/>
      <w:lvlText w:val="•"/>
      <w:lvlJc w:val="left"/>
      <w:pPr>
        <w:ind w:left="1710" w:hanging="554"/>
      </w:pPr>
      <w:rPr>
        <w:rFonts w:hint="default"/>
        <w:lang w:val="zh-CN" w:eastAsia="zh-CN" w:bidi="zh-CN"/>
      </w:rPr>
    </w:lvl>
    <w:lvl w:ilvl="2" w:tentative="1">
      <w:start w:val="0"/>
      <w:numFmt w:val="bullet"/>
      <w:lvlText w:val="•"/>
      <w:lvlJc w:val="left"/>
      <w:pPr>
        <w:ind w:left="2681" w:hanging="554"/>
      </w:pPr>
      <w:rPr>
        <w:rFonts w:hint="default"/>
        <w:lang w:val="zh-CN" w:eastAsia="zh-CN" w:bidi="zh-CN"/>
      </w:rPr>
    </w:lvl>
    <w:lvl w:ilvl="3" w:tentative="1">
      <w:start w:val="0"/>
      <w:numFmt w:val="bullet"/>
      <w:lvlText w:val="•"/>
      <w:lvlJc w:val="left"/>
      <w:pPr>
        <w:ind w:left="3651" w:hanging="554"/>
      </w:pPr>
      <w:rPr>
        <w:rFonts w:hint="default"/>
        <w:lang w:val="zh-CN" w:eastAsia="zh-CN" w:bidi="zh-CN"/>
      </w:rPr>
    </w:lvl>
    <w:lvl w:ilvl="4" w:tentative="1">
      <w:start w:val="0"/>
      <w:numFmt w:val="bullet"/>
      <w:lvlText w:val="•"/>
      <w:lvlJc w:val="left"/>
      <w:pPr>
        <w:ind w:left="4622" w:hanging="554"/>
      </w:pPr>
      <w:rPr>
        <w:rFonts w:hint="default"/>
        <w:lang w:val="zh-CN" w:eastAsia="zh-CN" w:bidi="zh-CN"/>
      </w:rPr>
    </w:lvl>
    <w:lvl w:ilvl="5" w:tentative="1">
      <w:start w:val="0"/>
      <w:numFmt w:val="bullet"/>
      <w:lvlText w:val="•"/>
      <w:lvlJc w:val="left"/>
      <w:pPr>
        <w:ind w:left="5593" w:hanging="554"/>
      </w:pPr>
      <w:rPr>
        <w:rFonts w:hint="default"/>
        <w:lang w:val="zh-CN" w:eastAsia="zh-CN" w:bidi="zh-CN"/>
      </w:rPr>
    </w:lvl>
    <w:lvl w:ilvl="6" w:tentative="1">
      <w:start w:val="0"/>
      <w:numFmt w:val="bullet"/>
      <w:lvlText w:val="•"/>
      <w:lvlJc w:val="left"/>
      <w:pPr>
        <w:ind w:left="6563" w:hanging="554"/>
      </w:pPr>
      <w:rPr>
        <w:rFonts w:hint="default"/>
        <w:lang w:val="zh-CN" w:eastAsia="zh-CN" w:bidi="zh-CN"/>
      </w:rPr>
    </w:lvl>
    <w:lvl w:ilvl="7" w:tentative="1">
      <w:start w:val="0"/>
      <w:numFmt w:val="bullet"/>
      <w:lvlText w:val="•"/>
      <w:lvlJc w:val="left"/>
      <w:pPr>
        <w:ind w:left="7534" w:hanging="554"/>
      </w:pPr>
      <w:rPr>
        <w:rFonts w:hint="default"/>
        <w:lang w:val="zh-CN" w:eastAsia="zh-CN" w:bidi="zh-CN"/>
      </w:rPr>
    </w:lvl>
    <w:lvl w:ilvl="8" w:tentative="1">
      <w:start w:val="0"/>
      <w:numFmt w:val="bullet"/>
      <w:lvlText w:val="•"/>
      <w:lvlJc w:val="left"/>
      <w:pPr>
        <w:ind w:left="8504" w:hanging="554"/>
      </w:pPr>
      <w:rPr>
        <w:rFonts w:hint="default"/>
        <w:lang w:val="zh-CN" w:eastAsia="zh-CN" w:bidi="zh-CN"/>
      </w:rPr>
    </w:lvl>
  </w:abstractNum>
  <w:abstractNum w:abstractNumId="2168081287">
    <w:nsid w:val="813A4B87"/>
    <w:multiLevelType w:val="multilevel"/>
    <w:tmpl w:val="813A4B87"/>
    <w:lvl w:ilvl="0" w:tentative="1">
      <w:start w:val="1"/>
      <w:numFmt w:val="decimal"/>
      <w:lvlText w:val="%1."/>
      <w:lvlJc w:val="left"/>
      <w:pPr>
        <w:ind w:left="992" w:hanging="262"/>
      </w:pPr>
      <w:rPr>
        <w:rFonts w:hint="default" w:ascii="Times New Roman" w:hAnsi="Times New Roman" w:eastAsia="Times New Roman" w:cs="Times New Roman"/>
        <w:spacing w:val="0"/>
        <w:w w:val="99"/>
        <w:sz w:val="21"/>
        <w:szCs w:val="21"/>
        <w:lang w:val="zh-CN" w:eastAsia="zh-CN" w:bidi="zh-CN"/>
      </w:rPr>
    </w:lvl>
    <w:lvl w:ilvl="1" w:tentative="1">
      <w:start w:val="1"/>
      <w:numFmt w:val="decimal"/>
      <w:lvlText w:val="%1.%2"/>
      <w:lvlJc w:val="left"/>
      <w:pPr>
        <w:ind w:left="1518" w:hanging="368"/>
      </w:pPr>
      <w:rPr>
        <w:rFonts w:hint="default" w:ascii="Times New Roman" w:hAnsi="Times New Roman" w:eastAsia="Times New Roman" w:cs="Times New Roman"/>
        <w:spacing w:val="0"/>
        <w:w w:val="99"/>
        <w:sz w:val="21"/>
        <w:szCs w:val="21"/>
        <w:lang w:val="zh-CN" w:eastAsia="zh-CN" w:bidi="zh-CN"/>
      </w:rPr>
    </w:lvl>
    <w:lvl w:ilvl="2" w:tentative="1">
      <w:start w:val="1"/>
      <w:numFmt w:val="decimal"/>
      <w:lvlText w:val="%1.%2.%3"/>
      <w:lvlJc w:val="left"/>
      <w:pPr>
        <w:ind w:left="1780" w:hanging="629"/>
      </w:pPr>
      <w:rPr>
        <w:rFonts w:hint="default"/>
        <w:spacing w:val="-2"/>
        <w:w w:val="99"/>
        <w:lang w:val="zh-CN" w:eastAsia="zh-CN" w:bidi="zh-CN"/>
      </w:rPr>
    </w:lvl>
    <w:lvl w:ilvl="3" w:tentative="1">
      <w:start w:val="4"/>
      <w:numFmt w:val="decimal"/>
      <w:lvlText w:val="%1.%2.%3.%4"/>
      <w:lvlJc w:val="left"/>
      <w:pPr>
        <w:ind w:left="1780" w:hanging="629"/>
      </w:pPr>
      <w:rPr>
        <w:rFonts w:hint="default" w:ascii="Times New Roman" w:hAnsi="Times New Roman" w:eastAsia="Times New Roman" w:cs="Times New Roman"/>
        <w:spacing w:val="-2"/>
        <w:w w:val="99"/>
        <w:sz w:val="21"/>
        <w:szCs w:val="21"/>
        <w:lang w:val="zh-CN" w:eastAsia="zh-CN" w:bidi="zh-CN"/>
      </w:rPr>
    </w:lvl>
    <w:lvl w:ilvl="4" w:tentative="1">
      <w:start w:val="0"/>
      <w:numFmt w:val="bullet"/>
      <w:lvlText w:val="•"/>
      <w:lvlJc w:val="left"/>
      <w:pPr>
        <w:ind w:left="1460" w:hanging="629"/>
      </w:pPr>
      <w:rPr>
        <w:rFonts w:hint="default"/>
        <w:lang w:val="zh-CN" w:eastAsia="zh-CN" w:bidi="zh-CN"/>
      </w:rPr>
    </w:lvl>
    <w:lvl w:ilvl="5" w:tentative="1">
      <w:start w:val="0"/>
      <w:numFmt w:val="bullet"/>
      <w:lvlText w:val="•"/>
      <w:lvlJc w:val="left"/>
      <w:pPr>
        <w:ind w:left="1520" w:hanging="629"/>
      </w:pPr>
      <w:rPr>
        <w:rFonts w:hint="default"/>
        <w:lang w:val="zh-CN" w:eastAsia="zh-CN" w:bidi="zh-CN"/>
      </w:rPr>
    </w:lvl>
    <w:lvl w:ilvl="6" w:tentative="1">
      <w:start w:val="0"/>
      <w:numFmt w:val="bullet"/>
      <w:lvlText w:val="•"/>
      <w:lvlJc w:val="left"/>
      <w:pPr>
        <w:ind w:left="1580" w:hanging="629"/>
      </w:pPr>
      <w:rPr>
        <w:rFonts w:hint="default"/>
        <w:lang w:val="zh-CN" w:eastAsia="zh-CN" w:bidi="zh-CN"/>
      </w:rPr>
    </w:lvl>
    <w:lvl w:ilvl="7" w:tentative="1">
      <w:start w:val="0"/>
      <w:numFmt w:val="bullet"/>
      <w:lvlText w:val="•"/>
      <w:lvlJc w:val="left"/>
      <w:pPr>
        <w:ind w:left="1620" w:hanging="629"/>
      </w:pPr>
      <w:rPr>
        <w:rFonts w:hint="default"/>
        <w:lang w:val="zh-CN" w:eastAsia="zh-CN" w:bidi="zh-CN"/>
      </w:rPr>
    </w:lvl>
    <w:lvl w:ilvl="8" w:tentative="1">
      <w:start w:val="0"/>
      <w:numFmt w:val="bullet"/>
      <w:lvlText w:val="•"/>
      <w:lvlJc w:val="left"/>
      <w:pPr>
        <w:ind w:left="1680" w:hanging="629"/>
      </w:pPr>
      <w:rPr>
        <w:rFonts w:hint="default"/>
        <w:lang w:val="zh-CN" w:eastAsia="zh-CN" w:bidi="zh-CN"/>
      </w:rPr>
    </w:lvl>
  </w:abstractNum>
  <w:abstractNum w:abstractNumId="714036091">
    <w:nsid w:val="2A8F537B"/>
    <w:multiLevelType w:val="multilevel"/>
    <w:tmpl w:val="2A8F537B"/>
    <w:lvl w:ilvl="0" w:tentative="1">
      <w:start w:val="1"/>
      <w:numFmt w:val="decimal"/>
      <w:lvlText w:val="%1."/>
      <w:lvlJc w:val="left"/>
      <w:pPr>
        <w:ind w:left="813" w:hanging="481"/>
      </w:pPr>
      <w:rPr>
        <w:rFonts w:hint="default"/>
        <w:spacing w:val="0"/>
        <w:w w:val="99"/>
        <w:lang w:val="zh-CN" w:eastAsia="zh-CN" w:bidi="zh-CN"/>
      </w:rPr>
    </w:lvl>
    <w:lvl w:ilvl="1" w:tentative="1">
      <w:start w:val="1"/>
      <w:numFmt w:val="decimal"/>
      <w:lvlText w:val="%1.%2"/>
      <w:lvlJc w:val="left"/>
      <w:pPr>
        <w:ind w:left="894" w:hanging="562"/>
      </w:pPr>
      <w:rPr>
        <w:rFonts w:hint="default"/>
        <w:spacing w:val="-2"/>
        <w:w w:val="100"/>
        <w:lang w:val="zh-CN" w:eastAsia="zh-CN" w:bidi="zh-CN"/>
      </w:rPr>
    </w:lvl>
    <w:lvl w:ilvl="2" w:tentative="1">
      <w:start w:val="1"/>
      <w:numFmt w:val="decimal"/>
      <w:lvlText w:val="%1.%2.%3"/>
      <w:lvlJc w:val="left"/>
      <w:pPr>
        <w:ind w:left="332" w:hanging="579"/>
      </w:pPr>
      <w:rPr>
        <w:rFonts w:hint="default"/>
        <w:spacing w:val="-2"/>
        <w:w w:val="99"/>
        <w:lang w:val="zh-CN" w:eastAsia="zh-CN" w:bidi="zh-CN"/>
      </w:rPr>
    </w:lvl>
    <w:lvl w:ilvl="3" w:tentative="1">
      <w:start w:val="1"/>
      <w:numFmt w:val="decimal"/>
      <w:lvlText w:val="（%4）"/>
      <w:lvlJc w:val="left"/>
      <w:pPr>
        <w:ind w:left="1423" w:hanging="579"/>
      </w:pPr>
      <w:rPr>
        <w:rFonts w:hint="default"/>
        <w:spacing w:val="-1"/>
        <w:w w:val="100"/>
        <w:lang w:val="zh-CN" w:eastAsia="zh-CN" w:bidi="zh-CN"/>
      </w:rPr>
    </w:lvl>
    <w:lvl w:ilvl="4" w:tentative="1">
      <w:start w:val="0"/>
      <w:numFmt w:val="bullet"/>
      <w:lvlText w:val="•"/>
      <w:lvlJc w:val="left"/>
      <w:pPr>
        <w:ind w:left="1220" w:hanging="579"/>
      </w:pPr>
      <w:rPr>
        <w:rFonts w:hint="default"/>
        <w:lang w:val="zh-CN" w:eastAsia="zh-CN" w:bidi="zh-CN"/>
      </w:rPr>
    </w:lvl>
    <w:lvl w:ilvl="5" w:tentative="1">
      <w:start w:val="0"/>
      <w:numFmt w:val="bullet"/>
      <w:lvlText w:val="•"/>
      <w:lvlJc w:val="left"/>
      <w:pPr>
        <w:ind w:left="1320" w:hanging="579"/>
      </w:pPr>
      <w:rPr>
        <w:rFonts w:hint="default"/>
        <w:lang w:val="zh-CN" w:eastAsia="zh-CN" w:bidi="zh-CN"/>
      </w:rPr>
    </w:lvl>
    <w:lvl w:ilvl="6" w:tentative="1">
      <w:start w:val="0"/>
      <w:numFmt w:val="bullet"/>
      <w:lvlText w:val="•"/>
      <w:lvlJc w:val="left"/>
      <w:pPr>
        <w:ind w:left="1360" w:hanging="579"/>
      </w:pPr>
      <w:rPr>
        <w:rFonts w:hint="default"/>
        <w:lang w:val="zh-CN" w:eastAsia="zh-CN" w:bidi="zh-CN"/>
      </w:rPr>
    </w:lvl>
    <w:lvl w:ilvl="7" w:tentative="1">
      <w:start w:val="0"/>
      <w:numFmt w:val="bullet"/>
      <w:lvlText w:val="•"/>
      <w:lvlJc w:val="left"/>
      <w:pPr>
        <w:ind w:left="1380" w:hanging="579"/>
      </w:pPr>
      <w:rPr>
        <w:rFonts w:hint="default"/>
        <w:lang w:val="zh-CN" w:eastAsia="zh-CN" w:bidi="zh-CN"/>
      </w:rPr>
    </w:lvl>
    <w:lvl w:ilvl="8" w:tentative="1">
      <w:start w:val="0"/>
      <w:numFmt w:val="bullet"/>
      <w:lvlText w:val="•"/>
      <w:lvlJc w:val="left"/>
      <w:pPr>
        <w:ind w:left="1420" w:hanging="579"/>
      </w:pPr>
      <w:rPr>
        <w:rFonts w:hint="default"/>
        <w:lang w:val="zh-CN" w:eastAsia="zh-CN" w:bidi="zh-CN"/>
      </w:rPr>
    </w:lvl>
  </w:abstractNum>
  <w:abstractNum w:abstractNumId="821844757">
    <w:nsid w:val="30FC5B15"/>
    <w:multiLevelType w:val="multilevel"/>
    <w:tmpl w:val="30FC5B15"/>
    <w:lvl w:ilvl="0" w:tentative="1">
      <w:start w:val="1"/>
      <w:numFmt w:val="decimal"/>
      <w:lvlText w:val="%1"/>
      <w:lvlJc w:val="left"/>
      <w:pPr>
        <w:ind w:left="1624" w:hanging="473"/>
      </w:pPr>
      <w:rPr>
        <w:rFonts w:hint="default"/>
        <w:lang w:val="zh-CN" w:eastAsia="zh-CN" w:bidi="zh-CN"/>
      </w:rPr>
    </w:lvl>
    <w:lvl w:ilvl="1" w:tentative="1">
      <w:start w:val="10"/>
      <w:numFmt w:val="decimal"/>
      <w:lvlText w:val="%1.%2"/>
      <w:lvlJc w:val="left"/>
      <w:pPr>
        <w:ind w:left="1624" w:hanging="473"/>
      </w:pPr>
      <w:rPr>
        <w:rFonts w:hint="default" w:ascii="Times New Roman" w:hAnsi="Times New Roman" w:eastAsia="Times New Roman" w:cs="Times New Roman"/>
        <w:spacing w:val="0"/>
        <w:w w:val="99"/>
        <w:sz w:val="21"/>
        <w:szCs w:val="21"/>
        <w:lang w:val="zh-CN" w:eastAsia="zh-CN" w:bidi="zh-CN"/>
      </w:rPr>
    </w:lvl>
    <w:lvl w:ilvl="2" w:tentative="1">
      <w:start w:val="1"/>
      <w:numFmt w:val="decimal"/>
      <w:lvlText w:val="%1.%2.%3"/>
      <w:lvlJc w:val="left"/>
      <w:pPr>
        <w:ind w:left="1780" w:hanging="629"/>
      </w:pPr>
      <w:rPr>
        <w:rFonts w:hint="default" w:ascii="Times New Roman" w:hAnsi="Times New Roman" w:eastAsia="Times New Roman" w:cs="Times New Roman"/>
        <w:spacing w:val="-2"/>
        <w:w w:val="99"/>
        <w:sz w:val="21"/>
        <w:szCs w:val="21"/>
        <w:lang w:val="zh-CN" w:eastAsia="zh-CN" w:bidi="zh-CN"/>
      </w:rPr>
    </w:lvl>
    <w:lvl w:ilvl="3" w:tentative="1">
      <w:start w:val="0"/>
      <w:numFmt w:val="bullet"/>
      <w:lvlText w:val="•"/>
      <w:lvlJc w:val="left"/>
      <w:pPr>
        <w:ind w:left="2863" w:hanging="629"/>
      </w:pPr>
      <w:rPr>
        <w:rFonts w:hint="default"/>
        <w:lang w:val="zh-CN" w:eastAsia="zh-CN" w:bidi="zh-CN"/>
      </w:rPr>
    </w:lvl>
    <w:lvl w:ilvl="4" w:tentative="1">
      <w:start w:val="0"/>
      <w:numFmt w:val="bullet"/>
      <w:lvlText w:val="•"/>
      <w:lvlJc w:val="left"/>
      <w:pPr>
        <w:ind w:left="3946" w:hanging="629"/>
      </w:pPr>
      <w:rPr>
        <w:rFonts w:hint="default"/>
        <w:lang w:val="zh-CN" w:eastAsia="zh-CN" w:bidi="zh-CN"/>
      </w:rPr>
    </w:lvl>
    <w:lvl w:ilvl="5" w:tentative="1">
      <w:start w:val="0"/>
      <w:numFmt w:val="bullet"/>
      <w:lvlText w:val="•"/>
      <w:lvlJc w:val="left"/>
      <w:pPr>
        <w:ind w:left="5029" w:hanging="629"/>
      </w:pPr>
      <w:rPr>
        <w:rFonts w:hint="default"/>
        <w:lang w:val="zh-CN" w:eastAsia="zh-CN" w:bidi="zh-CN"/>
      </w:rPr>
    </w:lvl>
    <w:lvl w:ilvl="6" w:tentative="1">
      <w:start w:val="0"/>
      <w:numFmt w:val="bullet"/>
      <w:lvlText w:val="•"/>
      <w:lvlJc w:val="left"/>
      <w:pPr>
        <w:ind w:left="6113" w:hanging="629"/>
      </w:pPr>
      <w:rPr>
        <w:rFonts w:hint="default"/>
        <w:lang w:val="zh-CN" w:eastAsia="zh-CN" w:bidi="zh-CN"/>
      </w:rPr>
    </w:lvl>
    <w:lvl w:ilvl="7" w:tentative="1">
      <w:start w:val="0"/>
      <w:numFmt w:val="bullet"/>
      <w:lvlText w:val="•"/>
      <w:lvlJc w:val="left"/>
      <w:pPr>
        <w:ind w:left="7196" w:hanging="629"/>
      </w:pPr>
      <w:rPr>
        <w:rFonts w:hint="default"/>
        <w:lang w:val="zh-CN" w:eastAsia="zh-CN" w:bidi="zh-CN"/>
      </w:rPr>
    </w:lvl>
    <w:lvl w:ilvl="8" w:tentative="1">
      <w:start w:val="0"/>
      <w:numFmt w:val="bullet"/>
      <w:lvlText w:val="•"/>
      <w:lvlJc w:val="left"/>
      <w:pPr>
        <w:ind w:left="8279" w:hanging="629"/>
      </w:pPr>
      <w:rPr>
        <w:rFonts w:hint="default"/>
        <w:lang w:val="zh-CN" w:eastAsia="zh-CN" w:bidi="zh-CN"/>
      </w:rPr>
    </w:lvl>
  </w:abstractNum>
  <w:abstractNum w:abstractNumId="841844170">
    <w:nsid w:val="322D85CA"/>
    <w:multiLevelType w:val="multilevel"/>
    <w:tmpl w:val="322D85CA"/>
    <w:lvl w:ilvl="0" w:tentative="1">
      <w:start w:val="8"/>
      <w:numFmt w:val="decimal"/>
      <w:lvlText w:val="%1"/>
      <w:lvlJc w:val="left"/>
      <w:pPr>
        <w:ind w:left="1518" w:hanging="368"/>
      </w:pPr>
      <w:rPr>
        <w:rFonts w:hint="default"/>
        <w:lang w:val="zh-CN" w:eastAsia="zh-CN" w:bidi="zh-CN"/>
      </w:rPr>
    </w:lvl>
    <w:lvl w:ilvl="1" w:tentative="1">
      <w:start w:val="6"/>
      <w:numFmt w:val="decimal"/>
      <w:lvlText w:val="%1.%2"/>
      <w:lvlJc w:val="left"/>
      <w:pPr>
        <w:ind w:left="1518" w:hanging="368"/>
      </w:pPr>
      <w:rPr>
        <w:rFonts w:hint="default" w:ascii="Times New Roman" w:hAnsi="Times New Roman" w:eastAsia="Times New Roman" w:cs="Times New Roman"/>
        <w:spacing w:val="0"/>
        <w:w w:val="99"/>
        <w:sz w:val="21"/>
        <w:szCs w:val="21"/>
        <w:lang w:val="zh-CN" w:eastAsia="zh-CN" w:bidi="zh-CN"/>
      </w:rPr>
    </w:lvl>
    <w:lvl w:ilvl="2" w:tentative="1">
      <w:start w:val="1"/>
      <w:numFmt w:val="decimal"/>
      <w:lvlText w:val="%1.%2.%3"/>
      <w:lvlJc w:val="left"/>
      <w:pPr>
        <w:ind w:left="1991" w:hanging="840"/>
      </w:pPr>
      <w:rPr>
        <w:rFonts w:hint="default" w:ascii="Times New Roman" w:hAnsi="Times New Roman" w:eastAsia="Times New Roman" w:cs="Times New Roman"/>
        <w:spacing w:val="0"/>
        <w:w w:val="99"/>
        <w:sz w:val="21"/>
        <w:szCs w:val="21"/>
        <w:lang w:val="zh-CN" w:eastAsia="zh-CN" w:bidi="zh-CN"/>
      </w:rPr>
    </w:lvl>
    <w:lvl w:ilvl="3" w:tentative="1">
      <w:start w:val="0"/>
      <w:numFmt w:val="bullet"/>
      <w:lvlText w:val="•"/>
      <w:lvlJc w:val="left"/>
      <w:pPr>
        <w:ind w:left="3876" w:hanging="840"/>
      </w:pPr>
      <w:rPr>
        <w:rFonts w:hint="default"/>
        <w:lang w:val="zh-CN" w:eastAsia="zh-CN" w:bidi="zh-CN"/>
      </w:rPr>
    </w:lvl>
    <w:lvl w:ilvl="4" w:tentative="1">
      <w:start w:val="0"/>
      <w:numFmt w:val="bullet"/>
      <w:lvlText w:val="•"/>
      <w:lvlJc w:val="left"/>
      <w:pPr>
        <w:ind w:left="4815" w:hanging="840"/>
      </w:pPr>
      <w:rPr>
        <w:rFonts w:hint="default"/>
        <w:lang w:val="zh-CN" w:eastAsia="zh-CN" w:bidi="zh-CN"/>
      </w:rPr>
    </w:lvl>
    <w:lvl w:ilvl="5" w:tentative="1">
      <w:start w:val="0"/>
      <w:numFmt w:val="bullet"/>
      <w:lvlText w:val="•"/>
      <w:lvlJc w:val="left"/>
      <w:pPr>
        <w:ind w:left="5753" w:hanging="840"/>
      </w:pPr>
      <w:rPr>
        <w:rFonts w:hint="default"/>
        <w:lang w:val="zh-CN" w:eastAsia="zh-CN" w:bidi="zh-CN"/>
      </w:rPr>
    </w:lvl>
    <w:lvl w:ilvl="6" w:tentative="1">
      <w:start w:val="0"/>
      <w:numFmt w:val="bullet"/>
      <w:lvlText w:val="•"/>
      <w:lvlJc w:val="left"/>
      <w:pPr>
        <w:ind w:left="6692" w:hanging="840"/>
      </w:pPr>
      <w:rPr>
        <w:rFonts w:hint="default"/>
        <w:lang w:val="zh-CN" w:eastAsia="zh-CN" w:bidi="zh-CN"/>
      </w:rPr>
    </w:lvl>
    <w:lvl w:ilvl="7" w:tentative="1">
      <w:start w:val="0"/>
      <w:numFmt w:val="bullet"/>
      <w:lvlText w:val="•"/>
      <w:lvlJc w:val="left"/>
      <w:pPr>
        <w:ind w:left="7630" w:hanging="840"/>
      </w:pPr>
      <w:rPr>
        <w:rFonts w:hint="default"/>
        <w:lang w:val="zh-CN" w:eastAsia="zh-CN" w:bidi="zh-CN"/>
      </w:rPr>
    </w:lvl>
    <w:lvl w:ilvl="8" w:tentative="1">
      <w:start w:val="0"/>
      <w:numFmt w:val="bullet"/>
      <w:lvlText w:val="•"/>
      <w:lvlJc w:val="left"/>
      <w:pPr>
        <w:ind w:left="8569" w:hanging="840"/>
      </w:pPr>
      <w:rPr>
        <w:rFonts w:hint="default"/>
        <w:lang w:val="zh-CN" w:eastAsia="zh-CN" w:bidi="zh-CN"/>
      </w:rPr>
    </w:lvl>
  </w:abstractNum>
  <w:abstractNum w:abstractNumId="904411955">
    <w:nsid w:val="35E83B33"/>
    <w:multiLevelType w:val="multilevel"/>
    <w:tmpl w:val="35E83B33"/>
    <w:lvl w:ilvl="0" w:tentative="1">
      <w:start w:val="15"/>
      <w:numFmt w:val="decimal"/>
      <w:lvlText w:val="%1"/>
      <w:lvlJc w:val="left"/>
      <w:pPr>
        <w:ind w:left="1571" w:hanging="420"/>
      </w:pPr>
      <w:rPr>
        <w:rFonts w:hint="default"/>
        <w:lang w:val="zh-CN" w:eastAsia="zh-CN" w:bidi="zh-CN"/>
      </w:rPr>
    </w:lvl>
    <w:lvl w:ilvl="1" w:tentative="1">
      <w:start w:val="2"/>
      <w:numFmt w:val="decimal"/>
      <w:lvlText w:val="%1.%2"/>
      <w:lvlJc w:val="left"/>
      <w:pPr>
        <w:ind w:left="1571" w:hanging="420"/>
      </w:pPr>
      <w:rPr>
        <w:rFonts w:hint="default" w:ascii="Times New Roman" w:hAnsi="Times New Roman" w:eastAsia="Times New Roman" w:cs="Times New Roman"/>
        <w:spacing w:val="0"/>
        <w:w w:val="99"/>
        <w:sz w:val="21"/>
        <w:szCs w:val="21"/>
        <w:lang w:val="zh-CN" w:eastAsia="zh-CN" w:bidi="zh-CN"/>
      </w:rPr>
    </w:lvl>
    <w:lvl w:ilvl="2" w:tentative="1">
      <w:start w:val="1"/>
      <w:numFmt w:val="decimal"/>
      <w:lvlText w:val="%1.%2.%3"/>
      <w:lvlJc w:val="left"/>
      <w:pPr>
        <w:ind w:left="1151" w:hanging="629"/>
      </w:pPr>
      <w:rPr>
        <w:rFonts w:hint="default" w:ascii="Times New Roman" w:hAnsi="Times New Roman" w:eastAsia="Times New Roman" w:cs="Times New Roman"/>
        <w:spacing w:val="-2"/>
        <w:w w:val="99"/>
        <w:sz w:val="21"/>
        <w:szCs w:val="21"/>
        <w:lang w:val="zh-CN" w:eastAsia="zh-CN" w:bidi="zh-CN"/>
      </w:rPr>
    </w:lvl>
    <w:lvl w:ilvl="3" w:tentative="1">
      <w:start w:val="0"/>
      <w:numFmt w:val="bullet"/>
      <w:lvlText w:val="•"/>
      <w:lvlJc w:val="left"/>
      <w:pPr>
        <w:ind w:left="2863" w:hanging="629"/>
      </w:pPr>
      <w:rPr>
        <w:rFonts w:hint="default"/>
        <w:lang w:val="zh-CN" w:eastAsia="zh-CN" w:bidi="zh-CN"/>
      </w:rPr>
    </w:lvl>
    <w:lvl w:ilvl="4" w:tentative="1">
      <w:start w:val="0"/>
      <w:numFmt w:val="bullet"/>
      <w:lvlText w:val="•"/>
      <w:lvlJc w:val="left"/>
      <w:pPr>
        <w:ind w:left="3946" w:hanging="629"/>
      </w:pPr>
      <w:rPr>
        <w:rFonts w:hint="default"/>
        <w:lang w:val="zh-CN" w:eastAsia="zh-CN" w:bidi="zh-CN"/>
      </w:rPr>
    </w:lvl>
    <w:lvl w:ilvl="5" w:tentative="1">
      <w:start w:val="0"/>
      <w:numFmt w:val="bullet"/>
      <w:lvlText w:val="•"/>
      <w:lvlJc w:val="left"/>
      <w:pPr>
        <w:ind w:left="5029" w:hanging="629"/>
      </w:pPr>
      <w:rPr>
        <w:rFonts w:hint="default"/>
        <w:lang w:val="zh-CN" w:eastAsia="zh-CN" w:bidi="zh-CN"/>
      </w:rPr>
    </w:lvl>
    <w:lvl w:ilvl="6" w:tentative="1">
      <w:start w:val="0"/>
      <w:numFmt w:val="bullet"/>
      <w:lvlText w:val="•"/>
      <w:lvlJc w:val="left"/>
      <w:pPr>
        <w:ind w:left="6113" w:hanging="629"/>
      </w:pPr>
      <w:rPr>
        <w:rFonts w:hint="default"/>
        <w:lang w:val="zh-CN" w:eastAsia="zh-CN" w:bidi="zh-CN"/>
      </w:rPr>
    </w:lvl>
    <w:lvl w:ilvl="7" w:tentative="1">
      <w:start w:val="0"/>
      <w:numFmt w:val="bullet"/>
      <w:lvlText w:val="•"/>
      <w:lvlJc w:val="left"/>
      <w:pPr>
        <w:ind w:left="7196" w:hanging="629"/>
      </w:pPr>
      <w:rPr>
        <w:rFonts w:hint="default"/>
        <w:lang w:val="zh-CN" w:eastAsia="zh-CN" w:bidi="zh-CN"/>
      </w:rPr>
    </w:lvl>
    <w:lvl w:ilvl="8" w:tentative="1">
      <w:start w:val="0"/>
      <w:numFmt w:val="bullet"/>
      <w:lvlText w:val="•"/>
      <w:lvlJc w:val="left"/>
      <w:pPr>
        <w:ind w:left="8279" w:hanging="629"/>
      </w:pPr>
      <w:rPr>
        <w:rFonts w:hint="default"/>
        <w:lang w:val="zh-CN" w:eastAsia="zh-CN" w:bidi="zh-CN"/>
      </w:rPr>
    </w:lvl>
  </w:abstractNum>
  <w:abstractNum w:abstractNumId="64368334">
    <w:nsid w:val="03D62ECE"/>
    <w:multiLevelType w:val="multilevel"/>
    <w:tmpl w:val="03D62ECE"/>
    <w:lvl w:ilvl="0" w:tentative="1">
      <w:start w:val="1"/>
      <w:numFmt w:val="decimal"/>
      <w:lvlText w:val="%1."/>
      <w:lvlJc w:val="left"/>
      <w:pPr>
        <w:ind w:left="573" w:hanging="241"/>
      </w:pPr>
      <w:rPr>
        <w:rFonts w:hint="default" w:ascii="宋体" w:hAnsi="宋体" w:eastAsia="宋体" w:cs="宋体"/>
        <w:spacing w:val="-120"/>
        <w:w w:val="100"/>
        <w:sz w:val="22"/>
        <w:szCs w:val="22"/>
        <w:lang w:val="zh-CN" w:eastAsia="zh-CN" w:bidi="zh-CN"/>
      </w:rPr>
    </w:lvl>
    <w:lvl w:ilvl="1" w:tentative="1">
      <w:start w:val="0"/>
      <w:numFmt w:val="bullet"/>
      <w:lvlText w:val="•"/>
      <w:lvlJc w:val="left"/>
      <w:pPr>
        <w:ind w:left="1566" w:hanging="241"/>
      </w:pPr>
      <w:rPr>
        <w:rFonts w:hint="default"/>
        <w:lang w:val="zh-CN" w:eastAsia="zh-CN" w:bidi="zh-CN"/>
      </w:rPr>
    </w:lvl>
    <w:lvl w:ilvl="2" w:tentative="1">
      <w:start w:val="0"/>
      <w:numFmt w:val="bullet"/>
      <w:lvlText w:val="•"/>
      <w:lvlJc w:val="left"/>
      <w:pPr>
        <w:ind w:left="2553" w:hanging="241"/>
      </w:pPr>
      <w:rPr>
        <w:rFonts w:hint="default"/>
        <w:lang w:val="zh-CN" w:eastAsia="zh-CN" w:bidi="zh-CN"/>
      </w:rPr>
    </w:lvl>
    <w:lvl w:ilvl="3" w:tentative="1">
      <w:start w:val="0"/>
      <w:numFmt w:val="bullet"/>
      <w:lvlText w:val="•"/>
      <w:lvlJc w:val="left"/>
      <w:pPr>
        <w:ind w:left="3539" w:hanging="241"/>
      </w:pPr>
      <w:rPr>
        <w:rFonts w:hint="default"/>
        <w:lang w:val="zh-CN" w:eastAsia="zh-CN" w:bidi="zh-CN"/>
      </w:rPr>
    </w:lvl>
    <w:lvl w:ilvl="4" w:tentative="1">
      <w:start w:val="0"/>
      <w:numFmt w:val="bullet"/>
      <w:lvlText w:val="•"/>
      <w:lvlJc w:val="left"/>
      <w:pPr>
        <w:ind w:left="4526" w:hanging="241"/>
      </w:pPr>
      <w:rPr>
        <w:rFonts w:hint="default"/>
        <w:lang w:val="zh-CN" w:eastAsia="zh-CN" w:bidi="zh-CN"/>
      </w:rPr>
    </w:lvl>
    <w:lvl w:ilvl="5" w:tentative="1">
      <w:start w:val="0"/>
      <w:numFmt w:val="bullet"/>
      <w:lvlText w:val="•"/>
      <w:lvlJc w:val="left"/>
      <w:pPr>
        <w:ind w:left="5513" w:hanging="241"/>
      </w:pPr>
      <w:rPr>
        <w:rFonts w:hint="default"/>
        <w:lang w:val="zh-CN" w:eastAsia="zh-CN" w:bidi="zh-CN"/>
      </w:rPr>
    </w:lvl>
    <w:lvl w:ilvl="6" w:tentative="1">
      <w:start w:val="0"/>
      <w:numFmt w:val="bullet"/>
      <w:lvlText w:val="•"/>
      <w:lvlJc w:val="left"/>
      <w:pPr>
        <w:ind w:left="6499" w:hanging="241"/>
      </w:pPr>
      <w:rPr>
        <w:rFonts w:hint="default"/>
        <w:lang w:val="zh-CN" w:eastAsia="zh-CN" w:bidi="zh-CN"/>
      </w:rPr>
    </w:lvl>
    <w:lvl w:ilvl="7" w:tentative="1">
      <w:start w:val="0"/>
      <w:numFmt w:val="bullet"/>
      <w:lvlText w:val="•"/>
      <w:lvlJc w:val="left"/>
      <w:pPr>
        <w:ind w:left="7486" w:hanging="241"/>
      </w:pPr>
      <w:rPr>
        <w:rFonts w:hint="default"/>
        <w:lang w:val="zh-CN" w:eastAsia="zh-CN" w:bidi="zh-CN"/>
      </w:rPr>
    </w:lvl>
    <w:lvl w:ilvl="8" w:tentative="1">
      <w:start w:val="0"/>
      <w:numFmt w:val="bullet"/>
      <w:lvlText w:val="•"/>
      <w:lvlJc w:val="left"/>
      <w:pPr>
        <w:ind w:left="8472" w:hanging="241"/>
      </w:pPr>
      <w:rPr>
        <w:rFonts w:hint="default"/>
        <w:lang w:val="zh-CN" w:eastAsia="zh-CN" w:bidi="zh-CN"/>
      </w:rPr>
    </w:lvl>
  </w:abstractNum>
  <w:abstractNum w:abstractNumId="317382553">
    <w:nsid w:val="12EADF99"/>
    <w:multiLevelType w:val="multilevel"/>
    <w:tmpl w:val="12EADF99"/>
    <w:lvl w:ilvl="0" w:tentative="1">
      <w:start w:val="1"/>
      <w:numFmt w:val="decimal"/>
      <w:lvlText w:val="（%1）"/>
      <w:lvlJc w:val="left"/>
      <w:pPr>
        <w:ind w:left="731" w:hanging="525"/>
      </w:pPr>
      <w:rPr>
        <w:rFonts w:hint="default" w:ascii="仿宋" w:hAnsi="仿宋" w:eastAsia="仿宋" w:cs="仿宋"/>
        <w:spacing w:val="-34"/>
        <w:w w:val="99"/>
        <w:sz w:val="19"/>
        <w:szCs w:val="19"/>
        <w:lang w:val="zh-CN" w:eastAsia="zh-CN" w:bidi="zh-CN"/>
      </w:rPr>
    </w:lvl>
    <w:lvl w:ilvl="1" w:tentative="1">
      <w:start w:val="0"/>
      <w:numFmt w:val="bullet"/>
      <w:lvlText w:val="•"/>
      <w:lvlJc w:val="left"/>
      <w:pPr>
        <w:ind w:left="1710" w:hanging="525"/>
      </w:pPr>
      <w:rPr>
        <w:rFonts w:hint="default"/>
        <w:lang w:val="zh-CN" w:eastAsia="zh-CN" w:bidi="zh-CN"/>
      </w:rPr>
    </w:lvl>
    <w:lvl w:ilvl="2" w:tentative="1">
      <w:start w:val="0"/>
      <w:numFmt w:val="bullet"/>
      <w:lvlText w:val="•"/>
      <w:lvlJc w:val="left"/>
      <w:pPr>
        <w:ind w:left="2681" w:hanging="525"/>
      </w:pPr>
      <w:rPr>
        <w:rFonts w:hint="default"/>
        <w:lang w:val="zh-CN" w:eastAsia="zh-CN" w:bidi="zh-CN"/>
      </w:rPr>
    </w:lvl>
    <w:lvl w:ilvl="3" w:tentative="1">
      <w:start w:val="0"/>
      <w:numFmt w:val="bullet"/>
      <w:lvlText w:val="•"/>
      <w:lvlJc w:val="left"/>
      <w:pPr>
        <w:ind w:left="3651" w:hanging="525"/>
      </w:pPr>
      <w:rPr>
        <w:rFonts w:hint="default"/>
        <w:lang w:val="zh-CN" w:eastAsia="zh-CN" w:bidi="zh-CN"/>
      </w:rPr>
    </w:lvl>
    <w:lvl w:ilvl="4" w:tentative="1">
      <w:start w:val="0"/>
      <w:numFmt w:val="bullet"/>
      <w:lvlText w:val="•"/>
      <w:lvlJc w:val="left"/>
      <w:pPr>
        <w:ind w:left="4622" w:hanging="525"/>
      </w:pPr>
      <w:rPr>
        <w:rFonts w:hint="default"/>
        <w:lang w:val="zh-CN" w:eastAsia="zh-CN" w:bidi="zh-CN"/>
      </w:rPr>
    </w:lvl>
    <w:lvl w:ilvl="5" w:tentative="1">
      <w:start w:val="0"/>
      <w:numFmt w:val="bullet"/>
      <w:lvlText w:val="•"/>
      <w:lvlJc w:val="left"/>
      <w:pPr>
        <w:ind w:left="5593" w:hanging="525"/>
      </w:pPr>
      <w:rPr>
        <w:rFonts w:hint="default"/>
        <w:lang w:val="zh-CN" w:eastAsia="zh-CN" w:bidi="zh-CN"/>
      </w:rPr>
    </w:lvl>
    <w:lvl w:ilvl="6" w:tentative="1">
      <w:start w:val="0"/>
      <w:numFmt w:val="bullet"/>
      <w:lvlText w:val="•"/>
      <w:lvlJc w:val="left"/>
      <w:pPr>
        <w:ind w:left="6563" w:hanging="525"/>
      </w:pPr>
      <w:rPr>
        <w:rFonts w:hint="default"/>
        <w:lang w:val="zh-CN" w:eastAsia="zh-CN" w:bidi="zh-CN"/>
      </w:rPr>
    </w:lvl>
    <w:lvl w:ilvl="7" w:tentative="1">
      <w:start w:val="0"/>
      <w:numFmt w:val="bullet"/>
      <w:lvlText w:val="•"/>
      <w:lvlJc w:val="left"/>
      <w:pPr>
        <w:ind w:left="7534" w:hanging="525"/>
      </w:pPr>
      <w:rPr>
        <w:rFonts w:hint="default"/>
        <w:lang w:val="zh-CN" w:eastAsia="zh-CN" w:bidi="zh-CN"/>
      </w:rPr>
    </w:lvl>
    <w:lvl w:ilvl="8" w:tentative="1">
      <w:start w:val="0"/>
      <w:numFmt w:val="bullet"/>
      <w:lvlText w:val="•"/>
      <w:lvlJc w:val="left"/>
      <w:pPr>
        <w:ind w:left="8504" w:hanging="525"/>
      </w:pPr>
      <w:rPr>
        <w:rFonts w:hint="default"/>
        <w:lang w:val="zh-CN" w:eastAsia="zh-CN" w:bidi="zh-CN"/>
      </w:rPr>
    </w:lvl>
  </w:abstractNum>
  <w:abstractNum w:abstractNumId="611380375">
    <w:nsid w:val="2470EC97"/>
    <w:multiLevelType w:val="multilevel"/>
    <w:tmpl w:val="2470EC97"/>
    <w:lvl w:ilvl="0" w:tentative="1">
      <w:start w:val="1"/>
      <w:numFmt w:val="decimal"/>
      <w:lvlText w:val="%1"/>
      <w:lvlJc w:val="left"/>
      <w:pPr>
        <w:ind w:left="1134" w:hanging="802"/>
      </w:pPr>
      <w:rPr>
        <w:rFonts w:hint="default"/>
        <w:lang w:val="zh-CN" w:eastAsia="zh-CN" w:bidi="zh-CN"/>
      </w:rPr>
    </w:lvl>
    <w:lvl w:ilvl="1" w:tentative="1">
      <w:start w:val="11"/>
      <w:numFmt w:val="decimal"/>
      <w:lvlText w:val="%1.%2."/>
      <w:lvlJc w:val="left"/>
      <w:pPr>
        <w:ind w:left="1134" w:hanging="802"/>
      </w:pPr>
      <w:rPr>
        <w:rFonts w:hint="default" w:ascii="宋体" w:hAnsi="宋体" w:eastAsia="宋体" w:cs="宋体"/>
        <w:spacing w:val="-2"/>
        <w:w w:val="99"/>
        <w:sz w:val="30"/>
        <w:szCs w:val="30"/>
        <w:lang w:val="zh-CN" w:eastAsia="zh-CN" w:bidi="zh-CN"/>
      </w:rPr>
    </w:lvl>
    <w:lvl w:ilvl="2" w:tentative="1">
      <w:start w:val="1"/>
      <w:numFmt w:val="decimal"/>
      <w:lvlText w:val="%1.%2.%3"/>
      <w:lvlJc w:val="left"/>
      <w:pPr>
        <w:ind w:left="1470" w:hanging="716"/>
      </w:pPr>
      <w:rPr>
        <w:rFonts w:hint="default" w:ascii="宋体" w:hAnsi="宋体" w:eastAsia="宋体" w:cs="宋体"/>
        <w:spacing w:val="-1"/>
        <w:w w:val="100"/>
        <w:sz w:val="22"/>
        <w:szCs w:val="22"/>
        <w:lang w:val="zh-CN" w:eastAsia="zh-CN" w:bidi="zh-CN"/>
      </w:rPr>
    </w:lvl>
    <w:lvl w:ilvl="3" w:tentative="1">
      <w:start w:val="0"/>
      <w:numFmt w:val="bullet"/>
      <w:lvlText w:val="•"/>
      <w:lvlJc w:val="left"/>
      <w:pPr>
        <w:ind w:left="3472" w:hanging="716"/>
      </w:pPr>
      <w:rPr>
        <w:rFonts w:hint="default"/>
        <w:lang w:val="zh-CN" w:eastAsia="zh-CN" w:bidi="zh-CN"/>
      </w:rPr>
    </w:lvl>
    <w:lvl w:ilvl="4" w:tentative="1">
      <w:start w:val="0"/>
      <w:numFmt w:val="bullet"/>
      <w:lvlText w:val="•"/>
      <w:lvlJc w:val="left"/>
      <w:pPr>
        <w:ind w:left="4468" w:hanging="716"/>
      </w:pPr>
      <w:rPr>
        <w:rFonts w:hint="default"/>
        <w:lang w:val="zh-CN" w:eastAsia="zh-CN" w:bidi="zh-CN"/>
      </w:rPr>
    </w:lvl>
    <w:lvl w:ilvl="5" w:tentative="1">
      <w:start w:val="0"/>
      <w:numFmt w:val="bullet"/>
      <w:lvlText w:val="•"/>
      <w:lvlJc w:val="left"/>
      <w:pPr>
        <w:ind w:left="5464" w:hanging="716"/>
      </w:pPr>
      <w:rPr>
        <w:rFonts w:hint="default"/>
        <w:lang w:val="zh-CN" w:eastAsia="zh-CN" w:bidi="zh-CN"/>
      </w:rPr>
    </w:lvl>
    <w:lvl w:ilvl="6" w:tentative="1">
      <w:start w:val="0"/>
      <w:numFmt w:val="bullet"/>
      <w:lvlText w:val="•"/>
      <w:lvlJc w:val="left"/>
      <w:pPr>
        <w:ind w:left="6461" w:hanging="716"/>
      </w:pPr>
      <w:rPr>
        <w:rFonts w:hint="default"/>
        <w:lang w:val="zh-CN" w:eastAsia="zh-CN" w:bidi="zh-CN"/>
      </w:rPr>
    </w:lvl>
    <w:lvl w:ilvl="7" w:tentative="1">
      <w:start w:val="0"/>
      <w:numFmt w:val="bullet"/>
      <w:lvlText w:val="•"/>
      <w:lvlJc w:val="left"/>
      <w:pPr>
        <w:ind w:left="7457" w:hanging="716"/>
      </w:pPr>
      <w:rPr>
        <w:rFonts w:hint="default"/>
        <w:lang w:val="zh-CN" w:eastAsia="zh-CN" w:bidi="zh-CN"/>
      </w:rPr>
    </w:lvl>
    <w:lvl w:ilvl="8" w:tentative="1">
      <w:start w:val="0"/>
      <w:numFmt w:val="bullet"/>
      <w:lvlText w:val="•"/>
      <w:lvlJc w:val="left"/>
      <w:pPr>
        <w:ind w:left="8453" w:hanging="716"/>
      </w:pPr>
      <w:rPr>
        <w:rFonts w:hint="default"/>
        <w:lang w:val="zh-CN" w:eastAsia="zh-CN" w:bidi="zh-CN"/>
      </w:rPr>
    </w:lvl>
  </w:abstractNum>
  <w:abstractNum w:abstractNumId="966842796">
    <w:nsid w:val="39A0D9AC"/>
    <w:multiLevelType w:val="multilevel"/>
    <w:tmpl w:val="39A0D9AC"/>
    <w:lvl w:ilvl="0" w:tentative="1">
      <w:start w:val="1"/>
      <w:numFmt w:val="decimal"/>
      <w:lvlText w:val="%1."/>
      <w:lvlJc w:val="left"/>
      <w:pPr>
        <w:ind w:left="1310" w:hanging="159"/>
      </w:pPr>
      <w:rPr>
        <w:rFonts w:hint="default" w:ascii="Times New Roman" w:hAnsi="Times New Roman" w:eastAsia="Times New Roman" w:cs="Times New Roman"/>
        <w:spacing w:val="-2"/>
        <w:w w:val="99"/>
        <w:sz w:val="19"/>
        <w:szCs w:val="19"/>
        <w:lang w:val="zh-CN" w:eastAsia="zh-CN" w:bidi="zh-CN"/>
      </w:rPr>
    </w:lvl>
    <w:lvl w:ilvl="1" w:tentative="1">
      <w:start w:val="0"/>
      <w:numFmt w:val="bullet"/>
      <w:lvlText w:val="•"/>
      <w:lvlJc w:val="left"/>
      <w:pPr>
        <w:ind w:left="2232" w:hanging="159"/>
      </w:pPr>
      <w:rPr>
        <w:rFonts w:hint="default"/>
        <w:lang w:val="zh-CN" w:eastAsia="zh-CN" w:bidi="zh-CN"/>
      </w:rPr>
    </w:lvl>
    <w:lvl w:ilvl="2" w:tentative="1">
      <w:start w:val="0"/>
      <w:numFmt w:val="bullet"/>
      <w:lvlText w:val="•"/>
      <w:lvlJc w:val="left"/>
      <w:pPr>
        <w:ind w:left="3145" w:hanging="159"/>
      </w:pPr>
      <w:rPr>
        <w:rFonts w:hint="default"/>
        <w:lang w:val="zh-CN" w:eastAsia="zh-CN" w:bidi="zh-CN"/>
      </w:rPr>
    </w:lvl>
    <w:lvl w:ilvl="3" w:tentative="1">
      <w:start w:val="0"/>
      <w:numFmt w:val="bullet"/>
      <w:lvlText w:val="•"/>
      <w:lvlJc w:val="left"/>
      <w:pPr>
        <w:ind w:left="4057" w:hanging="159"/>
      </w:pPr>
      <w:rPr>
        <w:rFonts w:hint="default"/>
        <w:lang w:val="zh-CN" w:eastAsia="zh-CN" w:bidi="zh-CN"/>
      </w:rPr>
    </w:lvl>
    <w:lvl w:ilvl="4" w:tentative="1">
      <w:start w:val="0"/>
      <w:numFmt w:val="bullet"/>
      <w:lvlText w:val="•"/>
      <w:lvlJc w:val="left"/>
      <w:pPr>
        <w:ind w:left="4970" w:hanging="159"/>
      </w:pPr>
      <w:rPr>
        <w:rFonts w:hint="default"/>
        <w:lang w:val="zh-CN" w:eastAsia="zh-CN" w:bidi="zh-CN"/>
      </w:rPr>
    </w:lvl>
    <w:lvl w:ilvl="5" w:tentative="1">
      <w:start w:val="0"/>
      <w:numFmt w:val="bullet"/>
      <w:lvlText w:val="•"/>
      <w:lvlJc w:val="left"/>
      <w:pPr>
        <w:ind w:left="5883" w:hanging="159"/>
      </w:pPr>
      <w:rPr>
        <w:rFonts w:hint="default"/>
        <w:lang w:val="zh-CN" w:eastAsia="zh-CN" w:bidi="zh-CN"/>
      </w:rPr>
    </w:lvl>
    <w:lvl w:ilvl="6" w:tentative="1">
      <w:start w:val="0"/>
      <w:numFmt w:val="bullet"/>
      <w:lvlText w:val="•"/>
      <w:lvlJc w:val="left"/>
      <w:pPr>
        <w:ind w:left="6795" w:hanging="159"/>
      </w:pPr>
      <w:rPr>
        <w:rFonts w:hint="default"/>
        <w:lang w:val="zh-CN" w:eastAsia="zh-CN" w:bidi="zh-CN"/>
      </w:rPr>
    </w:lvl>
    <w:lvl w:ilvl="7" w:tentative="1">
      <w:start w:val="0"/>
      <w:numFmt w:val="bullet"/>
      <w:lvlText w:val="•"/>
      <w:lvlJc w:val="left"/>
      <w:pPr>
        <w:ind w:left="7708" w:hanging="159"/>
      </w:pPr>
      <w:rPr>
        <w:rFonts w:hint="default"/>
        <w:lang w:val="zh-CN" w:eastAsia="zh-CN" w:bidi="zh-CN"/>
      </w:rPr>
    </w:lvl>
    <w:lvl w:ilvl="8" w:tentative="1">
      <w:start w:val="0"/>
      <w:numFmt w:val="bullet"/>
      <w:lvlText w:val="•"/>
      <w:lvlJc w:val="left"/>
      <w:pPr>
        <w:ind w:left="8620" w:hanging="159"/>
      </w:pPr>
      <w:rPr>
        <w:rFonts w:hint="default"/>
        <w:lang w:val="zh-CN" w:eastAsia="zh-CN" w:bidi="zh-CN"/>
      </w:rPr>
    </w:lvl>
  </w:abstractNum>
  <w:abstractNum w:abstractNumId="1184926648">
    <w:nsid w:val="46A08BB8"/>
    <w:multiLevelType w:val="multilevel"/>
    <w:tmpl w:val="46A08BB8"/>
    <w:lvl w:ilvl="0" w:tentative="1">
      <w:start w:val="1"/>
      <w:numFmt w:val="decimal"/>
      <w:lvlText w:val="（%1）"/>
      <w:lvlJc w:val="left"/>
      <w:pPr>
        <w:ind w:left="1260" w:hanging="554"/>
      </w:pPr>
      <w:rPr>
        <w:rFonts w:hint="default" w:ascii="宋体" w:hAnsi="宋体" w:eastAsia="宋体" w:cs="宋体"/>
        <w:spacing w:val="-1"/>
        <w:w w:val="100"/>
        <w:sz w:val="20"/>
        <w:szCs w:val="20"/>
        <w:lang w:val="zh-CN" w:eastAsia="zh-CN" w:bidi="zh-CN"/>
      </w:rPr>
    </w:lvl>
    <w:lvl w:ilvl="1" w:tentative="1">
      <w:start w:val="0"/>
      <w:numFmt w:val="bullet"/>
      <w:lvlText w:val="•"/>
      <w:lvlJc w:val="left"/>
      <w:pPr>
        <w:ind w:left="2178" w:hanging="554"/>
      </w:pPr>
      <w:rPr>
        <w:rFonts w:hint="default"/>
        <w:lang w:val="zh-CN" w:eastAsia="zh-CN" w:bidi="zh-CN"/>
      </w:rPr>
    </w:lvl>
    <w:lvl w:ilvl="2" w:tentative="1">
      <w:start w:val="0"/>
      <w:numFmt w:val="bullet"/>
      <w:lvlText w:val="•"/>
      <w:lvlJc w:val="left"/>
      <w:pPr>
        <w:ind w:left="3097" w:hanging="554"/>
      </w:pPr>
      <w:rPr>
        <w:rFonts w:hint="default"/>
        <w:lang w:val="zh-CN" w:eastAsia="zh-CN" w:bidi="zh-CN"/>
      </w:rPr>
    </w:lvl>
    <w:lvl w:ilvl="3" w:tentative="1">
      <w:start w:val="0"/>
      <w:numFmt w:val="bullet"/>
      <w:lvlText w:val="•"/>
      <w:lvlJc w:val="left"/>
      <w:pPr>
        <w:ind w:left="4015" w:hanging="554"/>
      </w:pPr>
      <w:rPr>
        <w:rFonts w:hint="default"/>
        <w:lang w:val="zh-CN" w:eastAsia="zh-CN" w:bidi="zh-CN"/>
      </w:rPr>
    </w:lvl>
    <w:lvl w:ilvl="4" w:tentative="1">
      <w:start w:val="0"/>
      <w:numFmt w:val="bullet"/>
      <w:lvlText w:val="•"/>
      <w:lvlJc w:val="left"/>
      <w:pPr>
        <w:ind w:left="4934" w:hanging="554"/>
      </w:pPr>
      <w:rPr>
        <w:rFonts w:hint="default"/>
        <w:lang w:val="zh-CN" w:eastAsia="zh-CN" w:bidi="zh-CN"/>
      </w:rPr>
    </w:lvl>
    <w:lvl w:ilvl="5" w:tentative="1">
      <w:start w:val="0"/>
      <w:numFmt w:val="bullet"/>
      <w:lvlText w:val="•"/>
      <w:lvlJc w:val="left"/>
      <w:pPr>
        <w:ind w:left="5853" w:hanging="554"/>
      </w:pPr>
      <w:rPr>
        <w:rFonts w:hint="default"/>
        <w:lang w:val="zh-CN" w:eastAsia="zh-CN" w:bidi="zh-CN"/>
      </w:rPr>
    </w:lvl>
    <w:lvl w:ilvl="6" w:tentative="1">
      <w:start w:val="0"/>
      <w:numFmt w:val="bullet"/>
      <w:lvlText w:val="•"/>
      <w:lvlJc w:val="left"/>
      <w:pPr>
        <w:ind w:left="6771" w:hanging="554"/>
      </w:pPr>
      <w:rPr>
        <w:rFonts w:hint="default"/>
        <w:lang w:val="zh-CN" w:eastAsia="zh-CN" w:bidi="zh-CN"/>
      </w:rPr>
    </w:lvl>
    <w:lvl w:ilvl="7" w:tentative="1">
      <w:start w:val="0"/>
      <w:numFmt w:val="bullet"/>
      <w:lvlText w:val="•"/>
      <w:lvlJc w:val="left"/>
      <w:pPr>
        <w:ind w:left="7690" w:hanging="554"/>
      </w:pPr>
      <w:rPr>
        <w:rFonts w:hint="default"/>
        <w:lang w:val="zh-CN" w:eastAsia="zh-CN" w:bidi="zh-CN"/>
      </w:rPr>
    </w:lvl>
    <w:lvl w:ilvl="8" w:tentative="1">
      <w:start w:val="0"/>
      <w:numFmt w:val="bullet"/>
      <w:lvlText w:val="•"/>
      <w:lvlJc w:val="left"/>
      <w:pPr>
        <w:ind w:left="8608" w:hanging="554"/>
      </w:pPr>
      <w:rPr>
        <w:rFonts w:hint="default"/>
        <w:lang w:val="zh-CN" w:eastAsia="zh-CN" w:bidi="zh-CN"/>
      </w:rPr>
    </w:lvl>
  </w:abstractNum>
  <w:abstractNum w:abstractNumId="1246877444">
    <w:nsid w:val="4A51D704"/>
    <w:multiLevelType w:val="multilevel"/>
    <w:tmpl w:val="4A51D704"/>
    <w:lvl w:ilvl="0" w:tentative="1">
      <w:start w:val="13"/>
      <w:numFmt w:val="decimal"/>
      <w:lvlText w:val="%1"/>
      <w:lvlJc w:val="left"/>
      <w:pPr>
        <w:ind w:left="731" w:hanging="495"/>
      </w:pPr>
      <w:rPr>
        <w:rFonts w:hint="default"/>
        <w:lang w:val="zh-CN" w:eastAsia="zh-CN" w:bidi="zh-CN"/>
      </w:rPr>
    </w:lvl>
    <w:lvl w:ilvl="1" w:tentative="1">
      <w:start w:val="1"/>
      <w:numFmt w:val="decimal"/>
      <w:lvlText w:val="%1.%2"/>
      <w:lvlJc w:val="left"/>
      <w:pPr>
        <w:ind w:left="731" w:hanging="495"/>
      </w:pPr>
      <w:rPr>
        <w:rFonts w:hint="default" w:ascii="宋体" w:hAnsi="宋体" w:eastAsia="宋体" w:cs="宋体"/>
        <w:spacing w:val="-1"/>
        <w:w w:val="100"/>
        <w:sz w:val="22"/>
        <w:szCs w:val="22"/>
        <w:lang w:val="zh-CN" w:eastAsia="zh-CN" w:bidi="zh-CN"/>
      </w:rPr>
    </w:lvl>
    <w:lvl w:ilvl="2" w:tentative="1">
      <w:start w:val="0"/>
      <w:numFmt w:val="bullet"/>
      <w:lvlText w:val="•"/>
      <w:lvlJc w:val="left"/>
      <w:pPr>
        <w:ind w:left="2681" w:hanging="495"/>
      </w:pPr>
      <w:rPr>
        <w:rFonts w:hint="default"/>
        <w:lang w:val="zh-CN" w:eastAsia="zh-CN" w:bidi="zh-CN"/>
      </w:rPr>
    </w:lvl>
    <w:lvl w:ilvl="3" w:tentative="1">
      <w:start w:val="0"/>
      <w:numFmt w:val="bullet"/>
      <w:lvlText w:val="•"/>
      <w:lvlJc w:val="left"/>
      <w:pPr>
        <w:ind w:left="3651" w:hanging="495"/>
      </w:pPr>
      <w:rPr>
        <w:rFonts w:hint="default"/>
        <w:lang w:val="zh-CN" w:eastAsia="zh-CN" w:bidi="zh-CN"/>
      </w:rPr>
    </w:lvl>
    <w:lvl w:ilvl="4" w:tentative="1">
      <w:start w:val="0"/>
      <w:numFmt w:val="bullet"/>
      <w:lvlText w:val="•"/>
      <w:lvlJc w:val="left"/>
      <w:pPr>
        <w:ind w:left="4622" w:hanging="495"/>
      </w:pPr>
      <w:rPr>
        <w:rFonts w:hint="default"/>
        <w:lang w:val="zh-CN" w:eastAsia="zh-CN" w:bidi="zh-CN"/>
      </w:rPr>
    </w:lvl>
    <w:lvl w:ilvl="5" w:tentative="1">
      <w:start w:val="0"/>
      <w:numFmt w:val="bullet"/>
      <w:lvlText w:val="•"/>
      <w:lvlJc w:val="left"/>
      <w:pPr>
        <w:ind w:left="5593" w:hanging="495"/>
      </w:pPr>
      <w:rPr>
        <w:rFonts w:hint="default"/>
        <w:lang w:val="zh-CN" w:eastAsia="zh-CN" w:bidi="zh-CN"/>
      </w:rPr>
    </w:lvl>
    <w:lvl w:ilvl="6" w:tentative="1">
      <w:start w:val="0"/>
      <w:numFmt w:val="bullet"/>
      <w:lvlText w:val="•"/>
      <w:lvlJc w:val="left"/>
      <w:pPr>
        <w:ind w:left="6563" w:hanging="495"/>
      </w:pPr>
      <w:rPr>
        <w:rFonts w:hint="default"/>
        <w:lang w:val="zh-CN" w:eastAsia="zh-CN" w:bidi="zh-CN"/>
      </w:rPr>
    </w:lvl>
    <w:lvl w:ilvl="7" w:tentative="1">
      <w:start w:val="0"/>
      <w:numFmt w:val="bullet"/>
      <w:lvlText w:val="•"/>
      <w:lvlJc w:val="left"/>
      <w:pPr>
        <w:ind w:left="7534" w:hanging="495"/>
      </w:pPr>
      <w:rPr>
        <w:rFonts w:hint="default"/>
        <w:lang w:val="zh-CN" w:eastAsia="zh-CN" w:bidi="zh-CN"/>
      </w:rPr>
    </w:lvl>
    <w:lvl w:ilvl="8" w:tentative="1">
      <w:start w:val="0"/>
      <w:numFmt w:val="bullet"/>
      <w:lvlText w:val="•"/>
      <w:lvlJc w:val="left"/>
      <w:pPr>
        <w:ind w:left="8504" w:hanging="495"/>
      </w:pPr>
      <w:rPr>
        <w:rFonts w:hint="default"/>
        <w:lang w:val="zh-CN" w:eastAsia="zh-CN" w:bidi="zh-CN"/>
      </w:rPr>
    </w:lvl>
  </w:abstractNum>
  <w:abstractNum w:abstractNumId="63062208">
    <w:nsid w:val="03C240C0"/>
    <w:multiLevelType w:val="multilevel"/>
    <w:tmpl w:val="03C240C0"/>
    <w:lvl w:ilvl="0" w:tentative="1">
      <w:start w:val="1"/>
      <w:numFmt w:val="decimal"/>
      <w:lvlText w:val="%1."/>
      <w:lvlJc w:val="left"/>
      <w:pPr>
        <w:ind w:left="3874" w:hanging="212"/>
      </w:pPr>
      <w:rPr>
        <w:rFonts w:hint="default" w:ascii="宋体" w:hAnsi="宋体" w:eastAsia="宋体" w:cs="宋体"/>
        <w:spacing w:val="1"/>
        <w:w w:val="99"/>
        <w:sz w:val="19"/>
        <w:szCs w:val="19"/>
        <w:lang w:val="zh-CN" w:eastAsia="zh-CN" w:bidi="zh-CN"/>
      </w:rPr>
    </w:lvl>
    <w:lvl w:ilvl="1" w:tentative="1">
      <w:start w:val="0"/>
      <w:numFmt w:val="bullet"/>
      <w:lvlText w:val="•"/>
      <w:lvlJc w:val="left"/>
      <w:pPr>
        <w:ind w:left="4398" w:hanging="212"/>
      </w:pPr>
      <w:rPr>
        <w:rFonts w:hint="default"/>
        <w:lang w:val="zh-CN" w:eastAsia="zh-CN" w:bidi="zh-CN"/>
      </w:rPr>
    </w:lvl>
    <w:lvl w:ilvl="2" w:tentative="1">
      <w:start w:val="0"/>
      <w:numFmt w:val="bullet"/>
      <w:lvlText w:val="•"/>
      <w:lvlJc w:val="left"/>
      <w:pPr>
        <w:ind w:left="4917" w:hanging="212"/>
      </w:pPr>
      <w:rPr>
        <w:rFonts w:hint="default"/>
        <w:lang w:val="zh-CN" w:eastAsia="zh-CN" w:bidi="zh-CN"/>
      </w:rPr>
    </w:lvl>
    <w:lvl w:ilvl="3" w:tentative="1">
      <w:start w:val="0"/>
      <w:numFmt w:val="bullet"/>
      <w:lvlText w:val="•"/>
      <w:lvlJc w:val="left"/>
      <w:pPr>
        <w:ind w:left="5435" w:hanging="212"/>
      </w:pPr>
      <w:rPr>
        <w:rFonts w:hint="default"/>
        <w:lang w:val="zh-CN" w:eastAsia="zh-CN" w:bidi="zh-CN"/>
      </w:rPr>
    </w:lvl>
    <w:lvl w:ilvl="4" w:tentative="1">
      <w:start w:val="0"/>
      <w:numFmt w:val="bullet"/>
      <w:lvlText w:val="•"/>
      <w:lvlJc w:val="left"/>
      <w:pPr>
        <w:ind w:left="5954" w:hanging="212"/>
      </w:pPr>
      <w:rPr>
        <w:rFonts w:hint="default"/>
        <w:lang w:val="zh-CN" w:eastAsia="zh-CN" w:bidi="zh-CN"/>
      </w:rPr>
    </w:lvl>
    <w:lvl w:ilvl="5" w:tentative="1">
      <w:start w:val="0"/>
      <w:numFmt w:val="bullet"/>
      <w:lvlText w:val="•"/>
      <w:lvlJc w:val="left"/>
      <w:pPr>
        <w:ind w:left="6473" w:hanging="212"/>
      </w:pPr>
      <w:rPr>
        <w:rFonts w:hint="default"/>
        <w:lang w:val="zh-CN" w:eastAsia="zh-CN" w:bidi="zh-CN"/>
      </w:rPr>
    </w:lvl>
    <w:lvl w:ilvl="6" w:tentative="1">
      <w:start w:val="0"/>
      <w:numFmt w:val="bullet"/>
      <w:lvlText w:val="•"/>
      <w:lvlJc w:val="left"/>
      <w:pPr>
        <w:ind w:left="6991" w:hanging="212"/>
      </w:pPr>
      <w:rPr>
        <w:rFonts w:hint="default"/>
        <w:lang w:val="zh-CN" w:eastAsia="zh-CN" w:bidi="zh-CN"/>
      </w:rPr>
    </w:lvl>
    <w:lvl w:ilvl="7" w:tentative="1">
      <w:start w:val="0"/>
      <w:numFmt w:val="bullet"/>
      <w:lvlText w:val="•"/>
      <w:lvlJc w:val="left"/>
      <w:pPr>
        <w:ind w:left="7510" w:hanging="212"/>
      </w:pPr>
      <w:rPr>
        <w:rFonts w:hint="default"/>
        <w:lang w:val="zh-CN" w:eastAsia="zh-CN" w:bidi="zh-CN"/>
      </w:rPr>
    </w:lvl>
    <w:lvl w:ilvl="8" w:tentative="1">
      <w:start w:val="0"/>
      <w:numFmt w:val="bullet"/>
      <w:lvlText w:val="•"/>
      <w:lvlJc w:val="left"/>
      <w:pPr>
        <w:ind w:left="8028" w:hanging="212"/>
      </w:pPr>
      <w:rPr>
        <w:rFonts w:hint="default"/>
        <w:lang w:val="zh-CN" w:eastAsia="zh-CN" w:bidi="zh-CN"/>
      </w:rPr>
    </w:lvl>
  </w:abstractNum>
  <w:abstractNum w:abstractNumId="282431973">
    <w:nsid w:val="10D591E5"/>
    <w:multiLevelType w:val="multilevel"/>
    <w:tmpl w:val="10D591E5"/>
    <w:lvl w:ilvl="0" w:tentative="1">
      <w:start w:val="9"/>
      <w:numFmt w:val="decimal"/>
      <w:lvlText w:val="%1."/>
      <w:lvlJc w:val="left"/>
      <w:pPr>
        <w:ind w:left="953" w:hanging="222"/>
      </w:pPr>
      <w:rPr>
        <w:rFonts w:hint="default" w:ascii="宋体" w:hAnsi="宋体" w:eastAsia="宋体" w:cs="宋体"/>
        <w:spacing w:val="-1"/>
        <w:w w:val="100"/>
        <w:sz w:val="20"/>
        <w:szCs w:val="20"/>
        <w:lang w:val="zh-CN" w:eastAsia="zh-CN" w:bidi="zh-CN"/>
      </w:rPr>
    </w:lvl>
    <w:lvl w:ilvl="1" w:tentative="1">
      <w:start w:val="1"/>
      <w:numFmt w:val="decimal"/>
      <w:lvlText w:val="%1.%2"/>
      <w:lvlJc w:val="left"/>
      <w:pPr>
        <w:ind w:left="1170" w:hanging="440"/>
      </w:pPr>
      <w:rPr>
        <w:rFonts w:hint="default" w:ascii="宋体" w:hAnsi="宋体" w:eastAsia="宋体" w:cs="宋体"/>
        <w:spacing w:val="-1"/>
        <w:w w:val="100"/>
        <w:sz w:val="22"/>
        <w:szCs w:val="22"/>
        <w:lang w:val="zh-CN" w:eastAsia="zh-CN" w:bidi="zh-CN"/>
      </w:rPr>
    </w:lvl>
    <w:lvl w:ilvl="2" w:tentative="1">
      <w:start w:val="1"/>
      <w:numFmt w:val="decimal"/>
      <w:lvlText w:val="%1.%2.%3"/>
      <w:lvlJc w:val="left"/>
      <w:pPr>
        <w:ind w:left="1868" w:hanging="660"/>
      </w:pPr>
      <w:rPr>
        <w:rFonts w:hint="default" w:ascii="宋体" w:hAnsi="宋体" w:eastAsia="宋体" w:cs="宋体"/>
        <w:spacing w:val="-1"/>
        <w:w w:val="100"/>
        <w:sz w:val="22"/>
        <w:szCs w:val="22"/>
        <w:lang w:val="zh-CN" w:eastAsia="zh-CN" w:bidi="zh-CN"/>
      </w:rPr>
    </w:lvl>
    <w:lvl w:ilvl="3" w:tentative="1">
      <w:start w:val="0"/>
      <w:numFmt w:val="bullet"/>
      <w:lvlText w:val="•"/>
      <w:lvlJc w:val="left"/>
      <w:pPr>
        <w:ind w:left="1280" w:hanging="660"/>
      </w:pPr>
      <w:rPr>
        <w:rFonts w:hint="default"/>
        <w:lang w:val="zh-CN" w:eastAsia="zh-CN" w:bidi="zh-CN"/>
      </w:rPr>
    </w:lvl>
    <w:lvl w:ilvl="4" w:tentative="1">
      <w:start w:val="0"/>
      <w:numFmt w:val="bullet"/>
      <w:lvlText w:val="•"/>
      <w:lvlJc w:val="left"/>
      <w:pPr>
        <w:ind w:left="1760" w:hanging="660"/>
      </w:pPr>
      <w:rPr>
        <w:rFonts w:hint="default"/>
        <w:lang w:val="zh-CN" w:eastAsia="zh-CN" w:bidi="zh-CN"/>
      </w:rPr>
    </w:lvl>
    <w:lvl w:ilvl="5" w:tentative="1">
      <w:start w:val="0"/>
      <w:numFmt w:val="bullet"/>
      <w:lvlText w:val="•"/>
      <w:lvlJc w:val="left"/>
      <w:pPr>
        <w:ind w:left="1860" w:hanging="660"/>
      </w:pPr>
      <w:rPr>
        <w:rFonts w:hint="default"/>
        <w:lang w:val="zh-CN" w:eastAsia="zh-CN" w:bidi="zh-CN"/>
      </w:rPr>
    </w:lvl>
    <w:lvl w:ilvl="6" w:tentative="1">
      <w:start w:val="0"/>
      <w:numFmt w:val="bullet"/>
      <w:lvlText w:val="•"/>
      <w:lvlJc w:val="left"/>
      <w:pPr>
        <w:ind w:left="3577" w:hanging="660"/>
      </w:pPr>
      <w:rPr>
        <w:rFonts w:hint="default"/>
        <w:lang w:val="zh-CN" w:eastAsia="zh-CN" w:bidi="zh-CN"/>
      </w:rPr>
    </w:lvl>
    <w:lvl w:ilvl="7" w:tentative="1">
      <w:start w:val="0"/>
      <w:numFmt w:val="bullet"/>
      <w:lvlText w:val="•"/>
      <w:lvlJc w:val="left"/>
      <w:pPr>
        <w:ind w:left="5294" w:hanging="660"/>
      </w:pPr>
      <w:rPr>
        <w:rFonts w:hint="default"/>
        <w:lang w:val="zh-CN" w:eastAsia="zh-CN" w:bidi="zh-CN"/>
      </w:rPr>
    </w:lvl>
    <w:lvl w:ilvl="8" w:tentative="1">
      <w:start w:val="0"/>
      <w:numFmt w:val="bullet"/>
      <w:lvlText w:val="•"/>
      <w:lvlJc w:val="left"/>
      <w:pPr>
        <w:ind w:left="7011" w:hanging="660"/>
      </w:pPr>
      <w:rPr>
        <w:rFonts w:hint="default"/>
        <w:lang w:val="zh-CN" w:eastAsia="zh-CN" w:bidi="zh-CN"/>
      </w:rPr>
    </w:lvl>
  </w:abstractNum>
  <w:abstractNum w:abstractNumId="418856981">
    <w:nsid w:val="18F74015"/>
    <w:multiLevelType w:val="multilevel"/>
    <w:tmpl w:val="18F74015"/>
    <w:lvl w:ilvl="0" w:tentative="1">
      <w:start w:val="21"/>
      <w:numFmt w:val="decimal"/>
      <w:lvlText w:val="%1"/>
      <w:lvlJc w:val="left"/>
      <w:pPr>
        <w:ind w:left="1465" w:hanging="315"/>
      </w:pPr>
      <w:rPr>
        <w:rFonts w:hint="default" w:ascii="Times New Roman" w:hAnsi="Times New Roman" w:eastAsia="Times New Roman" w:cs="Times New Roman"/>
        <w:spacing w:val="0"/>
        <w:w w:val="99"/>
        <w:sz w:val="21"/>
        <w:szCs w:val="21"/>
        <w:lang w:val="zh-CN" w:eastAsia="zh-CN" w:bidi="zh-CN"/>
      </w:rPr>
    </w:lvl>
    <w:lvl w:ilvl="1" w:tentative="1">
      <w:start w:val="1"/>
      <w:numFmt w:val="decimal"/>
      <w:lvlText w:val="%1.%2"/>
      <w:lvlJc w:val="left"/>
      <w:pPr>
        <w:ind w:left="731" w:hanging="420"/>
      </w:pPr>
      <w:rPr>
        <w:rFonts w:hint="default" w:ascii="Times New Roman" w:hAnsi="Times New Roman" w:eastAsia="Times New Roman" w:cs="Times New Roman"/>
        <w:spacing w:val="0"/>
        <w:w w:val="99"/>
        <w:sz w:val="21"/>
        <w:szCs w:val="21"/>
        <w:lang w:val="zh-CN" w:eastAsia="zh-CN" w:bidi="zh-CN"/>
      </w:rPr>
    </w:lvl>
    <w:lvl w:ilvl="2" w:tentative="1">
      <w:start w:val="0"/>
      <w:numFmt w:val="bullet"/>
      <w:lvlText w:val="•"/>
      <w:lvlJc w:val="left"/>
      <w:pPr>
        <w:ind w:left="2458" w:hanging="420"/>
      </w:pPr>
      <w:rPr>
        <w:rFonts w:hint="default"/>
        <w:lang w:val="zh-CN" w:eastAsia="zh-CN" w:bidi="zh-CN"/>
      </w:rPr>
    </w:lvl>
    <w:lvl w:ilvl="3" w:tentative="1">
      <w:start w:val="0"/>
      <w:numFmt w:val="bullet"/>
      <w:lvlText w:val="•"/>
      <w:lvlJc w:val="left"/>
      <w:pPr>
        <w:ind w:left="3456" w:hanging="420"/>
      </w:pPr>
      <w:rPr>
        <w:rFonts w:hint="default"/>
        <w:lang w:val="zh-CN" w:eastAsia="zh-CN" w:bidi="zh-CN"/>
      </w:rPr>
    </w:lvl>
    <w:lvl w:ilvl="4" w:tentative="1">
      <w:start w:val="0"/>
      <w:numFmt w:val="bullet"/>
      <w:lvlText w:val="•"/>
      <w:lvlJc w:val="left"/>
      <w:pPr>
        <w:ind w:left="4455" w:hanging="420"/>
      </w:pPr>
      <w:rPr>
        <w:rFonts w:hint="default"/>
        <w:lang w:val="zh-CN" w:eastAsia="zh-CN" w:bidi="zh-CN"/>
      </w:rPr>
    </w:lvl>
    <w:lvl w:ilvl="5" w:tentative="1">
      <w:start w:val="0"/>
      <w:numFmt w:val="bullet"/>
      <w:lvlText w:val="•"/>
      <w:lvlJc w:val="left"/>
      <w:pPr>
        <w:ind w:left="5453" w:hanging="420"/>
      </w:pPr>
      <w:rPr>
        <w:rFonts w:hint="default"/>
        <w:lang w:val="zh-CN" w:eastAsia="zh-CN" w:bidi="zh-CN"/>
      </w:rPr>
    </w:lvl>
    <w:lvl w:ilvl="6" w:tentative="1">
      <w:start w:val="0"/>
      <w:numFmt w:val="bullet"/>
      <w:lvlText w:val="•"/>
      <w:lvlJc w:val="left"/>
      <w:pPr>
        <w:ind w:left="6452" w:hanging="420"/>
      </w:pPr>
      <w:rPr>
        <w:rFonts w:hint="default"/>
        <w:lang w:val="zh-CN" w:eastAsia="zh-CN" w:bidi="zh-CN"/>
      </w:rPr>
    </w:lvl>
    <w:lvl w:ilvl="7" w:tentative="1">
      <w:start w:val="0"/>
      <w:numFmt w:val="bullet"/>
      <w:lvlText w:val="•"/>
      <w:lvlJc w:val="left"/>
      <w:pPr>
        <w:ind w:left="7450" w:hanging="420"/>
      </w:pPr>
      <w:rPr>
        <w:rFonts w:hint="default"/>
        <w:lang w:val="zh-CN" w:eastAsia="zh-CN" w:bidi="zh-CN"/>
      </w:rPr>
    </w:lvl>
    <w:lvl w:ilvl="8" w:tentative="1">
      <w:start w:val="0"/>
      <w:numFmt w:val="bullet"/>
      <w:lvlText w:val="•"/>
      <w:lvlJc w:val="left"/>
      <w:pPr>
        <w:ind w:left="8449" w:hanging="420"/>
      </w:pPr>
      <w:rPr>
        <w:rFonts w:hint="default"/>
        <w:lang w:val="zh-CN" w:eastAsia="zh-CN" w:bidi="zh-CN"/>
      </w:rPr>
    </w:lvl>
  </w:abstractNum>
  <w:abstractNum w:abstractNumId="216993803">
    <w:nsid w:val="0CEF100B"/>
    <w:multiLevelType w:val="multilevel"/>
    <w:tmpl w:val="0CEF100B"/>
    <w:lvl w:ilvl="0" w:tentative="1">
      <w:start w:val="10"/>
      <w:numFmt w:val="decimal"/>
      <w:lvlText w:val="%1"/>
      <w:lvlJc w:val="left"/>
      <w:pPr>
        <w:ind w:left="1624" w:hanging="473"/>
      </w:pPr>
      <w:rPr>
        <w:rFonts w:hint="default"/>
        <w:lang w:val="zh-CN" w:eastAsia="zh-CN" w:bidi="zh-CN"/>
      </w:rPr>
    </w:lvl>
    <w:lvl w:ilvl="1" w:tentative="1">
      <w:start w:val="7"/>
      <w:numFmt w:val="decimal"/>
      <w:lvlText w:val="%1.%2"/>
      <w:lvlJc w:val="left"/>
      <w:pPr>
        <w:ind w:left="1624" w:hanging="473"/>
      </w:pPr>
      <w:rPr>
        <w:rFonts w:hint="default" w:ascii="Times New Roman" w:hAnsi="Times New Roman" w:eastAsia="Times New Roman" w:cs="Times New Roman"/>
        <w:spacing w:val="0"/>
        <w:w w:val="99"/>
        <w:sz w:val="21"/>
        <w:szCs w:val="21"/>
        <w:lang w:val="zh-CN" w:eastAsia="zh-CN" w:bidi="zh-CN"/>
      </w:rPr>
    </w:lvl>
    <w:lvl w:ilvl="2" w:tentative="1">
      <w:start w:val="1"/>
      <w:numFmt w:val="decimal"/>
      <w:lvlText w:val="%1.%2.%3"/>
      <w:lvlJc w:val="left"/>
      <w:pPr>
        <w:ind w:left="1780" w:hanging="629"/>
      </w:pPr>
      <w:rPr>
        <w:rFonts w:hint="default" w:ascii="Times New Roman" w:hAnsi="Times New Roman" w:eastAsia="Times New Roman" w:cs="Times New Roman"/>
        <w:spacing w:val="-2"/>
        <w:w w:val="99"/>
        <w:sz w:val="21"/>
        <w:szCs w:val="21"/>
        <w:lang w:val="zh-CN" w:eastAsia="zh-CN" w:bidi="zh-CN"/>
      </w:rPr>
    </w:lvl>
    <w:lvl w:ilvl="3" w:tentative="1">
      <w:start w:val="0"/>
      <w:numFmt w:val="bullet"/>
      <w:lvlText w:val="•"/>
      <w:lvlJc w:val="left"/>
      <w:pPr>
        <w:ind w:left="3705" w:hanging="629"/>
      </w:pPr>
      <w:rPr>
        <w:rFonts w:hint="default"/>
        <w:lang w:val="zh-CN" w:eastAsia="zh-CN" w:bidi="zh-CN"/>
      </w:rPr>
    </w:lvl>
    <w:lvl w:ilvl="4" w:tentative="1">
      <w:start w:val="0"/>
      <w:numFmt w:val="bullet"/>
      <w:lvlText w:val="•"/>
      <w:lvlJc w:val="left"/>
      <w:pPr>
        <w:ind w:left="4668" w:hanging="629"/>
      </w:pPr>
      <w:rPr>
        <w:rFonts w:hint="default"/>
        <w:lang w:val="zh-CN" w:eastAsia="zh-CN" w:bidi="zh-CN"/>
      </w:rPr>
    </w:lvl>
    <w:lvl w:ilvl="5" w:tentative="1">
      <w:start w:val="0"/>
      <w:numFmt w:val="bullet"/>
      <w:lvlText w:val="•"/>
      <w:lvlJc w:val="left"/>
      <w:pPr>
        <w:ind w:left="5631" w:hanging="629"/>
      </w:pPr>
      <w:rPr>
        <w:rFonts w:hint="default"/>
        <w:lang w:val="zh-CN" w:eastAsia="zh-CN" w:bidi="zh-CN"/>
      </w:rPr>
    </w:lvl>
    <w:lvl w:ilvl="6" w:tentative="1">
      <w:start w:val="0"/>
      <w:numFmt w:val="bullet"/>
      <w:lvlText w:val="•"/>
      <w:lvlJc w:val="left"/>
      <w:pPr>
        <w:ind w:left="6594" w:hanging="629"/>
      </w:pPr>
      <w:rPr>
        <w:rFonts w:hint="default"/>
        <w:lang w:val="zh-CN" w:eastAsia="zh-CN" w:bidi="zh-CN"/>
      </w:rPr>
    </w:lvl>
    <w:lvl w:ilvl="7" w:tentative="1">
      <w:start w:val="0"/>
      <w:numFmt w:val="bullet"/>
      <w:lvlText w:val="•"/>
      <w:lvlJc w:val="left"/>
      <w:pPr>
        <w:ind w:left="7557" w:hanging="629"/>
      </w:pPr>
      <w:rPr>
        <w:rFonts w:hint="default"/>
        <w:lang w:val="zh-CN" w:eastAsia="zh-CN" w:bidi="zh-CN"/>
      </w:rPr>
    </w:lvl>
    <w:lvl w:ilvl="8" w:tentative="1">
      <w:start w:val="0"/>
      <w:numFmt w:val="bullet"/>
      <w:lvlText w:val="•"/>
      <w:lvlJc w:val="left"/>
      <w:pPr>
        <w:ind w:left="8520" w:hanging="629"/>
      </w:pPr>
      <w:rPr>
        <w:rFonts w:hint="default"/>
        <w:lang w:val="zh-CN" w:eastAsia="zh-CN" w:bidi="zh-CN"/>
      </w:rPr>
    </w:lvl>
  </w:abstractNum>
  <w:abstractNum w:abstractNumId="466337008">
    <w:nsid w:val="1BCBBCF0"/>
    <w:multiLevelType w:val="multilevel"/>
    <w:tmpl w:val="1BCBBCF0"/>
    <w:lvl w:ilvl="0" w:tentative="1">
      <w:start w:val="2"/>
      <w:numFmt w:val="decimal"/>
      <w:lvlText w:val="%1."/>
      <w:lvlJc w:val="left"/>
      <w:pPr>
        <w:ind w:left="1940" w:hanging="329"/>
      </w:pPr>
      <w:rPr>
        <w:rFonts w:hint="default" w:ascii="宋体" w:hAnsi="宋体" w:eastAsia="宋体" w:cs="宋体"/>
        <w:spacing w:val="-1"/>
        <w:w w:val="100"/>
        <w:sz w:val="22"/>
        <w:szCs w:val="22"/>
        <w:lang w:val="zh-CN" w:eastAsia="zh-CN" w:bidi="zh-CN"/>
      </w:rPr>
    </w:lvl>
    <w:lvl w:ilvl="1" w:tentative="1">
      <w:start w:val="0"/>
      <w:numFmt w:val="bullet"/>
      <w:lvlText w:val="•"/>
      <w:lvlJc w:val="left"/>
      <w:pPr>
        <w:ind w:left="2790" w:hanging="329"/>
      </w:pPr>
      <w:rPr>
        <w:rFonts w:hint="default"/>
        <w:lang w:val="zh-CN" w:eastAsia="zh-CN" w:bidi="zh-CN"/>
      </w:rPr>
    </w:lvl>
    <w:lvl w:ilvl="2" w:tentative="1">
      <w:start w:val="0"/>
      <w:numFmt w:val="bullet"/>
      <w:lvlText w:val="•"/>
      <w:lvlJc w:val="left"/>
      <w:pPr>
        <w:ind w:left="3641" w:hanging="329"/>
      </w:pPr>
      <w:rPr>
        <w:rFonts w:hint="default"/>
        <w:lang w:val="zh-CN" w:eastAsia="zh-CN" w:bidi="zh-CN"/>
      </w:rPr>
    </w:lvl>
    <w:lvl w:ilvl="3" w:tentative="1">
      <w:start w:val="0"/>
      <w:numFmt w:val="bullet"/>
      <w:lvlText w:val="•"/>
      <w:lvlJc w:val="left"/>
      <w:pPr>
        <w:ind w:left="4491" w:hanging="329"/>
      </w:pPr>
      <w:rPr>
        <w:rFonts w:hint="default"/>
        <w:lang w:val="zh-CN" w:eastAsia="zh-CN" w:bidi="zh-CN"/>
      </w:rPr>
    </w:lvl>
    <w:lvl w:ilvl="4" w:tentative="1">
      <w:start w:val="0"/>
      <w:numFmt w:val="bullet"/>
      <w:lvlText w:val="•"/>
      <w:lvlJc w:val="left"/>
      <w:pPr>
        <w:ind w:left="5342" w:hanging="329"/>
      </w:pPr>
      <w:rPr>
        <w:rFonts w:hint="default"/>
        <w:lang w:val="zh-CN" w:eastAsia="zh-CN" w:bidi="zh-CN"/>
      </w:rPr>
    </w:lvl>
    <w:lvl w:ilvl="5" w:tentative="1">
      <w:start w:val="0"/>
      <w:numFmt w:val="bullet"/>
      <w:lvlText w:val="•"/>
      <w:lvlJc w:val="left"/>
      <w:pPr>
        <w:ind w:left="6193" w:hanging="329"/>
      </w:pPr>
      <w:rPr>
        <w:rFonts w:hint="default"/>
        <w:lang w:val="zh-CN" w:eastAsia="zh-CN" w:bidi="zh-CN"/>
      </w:rPr>
    </w:lvl>
    <w:lvl w:ilvl="6" w:tentative="1">
      <w:start w:val="0"/>
      <w:numFmt w:val="bullet"/>
      <w:lvlText w:val="•"/>
      <w:lvlJc w:val="left"/>
      <w:pPr>
        <w:ind w:left="7043" w:hanging="329"/>
      </w:pPr>
      <w:rPr>
        <w:rFonts w:hint="default"/>
        <w:lang w:val="zh-CN" w:eastAsia="zh-CN" w:bidi="zh-CN"/>
      </w:rPr>
    </w:lvl>
    <w:lvl w:ilvl="7" w:tentative="1">
      <w:start w:val="0"/>
      <w:numFmt w:val="bullet"/>
      <w:lvlText w:val="•"/>
      <w:lvlJc w:val="left"/>
      <w:pPr>
        <w:ind w:left="7894" w:hanging="329"/>
      </w:pPr>
      <w:rPr>
        <w:rFonts w:hint="default"/>
        <w:lang w:val="zh-CN" w:eastAsia="zh-CN" w:bidi="zh-CN"/>
      </w:rPr>
    </w:lvl>
    <w:lvl w:ilvl="8" w:tentative="1">
      <w:start w:val="0"/>
      <w:numFmt w:val="bullet"/>
      <w:lvlText w:val="•"/>
      <w:lvlJc w:val="left"/>
      <w:pPr>
        <w:ind w:left="8744" w:hanging="329"/>
      </w:pPr>
      <w:rPr>
        <w:rFonts w:hint="default"/>
        <w:lang w:val="zh-CN" w:eastAsia="zh-CN" w:bidi="zh-CN"/>
      </w:rPr>
    </w:lvl>
  </w:abstractNum>
  <w:abstractNum w:abstractNumId="998320095">
    <w:nsid w:val="3B8127DF"/>
    <w:multiLevelType w:val="multilevel"/>
    <w:tmpl w:val="3B8127DF"/>
    <w:lvl w:ilvl="0" w:tentative="1">
      <w:start w:val="19"/>
      <w:numFmt w:val="decimal"/>
      <w:lvlText w:val="%1"/>
      <w:lvlJc w:val="left"/>
      <w:pPr>
        <w:ind w:left="1151" w:hanging="420"/>
      </w:pPr>
      <w:rPr>
        <w:rFonts w:hint="default"/>
        <w:lang w:val="zh-CN" w:eastAsia="zh-CN" w:bidi="zh-CN"/>
      </w:rPr>
    </w:lvl>
    <w:lvl w:ilvl="1" w:tentative="1">
      <w:start w:val="2"/>
      <w:numFmt w:val="decimal"/>
      <w:lvlText w:val="%1.%2"/>
      <w:lvlJc w:val="left"/>
      <w:pPr>
        <w:ind w:left="1151" w:hanging="420"/>
      </w:pPr>
      <w:rPr>
        <w:rFonts w:hint="default" w:ascii="Times New Roman" w:hAnsi="Times New Roman" w:eastAsia="Times New Roman" w:cs="Times New Roman"/>
        <w:spacing w:val="0"/>
        <w:w w:val="99"/>
        <w:sz w:val="21"/>
        <w:szCs w:val="21"/>
        <w:lang w:val="zh-CN" w:eastAsia="zh-CN" w:bidi="zh-CN"/>
      </w:rPr>
    </w:lvl>
    <w:lvl w:ilvl="2" w:tentative="1">
      <w:start w:val="0"/>
      <w:numFmt w:val="bullet"/>
      <w:lvlText w:val="•"/>
      <w:lvlJc w:val="left"/>
      <w:pPr>
        <w:ind w:left="3017" w:hanging="420"/>
      </w:pPr>
      <w:rPr>
        <w:rFonts w:hint="default"/>
        <w:lang w:val="zh-CN" w:eastAsia="zh-CN" w:bidi="zh-CN"/>
      </w:rPr>
    </w:lvl>
    <w:lvl w:ilvl="3" w:tentative="1">
      <w:start w:val="0"/>
      <w:numFmt w:val="bullet"/>
      <w:lvlText w:val="•"/>
      <w:lvlJc w:val="left"/>
      <w:pPr>
        <w:ind w:left="3945" w:hanging="420"/>
      </w:pPr>
      <w:rPr>
        <w:rFonts w:hint="default"/>
        <w:lang w:val="zh-CN" w:eastAsia="zh-CN" w:bidi="zh-CN"/>
      </w:rPr>
    </w:lvl>
    <w:lvl w:ilvl="4" w:tentative="1">
      <w:start w:val="0"/>
      <w:numFmt w:val="bullet"/>
      <w:lvlText w:val="•"/>
      <w:lvlJc w:val="left"/>
      <w:pPr>
        <w:ind w:left="4874" w:hanging="420"/>
      </w:pPr>
      <w:rPr>
        <w:rFonts w:hint="default"/>
        <w:lang w:val="zh-CN" w:eastAsia="zh-CN" w:bidi="zh-CN"/>
      </w:rPr>
    </w:lvl>
    <w:lvl w:ilvl="5" w:tentative="1">
      <w:start w:val="0"/>
      <w:numFmt w:val="bullet"/>
      <w:lvlText w:val="•"/>
      <w:lvlJc w:val="left"/>
      <w:pPr>
        <w:ind w:left="5803" w:hanging="420"/>
      </w:pPr>
      <w:rPr>
        <w:rFonts w:hint="default"/>
        <w:lang w:val="zh-CN" w:eastAsia="zh-CN" w:bidi="zh-CN"/>
      </w:rPr>
    </w:lvl>
    <w:lvl w:ilvl="6" w:tentative="1">
      <w:start w:val="0"/>
      <w:numFmt w:val="bullet"/>
      <w:lvlText w:val="•"/>
      <w:lvlJc w:val="left"/>
      <w:pPr>
        <w:ind w:left="6731" w:hanging="420"/>
      </w:pPr>
      <w:rPr>
        <w:rFonts w:hint="default"/>
        <w:lang w:val="zh-CN" w:eastAsia="zh-CN" w:bidi="zh-CN"/>
      </w:rPr>
    </w:lvl>
    <w:lvl w:ilvl="7" w:tentative="1">
      <w:start w:val="0"/>
      <w:numFmt w:val="bullet"/>
      <w:lvlText w:val="•"/>
      <w:lvlJc w:val="left"/>
      <w:pPr>
        <w:ind w:left="7660" w:hanging="420"/>
      </w:pPr>
      <w:rPr>
        <w:rFonts w:hint="default"/>
        <w:lang w:val="zh-CN" w:eastAsia="zh-CN" w:bidi="zh-CN"/>
      </w:rPr>
    </w:lvl>
    <w:lvl w:ilvl="8" w:tentative="1">
      <w:start w:val="0"/>
      <w:numFmt w:val="bullet"/>
      <w:lvlText w:val="•"/>
      <w:lvlJc w:val="left"/>
      <w:pPr>
        <w:ind w:left="8588" w:hanging="420"/>
      </w:pPr>
      <w:rPr>
        <w:rFonts w:hint="default"/>
        <w:lang w:val="zh-CN" w:eastAsia="zh-CN" w:bidi="zh-CN"/>
      </w:rPr>
    </w:lvl>
  </w:abstractNum>
  <w:abstractNum w:abstractNumId="1085426169">
    <w:nsid w:val="40B249F9"/>
    <w:multiLevelType w:val="multilevel"/>
    <w:tmpl w:val="40B249F9"/>
    <w:lvl w:ilvl="0" w:tentative="1">
      <w:start w:val="14"/>
      <w:numFmt w:val="decimal"/>
      <w:lvlText w:val="%1"/>
      <w:lvlJc w:val="left"/>
      <w:pPr>
        <w:ind w:left="1624" w:hanging="473"/>
      </w:pPr>
      <w:rPr>
        <w:rFonts w:hint="default"/>
        <w:lang w:val="zh-CN" w:eastAsia="zh-CN" w:bidi="zh-CN"/>
      </w:rPr>
    </w:lvl>
    <w:lvl w:ilvl="1" w:tentative="1">
      <w:start w:val="4"/>
      <w:numFmt w:val="decimal"/>
      <w:lvlText w:val="%1.%2"/>
      <w:lvlJc w:val="left"/>
      <w:pPr>
        <w:ind w:left="1624" w:hanging="473"/>
      </w:pPr>
      <w:rPr>
        <w:rFonts w:hint="default" w:ascii="Times New Roman" w:hAnsi="Times New Roman" w:eastAsia="Times New Roman" w:cs="Times New Roman"/>
        <w:spacing w:val="0"/>
        <w:w w:val="99"/>
        <w:sz w:val="21"/>
        <w:szCs w:val="21"/>
        <w:lang w:val="zh-CN" w:eastAsia="zh-CN" w:bidi="zh-CN"/>
      </w:rPr>
    </w:lvl>
    <w:lvl w:ilvl="2" w:tentative="1">
      <w:start w:val="1"/>
      <w:numFmt w:val="decimal"/>
      <w:lvlText w:val="%1.%2.%3"/>
      <w:lvlJc w:val="left"/>
      <w:pPr>
        <w:ind w:left="1780" w:hanging="629"/>
      </w:pPr>
      <w:rPr>
        <w:rFonts w:hint="default" w:ascii="Times New Roman" w:hAnsi="Times New Roman" w:eastAsia="Times New Roman" w:cs="Times New Roman"/>
        <w:spacing w:val="-2"/>
        <w:w w:val="99"/>
        <w:sz w:val="21"/>
        <w:szCs w:val="21"/>
        <w:lang w:val="zh-CN" w:eastAsia="zh-CN" w:bidi="zh-CN"/>
      </w:rPr>
    </w:lvl>
    <w:lvl w:ilvl="3" w:tentative="1">
      <w:start w:val="0"/>
      <w:numFmt w:val="bullet"/>
      <w:lvlText w:val="•"/>
      <w:lvlJc w:val="left"/>
      <w:pPr>
        <w:ind w:left="3705" w:hanging="629"/>
      </w:pPr>
      <w:rPr>
        <w:rFonts w:hint="default"/>
        <w:lang w:val="zh-CN" w:eastAsia="zh-CN" w:bidi="zh-CN"/>
      </w:rPr>
    </w:lvl>
    <w:lvl w:ilvl="4" w:tentative="1">
      <w:start w:val="0"/>
      <w:numFmt w:val="bullet"/>
      <w:lvlText w:val="•"/>
      <w:lvlJc w:val="left"/>
      <w:pPr>
        <w:ind w:left="4668" w:hanging="629"/>
      </w:pPr>
      <w:rPr>
        <w:rFonts w:hint="default"/>
        <w:lang w:val="zh-CN" w:eastAsia="zh-CN" w:bidi="zh-CN"/>
      </w:rPr>
    </w:lvl>
    <w:lvl w:ilvl="5" w:tentative="1">
      <w:start w:val="0"/>
      <w:numFmt w:val="bullet"/>
      <w:lvlText w:val="•"/>
      <w:lvlJc w:val="left"/>
      <w:pPr>
        <w:ind w:left="5631" w:hanging="629"/>
      </w:pPr>
      <w:rPr>
        <w:rFonts w:hint="default"/>
        <w:lang w:val="zh-CN" w:eastAsia="zh-CN" w:bidi="zh-CN"/>
      </w:rPr>
    </w:lvl>
    <w:lvl w:ilvl="6" w:tentative="1">
      <w:start w:val="0"/>
      <w:numFmt w:val="bullet"/>
      <w:lvlText w:val="•"/>
      <w:lvlJc w:val="left"/>
      <w:pPr>
        <w:ind w:left="6594" w:hanging="629"/>
      </w:pPr>
      <w:rPr>
        <w:rFonts w:hint="default"/>
        <w:lang w:val="zh-CN" w:eastAsia="zh-CN" w:bidi="zh-CN"/>
      </w:rPr>
    </w:lvl>
    <w:lvl w:ilvl="7" w:tentative="1">
      <w:start w:val="0"/>
      <w:numFmt w:val="bullet"/>
      <w:lvlText w:val="•"/>
      <w:lvlJc w:val="left"/>
      <w:pPr>
        <w:ind w:left="7557" w:hanging="629"/>
      </w:pPr>
      <w:rPr>
        <w:rFonts w:hint="default"/>
        <w:lang w:val="zh-CN" w:eastAsia="zh-CN" w:bidi="zh-CN"/>
      </w:rPr>
    </w:lvl>
    <w:lvl w:ilvl="8" w:tentative="1">
      <w:start w:val="0"/>
      <w:numFmt w:val="bullet"/>
      <w:lvlText w:val="•"/>
      <w:lvlJc w:val="left"/>
      <w:pPr>
        <w:ind w:left="8520" w:hanging="629"/>
      </w:pPr>
      <w:rPr>
        <w:rFonts w:hint="default"/>
        <w:lang w:val="zh-CN" w:eastAsia="zh-CN" w:bidi="zh-CN"/>
      </w:rPr>
    </w:lvl>
  </w:abstractNum>
  <w:abstractNum w:abstractNumId="608161640">
    <w:nsid w:val="243FCF68"/>
    <w:multiLevelType w:val="multilevel"/>
    <w:tmpl w:val="243FCF68"/>
    <w:lvl w:ilvl="0" w:tentative="1">
      <w:start w:val="1"/>
      <w:numFmt w:val="decimal"/>
      <w:lvlText w:val="%1"/>
      <w:lvlJc w:val="left"/>
      <w:pPr>
        <w:ind w:left="1832" w:hanging="682"/>
      </w:pPr>
      <w:rPr>
        <w:rFonts w:hint="default"/>
        <w:lang w:val="zh-CN" w:eastAsia="zh-CN" w:bidi="zh-CN"/>
      </w:rPr>
    </w:lvl>
    <w:lvl w:ilvl="1" w:tentative="1">
      <w:start w:val="1"/>
      <w:numFmt w:val="decimal"/>
      <w:lvlText w:val="%1.%2"/>
      <w:lvlJc w:val="left"/>
      <w:pPr>
        <w:ind w:left="1832" w:hanging="682"/>
      </w:pPr>
      <w:rPr>
        <w:rFonts w:hint="default"/>
        <w:lang w:val="zh-CN" w:eastAsia="zh-CN" w:bidi="zh-CN"/>
      </w:rPr>
    </w:lvl>
    <w:lvl w:ilvl="2" w:tentative="1">
      <w:start w:val="3"/>
      <w:numFmt w:val="decimal"/>
      <w:lvlText w:val="%1.%2.%3"/>
      <w:lvlJc w:val="left"/>
      <w:pPr>
        <w:ind w:left="1832" w:hanging="682"/>
      </w:pPr>
      <w:rPr>
        <w:rFonts w:hint="default"/>
        <w:lang w:val="zh-CN" w:eastAsia="zh-CN" w:bidi="zh-CN"/>
      </w:rPr>
    </w:lvl>
    <w:lvl w:ilvl="3" w:tentative="1">
      <w:start w:val="9"/>
      <w:numFmt w:val="decimal"/>
      <w:lvlText w:val="%1.%2.%3.%4"/>
      <w:lvlJc w:val="left"/>
      <w:pPr>
        <w:ind w:left="1832" w:hanging="682"/>
      </w:pPr>
      <w:rPr>
        <w:rFonts w:hint="default" w:ascii="Times New Roman" w:hAnsi="Times New Roman" w:eastAsia="Times New Roman" w:cs="Times New Roman"/>
        <w:spacing w:val="-2"/>
        <w:w w:val="99"/>
        <w:sz w:val="21"/>
        <w:szCs w:val="21"/>
        <w:lang w:val="zh-CN" w:eastAsia="zh-CN" w:bidi="zh-CN"/>
      </w:rPr>
    </w:lvl>
    <w:lvl w:ilvl="4" w:tentative="1">
      <w:start w:val="0"/>
      <w:numFmt w:val="bullet"/>
      <w:lvlText w:val="•"/>
      <w:lvlJc w:val="left"/>
      <w:pPr>
        <w:ind w:left="5282" w:hanging="682"/>
      </w:pPr>
      <w:rPr>
        <w:rFonts w:hint="default"/>
        <w:lang w:val="zh-CN" w:eastAsia="zh-CN" w:bidi="zh-CN"/>
      </w:rPr>
    </w:lvl>
    <w:lvl w:ilvl="5" w:tentative="1">
      <w:start w:val="0"/>
      <w:numFmt w:val="bullet"/>
      <w:lvlText w:val="•"/>
      <w:lvlJc w:val="left"/>
      <w:pPr>
        <w:ind w:left="6143" w:hanging="682"/>
      </w:pPr>
      <w:rPr>
        <w:rFonts w:hint="default"/>
        <w:lang w:val="zh-CN" w:eastAsia="zh-CN" w:bidi="zh-CN"/>
      </w:rPr>
    </w:lvl>
    <w:lvl w:ilvl="6" w:tentative="1">
      <w:start w:val="0"/>
      <w:numFmt w:val="bullet"/>
      <w:lvlText w:val="•"/>
      <w:lvlJc w:val="left"/>
      <w:pPr>
        <w:ind w:left="7003" w:hanging="682"/>
      </w:pPr>
      <w:rPr>
        <w:rFonts w:hint="default"/>
        <w:lang w:val="zh-CN" w:eastAsia="zh-CN" w:bidi="zh-CN"/>
      </w:rPr>
    </w:lvl>
    <w:lvl w:ilvl="7" w:tentative="1">
      <w:start w:val="0"/>
      <w:numFmt w:val="bullet"/>
      <w:lvlText w:val="•"/>
      <w:lvlJc w:val="left"/>
      <w:pPr>
        <w:ind w:left="7864" w:hanging="682"/>
      </w:pPr>
      <w:rPr>
        <w:rFonts w:hint="default"/>
        <w:lang w:val="zh-CN" w:eastAsia="zh-CN" w:bidi="zh-CN"/>
      </w:rPr>
    </w:lvl>
    <w:lvl w:ilvl="8" w:tentative="1">
      <w:start w:val="0"/>
      <w:numFmt w:val="bullet"/>
      <w:lvlText w:val="•"/>
      <w:lvlJc w:val="left"/>
      <w:pPr>
        <w:ind w:left="8724" w:hanging="682"/>
      </w:pPr>
      <w:rPr>
        <w:rFonts w:hint="default"/>
        <w:lang w:val="zh-CN" w:eastAsia="zh-CN" w:bidi="zh-CN"/>
      </w:rPr>
    </w:lvl>
  </w:abstractNum>
  <w:abstractNum w:abstractNumId="602502996">
    <w:nsid w:val="23E97754"/>
    <w:multiLevelType w:val="multilevel"/>
    <w:tmpl w:val="23E97754"/>
    <w:lvl w:ilvl="0" w:tentative="1">
      <w:start w:val="1"/>
      <w:numFmt w:val="decimal"/>
      <w:lvlText w:val="（%1）"/>
      <w:lvlJc w:val="left"/>
      <w:pPr>
        <w:ind w:left="1675" w:hanging="525"/>
      </w:pPr>
      <w:rPr>
        <w:rFonts w:hint="default" w:ascii="仿宋" w:hAnsi="仿宋" w:eastAsia="仿宋" w:cs="仿宋"/>
        <w:spacing w:val="-1"/>
        <w:w w:val="99"/>
        <w:sz w:val="19"/>
        <w:szCs w:val="19"/>
        <w:lang w:val="zh-CN" w:eastAsia="zh-CN" w:bidi="zh-CN"/>
      </w:rPr>
    </w:lvl>
    <w:lvl w:ilvl="1" w:tentative="1">
      <w:start w:val="0"/>
      <w:numFmt w:val="bullet"/>
      <w:lvlText w:val="•"/>
      <w:lvlJc w:val="left"/>
      <w:pPr>
        <w:ind w:left="2556" w:hanging="525"/>
      </w:pPr>
      <w:rPr>
        <w:rFonts w:hint="default"/>
        <w:lang w:val="zh-CN" w:eastAsia="zh-CN" w:bidi="zh-CN"/>
      </w:rPr>
    </w:lvl>
    <w:lvl w:ilvl="2" w:tentative="1">
      <w:start w:val="0"/>
      <w:numFmt w:val="bullet"/>
      <w:lvlText w:val="•"/>
      <w:lvlJc w:val="left"/>
      <w:pPr>
        <w:ind w:left="3433" w:hanging="525"/>
      </w:pPr>
      <w:rPr>
        <w:rFonts w:hint="default"/>
        <w:lang w:val="zh-CN" w:eastAsia="zh-CN" w:bidi="zh-CN"/>
      </w:rPr>
    </w:lvl>
    <w:lvl w:ilvl="3" w:tentative="1">
      <w:start w:val="0"/>
      <w:numFmt w:val="bullet"/>
      <w:lvlText w:val="•"/>
      <w:lvlJc w:val="left"/>
      <w:pPr>
        <w:ind w:left="4309" w:hanging="525"/>
      </w:pPr>
      <w:rPr>
        <w:rFonts w:hint="default"/>
        <w:lang w:val="zh-CN" w:eastAsia="zh-CN" w:bidi="zh-CN"/>
      </w:rPr>
    </w:lvl>
    <w:lvl w:ilvl="4" w:tentative="1">
      <w:start w:val="0"/>
      <w:numFmt w:val="bullet"/>
      <w:lvlText w:val="•"/>
      <w:lvlJc w:val="left"/>
      <w:pPr>
        <w:ind w:left="5186" w:hanging="525"/>
      </w:pPr>
      <w:rPr>
        <w:rFonts w:hint="default"/>
        <w:lang w:val="zh-CN" w:eastAsia="zh-CN" w:bidi="zh-CN"/>
      </w:rPr>
    </w:lvl>
    <w:lvl w:ilvl="5" w:tentative="1">
      <w:start w:val="0"/>
      <w:numFmt w:val="bullet"/>
      <w:lvlText w:val="•"/>
      <w:lvlJc w:val="left"/>
      <w:pPr>
        <w:ind w:left="6063" w:hanging="525"/>
      </w:pPr>
      <w:rPr>
        <w:rFonts w:hint="default"/>
        <w:lang w:val="zh-CN" w:eastAsia="zh-CN" w:bidi="zh-CN"/>
      </w:rPr>
    </w:lvl>
    <w:lvl w:ilvl="6" w:tentative="1">
      <w:start w:val="0"/>
      <w:numFmt w:val="bullet"/>
      <w:lvlText w:val="•"/>
      <w:lvlJc w:val="left"/>
      <w:pPr>
        <w:ind w:left="6939" w:hanging="525"/>
      </w:pPr>
      <w:rPr>
        <w:rFonts w:hint="default"/>
        <w:lang w:val="zh-CN" w:eastAsia="zh-CN" w:bidi="zh-CN"/>
      </w:rPr>
    </w:lvl>
    <w:lvl w:ilvl="7" w:tentative="1">
      <w:start w:val="0"/>
      <w:numFmt w:val="bullet"/>
      <w:lvlText w:val="•"/>
      <w:lvlJc w:val="left"/>
      <w:pPr>
        <w:ind w:left="7816" w:hanging="525"/>
      </w:pPr>
      <w:rPr>
        <w:rFonts w:hint="default"/>
        <w:lang w:val="zh-CN" w:eastAsia="zh-CN" w:bidi="zh-CN"/>
      </w:rPr>
    </w:lvl>
    <w:lvl w:ilvl="8" w:tentative="1">
      <w:start w:val="0"/>
      <w:numFmt w:val="bullet"/>
      <w:lvlText w:val="•"/>
      <w:lvlJc w:val="left"/>
      <w:pPr>
        <w:ind w:left="8692" w:hanging="525"/>
      </w:pPr>
      <w:rPr>
        <w:rFonts w:hint="default"/>
        <w:lang w:val="zh-CN" w:eastAsia="zh-CN" w:bidi="zh-CN"/>
      </w:rPr>
    </w:lvl>
  </w:abstractNum>
  <w:abstractNum w:abstractNumId="61225537">
    <w:nsid w:val="03A63A41"/>
    <w:multiLevelType w:val="multilevel"/>
    <w:tmpl w:val="03A63A41"/>
    <w:lvl w:ilvl="0" w:tentative="1">
      <w:start w:val="1"/>
      <w:numFmt w:val="decimal"/>
      <w:lvlText w:val="（%1）"/>
      <w:lvlJc w:val="left"/>
      <w:pPr>
        <w:ind w:left="731" w:hanging="525"/>
      </w:pPr>
      <w:rPr>
        <w:rFonts w:hint="default" w:ascii="仿宋" w:hAnsi="仿宋" w:eastAsia="仿宋" w:cs="仿宋"/>
        <w:spacing w:val="-34"/>
        <w:w w:val="99"/>
        <w:sz w:val="19"/>
        <w:szCs w:val="19"/>
        <w:lang w:val="zh-CN" w:eastAsia="zh-CN" w:bidi="zh-CN"/>
      </w:rPr>
    </w:lvl>
    <w:lvl w:ilvl="1" w:tentative="1">
      <w:start w:val="0"/>
      <w:numFmt w:val="bullet"/>
      <w:lvlText w:val="•"/>
      <w:lvlJc w:val="left"/>
      <w:pPr>
        <w:ind w:left="1710" w:hanging="525"/>
      </w:pPr>
      <w:rPr>
        <w:rFonts w:hint="default"/>
        <w:lang w:val="zh-CN" w:eastAsia="zh-CN" w:bidi="zh-CN"/>
      </w:rPr>
    </w:lvl>
    <w:lvl w:ilvl="2" w:tentative="1">
      <w:start w:val="0"/>
      <w:numFmt w:val="bullet"/>
      <w:lvlText w:val="•"/>
      <w:lvlJc w:val="left"/>
      <w:pPr>
        <w:ind w:left="2681" w:hanging="525"/>
      </w:pPr>
      <w:rPr>
        <w:rFonts w:hint="default"/>
        <w:lang w:val="zh-CN" w:eastAsia="zh-CN" w:bidi="zh-CN"/>
      </w:rPr>
    </w:lvl>
    <w:lvl w:ilvl="3" w:tentative="1">
      <w:start w:val="0"/>
      <w:numFmt w:val="bullet"/>
      <w:lvlText w:val="•"/>
      <w:lvlJc w:val="left"/>
      <w:pPr>
        <w:ind w:left="3651" w:hanging="525"/>
      </w:pPr>
      <w:rPr>
        <w:rFonts w:hint="default"/>
        <w:lang w:val="zh-CN" w:eastAsia="zh-CN" w:bidi="zh-CN"/>
      </w:rPr>
    </w:lvl>
    <w:lvl w:ilvl="4" w:tentative="1">
      <w:start w:val="0"/>
      <w:numFmt w:val="bullet"/>
      <w:lvlText w:val="•"/>
      <w:lvlJc w:val="left"/>
      <w:pPr>
        <w:ind w:left="4622" w:hanging="525"/>
      </w:pPr>
      <w:rPr>
        <w:rFonts w:hint="default"/>
        <w:lang w:val="zh-CN" w:eastAsia="zh-CN" w:bidi="zh-CN"/>
      </w:rPr>
    </w:lvl>
    <w:lvl w:ilvl="5" w:tentative="1">
      <w:start w:val="0"/>
      <w:numFmt w:val="bullet"/>
      <w:lvlText w:val="•"/>
      <w:lvlJc w:val="left"/>
      <w:pPr>
        <w:ind w:left="5593" w:hanging="525"/>
      </w:pPr>
      <w:rPr>
        <w:rFonts w:hint="default"/>
        <w:lang w:val="zh-CN" w:eastAsia="zh-CN" w:bidi="zh-CN"/>
      </w:rPr>
    </w:lvl>
    <w:lvl w:ilvl="6" w:tentative="1">
      <w:start w:val="0"/>
      <w:numFmt w:val="bullet"/>
      <w:lvlText w:val="•"/>
      <w:lvlJc w:val="left"/>
      <w:pPr>
        <w:ind w:left="6563" w:hanging="525"/>
      </w:pPr>
      <w:rPr>
        <w:rFonts w:hint="default"/>
        <w:lang w:val="zh-CN" w:eastAsia="zh-CN" w:bidi="zh-CN"/>
      </w:rPr>
    </w:lvl>
    <w:lvl w:ilvl="7" w:tentative="1">
      <w:start w:val="0"/>
      <w:numFmt w:val="bullet"/>
      <w:lvlText w:val="•"/>
      <w:lvlJc w:val="left"/>
      <w:pPr>
        <w:ind w:left="7534" w:hanging="525"/>
      </w:pPr>
      <w:rPr>
        <w:rFonts w:hint="default"/>
        <w:lang w:val="zh-CN" w:eastAsia="zh-CN" w:bidi="zh-CN"/>
      </w:rPr>
    </w:lvl>
    <w:lvl w:ilvl="8" w:tentative="1">
      <w:start w:val="0"/>
      <w:numFmt w:val="bullet"/>
      <w:lvlText w:val="•"/>
      <w:lvlJc w:val="left"/>
      <w:pPr>
        <w:ind w:left="8504" w:hanging="525"/>
      </w:pPr>
      <w:rPr>
        <w:rFonts w:hint="default"/>
        <w:lang w:val="zh-CN" w:eastAsia="zh-CN" w:bidi="zh-CN"/>
      </w:rPr>
    </w:lvl>
  </w:abstractNum>
  <w:abstractNum w:abstractNumId="815836160">
    <w:nsid w:val="30A0AC00"/>
    <w:multiLevelType w:val="multilevel"/>
    <w:tmpl w:val="30A0AC00"/>
    <w:lvl w:ilvl="0" w:tentative="1">
      <w:start w:val="20"/>
      <w:numFmt w:val="decimal"/>
      <w:lvlText w:val="%1"/>
      <w:lvlJc w:val="left"/>
      <w:pPr>
        <w:ind w:left="1624" w:hanging="473"/>
      </w:pPr>
      <w:rPr>
        <w:rFonts w:hint="default"/>
        <w:lang w:val="zh-CN" w:eastAsia="zh-CN" w:bidi="zh-CN"/>
      </w:rPr>
    </w:lvl>
    <w:lvl w:ilvl="1" w:tentative="1">
      <w:start w:val="3"/>
      <w:numFmt w:val="decimal"/>
      <w:lvlText w:val="%1.%2"/>
      <w:lvlJc w:val="left"/>
      <w:pPr>
        <w:ind w:left="1624" w:hanging="473"/>
      </w:pPr>
      <w:rPr>
        <w:rFonts w:hint="default" w:ascii="Times New Roman" w:hAnsi="Times New Roman" w:eastAsia="Times New Roman" w:cs="Times New Roman"/>
        <w:spacing w:val="0"/>
        <w:w w:val="99"/>
        <w:sz w:val="21"/>
        <w:szCs w:val="21"/>
        <w:lang w:val="zh-CN" w:eastAsia="zh-CN" w:bidi="zh-CN"/>
      </w:rPr>
    </w:lvl>
    <w:lvl w:ilvl="2" w:tentative="1">
      <w:start w:val="1"/>
      <w:numFmt w:val="decimal"/>
      <w:lvlText w:val="%1.%2.%3"/>
      <w:lvlJc w:val="left"/>
      <w:pPr>
        <w:ind w:left="1780" w:hanging="629"/>
      </w:pPr>
      <w:rPr>
        <w:rFonts w:hint="default" w:ascii="Times New Roman" w:hAnsi="Times New Roman" w:eastAsia="Times New Roman" w:cs="Times New Roman"/>
        <w:spacing w:val="-2"/>
        <w:w w:val="99"/>
        <w:sz w:val="21"/>
        <w:szCs w:val="21"/>
        <w:lang w:val="zh-CN" w:eastAsia="zh-CN" w:bidi="zh-CN"/>
      </w:rPr>
    </w:lvl>
    <w:lvl w:ilvl="3" w:tentative="1">
      <w:start w:val="0"/>
      <w:numFmt w:val="bullet"/>
      <w:lvlText w:val="•"/>
      <w:lvlJc w:val="left"/>
      <w:pPr>
        <w:ind w:left="3705" w:hanging="629"/>
      </w:pPr>
      <w:rPr>
        <w:rFonts w:hint="default"/>
        <w:lang w:val="zh-CN" w:eastAsia="zh-CN" w:bidi="zh-CN"/>
      </w:rPr>
    </w:lvl>
    <w:lvl w:ilvl="4" w:tentative="1">
      <w:start w:val="0"/>
      <w:numFmt w:val="bullet"/>
      <w:lvlText w:val="•"/>
      <w:lvlJc w:val="left"/>
      <w:pPr>
        <w:ind w:left="4668" w:hanging="629"/>
      </w:pPr>
      <w:rPr>
        <w:rFonts w:hint="default"/>
        <w:lang w:val="zh-CN" w:eastAsia="zh-CN" w:bidi="zh-CN"/>
      </w:rPr>
    </w:lvl>
    <w:lvl w:ilvl="5" w:tentative="1">
      <w:start w:val="0"/>
      <w:numFmt w:val="bullet"/>
      <w:lvlText w:val="•"/>
      <w:lvlJc w:val="left"/>
      <w:pPr>
        <w:ind w:left="5631" w:hanging="629"/>
      </w:pPr>
      <w:rPr>
        <w:rFonts w:hint="default"/>
        <w:lang w:val="zh-CN" w:eastAsia="zh-CN" w:bidi="zh-CN"/>
      </w:rPr>
    </w:lvl>
    <w:lvl w:ilvl="6" w:tentative="1">
      <w:start w:val="0"/>
      <w:numFmt w:val="bullet"/>
      <w:lvlText w:val="•"/>
      <w:lvlJc w:val="left"/>
      <w:pPr>
        <w:ind w:left="6594" w:hanging="629"/>
      </w:pPr>
      <w:rPr>
        <w:rFonts w:hint="default"/>
        <w:lang w:val="zh-CN" w:eastAsia="zh-CN" w:bidi="zh-CN"/>
      </w:rPr>
    </w:lvl>
    <w:lvl w:ilvl="7" w:tentative="1">
      <w:start w:val="0"/>
      <w:numFmt w:val="bullet"/>
      <w:lvlText w:val="•"/>
      <w:lvlJc w:val="left"/>
      <w:pPr>
        <w:ind w:left="7557" w:hanging="629"/>
      </w:pPr>
      <w:rPr>
        <w:rFonts w:hint="default"/>
        <w:lang w:val="zh-CN" w:eastAsia="zh-CN" w:bidi="zh-CN"/>
      </w:rPr>
    </w:lvl>
    <w:lvl w:ilvl="8" w:tentative="1">
      <w:start w:val="0"/>
      <w:numFmt w:val="bullet"/>
      <w:lvlText w:val="•"/>
      <w:lvlJc w:val="left"/>
      <w:pPr>
        <w:ind w:left="8520" w:hanging="629"/>
      </w:pPr>
      <w:rPr>
        <w:rFonts w:hint="default"/>
        <w:lang w:val="zh-CN" w:eastAsia="zh-CN" w:bidi="zh-CN"/>
      </w:rPr>
    </w:lvl>
  </w:abstractNum>
  <w:abstractNum w:abstractNumId="565424561">
    <w:nsid w:val="21B3B1B1"/>
    <w:multiLevelType w:val="multilevel"/>
    <w:tmpl w:val="21B3B1B1"/>
    <w:lvl w:ilvl="0" w:tentative="1">
      <w:start w:val="1"/>
      <w:numFmt w:val="decimal"/>
      <w:lvlText w:val="（%1）"/>
      <w:lvlJc w:val="left"/>
      <w:pPr>
        <w:ind w:left="1322" w:hanging="525"/>
      </w:pPr>
      <w:rPr>
        <w:rFonts w:hint="default" w:ascii="宋体" w:hAnsi="宋体" w:eastAsia="宋体" w:cs="宋体"/>
        <w:spacing w:val="-1"/>
        <w:w w:val="99"/>
        <w:sz w:val="19"/>
        <w:szCs w:val="19"/>
        <w:lang w:val="zh-CN" w:eastAsia="zh-CN" w:bidi="zh-CN"/>
      </w:rPr>
    </w:lvl>
    <w:lvl w:ilvl="1" w:tentative="1">
      <w:start w:val="0"/>
      <w:numFmt w:val="bullet"/>
      <w:lvlText w:val="•"/>
      <w:lvlJc w:val="left"/>
      <w:pPr>
        <w:ind w:left="2094" w:hanging="525"/>
      </w:pPr>
      <w:rPr>
        <w:rFonts w:hint="default"/>
        <w:lang w:val="zh-CN" w:eastAsia="zh-CN" w:bidi="zh-CN"/>
      </w:rPr>
    </w:lvl>
    <w:lvl w:ilvl="2" w:tentative="1">
      <w:start w:val="0"/>
      <w:numFmt w:val="bullet"/>
      <w:lvlText w:val="•"/>
      <w:lvlJc w:val="left"/>
      <w:pPr>
        <w:ind w:left="2869" w:hanging="525"/>
      </w:pPr>
      <w:rPr>
        <w:rFonts w:hint="default"/>
        <w:lang w:val="zh-CN" w:eastAsia="zh-CN" w:bidi="zh-CN"/>
      </w:rPr>
    </w:lvl>
    <w:lvl w:ilvl="3" w:tentative="1">
      <w:start w:val="0"/>
      <w:numFmt w:val="bullet"/>
      <w:lvlText w:val="•"/>
      <w:lvlJc w:val="left"/>
      <w:pPr>
        <w:ind w:left="3643" w:hanging="525"/>
      </w:pPr>
      <w:rPr>
        <w:rFonts w:hint="default"/>
        <w:lang w:val="zh-CN" w:eastAsia="zh-CN" w:bidi="zh-CN"/>
      </w:rPr>
    </w:lvl>
    <w:lvl w:ilvl="4" w:tentative="1">
      <w:start w:val="0"/>
      <w:numFmt w:val="bullet"/>
      <w:lvlText w:val="•"/>
      <w:lvlJc w:val="left"/>
      <w:pPr>
        <w:ind w:left="4418" w:hanging="525"/>
      </w:pPr>
      <w:rPr>
        <w:rFonts w:hint="default"/>
        <w:lang w:val="zh-CN" w:eastAsia="zh-CN" w:bidi="zh-CN"/>
      </w:rPr>
    </w:lvl>
    <w:lvl w:ilvl="5" w:tentative="1">
      <w:start w:val="0"/>
      <w:numFmt w:val="bullet"/>
      <w:lvlText w:val="•"/>
      <w:lvlJc w:val="left"/>
      <w:pPr>
        <w:ind w:left="5193" w:hanging="525"/>
      </w:pPr>
      <w:rPr>
        <w:rFonts w:hint="default"/>
        <w:lang w:val="zh-CN" w:eastAsia="zh-CN" w:bidi="zh-CN"/>
      </w:rPr>
    </w:lvl>
    <w:lvl w:ilvl="6" w:tentative="1">
      <w:start w:val="0"/>
      <w:numFmt w:val="bullet"/>
      <w:lvlText w:val="•"/>
      <w:lvlJc w:val="left"/>
      <w:pPr>
        <w:ind w:left="5967" w:hanging="525"/>
      </w:pPr>
      <w:rPr>
        <w:rFonts w:hint="default"/>
        <w:lang w:val="zh-CN" w:eastAsia="zh-CN" w:bidi="zh-CN"/>
      </w:rPr>
    </w:lvl>
    <w:lvl w:ilvl="7" w:tentative="1">
      <w:start w:val="0"/>
      <w:numFmt w:val="bullet"/>
      <w:lvlText w:val="•"/>
      <w:lvlJc w:val="left"/>
      <w:pPr>
        <w:ind w:left="6742" w:hanging="525"/>
      </w:pPr>
      <w:rPr>
        <w:rFonts w:hint="default"/>
        <w:lang w:val="zh-CN" w:eastAsia="zh-CN" w:bidi="zh-CN"/>
      </w:rPr>
    </w:lvl>
    <w:lvl w:ilvl="8" w:tentative="1">
      <w:start w:val="0"/>
      <w:numFmt w:val="bullet"/>
      <w:lvlText w:val="•"/>
      <w:lvlJc w:val="left"/>
      <w:pPr>
        <w:ind w:left="7516" w:hanging="525"/>
      </w:pPr>
      <w:rPr>
        <w:rFonts w:hint="default"/>
        <w:lang w:val="zh-CN" w:eastAsia="zh-CN" w:bidi="zh-CN"/>
      </w:rPr>
    </w:lvl>
  </w:abstractNum>
  <w:abstractNum w:abstractNumId="791509454">
    <w:nsid w:val="2F2D79CE"/>
    <w:multiLevelType w:val="multilevel"/>
    <w:tmpl w:val="2F2D79CE"/>
    <w:lvl w:ilvl="0" w:tentative="1">
      <w:start w:val="1"/>
      <w:numFmt w:val="decimal"/>
      <w:lvlText w:val="%1."/>
      <w:lvlJc w:val="left"/>
      <w:pPr>
        <w:ind w:left="731" w:hanging="316"/>
      </w:pPr>
      <w:rPr>
        <w:rFonts w:hint="default" w:ascii="Times New Roman" w:hAnsi="Times New Roman" w:eastAsia="Times New Roman" w:cs="Times New Roman"/>
        <w:spacing w:val="-22"/>
        <w:w w:val="99"/>
        <w:sz w:val="19"/>
        <w:szCs w:val="19"/>
        <w:lang w:val="zh-CN" w:eastAsia="zh-CN" w:bidi="zh-CN"/>
      </w:rPr>
    </w:lvl>
    <w:lvl w:ilvl="1" w:tentative="1">
      <w:start w:val="0"/>
      <w:numFmt w:val="bullet"/>
      <w:lvlText w:val="•"/>
      <w:lvlJc w:val="left"/>
      <w:pPr>
        <w:ind w:left="1710" w:hanging="316"/>
      </w:pPr>
      <w:rPr>
        <w:rFonts w:hint="default"/>
        <w:lang w:val="zh-CN" w:eastAsia="zh-CN" w:bidi="zh-CN"/>
      </w:rPr>
    </w:lvl>
    <w:lvl w:ilvl="2" w:tentative="1">
      <w:start w:val="0"/>
      <w:numFmt w:val="bullet"/>
      <w:lvlText w:val="•"/>
      <w:lvlJc w:val="left"/>
      <w:pPr>
        <w:ind w:left="2681" w:hanging="316"/>
      </w:pPr>
      <w:rPr>
        <w:rFonts w:hint="default"/>
        <w:lang w:val="zh-CN" w:eastAsia="zh-CN" w:bidi="zh-CN"/>
      </w:rPr>
    </w:lvl>
    <w:lvl w:ilvl="3" w:tentative="1">
      <w:start w:val="0"/>
      <w:numFmt w:val="bullet"/>
      <w:lvlText w:val="•"/>
      <w:lvlJc w:val="left"/>
      <w:pPr>
        <w:ind w:left="3651" w:hanging="316"/>
      </w:pPr>
      <w:rPr>
        <w:rFonts w:hint="default"/>
        <w:lang w:val="zh-CN" w:eastAsia="zh-CN" w:bidi="zh-CN"/>
      </w:rPr>
    </w:lvl>
    <w:lvl w:ilvl="4" w:tentative="1">
      <w:start w:val="0"/>
      <w:numFmt w:val="bullet"/>
      <w:lvlText w:val="•"/>
      <w:lvlJc w:val="left"/>
      <w:pPr>
        <w:ind w:left="4622" w:hanging="316"/>
      </w:pPr>
      <w:rPr>
        <w:rFonts w:hint="default"/>
        <w:lang w:val="zh-CN" w:eastAsia="zh-CN" w:bidi="zh-CN"/>
      </w:rPr>
    </w:lvl>
    <w:lvl w:ilvl="5" w:tentative="1">
      <w:start w:val="0"/>
      <w:numFmt w:val="bullet"/>
      <w:lvlText w:val="•"/>
      <w:lvlJc w:val="left"/>
      <w:pPr>
        <w:ind w:left="5593" w:hanging="316"/>
      </w:pPr>
      <w:rPr>
        <w:rFonts w:hint="default"/>
        <w:lang w:val="zh-CN" w:eastAsia="zh-CN" w:bidi="zh-CN"/>
      </w:rPr>
    </w:lvl>
    <w:lvl w:ilvl="6" w:tentative="1">
      <w:start w:val="0"/>
      <w:numFmt w:val="bullet"/>
      <w:lvlText w:val="•"/>
      <w:lvlJc w:val="left"/>
      <w:pPr>
        <w:ind w:left="6563" w:hanging="316"/>
      </w:pPr>
      <w:rPr>
        <w:rFonts w:hint="default"/>
        <w:lang w:val="zh-CN" w:eastAsia="zh-CN" w:bidi="zh-CN"/>
      </w:rPr>
    </w:lvl>
    <w:lvl w:ilvl="7" w:tentative="1">
      <w:start w:val="0"/>
      <w:numFmt w:val="bullet"/>
      <w:lvlText w:val="•"/>
      <w:lvlJc w:val="left"/>
      <w:pPr>
        <w:ind w:left="7534" w:hanging="316"/>
      </w:pPr>
      <w:rPr>
        <w:rFonts w:hint="default"/>
        <w:lang w:val="zh-CN" w:eastAsia="zh-CN" w:bidi="zh-CN"/>
      </w:rPr>
    </w:lvl>
    <w:lvl w:ilvl="8" w:tentative="1">
      <w:start w:val="0"/>
      <w:numFmt w:val="bullet"/>
      <w:lvlText w:val="•"/>
      <w:lvlJc w:val="left"/>
      <w:pPr>
        <w:ind w:left="8504" w:hanging="316"/>
      </w:pPr>
      <w:rPr>
        <w:rFonts w:hint="default"/>
        <w:lang w:val="zh-CN" w:eastAsia="zh-CN" w:bidi="zh-CN"/>
      </w:rPr>
    </w:lvl>
  </w:abstractNum>
  <w:abstractNum w:abstractNumId="849850157">
    <w:nsid w:val="32A7AF2D"/>
    <w:multiLevelType w:val="multilevel"/>
    <w:tmpl w:val="32A7AF2D"/>
    <w:lvl w:ilvl="0" w:tentative="1">
      <w:start w:val="1"/>
      <w:numFmt w:val="decimal"/>
      <w:lvlText w:val="（%1）"/>
      <w:lvlJc w:val="left"/>
      <w:pPr>
        <w:ind w:left="1675" w:hanging="525"/>
      </w:pPr>
      <w:rPr>
        <w:rFonts w:hint="default" w:ascii="仿宋" w:hAnsi="仿宋" w:eastAsia="仿宋" w:cs="仿宋"/>
        <w:spacing w:val="-1"/>
        <w:w w:val="99"/>
        <w:sz w:val="19"/>
        <w:szCs w:val="19"/>
        <w:lang w:val="zh-CN" w:eastAsia="zh-CN" w:bidi="zh-CN"/>
      </w:rPr>
    </w:lvl>
    <w:lvl w:ilvl="1" w:tentative="1">
      <w:start w:val="0"/>
      <w:numFmt w:val="bullet"/>
      <w:lvlText w:val="•"/>
      <w:lvlJc w:val="left"/>
      <w:pPr>
        <w:ind w:left="2556" w:hanging="525"/>
      </w:pPr>
      <w:rPr>
        <w:rFonts w:hint="default"/>
        <w:lang w:val="zh-CN" w:eastAsia="zh-CN" w:bidi="zh-CN"/>
      </w:rPr>
    </w:lvl>
    <w:lvl w:ilvl="2" w:tentative="1">
      <w:start w:val="0"/>
      <w:numFmt w:val="bullet"/>
      <w:lvlText w:val="•"/>
      <w:lvlJc w:val="left"/>
      <w:pPr>
        <w:ind w:left="3433" w:hanging="525"/>
      </w:pPr>
      <w:rPr>
        <w:rFonts w:hint="default"/>
        <w:lang w:val="zh-CN" w:eastAsia="zh-CN" w:bidi="zh-CN"/>
      </w:rPr>
    </w:lvl>
    <w:lvl w:ilvl="3" w:tentative="1">
      <w:start w:val="0"/>
      <w:numFmt w:val="bullet"/>
      <w:lvlText w:val="•"/>
      <w:lvlJc w:val="left"/>
      <w:pPr>
        <w:ind w:left="4309" w:hanging="525"/>
      </w:pPr>
      <w:rPr>
        <w:rFonts w:hint="default"/>
        <w:lang w:val="zh-CN" w:eastAsia="zh-CN" w:bidi="zh-CN"/>
      </w:rPr>
    </w:lvl>
    <w:lvl w:ilvl="4" w:tentative="1">
      <w:start w:val="0"/>
      <w:numFmt w:val="bullet"/>
      <w:lvlText w:val="•"/>
      <w:lvlJc w:val="left"/>
      <w:pPr>
        <w:ind w:left="5186" w:hanging="525"/>
      </w:pPr>
      <w:rPr>
        <w:rFonts w:hint="default"/>
        <w:lang w:val="zh-CN" w:eastAsia="zh-CN" w:bidi="zh-CN"/>
      </w:rPr>
    </w:lvl>
    <w:lvl w:ilvl="5" w:tentative="1">
      <w:start w:val="0"/>
      <w:numFmt w:val="bullet"/>
      <w:lvlText w:val="•"/>
      <w:lvlJc w:val="left"/>
      <w:pPr>
        <w:ind w:left="6063" w:hanging="525"/>
      </w:pPr>
      <w:rPr>
        <w:rFonts w:hint="default"/>
        <w:lang w:val="zh-CN" w:eastAsia="zh-CN" w:bidi="zh-CN"/>
      </w:rPr>
    </w:lvl>
    <w:lvl w:ilvl="6" w:tentative="1">
      <w:start w:val="0"/>
      <w:numFmt w:val="bullet"/>
      <w:lvlText w:val="•"/>
      <w:lvlJc w:val="left"/>
      <w:pPr>
        <w:ind w:left="6939" w:hanging="525"/>
      </w:pPr>
      <w:rPr>
        <w:rFonts w:hint="default"/>
        <w:lang w:val="zh-CN" w:eastAsia="zh-CN" w:bidi="zh-CN"/>
      </w:rPr>
    </w:lvl>
    <w:lvl w:ilvl="7" w:tentative="1">
      <w:start w:val="0"/>
      <w:numFmt w:val="bullet"/>
      <w:lvlText w:val="•"/>
      <w:lvlJc w:val="left"/>
      <w:pPr>
        <w:ind w:left="7816" w:hanging="525"/>
      </w:pPr>
      <w:rPr>
        <w:rFonts w:hint="default"/>
        <w:lang w:val="zh-CN" w:eastAsia="zh-CN" w:bidi="zh-CN"/>
      </w:rPr>
    </w:lvl>
    <w:lvl w:ilvl="8" w:tentative="1">
      <w:start w:val="0"/>
      <w:numFmt w:val="bullet"/>
      <w:lvlText w:val="•"/>
      <w:lvlJc w:val="left"/>
      <w:pPr>
        <w:ind w:left="8692" w:hanging="525"/>
      </w:pPr>
      <w:rPr>
        <w:rFonts w:hint="default"/>
        <w:lang w:val="zh-CN" w:eastAsia="zh-CN" w:bidi="zh-CN"/>
      </w:rPr>
    </w:lvl>
  </w:abstractNum>
  <w:abstractNum w:abstractNumId="632706291">
    <w:nsid w:val="25B654F3"/>
    <w:multiLevelType w:val="multilevel"/>
    <w:tmpl w:val="25B654F3"/>
    <w:lvl w:ilvl="0" w:tentative="1">
      <w:start w:val="1"/>
      <w:numFmt w:val="decimal"/>
      <w:lvlText w:val="（%1）"/>
      <w:lvlJc w:val="left"/>
      <w:pPr>
        <w:ind w:left="828" w:hanging="720"/>
      </w:pPr>
      <w:rPr>
        <w:rFonts w:hint="default" w:ascii="宋体" w:hAnsi="宋体" w:eastAsia="宋体" w:cs="宋体"/>
        <w:spacing w:val="-3"/>
        <w:w w:val="100"/>
        <w:sz w:val="22"/>
        <w:szCs w:val="22"/>
        <w:lang w:val="zh-CN" w:eastAsia="zh-CN" w:bidi="zh-CN"/>
      </w:rPr>
    </w:lvl>
    <w:lvl w:ilvl="1" w:tentative="1">
      <w:start w:val="0"/>
      <w:numFmt w:val="bullet"/>
      <w:lvlText w:val="•"/>
      <w:lvlJc w:val="left"/>
      <w:pPr>
        <w:ind w:left="1424" w:hanging="720"/>
      </w:pPr>
      <w:rPr>
        <w:rFonts w:hint="default"/>
        <w:lang w:val="zh-CN" w:eastAsia="zh-CN" w:bidi="zh-CN"/>
      </w:rPr>
    </w:lvl>
    <w:lvl w:ilvl="2" w:tentative="1">
      <w:start w:val="0"/>
      <w:numFmt w:val="bullet"/>
      <w:lvlText w:val="•"/>
      <w:lvlJc w:val="left"/>
      <w:pPr>
        <w:ind w:left="2028" w:hanging="720"/>
      </w:pPr>
      <w:rPr>
        <w:rFonts w:hint="default"/>
        <w:lang w:val="zh-CN" w:eastAsia="zh-CN" w:bidi="zh-CN"/>
      </w:rPr>
    </w:lvl>
    <w:lvl w:ilvl="3" w:tentative="1">
      <w:start w:val="0"/>
      <w:numFmt w:val="bullet"/>
      <w:lvlText w:val="•"/>
      <w:lvlJc w:val="left"/>
      <w:pPr>
        <w:ind w:left="2632" w:hanging="720"/>
      </w:pPr>
      <w:rPr>
        <w:rFonts w:hint="default"/>
        <w:lang w:val="zh-CN" w:eastAsia="zh-CN" w:bidi="zh-CN"/>
      </w:rPr>
    </w:lvl>
    <w:lvl w:ilvl="4" w:tentative="1">
      <w:start w:val="0"/>
      <w:numFmt w:val="bullet"/>
      <w:lvlText w:val="•"/>
      <w:lvlJc w:val="left"/>
      <w:pPr>
        <w:ind w:left="3237" w:hanging="720"/>
      </w:pPr>
      <w:rPr>
        <w:rFonts w:hint="default"/>
        <w:lang w:val="zh-CN" w:eastAsia="zh-CN" w:bidi="zh-CN"/>
      </w:rPr>
    </w:lvl>
    <w:lvl w:ilvl="5" w:tentative="1">
      <w:start w:val="0"/>
      <w:numFmt w:val="bullet"/>
      <w:lvlText w:val="•"/>
      <w:lvlJc w:val="left"/>
      <w:pPr>
        <w:ind w:left="3841" w:hanging="720"/>
      </w:pPr>
      <w:rPr>
        <w:rFonts w:hint="default"/>
        <w:lang w:val="zh-CN" w:eastAsia="zh-CN" w:bidi="zh-CN"/>
      </w:rPr>
    </w:lvl>
    <w:lvl w:ilvl="6" w:tentative="1">
      <w:start w:val="0"/>
      <w:numFmt w:val="bullet"/>
      <w:lvlText w:val="•"/>
      <w:lvlJc w:val="left"/>
      <w:pPr>
        <w:ind w:left="4445" w:hanging="720"/>
      </w:pPr>
      <w:rPr>
        <w:rFonts w:hint="default"/>
        <w:lang w:val="zh-CN" w:eastAsia="zh-CN" w:bidi="zh-CN"/>
      </w:rPr>
    </w:lvl>
    <w:lvl w:ilvl="7" w:tentative="1">
      <w:start w:val="0"/>
      <w:numFmt w:val="bullet"/>
      <w:lvlText w:val="•"/>
      <w:lvlJc w:val="left"/>
      <w:pPr>
        <w:ind w:left="5050" w:hanging="720"/>
      </w:pPr>
      <w:rPr>
        <w:rFonts w:hint="default"/>
        <w:lang w:val="zh-CN" w:eastAsia="zh-CN" w:bidi="zh-CN"/>
      </w:rPr>
    </w:lvl>
    <w:lvl w:ilvl="8" w:tentative="1">
      <w:start w:val="0"/>
      <w:numFmt w:val="bullet"/>
      <w:lvlText w:val="•"/>
      <w:lvlJc w:val="left"/>
      <w:pPr>
        <w:ind w:left="5654" w:hanging="720"/>
      </w:pPr>
      <w:rPr>
        <w:rFonts w:hint="default"/>
        <w:lang w:val="zh-CN" w:eastAsia="zh-CN" w:bidi="zh-CN"/>
      </w:rPr>
    </w:lvl>
  </w:abstractNum>
  <w:abstractNum w:abstractNumId="472218747">
    <w:nsid w:val="1C257C7B"/>
    <w:multiLevelType w:val="multilevel"/>
    <w:tmpl w:val="1C257C7B"/>
    <w:lvl w:ilvl="0" w:tentative="1">
      <w:start w:val="1"/>
      <w:numFmt w:val="decimal"/>
      <w:lvlText w:val="（%1）"/>
      <w:lvlJc w:val="left"/>
      <w:pPr>
        <w:ind w:left="1675" w:hanging="525"/>
      </w:pPr>
      <w:rPr>
        <w:rFonts w:hint="default" w:ascii="仿宋" w:hAnsi="仿宋" w:eastAsia="仿宋" w:cs="仿宋"/>
        <w:spacing w:val="-1"/>
        <w:w w:val="99"/>
        <w:sz w:val="19"/>
        <w:szCs w:val="19"/>
        <w:lang w:val="zh-CN" w:eastAsia="zh-CN" w:bidi="zh-CN"/>
      </w:rPr>
    </w:lvl>
    <w:lvl w:ilvl="1" w:tentative="1">
      <w:start w:val="0"/>
      <w:numFmt w:val="bullet"/>
      <w:lvlText w:val="•"/>
      <w:lvlJc w:val="left"/>
      <w:pPr>
        <w:ind w:left="2556" w:hanging="525"/>
      </w:pPr>
      <w:rPr>
        <w:rFonts w:hint="default"/>
        <w:lang w:val="zh-CN" w:eastAsia="zh-CN" w:bidi="zh-CN"/>
      </w:rPr>
    </w:lvl>
    <w:lvl w:ilvl="2" w:tentative="1">
      <w:start w:val="0"/>
      <w:numFmt w:val="bullet"/>
      <w:lvlText w:val="•"/>
      <w:lvlJc w:val="left"/>
      <w:pPr>
        <w:ind w:left="3433" w:hanging="525"/>
      </w:pPr>
      <w:rPr>
        <w:rFonts w:hint="default"/>
        <w:lang w:val="zh-CN" w:eastAsia="zh-CN" w:bidi="zh-CN"/>
      </w:rPr>
    </w:lvl>
    <w:lvl w:ilvl="3" w:tentative="1">
      <w:start w:val="0"/>
      <w:numFmt w:val="bullet"/>
      <w:lvlText w:val="•"/>
      <w:lvlJc w:val="left"/>
      <w:pPr>
        <w:ind w:left="4309" w:hanging="525"/>
      </w:pPr>
      <w:rPr>
        <w:rFonts w:hint="default"/>
        <w:lang w:val="zh-CN" w:eastAsia="zh-CN" w:bidi="zh-CN"/>
      </w:rPr>
    </w:lvl>
    <w:lvl w:ilvl="4" w:tentative="1">
      <w:start w:val="0"/>
      <w:numFmt w:val="bullet"/>
      <w:lvlText w:val="•"/>
      <w:lvlJc w:val="left"/>
      <w:pPr>
        <w:ind w:left="5186" w:hanging="525"/>
      </w:pPr>
      <w:rPr>
        <w:rFonts w:hint="default"/>
        <w:lang w:val="zh-CN" w:eastAsia="zh-CN" w:bidi="zh-CN"/>
      </w:rPr>
    </w:lvl>
    <w:lvl w:ilvl="5" w:tentative="1">
      <w:start w:val="0"/>
      <w:numFmt w:val="bullet"/>
      <w:lvlText w:val="•"/>
      <w:lvlJc w:val="left"/>
      <w:pPr>
        <w:ind w:left="6063" w:hanging="525"/>
      </w:pPr>
      <w:rPr>
        <w:rFonts w:hint="default"/>
        <w:lang w:val="zh-CN" w:eastAsia="zh-CN" w:bidi="zh-CN"/>
      </w:rPr>
    </w:lvl>
    <w:lvl w:ilvl="6" w:tentative="1">
      <w:start w:val="0"/>
      <w:numFmt w:val="bullet"/>
      <w:lvlText w:val="•"/>
      <w:lvlJc w:val="left"/>
      <w:pPr>
        <w:ind w:left="6939" w:hanging="525"/>
      </w:pPr>
      <w:rPr>
        <w:rFonts w:hint="default"/>
        <w:lang w:val="zh-CN" w:eastAsia="zh-CN" w:bidi="zh-CN"/>
      </w:rPr>
    </w:lvl>
    <w:lvl w:ilvl="7" w:tentative="1">
      <w:start w:val="0"/>
      <w:numFmt w:val="bullet"/>
      <w:lvlText w:val="•"/>
      <w:lvlJc w:val="left"/>
      <w:pPr>
        <w:ind w:left="7816" w:hanging="525"/>
      </w:pPr>
      <w:rPr>
        <w:rFonts w:hint="default"/>
        <w:lang w:val="zh-CN" w:eastAsia="zh-CN" w:bidi="zh-CN"/>
      </w:rPr>
    </w:lvl>
    <w:lvl w:ilvl="8" w:tentative="1">
      <w:start w:val="0"/>
      <w:numFmt w:val="bullet"/>
      <w:lvlText w:val="•"/>
      <w:lvlJc w:val="left"/>
      <w:pPr>
        <w:ind w:left="8692" w:hanging="525"/>
      </w:pPr>
      <w:rPr>
        <w:rFonts w:hint="default"/>
        <w:lang w:val="zh-CN" w:eastAsia="zh-CN" w:bidi="zh-CN"/>
      </w:rPr>
    </w:lvl>
  </w:abstractNum>
  <w:abstractNum w:abstractNumId="262118602">
    <w:nsid w:val="0F9F9CCA"/>
    <w:multiLevelType w:val="multilevel"/>
    <w:tmpl w:val="0F9F9CCA"/>
    <w:lvl w:ilvl="0" w:tentative="1">
      <w:start w:val="1"/>
      <w:numFmt w:val="decimal"/>
      <w:lvlText w:val="（%1）"/>
      <w:lvlJc w:val="left"/>
      <w:pPr>
        <w:ind w:left="1675" w:hanging="525"/>
      </w:pPr>
      <w:rPr>
        <w:rFonts w:hint="default" w:ascii="仿宋" w:hAnsi="仿宋" w:eastAsia="仿宋" w:cs="仿宋"/>
        <w:spacing w:val="-1"/>
        <w:w w:val="99"/>
        <w:sz w:val="19"/>
        <w:szCs w:val="19"/>
        <w:lang w:val="zh-CN" w:eastAsia="zh-CN" w:bidi="zh-CN"/>
      </w:rPr>
    </w:lvl>
    <w:lvl w:ilvl="1" w:tentative="1">
      <w:start w:val="0"/>
      <w:numFmt w:val="bullet"/>
      <w:lvlText w:val="•"/>
      <w:lvlJc w:val="left"/>
      <w:pPr>
        <w:ind w:left="2556" w:hanging="525"/>
      </w:pPr>
      <w:rPr>
        <w:rFonts w:hint="default"/>
        <w:lang w:val="zh-CN" w:eastAsia="zh-CN" w:bidi="zh-CN"/>
      </w:rPr>
    </w:lvl>
    <w:lvl w:ilvl="2" w:tentative="1">
      <w:start w:val="0"/>
      <w:numFmt w:val="bullet"/>
      <w:lvlText w:val="•"/>
      <w:lvlJc w:val="left"/>
      <w:pPr>
        <w:ind w:left="3433" w:hanging="525"/>
      </w:pPr>
      <w:rPr>
        <w:rFonts w:hint="default"/>
        <w:lang w:val="zh-CN" w:eastAsia="zh-CN" w:bidi="zh-CN"/>
      </w:rPr>
    </w:lvl>
    <w:lvl w:ilvl="3" w:tentative="1">
      <w:start w:val="0"/>
      <w:numFmt w:val="bullet"/>
      <w:lvlText w:val="•"/>
      <w:lvlJc w:val="left"/>
      <w:pPr>
        <w:ind w:left="4309" w:hanging="525"/>
      </w:pPr>
      <w:rPr>
        <w:rFonts w:hint="default"/>
        <w:lang w:val="zh-CN" w:eastAsia="zh-CN" w:bidi="zh-CN"/>
      </w:rPr>
    </w:lvl>
    <w:lvl w:ilvl="4" w:tentative="1">
      <w:start w:val="0"/>
      <w:numFmt w:val="bullet"/>
      <w:lvlText w:val="•"/>
      <w:lvlJc w:val="left"/>
      <w:pPr>
        <w:ind w:left="5186" w:hanging="525"/>
      </w:pPr>
      <w:rPr>
        <w:rFonts w:hint="default"/>
        <w:lang w:val="zh-CN" w:eastAsia="zh-CN" w:bidi="zh-CN"/>
      </w:rPr>
    </w:lvl>
    <w:lvl w:ilvl="5" w:tentative="1">
      <w:start w:val="0"/>
      <w:numFmt w:val="bullet"/>
      <w:lvlText w:val="•"/>
      <w:lvlJc w:val="left"/>
      <w:pPr>
        <w:ind w:left="6063" w:hanging="525"/>
      </w:pPr>
      <w:rPr>
        <w:rFonts w:hint="default"/>
        <w:lang w:val="zh-CN" w:eastAsia="zh-CN" w:bidi="zh-CN"/>
      </w:rPr>
    </w:lvl>
    <w:lvl w:ilvl="6" w:tentative="1">
      <w:start w:val="0"/>
      <w:numFmt w:val="bullet"/>
      <w:lvlText w:val="•"/>
      <w:lvlJc w:val="left"/>
      <w:pPr>
        <w:ind w:left="6939" w:hanging="525"/>
      </w:pPr>
      <w:rPr>
        <w:rFonts w:hint="default"/>
        <w:lang w:val="zh-CN" w:eastAsia="zh-CN" w:bidi="zh-CN"/>
      </w:rPr>
    </w:lvl>
    <w:lvl w:ilvl="7" w:tentative="1">
      <w:start w:val="0"/>
      <w:numFmt w:val="bullet"/>
      <w:lvlText w:val="•"/>
      <w:lvlJc w:val="left"/>
      <w:pPr>
        <w:ind w:left="7816" w:hanging="525"/>
      </w:pPr>
      <w:rPr>
        <w:rFonts w:hint="default"/>
        <w:lang w:val="zh-CN" w:eastAsia="zh-CN" w:bidi="zh-CN"/>
      </w:rPr>
    </w:lvl>
    <w:lvl w:ilvl="8" w:tentative="1">
      <w:start w:val="0"/>
      <w:numFmt w:val="bullet"/>
      <w:lvlText w:val="•"/>
      <w:lvlJc w:val="left"/>
      <w:pPr>
        <w:ind w:left="8692" w:hanging="525"/>
      </w:pPr>
      <w:rPr>
        <w:rFonts w:hint="default"/>
        <w:lang w:val="zh-CN" w:eastAsia="zh-CN" w:bidi="zh-CN"/>
      </w:rPr>
    </w:lvl>
  </w:abstractNum>
  <w:abstractNum w:abstractNumId="449701391">
    <w:nsid w:val="1ACDE60F"/>
    <w:multiLevelType w:val="multilevel"/>
    <w:tmpl w:val="1ACDE60F"/>
    <w:lvl w:ilvl="0" w:tentative="1">
      <w:start w:val="3"/>
      <w:numFmt w:val="decimal"/>
      <w:lvlText w:val="%1"/>
      <w:lvlJc w:val="left"/>
      <w:pPr>
        <w:ind w:left="1518" w:hanging="368"/>
      </w:pPr>
      <w:rPr>
        <w:rFonts w:hint="default"/>
        <w:lang w:val="zh-CN" w:eastAsia="zh-CN" w:bidi="zh-CN"/>
      </w:rPr>
    </w:lvl>
    <w:lvl w:ilvl="1" w:tentative="1">
      <w:start w:val="5"/>
      <w:numFmt w:val="decimal"/>
      <w:lvlText w:val="%1.%2"/>
      <w:lvlJc w:val="left"/>
      <w:pPr>
        <w:ind w:left="1518" w:hanging="368"/>
      </w:pPr>
      <w:rPr>
        <w:rFonts w:hint="default" w:ascii="Times New Roman" w:hAnsi="Times New Roman" w:eastAsia="Times New Roman" w:cs="Times New Roman"/>
        <w:spacing w:val="0"/>
        <w:w w:val="99"/>
        <w:sz w:val="21"/>
        <w:szCs w:val="21"/>
        <w:lang w:val="zh-CN" w:eastAsia="zh-CN" w:bidi="zh-CN"/>
      </w:rPr>
    </w:lvl>
    <w:lvl w:ilvl="2" w:tentative="1">
      <w:start w:val="0"/>
      <w:numFmt w:val="bullet"/>
      <w:lvlText w:val="•"/>
      <w:lvlJc w:val="left"/>
      <w:pPr>
        <w:ind w:left="3305" w:hanging="368"/>
      </w:pPr>
      <w:rPr>
        <w:rFonts w:hint="default"/>
        <w:lang w:val="zh-CN" w:eastAsia="zh-CN" w:bidi="zh-CN"/>
      </w:rPr>
    </w:lvl>
    <w:lvl w:ilvl="3" w:tentative="1">
      <w:start w:val="0"/>
      <w:numFmt w:val="bullet"/>
      <w:lvlText w:val="•"/>
      <w:lvlJc w:val="left"/>
      <w:pPr>
        <w:ind w:left="4197" w:hanging="368"/>
      </w:pPr>
      <w:rPr>
        <w:rFonts w:hint="default"/>
        <w:lang w:val="zh-CN" w:eastAsia="zh-CN" w:bidi="zh-CN"/>
      </w:rPr>
    </w:lvl>
    <w:lvl w:ilvl="4" w:tentative="1">
      <w:start w:val="0"/>
      <w:numFmt w:val="bullet"/>
      <w:lvlText w:val="•"/>
      <w:lvlJc w:val="left"/>
      <w:pPr>
        <w:ind w:left="5090" w:hanging="368"/>
      </w:pPr>
      <w:rPr>
        <w:rFonts w:hint="default"/>
        <w:lang w:val="zh-CN" w:eastAsia="zh-CN" w:bidi="zh-CN"/>
      </w:rPr>
    </w:lvl>
    <w:lvl w:ilvl="5" w:tentative="1">
      <w:start w:val="0"/>
      <w:numFmt w:val="bullet"/>
      <w:lvlText w:val="•"/>
      <w:lvlJc w:val="left"/>
      <w:pPr>
        <w:ind w:left="5983" w:hanging="368"/>
      </w:pPr>
      <w:rPr>
        <w:rFonts w:hint="default"/>
        <w:lang w:val="zh-CN" w:eastAsia="zh-CN" w:bidi="zh-CN"/>
      </w:rPr>
    </w:lvl>
    <w:lvl w:ilvl="6" w:tentative="1">
      <w:start w:val="0"/>
      <w:numFmt w:val="bullet"/>
      <w:lvlText w:val="•"/>
      <w:lvlJc w:val="left"/>
      <w:pPr>
        <w:ind w:left="6875" w:hanging="368"/>
      </w:pPr>
      <w:rPr>
        <w:rFonts w:hint="default"/>
        <w:lang w:val="zh-CN" w:eastAsia="zh-CN" w:bidi="zh-CN"/>
      </w:rPr>
    </w:lvl>
    <w:lvl w:ilvl="7" w:tentative="1">
      <w:start w:val="0"/>
      <w:numFmt w:val="bullet"/>
      <w:lvlText w:val="•"/>
      <w:lvlJc w:val="left"/>
      <w:pPr>
        <w:ind w:left="7768" w:hanging="368"/>
      </w:pPr>
      <w:rPr>
        <w:rFonts w:hint="default"/>
        <w:lang w:val="zh-CN" w:eastAsia="zh-CN" w:bidi="zh-CN"/>
      </w:rPr>
    </w:lvl>
    <w:lvl w:ilvl="8" w:tentative="1">
      <w:start w:val="0"/>
      <w:numFmt w:val="bullet"/>
      <w:lvlText w:val="•"/>
      <w:lvlJc w:val="left"/>
      <w:pPr>
        <w:ind w:left="8660" w:hanging="368"/>
      </w:pPr>
      <w:rPr>
        <w:rFonts w:hint="default"/>
        <w:lang w:val="zh-CN" w:eastAsia="zh-CN" w:bidi="zh-CN"/>
      </w:rPr>
    </w:lvl>
  </w:abstractNum>
  <w:abstractNum w:abstractNumId="118095166">
    <w:nsid w:val="0709FD3E"/>
    <w:multiLevelType w:val="multilevel"/>
    <w:tmpl w:val="0709FD3E"/>
    <w:lvl w:ilvl="0" w:tentative="1">
      <w:start w:val="10"/>
      <w:numFmt w:val="decimal"/>
      <w:lvlText w:val="%1"/>
      <w:lvlJc w:val="left"/>
      <w:pPr>
        <w:ind w:left="1624" w:hanging="473"/>
      </w:pPr>
      <w:rPr>
        <w:rFonts w:hint="default"/>
        <w:lang w:val="zh-CN" w:eastAsia="zh-CN" w:bidi="zh-CN"/>
      </w:rPr>
    </w:lvl>
    <w:lvl w:ilvl="1" w:tentative="1">
      <w:start w:val="4"/>
      <w:numFmt w:val="decimal"/>
      <w:lvlText w:val="%1.%2"/>
      <w:lvlJc w:val="left"/>
      <w:pPr>
        <w:ind w:left="1624" w:hanging="473"/>
      </w:pPr>
      <w:rPr>
        <w:rFonts w:hint="default" w:ascii="Times New Roman" w:hAnsi="Times New Roman" w:eastAsia="Times New Roman" w:cs="Times New Roman"/>
        <w:spacing w:val="0"/>
        <w:w w:val="99"/>
        <w:sz w:val="21"/>
        <w:szCs w:val="21"/>
        <w:lang w:val="zh-CN" w:eastAsia="zh-CN" w:bidi="zh-CN"/>
      </w:rPr>
    </w:lvl>
    <w:lvl w:ilvl="2" w:tentative="1">
      <w:start w:val="1"/>
      <w:numFmt w:val="decimal"/>
      <w:lvlText w:val="%1.%2.%3"/>
      <w:lvlJc w:val="left"/>
      <w:pPr>
        <w:ind w:left="1151" w:hanging="629"/>
      </w:pPr>
      <w:rPr>
        <w:rFonts w:hint="default" w:ascii="Times New Roman" w:hAnsi="Times New Roman" w:eastAsia="Times New Roman" w:cs="Times New Roman"/>
        <w:spacing w:val="-2"/>
        <w:w w:val="99"/>
        <w:sz w:val="21"/>
        <w:szCs w:val="21"/>
        <w:lang w:val="zh-CN" w:eastAsia="zh-CN" w:bidi="zh-CN"/>
      </w:rPr>
    </w:lvl>
    <w:lvl w:ilvl="3" w:tentative="1">
      <w:start w:val="0"/>
      <w:numFmt w:val="bullet"/>
      <w:lvlText w:val="•"/>
      <w:lvlJc w:val="left"/>
      <w:pPr>
        <w:ind w:left="3581" w:hanging="629"/>
      </w:pPr>
      <w:rPr>
        <w:rFonts w:hint="default"/>
        <w:lang w:val="zh-CN" w:eastAsia="zh-CN" w:bidi="zh-CN"/>
      </w:rPr>
    </w:lvl>
    <w:lvl w:ilvl="4" w:tentative="1">
      <w:start w:val="0"/>
      <w:numFmt w:val="bullet"/>
      <w:lvlText w:val="•"/>
      <w:lvlJc w:val="left"/>
      <w:pPr>
        <w:ind w:left="4562" w:hanging="629"/>
      </w:pPr>
      <w:rPr>
        <w:rFonts w:hint="default"/>
        <w:lang w:val="zh-CN" w:eastAsia="zh-CN" w:bidi="zh-CN"/>
      </w:rPr>
    </w:lvl>
    <w:lvl w:ilvl="5" w:tentative="1">
      <w:start w:val="0"/>
      <w:numFmt w:val="bullet"/>
      <w:lvlText w:val="•"/>
      <w:lvlJc w:val="left"/>
      <w:pPr>
        <w:ind w:left="5542" w:hanging="629"/>
      </w:pPr>
      <w:rPr>
        <w:rFonts w:hint="default"/>
        <w:lang w:val="zh-CN" w:eastAsia="zh-CN" w:bidi="zh-CN"/>
      </w:rPr>
    </w:lvl>
    <w:lvl w:ilvl="6" w:tentative="1">
      <w:start w:val="0"/>
      <w:numFmt w:val="bullet"/>
      <w:lvlText w:val="•"/>
      <w:lvlJc w:val="left"/>
      <w:pPr>
        <w:ind w:left="6523" w:hanging="629"/>
      </w:pPr>
      <w:rPr>
        <w:rFonts w:hint="default"/>
        <w:lang w:val="zh-CN" w:eastAsia="zh-CN" w:bidi="zh-CN"/>
      </w:rPr>
    </w:lvl>
    <w:lvl w:ilvl="7" w:tentative="1">
      <w:start w:val="0"/>
      <w:numFmt w:val="bullet"/>
      <w:lvlText w:val="•"/>
      <w:lvlJc w:val="left"/>
      <w:pPr>
        <w:ind w:left="7504" w:hanging="629"/>
      </w:pPr>
      <w:rPr>
        <w:rFonts w:hint="default"/>
        <w:lang w:val="zh-CN" w:eastAsia="zh-CN" w:bidi="zh-CN"/>
      </w:rPr>
    </w:lvl>
    <w:lvl w:ilvl="8" w:tentative="1">
      <w:start w:val="0"/>
      <w:numFmt w:val="bullet"/>
      <w:lvlText w:val="•"/>
      <w:lvlJc w:val="left"/>
      <w:pPr>
        <w:ind w:left="8484" w:hanging="629"/>
      </w:pPr>
      <w:rPr>
        <w:rFonts w:hint="default"/>
        <w:lang w:val="zh-CN" w:eastAsia="zh-CN" w:bidi="zh-CN"/>
      </w:rPr>
    </w:lvl>
  </w:abstractNum>
  <w:abstractNum w:abstractNumId="241435778">
    <w:nsid w:val="0E640482"/>
    <w:multiLevelType w:val="multilevel"/>
    <w:tmpl w:val="0E640482"/>
    <w:lvl w:ilvl="0" w:tentative="1">
      <w:start w:val="1"/>
      <w:numFmt w:val="decimal"/>
      <w:lvlText w:val="（%1）"/>
      <w:lvlJc w:val="left"/>
      <w:pPr>
        <w:ind w:left="332" w:hanging="551"/>
      </w:pPr>
      <w:rPr>
        <w:rFonts w:hint="default" w:ascii="宋体" w:hAnsi="宋体" w:eastAsia="宋体" w:cs="宋体"/>
        <w:spacing w:val="-8"/>
        <w:w w:val="100"/>
        <w:sz w:val="20"/>
        <w:szCs w:val="20"/>
        <w:lang w:val="zh-CN" w:eastAsia="zh-CN" w:bidi="zh-CN"/>
      </w:rPr>
    </w:lvl>
    <w:lvl w:ilvl="1" w:tentative="1">
      <w:start w:val="0"/>
      <w:numFmt w:val="bullet"/>
      <w:lvlText w:val="•"/>
      <w:lvlJc w:val="left"/>
      <w:pPr>
        <w:ind w:left="1350" w:hanging="551"/>
      </w:pPr>
      <w:rPr>
        <w:rFonts w:hint="default"/>
        <w:lang w:val="zh-CN" w:eastAsia="zh-CN" w:bidi="zh-CN"/>
      </w:rPr>
    </w:lvl>
    <w:lvl w:ilvl="2" w:tentative="1">
      <w:start w:val="0"/>
      <w:numFmt w:val="bullet"/>
      <w:lvlText w:val="•"/>
      <w:lvlJc w:val="left"/>
      <w:pPr>
        <w:ind w:left="2361" w:hanging="551"/>
      </w:pPr>
      <w:rPr>
        <w:rFonts w:hint="default"/>
        <w:lang w:val="zh-CN" w:eastAsia="zh-CN" w:bidi="zh-CN"/>
      </w:rPr>
    </w:lvl>
    <w:lvl w:ilvl="3" w:tentative="1">
      <w:start w:val="0"/>
      <w:numFmt w:val="bullet"/>
      <w:lvlText w:val="•"/>
      <w:lvlJc w:val="left"/>
      <w:pPr>
        <w:ind w:left="3371" w:hanging="551"/>
      </w:pPr>
      <w:rPr>
        <w:rFonts w:hint="default"/>
        <w:lang w:val="zh-CN" w:eastAsia="zh-CN" w:bidi="zh-CN"/>
      </w:rPr>
    </w:lvl>
    <w:lvl w:ilvl="4" w:tentative="1">
      <w:start w:val="0"/>
      <w:numFmt w:val="bullet"/>
      <w:lvlText w:val="•"/>
      <w:lvlJc w:val="left"/>
      <w:pPr>
        <w:ind w:left="4382" w:hanging="551"/>
      </w:pPr>
      <w:rPr>
        <w:rFonts w:hint="default"/>
        <w:lang w:val="zh-CN" w:eastAsia="zh-CN" w:bidi="zh-CN"/>
      </w:rPr>
    </w:lvl>
    <w:lvl w:ilvl="5" w:tentative="1">
      <w:start w:val="0"/>
      <w:numFmt w:val="bullet"/>
      <w:lvlText w:val="•"/>
      <w:lvlJc w:val="left"/>
      <w:pPr>
        <w:ind w:left="5393" w:hanging="551"/>
      </w:pPr>
      <w:rPr>
        <w:rFonts w:hint="default"/>
        <w:lang w:val="zh-CN" w:eastAsia="zh-CN" w:bidi="zh-CN"/>
      </w:rPr>
    </w:lvl>
    <w:lvl w:ilvl="6" w:tentative="1">
      <w:start w:val="0"/>
      <w:numFmt w:val="bullet"/>
      <w:lvlText w:val="•"/>
      <w:lvlJc w:val="left"/>
      <w:pPr>
        <w:ind w:left="6403" w:hanging="551"/>
      </w:pPr>
      <w:rPr>
        <w:rFonts w:hint="default"/>
        <w:lang w:val="zh-CN" w:eastAsia="zh-CN" w:bidi="zh-CN"/>
      </w:rPr>
    </w:lvl>
    <w:lvl w:ilvl="7" w:tentative="1">
      <w:start w:val="0"/>
      <w:numFmt w:val="bullet"/>
      <w:lvlText w:val="•"/>
      <w:lvlJc w:val="left"/>
      <w:pPr>
        <w:ind w:left="7414" w:hanging="551"/>
      </w:pPr>
      <w:rPr>
        <w:rFonts w:hint="default"/>
        <w:lang w:val="zh-CN" w:eastAsia="zh-CN" w:bidi="zh-CN"/>
      </w:rPr>
    </w:lvl>
    <w:lvl w:ilvl="8" w:tentative="1">
      <w:start w:val="0"/>
      <w:numFmt w:val="bullet"/>
      <w:lvlText w:val="•"/>
      <w:lvlJc w:val="left"/>
      <w:pPr>
        <w:ind w:left="8424" w:hanging="551"/>
      </w:pPr>
      <w:rPr>
        <w:rFonts w:hint="default"/>
        <w:lang w:val="zh-CN" w:eastAsia="zh-CN" w:bidi="zh-CN"/>
      </w:rPr>
    </w:lvl>
  </w:abstractNum>
  <w:abstractNum w:abstractNumId="340797243">
    <w:nsid w:val="1450273B"/>
    <w:multiLevelType w:val="multilevel"/>
    <w:tmpl w:val="1450273B"/>
    <w:lvl w:ilvl="0" w:tentative="1">
      <w:start w:val="1"/>
      <w:numFmt w:val="decimal"/>
      <w:lvlText w:val="%1."/>
      <w:lvlJc w:val="left"/>
      <w:pPr>
        <w:ind w:left="953" w:hanging="222"/>
      </w:pPr>
      <w:rPr>
        <w:rFonts w:hint="default" w:ascii="宋体" w:hAnsi="宋体" w:eastAsia="宋体" w:cs="宋体"/>
        <w:spacing w:val="-1"/>
        <w:w w:val="100"/>
        <w:sz w:val="20"/>
        <w:szCs w:val="20"/>
        <w:lang w:val="zh-CN" w:eastAsia="zh-CN" w:bidi="zh-CN"/>
      </w:rPr>
    </w:lvl>
    <w:lvl w:ilvl="1" w:tentative="1">
      <w:start w:val="1"/>
      <w:numFmt w:val="decimal"/>
      <w:lvlText w:val="%1.%2"/>
      <w:lvlJc w:val="left"/>
      <w:pPr>
        <w:ind w:left="1170" w:hanging="440"/>
      </w:pPr>
      <w:rPr>
        <w:rFonts w:hint="default" w:ascii="宋体" w:hAnsi="宋体" w:eastAsia="宋体" w:cs="宋体"/>
        <w:spacing w:val="-1"/>
        <w:w w:val="100"/>
        <w:sz w:val="22"/>
        <w:szCs w:val="22"/>
        <w:lang w:val="zh-CN" w:eastAsia="zh-CN" w:bidi="zh-CN"/>
      </w:rPr>
    </w:lvl>
    <w:lvl w:ilvl="2" w:tentative="1">
      <w:start w:val="1"/>
      <w:numFmt w:val="decimal"/>
      <w:lvlText w:val="%1.%2.%3"/>
      <w:lvlJc w:val="left"/>
      <w:pPr>
        <w:ind w:left="1194" w:hanging="660"/>
      </w:pPr>
      <w:rPr>
        <w:rFonts w:hint="default" w:ascii="宋体" w:hAnsi="宋体" w:eastAsia="宋体" w:cs="宋体"/>
        <w:spacing w:val="-3"/>
        <w:w w:val="100"/>
        <w:sz w:val="22"/>
        <w:szCs w:val="22"/>
        <w:lang w:val="zh-CN" w:eastAsia="zh-CN" w:bidi="zh-CN"/>
      </w:rPr>
    </w:lvl>
    <w:lvl w:ilvl="3" w:tentative="1">
      <w:start w:val="0"/>
      <w:numFmt w:val="bullet"/>
      <w:lvlText w:val="•"/>
      <w:lvlJc w:val="left"/>
      <w:pPr>
        <w:ind w:left="1120" w:hanging="660"/>
      </w:pPr>
      <w:rPr>
        <w:rFonts w:hint="default"/>
        <w:lang w:val="zh-CN" w:eastAsia="zh-CN" w:bidi="zh-CN"/>
      </w:rPr>
    </w:lvl>
    <w:lvl w:ilvl="4" w:tentative="1">
      <w:start w:val="0"/>
      <w:numFmt w:val="bullet"/>
      <w:lvlText w:val="•"/>
      <w:lvlJc w:val="left"/>
      <w:pPr>
        <w:ind w:left="1180" w:hanging="660"/>
      </w:pPr>
      <w:rPr>
        <w:rFonts w:hint="default"/>
        <w:lang w:val="zh-CN" w:eastAsia="zh-CN" w:bidi="zh-CN"/>
      </w:rPr>
    </w:lvl>
    <w:lvl w:ilvl="5" w:tentative="1">
      <w:start w:val="0"/>
      <w:numFmt w:val="bullet"/>
      <w:lvlText w:val="•"/>
      <w:lvlJc w:val="left"/>
      <w:pPr>
        <w:ind w:left="1200" w:hanging="660"/>
      </w:pPr>
      <w:rPr>
        <w:rFonts w:hint="default"/>
        <w:lang w:val="zh-CN" w:eastAsia="zh-CN" w:bidi="zh-CN"/>
      </w:rPr>
    </w:lvl>
    <w:lvl w:ilvl="6" w:tentative="1">
      <w:start w:val="0"/>
      <w:numFmt w:val="bullet"/>
      <w:lvlText w:val="•"/>
      <w:lvlJc w:val="left"/>
      <w:pPr>
        <w:ind w:left="1820" w:hanging="660"/>
      </w:pPr>
      <w:rPr>
        <w:rFonts w:hint="default"/>
        <w:lang w:val="zh-CN" w:eastAsia="zh-CN" w:bidi="zh-CN"/>
      </w:rPr>
    </w:lvl>
    <w:lvl w:ilvl="7" w:tentative="1">
      <w:start w:val="0"/>
      <w:numFmt w:val="bullet"/>
      <w:lvlText w:val="•"/>
      <w:lvlJc w:val="left"/>
      <w:pPr>
        <w:ind w:left="1860" w:hanging="660"/>
      </w:pPr>
      <w:rPr>
        <w:rFonts w:hint="default"/>
        <w:lang w:val="zh-CN" w:eastAsia="zh-CN" w:bidi="zh-CN"/>
      </w:rPr>
    </w:lvl>
    <w:lvl w:ilvl="8" w:tentative="1">
      <w:start w:val="0"/>
      <w:numFmt w:val="bullet"/>
      <w:lvlText w:val="•"/>
      <w:lvlJc w:val="left"/>
      <w:pPr>
        <w:ind w:left="1880" w:hanging="660"/>
      </w:pPr>
      <w:rPr>
        <w:rFonts w:hint="default"/>
        <w:lang w:val="zh-CN" w:eastAsia="zh-CN" w:bidi="zh-CN"/>
      </w:rPr>
    </w:lvl>
  </w:abstractNum>
  <w:abstractNum w:abstractNumId="450167445">
    <w:nsid w:val="1AD50295"/>
    <w:multiLevelType w:val="multilevel"/>
    <w:tmpl w:val="1AD50295"/>
    <w:lvl w:ilvl="0" w:tentative="1">
      <w:start w:val="12"/>
      <w:numFmt w:val="decimal"/>
      <w:lvlText w:val="%1"/>
      <w:lvlJc w:val="left"/>
      <w:pPr>
        <w:ind w:left="731" w:hanging="550"/>
      </w:pPr>
      <w:rPr>
        <w:rFonts w:hint="default"/>
        <w:lang w:val="zh-CN" w:eastAsia="zh-CN" w:bidi="zh-CN"/>
      </w:rPr>
    </w:lvl>
    <w:lvl w:ilvl="1" w:tentative="1">
      <w:start w:val="1"/>
      <w:numFmt w:val="decimal"/>
      <w:lvlText w:val="%1.%2"/>
      <w:lvlJc w:val="left"/>
      <w:pPr>
        <w:ind w:left="731" w:hanging="550"/>
      </w:pPr>
      <w:rPr>
        <w:rFonts w:hint="default" w:ascii="宋体" w:hAnsi="宋体" w:eastAsia="宋体" w:cs="宋体"/>
        <w:spacing w:val="-1"/>
        <w:w w:val="100"/>
        <w:sz w:val="22"/>
        <w:szCs w:val="22"/>
        <w:lang w:val="zh-CN" w:eastAsia="zh-CN" w:bidi="zh-CN"/>
      </w:rPr>
    </w:lvl>
    <w:lvl w:ilvl="2" w:tentative="1">
      <w:start w:val="0"/>
      <w:numFmt w:val="bullet"/>
      <w:lvlText w:val="•"/>
      <w:lvlJc w:val="left"/>
      <w:pPr>
        <w:ind w:left="2681" w:hanging="550"/>
      </w:pPr>
      <w:rPr>
        <w:rFonts w:hint="default"/>
        <w:lang w:val="zh-CN" w:eastAsia="zh-CN" w:bidi="zh-CN"/>
      </w:rPr>
    </w:lvl>
    <w:lvl w:ilvl="3" w:tentative="1">
      <w:start w:val="0"/>
      <w:numFmt w:val="bullet"/>
      <w:lvlText w:val="•"/>
      <w:lvlJc w:val="left"/>
      <w:pPr>
        <w:ind w:left="3651" w:hanging="550"/>
      </w:pPr>
      <w:rPr>
        <w:rFonts w:hint="default"/>
        <w:lang w:val="zh-CN" w:eastAsia="zh-CN" w:bidi="zh-CN"/>
      </w:rPr>
    </w:lvl>
    <w:lvl w:ilvl="4" w:tentative="1">
      <w:start w:val="0"/>
      <w:numFmt w:val="bullet"/>
      <w:lvlText w:val="•"/>
      <w:lvlJc w:val="left"/>
      <w:pPr>
        <w:ind w:left="4622" w:hanging="550"/>
      </w:pPr>
      <w:rPr>
        <w:rFonts w:hint="default"/>
        <w:lang w:val="zh-CN" w:eastAsia="zh-CN" w:bidi="zh-CN"/>
      </w:rPr>
    </w:lvl>
    <w:lvl w:ilvl="5" w:tentative="1">
      <w:start w:val="0"/>
      <w:numFmt w:val="bullet"/>
      <w:lvlText w:val="•"/>
      <w:lvlJc w:val="left"/>
      <w:pPr>
        <w:ind w:left="5593" w:hanging="550"/>
      </w:pPr>
      <w:rPr>
        <w:rFonts w:hint="default"/>
        <w:lang w:val="zh-CN" w:eastAsia="zh-CN" w:bidi="zh-CN"/>
      </w:rPr>
    </w:lvl>
    <w:lvl w:ilvl="6" w:tentative="1">
      <w:start w:val="0"/>
      <w:numFmt w:val="bullet"/>
      <w:lvlText w:val="•"/>
      <w:lvlJc w:val="left"/>
      <w:pPr>
        <w:ind w:left="6563" w:hanging="550"/>
      </w:pPr>
      <w:rPr>
        <w:rFonts w:hint="default"/>
        <w:lang w:val="zh-CN" w:eastAsia="zh-CN" w:bidi="zh-CN"/>
      </w:rPr>
    </w:lvl>
    <w:lvl w:ilvl="7" w:tentative="1">
      <w:start w:val="0"/>
      <w:numFmt w:val="bullet"/>
      <w:lvlText w:val="•"/>
      <w:lvlJc w:val="left"/>
      <w:pPr>
        <w:ind w:left="7534" w:hanging="550"/>
      </w:pPr>
      <w:rPr>
        <w:rFonts w:hint="default"/>
        <w:lang w:val="zh-CN" w:eastAsia="zh-CN" w:bidi="zh-CN"/>
      </w:rPr>
    </w:lvl>
    <w:lvl w:ilvl="8" w:tentative="1">
      <w:start w:val="0"/>
      <w:numFmt w:val="bullet"/>
      <w:lvlText w:val="•"/>
      <w:lvlJc w:val="left"/>
      <w:pPr>
        <w:ind w:left="8504" w:hanging="550"/>
      </w:pPr>
      <w:rPr>
        <w:rFonts w:hint="default"/>
        <w:lang w:val="zh-CN" w:eastAsia="zh-CN" w:bidi="zh-CN"/>
      </w:rPr>
    </w:lvl>
  </w:abstractNum>
  <w:abstractNum w:abstractNumId="5447822">
    <w:nsid w:val="0053208E"/>
    <w:multiLevelType w:val="multilevel"/>
    <w:tmpl w:val="0053208E"/>
    <w:lvl w:ilvl="0" w:tentative="1">
      <w:start w:val="2"/>
      <w:numFmt w:val="decimal"/>
      <w:lvlText w:val="%1."/>
      <w:lvlJc w:val="left"/>
      <w:pPr>
        <w:ind w:left="1800" w:hanging="361"/>
      </w:pPr>
      <w:rPr>
        <w:rFonts w:hint="default" w:ascii="宋体" w:hAnsi="宋体" w:eastAsia="宋体" w:cs="宋体"/>
        <w:w w:val="100"/>
        <w:sz w:val="22"/>
        <w:szCs w:val="22"/>
        <w:lang w:val="zh-CN" w:eastAsia="zh-CN" w:bidi="zh-CN"/>
      </w:rPr>
    </w:lvl>
    <w:lvl w:ilvl="1" w:tentative="1">
      <w:start w:val="0"/>
      <w:numFmt w:val="bullet"/>
      <w:lvlText w:val="•"/>
      <w:lvlJc w:val="left"/>
      <w:pPr>
        <w:ind w:left="2664" w:hanging="361"/>
      </w:pPr>
      <w:rPr>
        <w:rFonts w:hint="default"/>
        <w:lang w:val="zh-CN" w:eastAsia="zh-CN" w:bidi="zh-CN"/>
      </w:rPr>
    </w:lvl>
    <w:lvl w:ilvl="2" w:tentative="1">
      <w:start w:val="0"/>
      <w:numFmt w:val="bullet"/>
      <w:lvlText w:val="•"/>
      <w:lvlJc w:val="left"/>
      <w:pPr>
        <w:ind w:left="3529" w:hanging="361"/>
      </w:pPr>
      <w:rPr>
        <w:rFonts w:hint="default"/>
        <w:lang w:val="zh-CN" w:eastAsia="zh-CN" w:bidi="zh-CN"/>
      </w:rPr>
    </w:lvl>
    <w:lvl w:ilvl="3" w:tentative="1">
      <w:start w:val="0"/>
      <w:numFmt w:val="bullet"/>
      <w:lvlText w:val="•"/>
      <w:lvlJc w:val="left"/>
      <w:pPr>
        <w:ind w:left="4393" w:hanging="361"/>
      </w:pPr>
      <w:rPr>
        <w:rFonts w:hint="default"/>
        <w:lang w:val="zh-CN" w:eastAsia="zh-CN" w:bidi="zh-CN"/>
      </w:rPr>
    </w:lvl>
    <w:lvl w:ilvl="4" w:tentative="1">
      <w:start w:val="0"/>
      <w:numFmt w:val="bullet"/>
      <w:lvlText w:val="•"/>
      <w:lvlJc w:val="left"/>
      <w:pPr>
        <w:ind w:left="5258" w:hanging="361"/>
      </w:pPr>
      <w:rPr>
        <w:rFonts w:hint="default"/>
        <w:lang w:val="zh-CN" w:eastAsia="zh-CN" w:bidi="zh-CN"/>
      </w:rPr>
    </w:lvl>
    <w:lvl w:ilvl="5" w:tentative="1">
      <w:start w:val="0"/>
      <w:numFmt w:val="bullet"/>
      <w:lvlText w:val="•"/>
      <w:lvlJc w:val="left"/>
      <w:pPr>
        <w:ind w:left="6123" w:hanging="361"/>
      </w:pPr>
      <w:rPr>
        <w:rFonts w:hint="default"/>
        <w:lang w:val="zh-CN" w:eastAsia="zh-CN" w:bidi="zh-CN"/>
      </w:rPr>
    </w:lvl>
    <w:lvl w:ilvl="6" w:tentative="1">
      <w:start w:val="0"/>
      <w:numFmt w:val="bullet"/>
      <w:lvlText w:val="•"/>
      <w:lvlJc w:val="left"/>
      <w:pPr>
        <w:ind w:left="6987" w:hanging="361"/>
      </w:pPr>
      <w:rPr>
        <w:rFonts w:hint="default"/>
        <w:lang w:val="zh-CN" w:eastAsia="zh-CN" w:bidi="zh-CN"/>
      </w:rPr>
    </w:lvl>
    <w:lvl w:ilvl="7" w:tentative="1">
      <w:start w:val="0"/>
      <w:numFmt w:val="bullet"/>
      <w:lvlText w:val="•"/>
      <w:lvlJc w:val="left"/>
      <w:pPr>
        <w:ind w:left="7852" w:hanging="361"/>
      </w:pPr>
      <w:rPr>
        <w:rFonts w:hint="default"/>
        <w:lang w:val="zh-CN" w:eastAsia="zh-CN" w:bidi="zh-CN"/>
      </w:rPr>
    </w:lvl>
    <w:lvl w:ilvl="8" w:tentative="1">
      <w:start w:val="0"/>
      <w:numFmt w:val="bullet"/>
      <w:lvlText w:val="•"/>
      <w:lvlJc w:val="left"/>
      <w:pPr>
        <w:ind w:left="8716" w:hanging="361"/>
      </w:pPr>
      <w:rPr>
        <w:rFonts w:hint="default"/>
        <w:lang w:val="zh-CN" w:eastAsia="zh-CN" w:bidi="zh-CN"/>
      </w:rPr>
    </w:lvl>
  </w:abstractNum>
  <w:abstractNum w:abstractNumId="3887234139">
    <w:nsid w:val="E7B27C5B"/>
    <w:multiLevelType w:val="multilevel"/>
    <w:tmpl w:val="E7B27C5B"/>
    <w:lvl w:ilvl="0" w:tentative="1">
      <w:start w:val="1"/>
      <w:numFmt w:val="decimal"/>
      <w:lvlText w:val="%1."/>
      <w:lvlJc w:val="left"/>
      <w:pPr>
        <w:ind w:left="731" w:hanging="316"/>
      </w:pPr>
      <w:rPr>
        <w:rFonts w:hint="default" w:ascii="Times New Roman" w:hAnsi="Times New Roman" w:eastAsia="Times New Roman" w:cs="Times New Roman"/>
        <w:spacing w:val="-34"/>
        <w:w w:val="99"/>
        <w:sz w:val="19"/>
        <w:szCs w:val="19"/>
        <w:lang w:val="zh-CN" w:eastAsia="zh-CN" w:bidi="zh-CN"/>
      </w:rPr>
    </w:lvl>
    <w:lvl w:ilvl="1" w:tentative="1">
      <w:start w:val="0"/>
      <w:numFmt w:val="bullet"/>
      <w:lvlText w:val="•"/>
      <w:lvlJc w:val="left"/>
      <w:pPr>
        <w:ind w:left="1710" w:hanging="316"/>
      </w:pPr>
      <w:rPr>
        <w:rFonts w:hint="default"/>
        <w:lang w:val="zh-CN" w:eastAsia="zh-CN" w:bidi="zh-CN"/>
      </w:rPr>
    </w:lvl>
    <w:lvl w:ilvl="2" w:tentative="1">
      <w:start w:val="0"/>
      <w:numFmt w:val="bullet"/>
      <w:lvlText w:val="•"/>
      <w:lvlJc w:val="left"/>
      <w:pPr>
        <w:ind w:left="2681" w:hanging="316"/>
      </w:pPr>
      <w:rPr>
        <w:rFonts w:hint="default"/>
        <w:lang w:val="zh-CN" w:eastAsia="zh-CN" w:bidi="zh-CN"/>
      </w:rPr>
    </w:lvl>
    <w:lvl w:ilvl="3" w:tentative="1">
      <w:start w:val="0"/>
      <w:numFmt w:val="bullet"/>
      <w:lvlText w:val="•"/>
      <w:lvlJc w:val="left"/>
      <w:pPr>
        <w:ind w:left="3651" w:hanging="316"/>
      </w:pPr>
      <w:rPr>
        <w:rFonts w:hint="default"/>
        <w:lang w:val="zh-CN" w:eastAsia="zh-CN" w:bidi="zh-CN"/>
      </w:rPr>
    </w:lvl>
    <w:lvl w:ilvl="4" w:tentative="1">
      <w:start w:val="0"/>
      <w:numFmt w:val="bullet"/>
      <w:lvlText w:val="•"/>
      <w:lvlJc w:val="left"/>
      <w:pPr>
        <w:ind w:left="4622" w:hanging="316"/>
      </w:pPr>
      <w:rPr>
        <w:rFonts w:hint="default"/>
        <w:lang w:val="zh-CN" w:eastAsia="zh-CN" w:bidi="zh-CN"/>
      </w:rPr>
    </w:lvl>
    <w:lvl w:ilvl="5" w:tentative="1">
      <w:start w:val="0"/>
      <w:numFmt w:val="bullet"/>
      <w:lvlText w:val="•"/>
      <w:lvlJc w:val="left"/>
      <w:pPr>
        <w:ind w:left="5593" w:hanging="316"/>
      </w:pPr>
      <w:rPr>
        <w:rFonts w:hint="default"/>
        <w:lang w:val="zh-CN" w:eastAsia="zh-CN" w:bidi="zh-CN"/>
      </w:rPr>
    </w:lvl>
    <w:lvl w:ilvl="6" w:tentative="1">
      <w:start w:val="0"/>
      <w:numFmt w:val="bullet"/>
      <w:lvlText w:val="•"/>
      <w:lvlJc w:val="left"/>
      <w:pPr>
        <w:ind w:left="6563" w:hanging="316"/>
      </w:pPr>
      <w:rPr>
        <w:rFonts w:hint="default"/>
        <w:lang w:val="zh-CN" w:eastAsia="zh-CN" w:bidi="zh-CN"/>
      </w:rPr>
    </w:lvl>
    <w:lvl w:ilvl="7" w:tentative="1">
      <w:start w:val="0"/>
      <w:numFmt w:val="bullet"/>
      <w:lvlText w:val="•"/>
      <w:lvlJc w:val="left"/>
      <w:pPr>
        <w:ind w:left="7534" w:hanging="316"/>
      </w:pPr>
      <w:rPr>
        <w:rFonts w:hint="default"/>
        <w:lang w:val="zh-CN" w:eastAsia="zh-CN" w:bidi="zh-CN"/>
      </w:rPr>
    </w:lvl>
    <w:lvl w:ilvl="8" w:tentative="1">
      <w:start w:val="0"/>
      <w:numFmt w:val="bullet"/>
      <w:lvlText w:val="•"/>
      <w:lvlJc w:val="left"/>
      <w:pPr>
        <w:ind w:left="8504" w:hanging="316"/>
      </w:pPr>
      <w:rPr>
        <w:rFonts w:hint="default"/>
        <w:lang w:val="zh-CN" w:eastAsia="zh-CN" w:bidi="zh-CN"/>
      </w:rPr>
    </w:lvl>
  </w:abstractNum>
  <w:abstractNum w:abstractNumId="4119183141">
    <w:nsid w:val="F585BF25"/>
    <w:multiLevelType w:val="multilevel"/>
    <w:tmpl w:val="F585BF25"/>
    <w:lvl w:ilvl="0" w:tentative="1">
      <w:start w:val="7"/>
      <w:numFmt w:val="decimal"/>
      <w:lvlText w:val="%1."/>
      <w:lvlJc w:val="left"/>
      <w:pPr>
        <w:ind w:left="953" w:hanging="222"/>
      </w:pPr>
      <w:rPr>
        <w:rFonts w:hint="default" w:ascii="宋体" w:hAnsi="宋体" w:eastAsia="宋体" w:cs="宋体"/>
        <w:spacing w:val="-1"/>
        <w:w w:val="100"/>
        <w:sz w:val="20"/>
        <w:szCs w:val="20"/>
        <w:lang w:val="zh-CN" w:eastAsia="zh-CN" w:bidi="zh-CN"/>
      </w:rPr>
    </w:lvl>
    <w:lvl w:ilvl="1" w:tentative="1">
      <w:start w:val="1"/>
      <w:numFmt w:val="decimal"/>
      <w:lvlText w:val="%1.%2"/>
      <w:lvlJc w:val="left"/>
      <w:pPr>
        <w:ind w:left="731" w:hanging="387"/>
      </w:pPr>
      <w:rPr>
        <w:rFonts w:hint="default" w:ascii="宋体" w:hAnsi="宋体" w:eastAsia="宋体" w:cs="宋体"/>
        <w:spacing w:val="-1"/>
        <w:w w:val="100"/>
        <w:sz w:val="22"/>
        <w:szCs w:val="22"/>
        <w:lang w:val="zh-CN" w:eastAsia="zh-CN" w:bidi="zh-CN"/>
      </w:rPr>
    </w:lvl>
    <w:lvl w:ilvl="2" w:tentative="1">
      <w:start w:val="0"/>
      <w:numFmt w:val="bullet"/>
      <w:lvlText w:val="•"/>
      <w:lvlJc w:val="left"/>
      <w:pPr>
        <w:ind w:left="2014" w:hanging="387"/>
      </w:pPr>
      <w:rPr>
        <w:rFonts w:hint="default"/>
        <w:lang w:val="zh-CN" w:eastAsia="zh-CN" w:bidi="zh-CN"/>
      </w:rPr>
    </w:lvl>
    <w:lvl w:ilvl="3" w:tentative="1">
      <w:start w:val="0"/>
      <w:numFmt w:val="bullet"/>
      <w:lvlText w:val="•"/>
      <w:lvlJc w:val="left"/>
      <w:pPr>
        <w:ind w:left="3068" w:hanging="387"/>
      </w:pPr>
      <w:rPr>
        <w:rFonts w:hint="default"/>
        <w:lang w:val="zh-CN" w:eastAsia="zh-CN" w:bidi="zh-CN"/>
      </w:rPr>
    </w:lvl>
    <w:lvl w:ilvl="4" w:tentative="1">
      <w:start w:val="0"/>
      <w:numFmt w:val="bullet"/>
      <w:lvlText w:val="•"/>
      <w:lvlJc w:val="left"/>
      <w:pPr>
        <w:ind w:left="4122" w:hanging="387"/>
      </w:pPr>
      <w:rPr>
        <w:rFonts w:hint="default"/>
        <w:lang w:val="zh-CN" w:eastAsia="zh-CN" w:bidi="zh-CN"/>
      </w:rPr>
    </w:lvl>
    <w:lvl w:ilvl="5" w:tentative="1">
      <w:start w:val="0"/>
      <w:numFmt w:val="bullet"/>
      <w:lvlText w:val="•"/>
      <w:lvlJc w:val="left"/>
      <w:pPr>
        <w:ind w:left="5176" w:hanging="387"/>
      </w:pPr>
      <w:rPr>
        <w:rFonts w:hint="default"/>
        <w:lang w:val="zh-CN" w:eastAsia="zh-CN" w:bidi="zh-CN"/>
      </w:rPr>
    </w:lvl>
    <w:lvl w:ilvl="6" w:tentative="1">
      <w:start w:val="0"/>
      <w:numFmt w:val="bullet"/>
      <w:lvlText w:val="•"/>
      <w:lvlJc w:val="left"/>
      <w:pPr>
        <w:ind w:left="6230" w:hanging="387"/>
      </w:pPr>
      <w:rPr>
        <w:rFonts w:hint="default"/>
        <w:lang w:val="zh-CN" w:eastAsia="zh-CN" w:bidi="zh-CN"/>
      </w:rPr>
    </w:lvl>
    <w:lvl w:ilvl="7" w:tentative="1">
      <w:start w:val="0"/>
      <w:numFmt w:val="bullet"/>
      <w:lvlText w:val="•"/>
      <w:lvlJc w:val="left"/>
      <w:pPr>
        <w:ind w:left="7284" w:hanging="387"/>
      </w:pPr>
      <w:rPr>
        <w:rFonts w:hint="default"/>
        <w:lang w:val="zh-CN" w:eastAsia="zh-CN" w:bidi="zh-CN"/>
      </w:rPr>
    </w:lvl>
    <w:lvl w:ilvl="8" w:tentative="1">
      <w:start w:val="0"/>
      <w:numFmt w:val="bullet"/>
      <w:lvlText w:val="•"/>
      <w:lvlJc w:val="left"/>
      <w:pPr>
        <w:ind w:left="8338" w:hanging="387"/>
      </w:pPr>
      <w:rPr>
        <w:rFonts w:hint="default"/>
        <w:lang w:val="zh-CN" w:eastAsia="zh-CN" w:bidi="zh-CN"/>
      </w:rPr>
    </w:lvl>
  </w:abstractNum>
  <w:abstractNum w:abstractNumId="4274186806">
    <w:nsid w:val="FEC2EA36"/>
    <w:multiLevelType w:val="multilevel"/>
    <w:tmpl w:val="FEC2EA36"/>
    <w:lvl w:ilvl="0" w:tentative="1">
      <w:start w:val="1"/>
      <w:numFmt w:val="decimal"/>
      <w:lvlText w:val="（%1）"/>
      <w:lvlJc w:val="left"/>
      <w:pPr>
        <w:ind w:left="1675" w:hanging="525"/>
      </w:pPr>
      <w:rPr>
        <w:rFonts w:hint="default" w:ascii="仿宋" w:hAnsi="仿宋" w:eastAsia="仿宋" w:cs="仿宋"/>
        <w:spacing w:val="-1"/>
        <w:w w:val="99"/>
        <w:sz w:val="19"/>
        <w:szCs w:val="19"/>
        <w:lang w:val="zh-CN" w:eastAsia="zh-CN" w:bidi="zh-CN"/>
      </w:rPr>
    </w:lvl>
    <w:lvl w:ilvl="1" w:tentative="1">
      <w:start w:val="0"/>
      <w:numFmt w:val="bullet"/>
      <w:lvlText w:val="•"/>
      <w:lvlJc w:val="left"/>
      <w:pPr>
        <w:ind w:left="2556" w:hanging="525"/>
      </w:pPr>
      <w:rPr>
        <w:rFonts w:hint="default"/>
        <w:lang w:val="zh-CN" w:eastAsia="zh-CN" w:bidi="zh-CN"/>
      </w:rPr>
    </w:lvl>
    <w:lvl w:ilvl="2" w:tentative="1">
      <w:start w:val="0"/>
      <w:numFmt w:val="bullet"/>
      <w:lvlText w:val="•"/>
      <w:lvlJc w:val="left"/>
      <w:pPr>
        <w:ind w:left="3433" w:hanging="525"/>
      </w:pPr>
      <w:rPr>
        <w:rFonts w:hint="default"/>
        <w:lang w:val="zh-CN" w:eastAsia="zh-CN" w:bidi="zh-CN"/>
      </w:rPr>
    </w:lvl>
    <w:lvl w:ilvl="3" w:tentative="1">
      <w:start w:val="0"/>
      <w:numFmt w:val="bullet"/>
      <w:lvlText w:val="•"/>
      <w:lvlJc w:val="left"/>
      <w:pPr>
        <w:ind w:left="4309" w:hanging="525"/>
      </w:pPr>
      <w:rPr>
        <w:rFonts w:hint="default"/>
        <w:lang w:val="zh-CN" w:eastAsia="zh-CN" w:bidi="zh-CN"/>
      </w:rPr>
    </w:lvl>
    <w:lvl w:ilvl="4" w:tentative="1">
      <w:start w:val="0"/>
      <w:numFmt w:val="bullet"/>
      <w:lvlText w:val="•"/>
      <w:lvlJc w:val="left"/>
      <w:pPr>
        <w:ind w:left="5186" w:hanging="525"/>
      </w:pPr>
      <w:rPr>
        <w:rFonts w:hint="default"/>
        <w:lang w:val="zh-CN" w:eastAsia="zh-CN" w:bidi="zh-CN"/>
      </w:rPr>
    </w:lvl>
    <w:lvl w:ilvl="5" w:tentative="1">
      <w:start w:val="0"/>
      <w:numFmt w:val="bullet"/>
      <w:lvlText w:val="•"/>
      <w:lvlJc w:val="left"/>
      <w:pPr>
        <w:ind w:left="6063" w:hanging="525"/>
      </w:pPr>
      <w:rPr>
        <w:rFonts w:hint="default"/>
        <w:lang w:val="zh-CN" w:eastAsia="zh-CN" w:bidi="zh-CN"/>
      </w:rPr>
    </w:lvl>
    <w:lvl w:ilvl="6" w:tentative="1">
      <w:start w:val="0"/>
      <w:numFmt w:val="bullet"/>
      <w:lvlText w:val="•"/>
      <w:lvlJc w:val="left"/>
      <w:pPr>
        <w:ind w:left="6939" w:hanging="525"/>
      </w:pPr>
      <w:rPr>
        <w:rFonts w:hint="default"/>
        <w:lang w:val="zh-CN" w:eastAsia="zh-CN" w:bidi="zh-CN"/>
      </w:rPr>
    </w:lvl>
    <w:lvl w:ilvl="7" w:tentative="1">
      <w:start w:val="0"/>
      <w:numFmt w:val="bullet"/>
      <w:lvlText w:val="•"/>
      <w:lvlJc w:val="left"/>
      <w:pPr>
        <w:ind w:left="7816" w:hanging="525"/>
      </w:pPr>
      <w:rPr>
        <w:rFonts w:hint="default"/>
        <w:lang w:val="zh-CN" w:eastAsia="zh-CN" w:bidi="zh-CN"/>
      </w:rPr>
    </w:lvl>
    <w:lvl w:ilvl="8" w:tentative="1">
      <w:start w:val="0"/>
      <w:numFmt w:val="bullet"/>
      <w:lvlText w:val="•"/>
      <w:lvlJc w:val="left"/>
      <w:pPr>
        <w:ind w:left="8692" w:hanging="525"/>
      </w:pPr>
      <w:rPr>
        <w:rFonts w:hint="default"/>
        <w:lang w:val="zh-CN" w:eastAsia="zh-CN" w:bidi="zh-CN"/>
      </w:rPr>
    </w:lvl>
  </w:abstractNum>
  <w:abstractNum w:abstractNumId="3842282620">
    <w:nsid w:val="E504947C"/>
    <w:multiLevelType w:val="multilevel"/>
    <w:tmpl w:val="E504947C"/>
    <w:lvl w:ilvl="0" w:tentative="1">
      <w:start w:val="1"/>
      <w:numFmt w:val="decimal"/>
      <w:lvlText w:val="%1"/>
      <w:lvlJc w:val="left"/>
      <w:pPr>
        <w:ind w:left="1465" w:hanging="315"/>
      </w:pPr>
      <w:rPr>
        <w:rFonts w:hint="default"/>
        <w:lang w:val="zh-CN" w:eastAsia="zh-CN" w:bidi="zh-CN"/>
      </w:rPr>
    </w:lvl>
    <w:lvl w:ilvl="1" w:tentative="1">
      <w:start w:val="1"/>
      <w:numFmt w:val="decimal"/>
      <w:lvlText w:val="%1.%2"/>
      <w:lvlJc w:val="left"/>
      <w:pPr>
        <w:ind w:left="1465" w:hanging="315"/>
      </w:pPr>
      <w:rPr>
        <w:rFonts w:hint="default" w:ascii="Times New Roman" w:hAnsi="Times New Roman" w:eastAsia="Times New Roman" w:cs="Times New Roman"/>
        <w:spacing w:val="0"/>
        <w:w w:val="99"/>
        <w:sz w:val="21"/>
        <w:szCs w:val="21"/>
        <w:lang w:val="zh-CN" w:eastAsia="zh-CN" w:bidi="zh-CN"/>
      </w:rPr>
    </w:lvl>
    <w:lvl w:ilvl="2" w:tentative="1">
      <w:start w:val="0"/>
      <w:numFmt w:val="bullet"/>
      <w:lvlText w:val="•"/>
      <w:lvlJc w:val="left"/>
      <w:pPr>
        <w:ind w:left="3257" w:hanging="315"/>
      </w:pPr>
      <w:rPr>
        <w:rFonts w:hint="default"/>
        <w:lang w:val="zh-CN" w:eastAsia="zh-CN" w:bidi="zh-CN"/>
      </w:rPr>
    </w:lvl>
    <w:lvl w:ilvl="3" w:tentative="1">
      <w:start w:val="0"/>
      <w:numFmt w:val="bullet"/>
      <w:lvlText w:val="•"/>
      <w:lvlJc w:val="left"/>
      <w:pPr>
        <w:ind w:left="4155" w:hanging="315"/>
      </w:pPr>
      <w:rPr>
        <w:rFonts w:hint="default"/>
        <w:lang w:val="zh-CN" w:eastAsia="zh-CN" w:bidi="zh-CN"/>
      </w:rPr>
    </w:lvl>
    <w:lvl w:ilvl="4" w:tentative="1">
      <w:start w:val="0"/>
      <w:numFmt w:val="bullet"/>
      <w:lvlText w:val="•"/>
      <w:lvlJc w:val="left"/>
      <w:pPr>
        <w:ind w:left="5054" w:hanging="315"/>
      </w:pPr>
      <w:rPr>
        <w:rFonts w:hint="default"/>
        <w:lang w:val="zh-CN" w:eastAsia="zh-CN" w:bidi="zh-CN"/>
      </w:rPr>
    </w:lvl>
    <w:lvl w:ilvl="5" w:tentative="1">
      <w:start w:val="0"/>
      <w:numFmt w:val="bullet"/>
      <w:lvlText w:val="•"/>
      <w:lvlJc w:val="left"/>
      <w:pPr>
        <w:ind w:left="5953" w:hanging="315"/>
      </w:pPr>
      <w:rPr>
        <w:rFonts w:hint="default"/>
        <w:lang w:val="zh-CN" w:eastAsia="zh-CN" w:bidi="zh-CN"/>
      </w:rPr>
    </w:lvl>
    <w:lvl w:ilvl="6" w:tentative="1">
      <w:start w:val="0"/>
      <w:numFmt w:val="bullet"/>
      <w:lvlText w:val="•"/>
      <w:lvlJc w:val="left"/>
      <w:pPr>
        <w:ind w:left="6851" w:hanging="315"/>
      </w:pPr>
      <w:rPr>
        <w:rFonts w:hint="default"/>
        <w:lang w:val="zh-CN" w:eastAsia="zh-CN" w:bidi="zh-CN"/>
      </w:rPr>
    </w:lvl>
    <w:lvl w:ilvl="7" w:tentative="1">
      <w:start w:val="0"/>
      <w:numFmt w:val="bullet"/>
      <w:lvlText w:val="•"/>
      <w:lvlJc w:val="left"/>
      <w:pPr>
        <w:ind w:left="7750" w:hanging="315"/>
      </w:pPr>
      <w:rPr>
        <w:rFonts w:hint="default"/>
        <w:lang w:val="zh-CN" w:eastAsia="zh-CN" w:bidi="zh-CN"/>
      </w:rPr>
    </w:lvl>
    <w:lvl w:ilvl="8" w:tentative="1">
      <w:start w:val="0"/>
      <w:numFmt w:val="bullet"/>
      <w:lvlText w:val="•"/>
      <w:lvlJc w:val="left"/>
      <w:pPr>
        <w:ind w:left="8648" w:hanging="315"/>
      </w:pPr>
      <w:rPr>
        <w:rFonts w:hint="default"/>
        <w:lang w:val="zh-CN" w:eastAsia="zh-CN" w:bidi="zh-CN"/>
      </w:rPr>
    </w:lvl>
  </w:abstractNum>
  <w:abstractNum w:abstractNumId="3760803527">
    <w:nsid w:val="E0294EC7"/>
    <w:multiLevelType w:val="multilevel"/>
    <w:tmpl w:val="E0294EC7"/>
    <w:lvl w:ilvl="0" w:tentative="1">
      <w:start w:val="1"/>
      <w:numFmt w:val="decimal"/>
      <w:lvlText w:val="(%1)"/>
      <w:lvlJc w:val="left"/>
      <w:pPr>
        <w:ind w:left="731" w:hanging="333"/>
      </w:pPr>
      <w:rPr>
        <w:rFonts w:hint="default" w:ascii="宋体" w:hAnsi="宋体" w:eastAsia="宋体" w:cs="宋体"/>
        <w:spacing w:val="-1"/>
        <w:w w:val="100"/>
        <w:sz w:val="20"/>
        <w:szCs w:val="20"/>
        <w:lang w:val="zh-CN" w:eastAsia="zh-CN" w:bidi="zh-CN"/>
      </w:rPr>
    </w:lvl>
    <w:lvl w:ilvl="1" w:tentative="1">
      <w:start w:val="0"/>
      <w:numFmt w:val="bullet"/>
      <w:lvlText w:val="•"/>
      <w:lvlJc w:val="left"/>
      <w:pPr>
        <w:ind w:left="1710" w:hanging="333"/>
      </w:pPr>
      <w:rPr>
        <w:rFonts w:hint="default"/>
        <w:lang w:val="zh-CN" w:eastAsia="zh-CN" w:bidi="zh-CN"/>
      </w:rPr>
    </w:lvl>
    <w:lvl w:ilvl="2" w:tentative="1">
      <w:start w:val="0"/>
      <w:numFmt w:val="bullet"/>
      <w:lvlText w:val="•"/>
      <w:lvlJc w:val="left"/>
      <w:pPr>
        <w:ind w:left="2681" w:hanging="333"/>
      </w:pPr>
      <w:rPr>
        <w:rFonts w:hint="default"/>
        <w:lang w:val="zh-CN" w:eastAsia="zh-CN" w:bidi="zh-CN"/>
      </w:rPr>
    </w:lvl>
    <w:lvl w:ilvl="3" w:tentative="1">
      <w:start w:val="0"/>
      <w:numFmt w:val="bullet"/>
      <w:lvlText w:val="•"/>
      <w:lvlJc w:val="left"/>
      <w:pPr>
        <w:ind w:left="3651" w:hanging="333"/>
      </w:pPr>
      <w:rPr>
        <w:rFonts w:hint="default"/>
        <w:lang w:val="zh-CN" w:eastAsia="zh-CN" w:bidi="zh-CN"/>
      </w:rPr>
    </w:lvl>
    <w:lvl w:ilvl="4" w:tentative="1">
      <w:start w:val="0"/>
      <w:numFmt w:val="bullet"/>
      <w:lvlText w:val="•"/>
      <w:lvlJc w:val="left"/>
      <w:pPr>
        <w:ind w:left="4622" w:hanging="333"/>
      </w:pPr>
      <w:rPr>
        <w:rFonts w:hint="default"/>
        <w:lang w:val="zh-CN" w:eastAsia="zh-CN" w:bidi="zh-CN"/>
      </w:rPr>
    </w:lvl>
    <w:lvl w:ilvl="5" w:tentative="1">
      <w:start w:val="0"/>
      <w:numFmt w:val="bullet"/>
      <w:lvlText w:val="•"/>
      <w:lvlJc w:val="left"/>
      <w:pPr>
        <w:ind w:left="5593" w:hanging="333"/>
      </w:pPr>
      <w:rPr>
        <w:rFonts w:hint="default"/>
        <w:lang w:val="zh-CN" w:eastAsia="zh-CN" w:bidi="zh-CN"/>
      </w:rPr>
    </w:lvl>
    <w:lvl w:ilvl="6" w:tentative="1">
      <w:start w:val="0"/>
      <w:numFmt w:val="bullet"/>
      <w:lvlText w:val="•"/>
      <w:lvlJc w:val="left"/>
      <w:pPr>
        <w:ind w:left="6563" w:hanging="333"/>
      </w:pPr>
      <w:rPr>
        <w:rFonts w:hint="default"/>
        <w:lang w:val="zh-CN" w:eastAsia="zh-CN" w:bidi="zh-CN"/>
      </w:rPr>
    </w:lvl>
    <w:lvl w:ilvl="7" w:tentative="1">
      <w:start w:val="0"/>
      <w:numFmt w:val="bullet"/>
      <w:lvlText w:val="•"/>
      <w:lvlJc w:val="left"/>
      <w:pPr>
        <w:ind w:left="7534" w:hanging="333"/>
      </w:pPr>
      <w:rPr>
        <w:rFonts w:hint="default"/>
        <w:lang w:val="zh-CN" w:eastAsia="zh-CN" w:bidi="zh-CN"/>
      </w:rPr>
    </w:lvl>
    <w:lvl w:ilvl="8" w:tentative="1">
      <w:start w:val="0"/>
      <w:numFmt w:val="bullet"/>
      <w:lvlText w:val="•"/>
      <w:lvlJc w:val="left"/>
      <w:pPr>
        <w:ind w:left="8504" w:hanging="333"/>
      </w:pPr>
      <w:rPr>
        <w:rFonts w:hint="default"/>
        <w:lang w:val="zh-CN" w:eastAsia="zh-CN" w:bidi="zh-CN"/>
      </w:rPr>
    </w:lvl>
  </w:abstractNum>
  <w:abstractNum w:abstractNumId="38322553">
    <w:nsid w:val="0248C179"/>
    <w:multiLevelType w:val="multilevel"/>
    <w:tmpl w:val="0248C179"/>
    <w:lvl w:ilvl="0" w:tentative="1">
      <w:start w:val="1"/>
      <w:numFmt w:val="decimal"/>
      <w:lvlText w:val="（%1）"/>
      <w:lvlJc w:val="left"/>
      <w:pPr>
        <w:ind w:left="659" w:hanging="551"/>
      </w:pPr>
      <w:rPr>
        <w:rFonts w:hint="default" w:ascii="宋体" w:hAnsi="宋体" w:eastAsia="宋体" w:cs="宋体"/>
        <w:spacing w:val="-3"/>
        <w:w w:val="100"/>
        <w:sz w:val="20"/>
        <w:szCs w:val="20"/>
        <w:lang w:val="zh-CN" w:eastAsia="zh-CN" w:bidi="zh-CN"/>
      </w:rPr>
    </w:lvl>
    <w:lvl w:ilvl="1" w:tentative="1">
      <w:start w:val="0"/>
      <w:numFmt w:val="bullet"/>
      <w:lvlText w:val="•"/>
      <w:lvlJc w:val="left"/>
      <w:pPr>
        <w:ind w:left="1280" w:hanging="551"/>
      </w:pPr>
      <w:rPr>
        <w:rFonts w:hint="default"/>
        <w:lang w:val="zh-CN" w:eastAsia="zh-CN" w:bidi="zh-CN"/>
      </w:rPr>
    </w:lvl>
    <w:lvl w:ilvl="2" w:tentative="1">
      <w:start w:val="0"/>
      <w:numFmt w:val="bullet"/>
      <w:lvlText w:val="•"/>
      <w:lvlJc w:val="left"/>
      <w:pPr>
        <w:ind w:left="1900" w:hanging="551"/>
      </w:pPr>
      <w:rPr>
        <w:rFonts w:hint="default"/>
        <w:lang w:val="zh-CN" w:eastAsia="zh-CN" w:bidi="zh-CN"/>
      </w:rPr>
    </w:lvl>
    <w:lvl w:ilvl="3" w:tentative="1">
      <w:start w:val="0"/>
      <w:numFmt w:val="bullet"/>
      <w:lvlText w:val="•"/>
      <w:lvlJc w:val="left"/>
      <w:pPr>
        <w:ind w:left="2520" w:hanging="551"/>
      </w:pPr>
      <w:rPr>
        <w:rFonts w:hint="default"/>
        <w:lang w:val="zh-CN" w:eastAsia="zh-CN" w:bidi="zh-CN"/>
      </w:rPr>
    </w:lvl>
    <w:lvl w:ilvl="4" w:tentative="1">
      <w:start w:val="0"/>
      <w:numFmt w:val="bullet"/>
      <w:lvlText w:val="•"/>
      <w:lvlJc w:val="left"/>
      <w:pPr>
        <w:ind w:left="3141" w:hanging="551"/>
      </w:pPr>
      <w:rPr>
        <w:rFonts w:hint="default"/>
        <w:lang w:val="zh-CN" w:eastAsia="zh-CN" w:bidi="zh-CN"/>
      </w:rPr>
    </w:lvl>
    <w:lvl w:ilvl="5" w:tentative="1">
      <w:start w:val="0"/>
      <w:numFmt w:val="bullet"/>
      <w:lvlText w:val="•"/>
      <w:lvlJc w:val="left"/>
      <w:pPr>
        <w:ind w:left="3761" w:hanging="551"/>
      </w:pPr>
      <w:rPr>
        <w:rFonts w:hint="default"/>
        <w:lang w:val="zh-CN" w:eastAsia="zh-CN" w:bidi="zh-CN"/>
      </w:rPr>
    </w:lvl>
    <w:lvl w:ilvl="6" w:tentative="1">
      <w:start w:val="0"/>
      <w:numFmt w:val="bullet"/>
      <w:lvlText w:val="•"/>
      <w:lvlJc w:val="left"/>
      <w:pPr>
        <w:ind w:left="4381" w:hanging="551"/>
      </w:pPr>
      <w:rPr>
        <w:rFonts w:hint="default"/>
        <w:lang w:val="zh-CN" w:eastAsia="zh-CN" w:bidi="zh-CN"/>
      </w:rPr>
    </w:lvl>
    <w:lvl w:ilvl="7" w:tentative="1">
      <w:start w:val="0"/>
      <w:numFmt w:val="bullet"/>
      <w:lvlText w:val="•"/>
      <w:lvlJc w:val="left"/>
      <w:pPr>
        <w:ind w:left="5002" w:hanging="551"/>
      </w:pPr>
      <w:rPr>
        <w:rFonts w:hint="default"/>
        <w:lang w:val="zh-CN" w:eastAsia="zh-CN" w:bidi="zh-CN"/>
      </w:rPr>
    </w:lvl>
    <w:lvl w:ilvl="8" w:tentative="1">
      <w:start w:val="0"/>
      <w:numFmt w:val="bullet"/>
      <w:lvlText w:val="•"/>
      <w:lvlJc w:val="left"/>
      <w:pPr>
        <w:ind w:left="5622" w:hanging="551"/>
      </w:pPr>
      <w:rPr>
        <w:rFonts w:hint="default"/>
        <w:lang w:val="zh-CN" w:eastAsia="zh-CN" w:bidi="zh-CN"/>
      </w:rPr>
    </w:lvl>
  </w:abstractNum>
  <w:abstractNum w:abstractNumId="3623485017">
    <w:nsid w:val="D7F9FE59"/>
    <w:multiLevelType w:val="multilevel"/>
    <w:tmpl w:val="D7F9FE59"/>
    <w:lvl w:ilvl="0" w:tentative="1">
      <w:start w:val="1"/>
      <w:numFmt w:val="decimal"/>
      <w:lvlText w:val="（%1）"/>
      <w:lvlJc w:val="left"/>
      <w:pPr>
        <w:ind w:left="1166" w:hanging="551"/>
      </w:pPr>
      <w:rPr>
        <w:rFonts w:hint="default" w:ascii="宋体" w:hAnsi="宋体" w:eastAsia="宋体" w:cs="宋体"/>
        <w:spacing w:val="-3"/>
        <w:w w:val="100"/>
        <w:sz w:val="20"/>
        <w:szCs w:val="20"/>
        <w:lang w:val="zh-CN" w:eastAsia="zh-CN" w:bidi="zh-CN"/>
      </w:rPr>
    </w:lvl>
    <w:lvl w:ilvl="1" w:tentative="1">
      <w:start w:val="2"/>
      <w:numFmt w:val="decimal"/>
      <w:lvlText w:val="（%2）"/>
      <w:lvlJc w:val="left"/>
      <w:pPr>
        <w:ind w:left="1274" w:hanging="551"/>
      </w:pPr>
      <w:rPr>
        <w:rFonts w:hint="default" w:ascii="宋体" w:hAnsi="宋体" w:eastAsia="宋体" w:cs="宋体"/>
        <w:spacing w:val="-3"/>
        <w:w w:val="100"/>
        <w:sz w:val="20"/>
        <w:szCs w:val="20"/>
        <w:lang w:val="zh-CN" w:eastAsia="zh-CN" w:bidi="zh-CN"/>
      </w:rPr>
    </w:lvl>
    <w:lvl w:ilvl="2" w:tentative="1">
      <w:start w:val="0"/>
      <w:numFmt w:val="bullet"/>
      <w:lvlText w:val="•"/>
      <w:lvlJc w:val="left"/>
      <w:pPr>
        <w:ind w:left="2298" w:hanging="551"/>
      </w:pPr>
      <w:rPr>
        <w:rFonts w:hint="default"/>
        <w:lang w:val="zh-CN" w:eastAsia="zh-CN" w:bidi="zh-CN"/>
      </w:rPr>
    </w:lvl>
    <w:lvl w:ilvl="3" w:tentative="1">
      <w:start w:val="0"/>
      <w:numFmt w:val="bullet"/>
      <w:lvlText w:val="•"/>
      <w:lvlJc w:val="left"/>
      <w:pPr>
        <w:ind w:left="3316" w:hanging="551"/>
      </w:pPr>
      <w:rPr>
        <w:rFonts w:hint="default"/>
        <w:lang w:val="zh-CN" w:eastAsia="zh-CN" w:bidi="zh-CN"/>
      </w:rPr>
    </w:lvl>
    <w:lvl w:ilvl="4" w:tentative="1">
      <w:start w:val="0"/>
      <w:numFmt w:val="bullet"/>
      <w:lvlText w:val="•"/>
      <w:lvlJc w:val="left"/>
      <w:pPr>
        <w:ind w:left="4335" w:hanging="551"/>
      </w:pPr>
      <w:rPr>
        <w:rFonts w:hint="default"/>
        <w:lang w:val="zh-CN" w:eastAsia="zh-CN" w:bidi="zh-CN"/>
      </w:rPr>
    </w:lvl>
    <w:lvl w:ilvl="5" w:tentative="1">
      <w:start w:val="0"/>
      <w:numFmt w:val="bullet"/>
      <w:lvlText w:val="•"/>
      <w:lvlJc w:val="left"/>
      <w:pPr>
        <w:ind w:left="5353" w:hanging="551"/>
      </w:pPr>
      <w:rPr>
        <w:rFonts w:hint="default"/>
        <w:lang w:val="zh-CN" w:eastAsia="zh-CN" w:bidi="zh-CN"/>
      </w:rPr>
    </w:lvl>
    <w:lvl w:ilvl="6" w:tentative="1">
      <w:start w:val="0"/>
      <w:numFmt w:val="bullet"/>
      <w:lvlText w:val="•"/>
      <w:lvlJc w:val="left"/>
      <w:pPr>
        <w:ind w:left="6372" w:hanging="551"/>
      </w:pPr>
      <w:rPr>
        <w:rFonts w:hint="default"/>
        <w:lang w:val="zh-CN" w:eastAsia="zh-CN" w:bidi="zh-CN"/>
      </w:rPr>
    </w:lvl>
    <w:lvl w:ilvl="7" w:tentative="1">
      <w:start w:val="0"/>
      <w:numFmt w:val="bullet"/>
      <w:lvlText w:val="•"/>
      <w:lvlJc w:val="left"/>
      <w:pPr>
        <w:ind w:left="7390" w:hanging="551"/>
      </w:pPr>
      <w:rPr>
        <w:rFonts w:hint="default"/>
        <w:lang w:val="zh-CN" w:eastAsia="zh-CN" w:bidi="zh-CN"/>
      </w:rPr>
    </w:lvl>
    <w:lvl w:ilvl="8" w:tentative="1">
      <w:start w:val="0"/>
      <w:numFmt w:val="bullet"/>
      <w:lvlText w:val="•"/>
      <w:lvlJc w:val="left"/>
      <w:pPr>
        <w:ind w:left="8409" w:hanging="551"/>
      </w:pPr>
      <w:rPr>
        <w:rFonts w:hint="default"/>
        <w:lang w:val="zh-CN" w:eastAsia="zh-CN" w:bidi="zh-CN"/>
      </w:rPr>
    </w:lvl>
  </w:abstractNum>
  <w:abstractNum w:abstractNumId="3206568229">
    <w:nsid w:val="BF205925"/>
    <w:multiLevelType w:val="multilevel"/>
    <w:tmpl w:val="BF205925"/>
    <w:lvl w:ilvl="0" w:tentative="1">
      <w:start w:val="1"/>
      <w:numFmt w:val="decimal"/>
      <w:lvlText w:val="%1."/>
      <w:lvlJc w:val="left"/>
      <w:pPr>
        <w:ind w:left="573" w:hanging="241"/>
      </w:pPr>
      <w:rPr>
        <w:rFonts w:hint="default" w:ascii="宋体" w:hAnsi="宋体" w:eastAsia="宋体" w:cs="宋体"/>
        <w:w w:val="100"/>
        <w:sz w:val="22"/>
        <w:szCs w:val="22"/>
        <w:lang w:val="zh-CN" w:eastAsia="zh-CN" w:bidi="zh-CN"/>
      </w:rPr>
    </w:lvl>
    <w:lvl w:ilvl="1" w:tentative="1">
      <w:start w:val="1"/>
      <w:numFmt w:val="decimal"/>
      <w:lvlText w:val="%2）"/>
      <w:lvlJc w:val="left"/>
      <w:pPr>
        <w:ind w:left="1053" w:hanging="361"/>
      </w:pPr>
      <w:rPr>
        <w:rFonts w:hint="default" w:ascii="宋体" w:hAnsi="宋体" w:eastAsia="宋体" w:cs="宋体"/>
        <w:w w:val="100"/>
        <w:sz w:val="22"/>
        <w:szCs w:val="22"/>
        <w:lang w:val="zh-CN" w:eastAsia="zh-CN" w:bidi="zh-CN"/>
      </w:rPr>
    </w:lvl>
    <w:lvl w:ilvl="2" w:tentative="1">
      <w:start w:val="0"/>
      <w:numFmt w:val="bullet"/>
      <w:lvlText w:val="•"/>
      <w:lvlJc w:val="left"/>
      <w:pPr>
        <w:ind w:left="2102" w:hanging="361"/>
      </w:pPr>
      <w:rPr>
        <w:rFonts w:hint="default"/>
        <w:lang w:val="zh-CN" w:eastAsia="zh-CN" w:bidi="zh-CN"/>
      </w:rPr>
    </w:lvl>
    <w:lvl w:ilvl="3" w:tentative="1">
      <w:start w:val="0"/>
      <w:numFmt w:val="bullet"/>
      <w:lvlText w:val="•"/>
      <w:lvlJc w:val="left"/>
      <w:pPr>
        <w:ind w:left="3145" w:hanging="361"/>
      </w:pPr>
      <w:rPr>
        <w:rFonts w:hint="default"/>
        <w:lang w:val="zh-CN" w:eastAsia="zh-CN" w:bidi="zh-CN"/>
      </w:rPr>
    </w:lvl>
    <w:lvl w:ilvl="4" w:tentative="1">
      <w:start w:val="0"/>
      <w:numFmt w:val="bullet"/>
      <w:lvlText w:val="•"/>
      <w:lvlJc w:val="left"/>
      <w:pPr>
        <w:ind w:left="4188" w:hanging="361"/>
      </w:pPr>
      <w:rPr>
        <w:rFonts w:hint="default"/>
        <w:lang w:val="zh-CN" w:eastAsia="zh-CN" w:bidi="zh-CN"/>
      </w:rPr>
    </w:lvl>
    <w:lvl w:ilvl="5" w:tentative="1">
      <w:start w:val="0"/>
      <w:numFmt w:val="bullet"/>
      <w:lvlText w:val="•"/>
      <w:lvlJc w:val="left"/>
      <w:pPr>
        <w:ind w:left="5231" w:hanging="361"/>
      </w:pPr>
      <w:rPr>
        <w:rFonts w:hint="default"/>
        <w:lang w:val="zh-CN" w:eastAsia="zh-CN" w:bidi="zh-CN"/>
      </w:rPr>
    </w:lvl>
    <w:lvl w:ilvl="6" w:tentative="1">
      <w:start w:val="0"/>
      <w:numFmt w:val="bullet"/>
      <w:lvlText w:val="•"/>
      <w:lvlJc w:val="left"/>
      <w:pPr>
        <w:ind w:left="6274" w:hanging="361"/>
      </w:pPr>
      <w:rPr>
        <w:rFonts w:hint="default"/>
        <w:lang w:val="zh-CN" w:eastAsia="zh-CN" w:bidi="zh-CN"/>
      </w:rPr>
    </w:lvl>
    <w:lvl w:ilvl="7" w:tentative="1">
      <w:start w:val="0"/>
      <w:numFmt w:val="bullet"/>
      <w:lvlText w:val="•"/>
      <w:lvlJc w:val="left"/>
      <w:pPr>
        <w:ind w:left="7317" w:hanging="361"/>
      </w:pPr>
      <w:rPr>
        <w:rFonts w:hint="default"/>
        <w:lang w:val="zh-CN" w:eastAsia="zh-CN" w:bidi="zh-CN"/>
      </w:rPr>
    </w:lvl>
    <w:lvl w:ilvl="8" w:tentative="1">
      <w:start w:val="0"/>
      <w:numFmt w:val="bullet"/>
      <w:lvlText w:val="•"/>
      <w:lvlJc w:val="left"/>
      <w:pPr>
        <w:ind w:left="8360" w:hanging="361"/>
      </w:pPr>
      <w:rPr>
        <w:rFonts w:hint="default"/>
        <w:lang w:val="zh-CN" w:eastAsia="zh-CN" w:bidi="zh-CN"/>
      </w:rPr>
    </w:lvl>
  </w:abstractNum>
  <w:abstractNum w:abstractNumId="3521845012">
    <w:nsid w:val="D1EB1714"/>
    <w:multiLevelType w:val="multilevel"/>
    <w:tmpl w:val="D1EB1714"/>
    <w:lvl w:ilvl="0" w:tentative="1">
      <w:start w:val="1"/>
      <w:numFmt w:val="decimal"/>
      <w:lvlText w:val="（%1）"/>
      <w:lvlJc w:val="left"/>
      <w:pPr>
        <w:ind w:left="1876" w:hanging="720"/>
      </w:pPr>
      <w:rPr>
        <w:rFonts w:hint="default" w:ascii="宋体" w:hAnsi="宋体" w:eastAsia="宋体" w:cs="宋体"/>
        <w:spacing w:val="-1"/>
        <w:w w:val="100"/>
        <w:sz w:val="22"/>
        <w:szCs w:val="22"/>
        <w:lang w:val="zh-CN" w:eastAsia="zh-CN" w:bidi="zh-CN"/>
      </w:rPr>
    </w:lvl>
    <w:lvl w:ilvl="1" w:tentative="1">
      <w:start w:val="0"/>
      <w:numFmt w:val="bullet"/>
      <w:lvlText w:val="•"/>
      <w:lvlJc w:val="left"/>
      <w:pPr>
        <w:ind w:left="2736" w:hanging="720"/>
      </w:pPr>
      <w:rPr>
        <w:rFonts w:hint="default"/>
        <w:lang w:val="zh-CN" w:eastAsia="zh-CN" w:bidi="zh-CN"/>
      </w:rPr>
    </w:lvl>
    <w:lvl w:ilvl="2" w:tentative="1">
      <w:start w:val="0"/>
      <w:numFmt w:val="bullet"/>
      <w:lvlText w:val="•"/>
      <w:lvlJc w:val="left"/>
      <w:pPr>
        <w:ind w:left="3593" w:hanging="720"/>
      </w:pPr>
      <w:rPr>
        <w:rFonts w:hint="default"/>
        <w:lang w:val="zh-CN" w:eastAsia="zh-CN" w:bidi="zh-CN"/>
      </w:rPr>
    </w:lvl>
    <w:lvl w:ilvl="3" w:tentative="1">
      <w:start w:val="0"/>
      <w:numFmt w:val="bullet"/>
      <w:lvlText w:val="•"/>
      <w:lvlJc w:val="left"/>
      <w:pPr>
        <w:ind w:left="4449" w:hanging="720"/>
      </w:pPr>
      <w:rPr>
        <w:rFonts w:hint="default"/>
        <w:lang w:val="zh-CN" w:eastAsia="zh-CN" w:bidi="zh-CN"/>
      </w:rPr>
    </w:lvl>
    <w:lvl w:ilvl="4" w:tentative="1">
      <w:start w:val="0"/>
      <w:numFmt w:val="bullet"/>
      <w:lvlText w:val="•"/>
      <w:lvlJc w:val="left"/>
      <w:pPr>
        <w:ind w:left="5306" w:hanging="720"/>
      </w:pPr>
      <w:rPr>
        <w:rFonts w:hint="default"/>
        <w:lang w:val="zh-CN" w:eastAsia="zh-CN" w:bidi="zh-CN"/>
      </w:rPr>
    </w:lvl>
    <w:lvl w:ilvl="5" w:tentative="1">
      <w:start w:val="0"/>
      <w:numFmt w:val="bullet"/>
      <w:lvlText w:val="•"/>
      <w:lvlJc w:val="left"/>
      <w:pPr>
        <w:ind w:left="6163" w:hanging="720"/>
      </w:pPr>
      <w:rPr>
        <w:rFonts w:hint="default"/>
        <w:lang w:val="zh-CN" w:eastAsia="zh-CN" w:bidi="zh-CN"/>
      </w:rPr>
    </w:lvl>
    <w:lvl w:ilvl="6" w:tentative="1">
      <w:start w:val="0"/>
      <w:numFmt w:val="bullet"/>
      <w:lvlText w:val="•"/>
      <w:lvlJc w:val="left"/>
      <w:pPr>
        <w:ind w:left="7019" w:hanging="720"/>
      </w:pPr>
      <w:rPr>
        <w:rFonts w:hint="default"/>
        <w:lang w:val="zh-CN" w:eastAsia="zh-CN" w:bidi="zh-CN"/>
      </w:rPr>
    </w:lvl>
    <w:lvl w:ilvl="7" w:tentative="1">
      <w:start w:val="0"/>
      <w:numFmt w:val="bullet"/>
      <w:lvlText w:val="•"/>
      <w:lvlJc w:val="left"/>
      <w:pPr>
        <w:ind w:left="7876" w:hanging="720"/>
      </w:pPr>
      <w:rPr>
        <w:rFonts w:hint="default"/>
        <w:lang w:val="zh-CN" w:eastAsia="zh-CN" w:bidi="zh-CN"/>
      </w:rPr>
    </w:lvl>
    <w:lvl w:ilvl="8" w:tentative="1">
      <w:start w:val="0"/>
      <w:numFmt w:val="bullet"/>
      <w:lvlText w:val="•"/>
      <w:lvlJc w:val="left"/>
      <w:pPr>
        <w:ind w:left="8732" w:hanging="720"/>
      </w:pPr>
      <w:rPr>
        <w:rFonts w:hint="default"/>
        <w:lang w:val="zh-CN" w:eastAsia="zh-CN" w:bidi="zh-CN"/>
      </w:rPr>
    </w:lvl>
  </w:abstractNum>
  <w:abstractNum w:abstractNumId="4104733438">
    <w:nsid w:val="F4A942FE"/>
    <w:multiLevelType w:val="multilevel"/>
    <w:tmpl w:val="F4A942FE"/>
    <w:lvl w:ilvl="0" w:tentative="1">
      <w:start w:val="2"/>
      <w:numFmt w:val="decimal"/>
      <w:lvlText w:val="（%1）"/>
      <w:lvlJc w:val="left"/>
      <w:pPr>
        <w:ind w:left="1723" w:hanging="554"/>
      </w:pPr>
      <w:rPr>
        <w:rFonts w:hint="default" w:ascii="宋体" w:hAnsi="宋体" w:eastAsia="宋体" w:cs="宋体"/>
        <w:spacing w:val="-1"/>
        <w:w w:val="100"/>
        <w:sz w:val="20"/>
        <w:szCs w:val="20"/>
        <w:lang w:val="zh-CN" w:eastAsia="zh-CN" w:bidi="zh-CN"/>
      </w:rPr>
    </w:lvl>
    <w:lvl w:ilvl="1" w:tentative="1">
      <w:start w:val="0"/>
      <w:numFmt w:val="bullet"/>
      <w:lvlText w:val="•"/>
      <w:lvlJc w:val="left"/>
      <w:pPr>
        <w:ind w:left="2592" w:hanging="554"/>
      </w:pPr>
      <w:rPr>
        <w:rFonts w:hint="default"/>
        <w:lang w:val="zh-CN" w:eastAsia="zh-CN" w:bidi="zh-CN"/>
      </w:rPr>
    </w:lvl>
    <w:lvl w:ilvl="2" w:tentative="1">
      <w:start w:val="0"/>
      <w:numFmt w:val="bullet"/>
      <w:lvlText w:val="•"/>
      <w:lvlJc w:val="left"/>
      <w:pPr>
        <w:ind w:left="3465" w:hanging="554"/>
      </w:pPr>
      <w:rPr>
        <w:rFonts w:hint="default"/>
        <w:lang w:val="zh-CN" w:eastAsia="zh-CN" w:bidi="zh-CN"/>
      </w:rPr>
    </w:lvl>
    <w:lvl w:ilvl="3" w:tentative="1">
      <w:start w:val="0"/>
      <w:numFmt w:val="bullet"/>
      <w:lvlText w:val="•"/>
      <w:lvlJc w:val="left"/>
      <w:pPr>
        <w:ind w:left="4337" w:hanging="554"/>
      </w:pPr>
      <w:rPr>
        <w:rFonts w:hint="default"/>
        <w:lang w:val="zh-CN" w:eastAsia="zh-CN" w:bidi="zh-CN"/>
      </w:rPr>
    </w:lvl>
    <w:lvl w:ilvl="4" w:tentative="1">
      <w:start w:val="0"/>
      <w:numFmt w:val="bullet"/>
      <w:lvlText w:val="•"/>
      <w:lvlJc w:val="left"/>
      <w:pPr>
        <w:ind w:left="5210" w:hanging="554"/>
      </w:pPr>
      <w:rPr>
        <w:rFonts w:hint="default"/>
        <w:lang w:val="zh-CN" w:eastAsia="zh-CN" w:bidi="zh-CN"/>
      </w:rPr>
    </w:lvl>
    <w:lvl w:ilvl="5" w:tentative="1">
      <w:start w:val="0"/>
      <w:numFmt w:val="bullet"/>
      <w:lvlText w:val="•"/>
      <w:lvlJc w:val="left"/>
      <w:pPr>
        <w:ind w:left="6083" w:hanging="554"/>
      </w:pPr>
      <w:rPr>
        <w:rFonts w:hint="default"/>
        <w:lang w:val="zh-CN" w:eastAsia="zh-CN" w:bidi="zh-CN"/>
      </w:rPr>
    </w:lvl>
    <w:lvl w:ilvl="6" w:tentative="1">
      <w:start w:val="0"/>
      <w:numFmt w:val="bullet"/>
      <w:lvlText w:val="•"/>
      <w:lvlJc w:val="left"/>
      <w:pPr>
        <w:ind w:left="6955" w:hanging="554"/>
      </w:pPr>
      <w:rPr>
        <w:rFonts w:hint="default"/>
        <w:lang w:val="zh-CN" w:eastAsia="zh-CN" w:bidi="zh-CN"/>
      </w:rPr>
    </w:lvl>
    <w:lvl w:ilvl="7" w:tentative="1">
      <w:start w:val="0"/>
      <w:numFmt w:val="bullet"/>
      <w:lvlText w:val="•"/>
      <w:lvlJc w:val="left"/>
      <w:pPr>
        <w:ind w:left="7828" w:hanging="554"/>
      </w:pPr>
      <w:rPr>
        <w:rFonts w:hint="default"/>
        <w:lang w:val="zh-CN" w:eastAsia="zh-CN" w:bidi="zh-CN"/>
      </w:rPr>
    </w:lvl>
    <w:lvl w:ilvl="8" w:tentative="1">
      <w:start w:val="0"/>
      <w:numFmt w:val="bullet"/>
      <w:lvlText w:val="•"/>
      <w:lvlJc w:val="left"/>
      <w:pPr>
        <w:ind w:left="8700" w:hanging="554"/>
      </w:pPr>
      <w:rPr>
        <w:rFonts w:hint="default"/>
        <w:lang w:val="zh-CN" w:eastAsia="zh-CN" w:bidi="zh-CN"/>
      </w:rPr>
    </w:lvl>
  </w:abstractNum>
  <w:abstractNum w:abstractNumId="4105558517">
    <w:nsid w:val="F4B5D9F5"/>
    <w:multiLevelType w:val="multilevel"/>
    <w:tmpl w:val="F4B5D9F5"/>
    <w:lvl w:ilvl="0" w:tentative="1">
      <w:start w:val="1"/>
      <w:numFmt w:val="decimal"/>
      <w:lvlText w:val="（%1）"/>
      <w:lvlJc w:val="left"/>
      <w:pPr>
        <w:ind w:left="1262" w:hanging="527"/>
      </w:pPr>
      <w:rPr>
        <w:rFonts w:hint="default" w:ascii="宋体" w:hAnsi="宋体" w:eastAsia="宋体" w:cs="宋体"/>
        <w:spacing w:val="-1"/>
        <w:w w:val="99"/>
        <w:sz w:val="19"/>
        <w:szCs w:val="19"/>
        <w:lang w:val="zh-CN" w:eastAsia="zh-CN" w:bidi="zh-CN"/>
      </w:rPr>
    </w:lvl>
    <w:lvl w:ilvl="1" w:tentative="1">
      <w:start w:val="0"/>
      <w:numFmt w:val="bullet"/>
      <w:lvlText w:val="•"/>
      <w:lvlJc w:val="left"/>
      <w:pPr>
        <w:ind w:left="2178" w:hanging="527"/>
      </w:pPr>
      <w:rPr>
        <w:rFonts w:hint="default"/>
        <w:lang w:val="zh-CN" w:eastAsia="zh-CN" w:bidi="zh-CN"/>
      </w:rPr>
    </w:lvl>
    <w:lvl w:ilvl="2" w:tentative="1">
      <w:start w:val="0"/>
      <w:numFmt w:val="bullet"/>
      <w:lvlText w:val="•"/>
      <w:lvlJc w:val="left"/>
      <w:pPr>
        <w:ind w:left="3097" w:hanging="527"/>
      </w:pPr>
      <w:rPr>
        <w:rFonts w:hint="default"/>
        <w:lang w:val="zh-CN" w:eastAsia="zh-CN" w:bidi="zh-CN"/>
      </w:rPr>
    </w:lvl>
    <w:lvl w:ilvl="3" w:tentative="1">
      <w:start w:val="0"/>
      <w:numFmt w:val="bullet"/>
      <w:lvlText w:val="•"/>
      <w:lvlJc w:val="left"/>
      <w:pPr>
        <w:ind w:left="4015" w:hanging="527"/>
      </w:pPr>
      <w:rPr>
        <w:rFonts w:hint="default"/>
        <w:lang w:val="zh-CN" w:eastAsia="zh-CN" w:bidi="zh-CN"/>
      </w:rPr>
    </w:lvl>
    <w:lvl w:ilvl="4" w:tentative="1">
      <w:start w:val="0"/>
      <w:numFmt w:val="bullet"/>
      <w:lvlText w:val="•"/>
      <w:lvlJc w:val="left"/>
      <w:pPr>
        <w:ind w:left="4934" w:hanging="527"/>
      </w:pPr>
      <w:rPr>
        <w:rFonts w:hint="default"/>
        <w:lang w:val="zh-CN" w:eastAsia="zh-CN" w:bidi="zh-CN"/>
      </w:rPr>
    </w:lvl>
    <w:lvl w:ilvl="5" w:tentative="1">
      <w:start w:val="0"/>
      <w:numFmt w:val="bullet"/>
      <w:lvlText w:val="•"/>
      <w:lvlJc w:val="left"/>
      <w:pPr>
        <w:ind w:left="5853" w:hanging="527"/>
      </w:pPr>
      <w:rPr>
        <w:rFonts w:hint="default"/>
        <w:lang w:val="zh-CN" w:eastAsia="zh-CN" w:bidi="zh-CN"/>
      </w:rPr>
    </w:lvl>
    <w:lvl w:ilvl="6" w:tentative="1">
      <w:start w:val="0"/>
      <w:numFmt w:val="bullet"/>
      <w:lvlText w:val="•"/>
      <w:lvlJc w:val="left"/>
      <w:pPr>
        <w:ind w:left="6771" w:hanging="527"/>
      </w:pPr>
      <w:rPr>
        <w:rFonts w:hint="default"/>
        <w:lang w:val="zh-CN" w:eastAsia="zh-CN" w:bidi="zh-CN"/>
      </w:rPr>
    </w:lvl>
    <w:lvl w:ilvl="7" w:tentative="1">
      <w:start w:val="0"/>
      <w:numFmt w:val="bullet"/>
      <w:lvlText w:val="•"/>
      <w:lvlJc w:val="left"/>
      <w:pPr>
        <w:ind w:left="7690" w:hanging="527"/>
      </w:pPr>
      <w:rPr>
        <w:rFonts w:hint="default"/>
        <w:lang w:val="zh-CN" w:eastAsia="zh-CN" w:bidi="zh-CN"/>
      </w:rPr>
    </w:lvl>
    <w:lvl w:ilvl="8" w:tentative="1">
      <w:start w:val="0"/>
      <w:numFmt w:val="bullet"/>
      <w:lvlText w:val="•"/>
      <w:lvlJc w:val="left"/>
      <w:pPr>
        <w:ind w:left="8608" w:hanging="527"/>
      </w:pPr>
      <w:rPr>
        <w:rFonts w:hint="default"/>
        <w:lang w:val="zh-CN" w:eastAsia="zh-CN" w:bidi="zh-CN"/>
      </w:rPr>
    </w:lvl>
  </w:abstractNum>
  <w:abstractNum w:abstractNumId="4136199227">
    <w:nsid w:val="F689643B"/>
    <w:multiLevelType w:val="multilevel"/>
    <w:tmpl w:val="F689643B"/>
    <w:lvl w:ilvl="0" w:tentative="1">
      <w:start w:val="20"/>
      <w:numFmt w:val="decimal"/>
      <w:lvlText w:val="%1."/>
      <w:lvlJc w:val="left"/>
      <w:pPr>
        <w:ind w:left="1098" w:hanging="368"/>
      </w:pPr>
      <w:rPr>
        <w:rFonts w:hint="default" w:ascii="Times New Roman" w:hAnsi="Times New Roman" w:eastAsia="Times New Roman" w:cs="Times New Roman"/>
        <w:spacing w:val="0"/>
        <w:w w:val="99"/>
        <w:sz w:val="21"/>
        <w:szCs w:val="21"/>
        <w:lang w:val="zh-CN" w:eastAsia="zh-CN" w:bidi="zh-CN"/>
      </w:rPr>
    </w:lvl>
    <w:lvl w:ilvl="1" w:tentative="1">
      <w:start w:val="2"/>
      <w:numFmt w:val="decimal"/>
      <w:lvlText w:val="%2."/>
      <w:lvlJc w:val="left"/>
      <w:pPr>
        <w:ind w:left="1466" w:hanging="316"/>
      </w:pPr>
      <w:rPr>
        <w:rFonts w:hint="default" w:ascii="Times New Roman" w:hAnsi="Times New Roman" w:eastAsia="Times New Roman" w:cs="Times New Roman"/>
        <w:spacing w:val="-1"/>
        <w:w w:val="99"/>
        <w:sz w:val="19"/>
        <w:szCs w:val="19"/>
        <w:lang w:val="zh-CN" w:eastAsia="zh-CN" w:bidi="zh-CN"/>
      </w:rPr>
    </w:lvl>
    <w:lvl w:ilvl="2" w:tentative="1">
      <w:start w:val="0"/>
      <w:numFmt w:val="bullet"/>
      <w:lvlText w:val="•"/>
      <w:lvlJc w:val="left"/>
      <w:pPr>
        <w:ind w:left="2458" w:hanging="316"/>
      </w:pPr>
      <w:rPr>
        <w:rFonts w:hint="default"/>
        <w:lang w:val="zh-CN" w:eastAsia="zh-CN" w:bidi="zh-CN"/>
      </w:rPr>
    </w:lvl>
    <w:lvl w:ilvl="3" w:tentative="1">
      <w:start w:val="0"/>
      <w:numFmt w:val="bullet"/>
      <w:lvlText w:val="•"/>
      <w:lvlJc w:val="left"/>
      <w:pPr>
        <w:ind w:left="3456" w:hanging="316"/>
      </w:pPr>
      <w:rPr>
        <w:rFonts w:hint="default"/>
        <w:lang w:val="zh-CN" w:eastAsia="zh-CN" w:bidi="zh-CN"/>
      </w:rPr>
    </w:lvl>
    <w:lvl w:ilvl="4" w:tentative="1">
      <w:start w:val="0"/>
      <w:numFmt w:val="bullet"/>
      <w:lvlText w:val="•"/>
      <w:lvlJc w:val="left"/>
      <w:pPr>
        <w:ind w:left="4455" w:hanging="316"/>
      </w:pPr>
      <w:rPr>
        <w:rFonts w:hint="default"/>
        <w:lang w:val="zh-CN" w:eastAsia="zh-CN" w:bidi="zh-CN"/>
      </w:rPr>
    </w:lvl>
    <w:lvl w:ilvl="5" w:tentative="1">
      <w:start w:val="0"/>
      <w:numFmt w:val="bullet"/>
      <w:lvlText w:val="•"/>
      <w:lvlJc w:val="left"/>
      <w:pPr>
        <w:ind w:left="5453" w:hanging="316"/>
      </w:pPr>
      <w:rPr>
        <w:rFonts w:hint="default"/>
        <w:lang w:val="zh-CN" w:eastAsia="zh-CN" w:bidi="zh-CN"/>
      </w:rPr>
    </w:lvl>
    <w:lvl w:ilvl="6" w:tentative="1">
      <w:start w:val="0"/>
      <w:numFmt w:val="bullet"/>
      <w:lvlText w:val="•"/>
      <w:lvlJc w:val="left"/>
      <w:pPr>
        <w:ind w:left="6452" w:hanging="316"/>
      </w:pPr>
      <w:rPr>
        <w:rFonts w:hint="default"/>
        <w:lang w:val="zh-CN" w:eastAsia="zh-CN" w:bidi="zh-CN"/>
      </w:rPr>
    </w:lvl>
    <w:lvl w:ilvl="7" w:tentative="1">
      <w:start w:val="0"/>
      <w:numFmt w:val="bullet"/>
      <w:lvlText w:val="•"/>
      <w:lvlJc w:val="left"/>
      <w:pPr>
        <w:ind w:left="7450" w:hanging="316"/>
      </w:pPr>
      <w:rPr>
        <w:rFonts w:hint="default"/>
        <w:lang w:val="zh-CN" w:eastAsia="zh-CN" w:bidi="zh-CN"/>
      </w:rPr>
    </w:lvl>
    <w:lvl w:ilvl="8" w:tentative="1">
      <w:start w:val="0"/>
      <w:numFmt w:val="bullet"/>
      <w:lvlText w:val="•"/>
      <w:lvlJc w:val="left"/>
      <w:pPr>
        <w:ind w:left="8449" w:hanging="316"/>
      </w:pPr>
      <w:rPr>
        <w:rFonts w:hint="default"/>
        <w:lang w:val="zh-CN" w:eastAsia="zh-CN" w:bidi="zh-CN"/>
      </w:rPr>
    </w:lvl>
  </w:abstractNum>
  <w:abstractNum w:abstractNumId="25389677">
    <w:nsid w:val="01836A6D"/>
    <w:multiLevelType w:val="multilevel"/>
    <w:tmpl w:val="01836A6D"/>
    <w:lvl w:ilvl="0" w:tentative="1">
      <w:start w:val="1"/>
      <w:numFmt w:val="decimal"/>
      <w:lvlText w:val="%1)"/>
      <w:lvlJc w:val="left"/>
      <w:pPr>
        <w:ind w:left="1392" w:hanging="222"/>
      </w:pPr>
      <w:rPr>
        <w:rFonts w:hint="default" w:ascii="宋体" w:hAnsi="宋体" w:eastAsia="宋体" w:cs="宋体"/>
        <w:spacing w:val="-1"/>
        <w:w w:val="100"/>
        <w:sz w:val="20"/>
        <w:szCs w:val="20"/>
        <w:lang w:val="zh-CN" w:eastAsia="zh-CN" w:bidi="zh-CN"/>
      </w:rPr>
    </w:lvl>
    <w:lvl w:ilvl="1" w:tentative="1">
      <w:start w:val="0"/>
      <w:numFmt w:val="bullet"/>
      <w:lvlText w:val="•"/>
      <w:lvlJc w:val="left"/>
      <w:pPr>
        <w:ind w:left="2304" w:hanging="222"/>
      </w:pPr>
      <w:rPr>
        <w:rFonts w:hint="default"/>
        <w:lang w:val="zh-CN" w:eastAsia="zh-CN" w:bidi="zh-CN"/>
      </w:rPr>
    </w:lvl>
    <w:lvl w:ilvl="2" w:tentative="1">
      <w:start w:val="0"/>
      <w:numFmt w:val="bullet"/>
      <w:lvlText w:val="•"/>
      <w:lvlJc w:val="left"/>
      <w:pPr>
        <w:ind w:left="3209" w:hanging="222"/>
      </w:pPr>
      <w:rPr>
        <w:rFonts w:hint="default"/>
        <w:lang w:val="zh-CN" w:eastAsia="zh-CN" w:bidi="zh-CN"/>
      </w:rPr>
    </w:lvl>
    <w:lvl w:ilvl="3" w:tentative="1">
      <w:start w:val="0"/>
      <w:numFmt w:val="bullet"/>
      <w:lvlText w:val="•"/>
      <w:lvlJc w:val="left"/>
      <w:pPr>
        <w:ind w:left="4113" w:hanging="222"/>
      </w:pPr>
      <w:rPr>
        <w:rFonts w:hint="default"/>
        <w:lang w:val="zh-CN" w:eastAsia="zh-CN" w:bidi="zh-CN"/>
      </w:rPr>
    </w:lvl>
    <w:lvl w:ilvl="4" w:tentative="1">
      <w:start w:val="0"/>
      <w:numFmt w:val="bullet"/>
      <w:lvlText w:val="•"/>
      <w:lvlJc w:val="left"/>
      <w:pPr>
        <w:ind w:left="5018" w:hanging="222"/>
      </w:pPr>
      <w:rPr>
        <w:rFonts w:hint="default"/>
        <w:lang w:val="zh-CN" w:eastAsia="zh-CN" w:bidi="zh-CN"/>
      </w:rPr>
    </w:lvl>
    <w:lvl w:ilvl="5" w:tentative="1">
      <w:start w:val="0"/>
      <w:numFmt w:val="bullet"/>
      <w:lvlText w:val="•"/>
      <w:lvlJc w:val="left"/>
      <w:pPr>
        <w:ind w:left="5923" w:hanging="222"/>
      </w:pPr>
      <w:rPr>
        <w:rFonts w:hint="default"/>
        <w:lang w:val="zh-CN" w:eastAsia="zh-CN" w:bidi="zh-CN"/>
      </w:rPr>
    </w:lvl>
    <w:lvl w:ilvl="6" w:tentative="1">
      <w:start w:val="0"/>
      <w:numFmt w:val="bullet"/>
      <w:lvlText w:val="•"/>
      <w:lvlJc w:val="left"/>
      <w:pPr>
        <w:ind w:left="6827" w:hanging="222"/>
      </w:pPr>
      <w:rPr>
        <w:rFonts w:hint="default"/>
        <w:lang w:val="zh-CN" w:eastAsia="zh-CN" w:bidi="zh-CN"/>
      </w:rPr>
    </w:lvl>
    <w:lvl w:ilvl="7" w:tentative="1">
      <w:start w:val="0"/>
      <w:numFmt w:val="bullet"/>
      <w:lvlText w:val="•"/>
      <w:lvlJc w:val="left"/>
      <w:pPr>
        <w:ind w:left="7732" w:hanging="222"/>
      </w:pPr>
      <w:rPr>
        <w:rFonts w:hint="default"/>
        <w:lang w:val="zh-CN" w:eastAsia="zh-CN" w:bidi="zh-CN"/>
      </w:rPr>
    </w:lvl>
    <w:lvl w:ilvl="8" w:tentative="1">
      <w:start w:val="0"/>
      <w:numFmt w:val="bullet"/>
      <w:lvlText w:val="•"/>
      <w:lvlJc w:val="left"/>
      <w:pPr>
        <w:ind w:left="8636" w:hanging="222"/>
      </w:pPr>
      <w:rPr>
        <w:rFonts w:hint="default"/>
        <w:lang w:val="zh-CN" w:eastAsia="zh-CN" w:bidi="zh-CN"/>
      </w:rPr>
    </w:lvl>
  </w:abstractNum>
  <w:abstractNum w:abstractNumId="3209756267">
    <w:nsid w:val="BF50FE6B"/>
    <w:multiLevelType w:val="multilevel"/>
    <w:tmpl w:val="BF50FE6B"/>
    <w:lvl w:ilvl="0" w:tentative="1">
      <w:start w:val="3"/>
      <w:numFmt w:val="decimal"/>
      <w:lvlText w:val="(%1)"/>
      <w:lvlJc w:val="left"/>
      <w:pPr>
        <w:ind w:left="1502" w:hanging="333"/>
      </w:pPr>
      <w:rPr>
        <w:rFonts w:hint="default" w:ascii="宋体" w:hAnsi="宋体" w:eastAsia="宋体" w:cs="宋体"/>
        <w:spacing w:val="-1"/>
        <w:w w:val="100"/>
        <w:sz w:val="20"/>
        <w:szCs w:val="20"/>
        <w:lang w:val="zh-CN" w:eastAsia="zh-CN" w:bidi="zh-CN"/>
      </w:rPr>
    </w:lvl>
    <w:lvl w:ilvl="1" w:tentative="1">
      <w:start w:val="0"/>
      <w:numFmt w:val="bullet"/>
      <w:lvlText w:val="•"/>
      <w:lvlJc w:val="left"/>
      <w:pPr>
        <w:ind w:left="2394" w:hanging="333"/>
      </w:pPr>
      <w:rPr>
        <w:rFonts w:hint="default"/>
        <w:lang w:val="zh-CN" w:eastAsia="zh-CN" w:bidi="zh-CN"/>
      </w:rPr>
    </w:lvl>
    <w:lvl w:ilvl="2" w:tentative="1">
      <w:start w:val="0"/>
      <w:numFmt w:val="bullet"/>
      <w:lvlText w:val="•"/>
      <w:lvlJc w:val="left"/>
      <w:pPr>
        <w:ind w:left="3289" w:hanging="333"/>
      </w:pPr>
      <w:rPr>
        <w:rFonts w:hint="default"/>
        <w:lang w:val="zh-CN" w:eastAsia="zh-CN" w:bidi="zh-CN"/>
      </w:rPr>
    </w:lvl>
    <w:lvl w:ilvl="3" w:tentative="1">
      <w:start w:val="0"/>
      <w:numFmt w:val="bullet"/>
      <w:lvlText w:val="•"/>
      <w:lvlJc w:val="left"/>
      <w:pPr>
        <w:ind w:left="4183" w:hanging="333"/>
      </w:pPr>
      <w:rPr>
        <w:rFonts w:hint="default"/>
        <w:lang w:val="zh-CN" w:eastAsia="zh-CN" w:bidi="zh-CN"/>
      </w:rPr>
    </w:lvl>
    <w:lvl w:ilvl="4" w:tentative="1">
      <w:start w:val="0"/>
      <w:numFmt w:val="bullet"/>
      <w:lvlText w:val="•"/>
      <w:lvlJc w:val="left"/>
      <w:pPr>
        <w:ind w:left="5078" w:hanging="333"/>
      </w:pPr>
      <w:rPr>
        <w:rFonts w:hint="default"/>
        <w:lang w:val="zh-CN" w:eastAsia="zh-CN" w:bidi="zh-CN"/>
      </w:rPr>
    </w:lvl>
    <w:lvl w:ilvl="5" w:tentative="1">
      <w:start w:val="0"/>
      <w:numFmt w:val="bullet"/>
      <w:lvlText w:val="•"/>
      <w:lvlJc w:val="left"/>
      <w:pPr>
        <w:ind w:left="5973" w:hanging="333"/>
      </w:pPr>
      <w:rPr>
        <w:rFonts w:hint="default"/>
        <w:lang w:val="zh-CN" w:eastAsia="zh-CN" w:bidi="zh-CN"/>
      </w:rPr>
    </w:lvl>
    <w:lvl w:ilvl="6" w:tentative="1">
      <w:start w:val="0"/>
      <w:numFmt w:val="bullet"/>
      <w:lvlText w:val="•"/>
      <w:lvlJc w:val="left"/>
      <w:pPr>
        <w:ind w:left="6867" w:hanging="333"/>
      </w:pPr>
      <w:rPr>
        <w:rFonts w:hint="default"/>
        <w:lang w:val="zh-CN" w:eastAsia="zh-CN" w:bidi="zh-CN"/>
      </w:rPr>
    </w:lvl>
    <w:lvl w:ilvl="7" w:tentative="1">
      <w:start w:val="0"/>
      <w:numFmt w:val="bullet"/>
      <w:lvlText w:val="•"/>
      <w:lvlJc w:val="left"/>
      <w:pPr>
        <w:ind w:left="7762" w:hanging="333"/>
      </w:pPr>
      <w:rPr>
        <w:rFonts w:hint="default"/>
        <w:lang w:val="zh-CN" w:eastAsia="zh-CN" w:bidi="zh-CN"/>
      </w:rPr>
    </w:lvl>
    <w:lvl w:ilvl="8" w:tentative="1">
      <w:start w:val="0"/>
      <w:numFmt w:val="bullet"/>
      <w:lvlText w:val="•"/>
      <w:lvlJc w:val="left"/>
      <w:pPr>
        <w:ind w:left="8656" w:hanging="333"/>
      </w:pPr>
      <w:rPr>
        <w:rFonts w:hint="default"/>
        <w:lang w:val="zh-CN" w:eastAsia="zh-CN" w:bidi="zh-CN"/>
      </w:rPr>
    </w:lvl>
  </w:abstractNum>
  <w:abstractNum w:abstractNumId="3364330223">
    <w:nsid w:val="C8879AEF"/>
    <w:multiLevelType w:val="multilevel"/>
    <w:tmpl w:val="C8879AEF"/>
    <w:lvl w:ilvl="0" w:tentative="1">
      <w:start w:val="1"/>
      <w:numFmt w:val="decimal"/>
      <w:lvlText w:val="%1"/>
      <w:lvlJc w:val="left"/>
      <w:pPr>
        <w:ind w:left="1360" w:hanging="605"/>
      </w:pPr>
      <w:rPr>
        <w:rFonts w:hint="default"/>
        <w:lang w:val="zh-CN" w:eastAsia="zh-CN" w:bidi="zh-CN"/>
      </w:rPr>
    </w:lvl>
    <w:lvl w:ilvl="1" w:tentative="1">
      <w:start w:val="1"/>
      <w:numFmt w:val="decimal"/>
      <w:lvlText w:val="%1.%2"/>
      <w:lvlJc w:val="left"/>
      <w:pPr>
        <w:ind w:left="1360" w:hanging="605"/>
      </w:pPr>
      <w:rPr>
        <w:rFonts w:hint="default"/>
        <w:lang w:val="zh-CN" w:eastAsia="zh-CN" w:bidi="zh-CN"/>
      </w:rPr>
    </w:lvl>
    <w:lvl w:ilvl="2" w:tentative="1">
      <w:start w:val="4"/>
      <w:numFmt w:val="decimal"/>
      <w:lvlText w:val="%1.%2.%3"/>
      <w:lvlJc w:val="left"/>
      <w:pPr>
        <w:ind w:left="1360" w:hanging="605"/>
      </w:pPr>
      <w:rPr>
        <w:rFonts w:hint="default" w:ascii="宋体" w:hAnsi="宋体" w:eastAsia="宋体" w:cs="宋体"/>
        <w:spacing w:val="-1"/>
        <w:w w:val="100"/>
        <w:sz w:val="22"/>
        <w:szCs w:val="22"/>
        <w:lang w:val="zh-CN" w:eastAsia="zh-CN" w:bidi="zh-CN"/>
      </w:rPr>
    </w:lvl>
    <w:lvl w:ilvl="3" w:tentative="1">
      <w:start w:val="0"/>
      <w:numFmt w:val="bullet"/>
      <w:lvlText w:val="•"/>
      <w:lvlJc w:val="left"/>
      <w:pPr>
        <w:ind w:left="4085" w:hanging="605"/>
      </w:pPr>
      <w:rPr>
        <w:rFonts w:hint="default"/>
        <w:lang w:val="zh-CN" w:eastAsia="zh-CN" w:bidi="zh-CN"/>
      </w:rPr>
    </w:lvl>
    <w:lvl w:ilvl="4" w:tentative="1">
      <w:start w:val="0"/>
      <w:numFmt w:val="bullet"/>
      <w:lvlText w:val="•"/>
      <w:lvlJc w:val="left"/>
      <w:pPr>
        <w:ind w:left="4994" w:hanging="605"/>
      </w:pPr>
      <w:rPr>
        <w:rFonts w:hint="default"/>
        <w:lang w:val="zh-CN" w:eastAsia="zh-CN" w:bidi="zh-CN"/>
      </w:rPr>
    </w:lvl>
    <w:lvl w:ilvl="5" w:tentative="1">
      <w:start w:val="0"/>
      <w:numFmt w:val="bullet"/>
      <w:lvlText w:val="•"/>
      <w:lvlJc w:val="left"/>
      <w:pPr>
        <w:ind w:left="5903" w:hanging="605"/>
      </w:pPr>
      <w:rPr>
        <w:rFonts w:hint="default"/>
        <w:lang w:val="zh-CN" w:eastAsia="zh-CN" w:bidi="zh-CN"/>
      </w:rPr>
    </w:lvl>
    <w:lvl w:ilvl="6" w:tentative="1">
      <w:start w:val="0"/>
      <w:numFmt w:val="bullet"/>
      <w:lvlText w:val="•"/>
      <w:lvlJc w:val="left"/>
      <w:pPr>
        <w:ind w:left="6811" w:hanging="605"/>
      </w:pPr>
      <w:rPr>
        <w:rFonts w:hint="default"/>
        <w:lang w:val="zh-CN" w:eastAsia="zh-CN" w:bidi="zh-CN"/>
      </w:rPr>
    </w:lvl>
    <w:lvl w:ilvl="7" w:tentative="1">
      <w:start w:val="0"/>
      <w:numFmt w:val="bullet"/>
      <w:lvlText w:val="•"/>
      <w:lvlJc w:val="left"/>
      <w:pPr>
        <w:ind w:left="7720" w:hanging="605"/>
      </w:pPr>
      <w:rPr>
        <w:rFonts w:hint="default"/>
        <w:lang w:val="zh-CN" w:eastAsia="zh-CN" w:bidi="zh-CN"/>
      </w:rPr>
    </w:lvl>
    <w:lvl w:ilvl="8" w:tentative="1">
      <w:start w:val="0"/>
      <w:numFmt w:val="bullet"/>
      <w:lvlText w:val="•"/>
      <w:lvlJc w:val="left"/>
      <w:pPr>
        <w:ind w:left="8628" w:hanging="605"/>
      </w:pPr>
      <w:rPr>
        <w:rFonts w:hint="default"/>
        <w:lang w:val="zh-CN" w:eastAsia="zh-CN" w:bidi="zh-CN"/>
      </w:rPr>
    </w:lvl>
  </w:abstractNum>
  <w:abstractNum w:abstractNumId="3373079305">
    <w:nsid w:val="C90D1B09"/>
    <w:multiLevelType w:val="multilevel"/>
    <w:tmpl w:val="C90D1B09"/>
    <w:lvl w:ilvl="0" w:tentative="1">
      <w:start w:val="1"/>
      <w:numFmt w:val="decimal"/>
      <w:lvlText w:val="(%1)"/>
      <w:lvlJc w:val="left"/>
      <w:pPr>
        <w:ind w:left="731" w:hanging="333"/>
      </w:pPr>
      <w:rPr>
        <w:rFonts w:hint="default" w:ascii="宋体" w:hAnsi="宋体" w:eastAsia="宋体" w:cs="宋体"/>
        <w:spacing w:val="-1"/>
        <w:w w:val="100"/>
        <w:sz w:val="20"/>
        <w:szCs w:val="20"/>
        <w:lang w:val="zh-CN" w:eastAsia="zh-CN" w:bidi="zh-CN"/>
      </w:rPr>
    </w:lvl>
    <w:lvl w:ilvl="1" w:tentative="1">
      <w:start w:val="0"/>
      <w:numFmt w:val="bullet"/>
      <w:lvlText w:val="•"/>
      <w:lvlJc w:val="left"/>
      <w:pPr>
        <w:ind w:left="1710" w:hanging="333"/>
      </w:pPr>
      <w:rPr>
        <w:rFonts w:hint="default"/>
        <w:lang w:val="zh-CN" w:eastAsia="zh-CN" w:bidi="zh-CN"/>
      </w:rPr>
    </w:lvl>
    <w:lvl w:ilvl="2" w:tentative="1">
      <w:start w:val="0"/>
      <w:numFmt w:val="bullet"/>
      <w:lvlText w:val="•"/>
      <w:lvlJc w:val="left"/>
      <w:pPr>
        <w:ind w:left="2681" w:hanging="333"/>
      </w:pPr>
      <w:rPr>
        <w:rFonts w:hint="default"/>
        <w:lang w:val="zh-CN" w:eastAsia="zh-CN" w:bidi="zh-CN"/>
      </w:rPr>
    </w:lvl>
    <w:lvl w:ilvl="3" w:tentative="1">
      <w:start w:val="0"/>
      <w:numFmt w:val="bullet"/>
      <w:lvlText w:val="•"/>
      <w:lvlJc w:val="left"/>
      <w:pPr>
        <w:ind w:left="3651" w:hanging="333"/>
      </w:pPr>
      <w:rPr>
        <w:rFonts w:hint="default"/>
        <w:lang w:val="zh-CN" w:eastAsia="zh-CN" w:bidi="zh-CN"/>
      </w:rPr>
    </w:lvl>
    <w:lvl w:ilvl="4" w:tentative="1">
      <w:start w:val="0"/>
      <w:numFmt w:val="bullet"/>
      <w:lvlText w:val="•"/>
      <w:lvlJc w:val="left"/>
      <w:pPr>
        <w:ind w:left="4622" w:hanging="333"/>
      </w:pPr>
      <w:rPr>
        <w:rFonts w:hint="default"/>
        <w:lang w:val="zh-CN" w:eastAsia="zh-CN" w:bidi="zh-CN"/>
      </w:rPr>
    </w:lvl>
    <w:lvl w:ilvl="5" w:tentative="1">
      <w:start w:val="0"/>
      <w:numFmt w:val="bullet"/>
      <w:lvlText w:val="•"/>
      <w:lvlJc w:val="left"/>
      <w:pPr>
        <w:ind w:left="5593" w:hanging="333"/>
      </w:pPr>
      <w:rPr>
        <w:rFonts w:hint="default"/>
        <w:lang w:val="zh-CN" w:eastAsia="zh-CN" w:bidi="zh-CN"/>
      </w:rPr>
    </w:lvl>
    <w:lvl w:ilvl="6" w:tentative="1">
      <w:start w:val="0"/>
      <w:numFmt w:val="bullet"/>
      <w:lvlText w:val="•"/>
      <w:lvlJc w:val="left"/>
      <w:pPr>
        <w:ind w:left="6563" w:hanging="333"/>
      </w:pPr>
      <w:rPr>
        <w:rFonts w:hint="default"/>
        <w:lang w:val="zh-CN" w:eastAsia="zh-CN" w:bidi="zh-CN"/>
      </w:rPr>
    </w:lvl>
    <w:lvl w:ilvl="7" w:tentative="1">
      <w:start w:val="0"/>
      <w:numFmt w:val="bullet"/>
      <w:lvlText w:val="•"/>
      <w:lvlJc w:val="left"/>
      <w:pPr>
        <w:ind w:left="7534" w:hanging="333"/>
      </w:pPr>
      <w:rPr>
        <w:rFonts w:hint="default"/>
        <w:lang w:val="zh-CN" w:eastAsia="zh-CN" w:bidi="zh-CN"/>
      </w:rPr>
    </w:lvl>
    <w:lvl w:ilvl="8" w:tentative="1">
      <w:start w:val="0"/>
      <w:numFmt w:val="bullet"/>
      <w:lvlText w:val="•"/>
      <w:lvlJc w:val="left"/>
      <w:pPr>
        <w:ind w:left="8504" w:hanging="333"/>
      </w:pPr>
      <w:rPr>
        <w:rFonts w:hint="default"/>
        <w:lang w:val="zh-CN" w:eastAsia="zh-CN" w:bidi="zh-CN"/>
      </w:rPr>
    </w:lvl>
  </w:abstractNum>
  <w:abstractNum w:abstractNumId="3620815076">
    <w:nsid w:val="D7D140E4"/>
    <w:multiLevelType w:val="multilevel"/>
    <w:tmpl w:val="D7D140E4"/>
    <w:lvl w:ilvl="0" w:tentative="1">
      <w:start w:val="1"/>
      <w:numFmt w:val="decimal"/>
      <w:lvlText w:val="（%1）"/>
      <w:lvlJc w:val="left"/>
      <w:pPr>
        <w:ind w:left="1675" w:hanging="525"/>
      </w:pPr>
      <w:rPr>
        <w:rFonts w:hint="default" w:ascii="仿宋" w:hAnsi="仿宋" w:eastAsia="仿宋" w:cs="仿宋"/>
        <w:spacing w:val="-1"/>
        <w:w w:val="99"/>
        <w:sz w:val="19"/>
        <w:szCs w:val="19"/>
        <w:lang w:val="zh-CN" w:eastAsia="zh-CN" w:bidi="zh-CN"/>
      </w:rPr>
    </w:lvl>
    <w:lvl w:ilvl="1" w:tentative="1">
      <w:start w:val="0"/>
      <w:numFmt w:val="bullet"/>
      <w:lvlText w:val="•"/>
      <w:lvlJc w:val="left"/>
      <w:pPr>
        <w:ind w:left="2556" w:hanging="525"/>
      </w:pPr>
      <w:rPr>
        <w:rFonts w:hint="default"/>
        <w:lang w:val="zh-CN" w:eastAsia="zh-CN" w:bidi="zh-CN"/>
      </w:rPr>
    </w:lvl>
    <w:lvl w:ilvl="2" w:tentative="1">
      <w:start w:val="0"/>
      <w:numFmt w:val="bullet"/>
      <w:lvlText w:val="•"/>
      <w:lvlJc w:val="left"/>
      <w:pPr>
        <w:ind w:left="3433" w:hanging="525"/>
      </w:pPr>
      <w:rPr>
        <w:rFonts w:hint="default"/>
        <w:lang w:val="zh-CN" w:eastAsia="zh-CN" w:bidi="zh-CN"/>
      </w:rPr>
    </w:lvl>
    <w:lvl w:ilvl="3" w:tentative="1">
      <w:start w:val="0"/>
      <w:numFmt w:val="bullet"/>
      <w:lvlText w:val="•"/>
      <w:lvlJc w:val="left"/>
      <w:pPr>
        <w:ind w:left="4309" w:hanging="525"/>
      </w:pPr>
      <w:rPr>
        <w:rFonts w:hint="default"/>
        <w:lang w:val="zh-CN" w:eastAsia="zh-CN" w:bidi="zh-CN"/>
      </w:rPr>
    </w:lvl>
    <w:lvl w:ilvl="4" w:tentative="1">
      <w:start w:val="0"/>
      <w:numFmt w:val="bullet"/>
      <w:lvlText w:val="•"/>
      <w:lvlJc w:val="left"/>
      <w:pPr>
        <w:ind w:left="5186" w:hanging="525"/>
      </w:pPr>
      <w:rPr>
        <w:rFonts w:hint="default"/>
        <w:lang w:val="zh-CN" w:eastAsia="zh-CN" w:bidi="zh-CN"/>
      </w:rPr>
    </w:lvl>
    <w:lvl w:ilvl="5" w:tentative="1">
      <w:start w:val="0"/>
      <w:numFmt w:val="bullet"/>
      <w:lvlText w:val="•"/>
      <w:lvlJc w:val="left"/>
      <w:pPr>
        <w:ind w:left="6063" w:hanging="525"/>
      </w:pPr>
      <w:rPr>
        <w:rFonts w:hint="default"/>
        <w:lang w:val="zh-CN" w:eastAsia="zh-CN" w:bidi="zh-CN"/>
      </w:rPr>
    </w:lvl>
    <w:lvl w:ilvl="6" w:tentative="1">
      <w:start w:val="0"/>
      <w:numFmt w:val="bullet"/>
      <w:lvlText w:val="•"/>
      <w:lvlJc w:val="left"/>
      <w:pPr>
        <w:ind w:left="6939" w:hanging="525"/>
      </w:pPr>
      <w:rPr>
        <w:rFonts w:hint="default"/>
        <w:lang w:val="zh-CN" w:eastAsia="zh-CN" w:bidi="zh-CN"/>
      </w:rPr>
    </w:lvl>
    <w:lvl w:ilvl="7" w:tentative="1">
      <w:start w:val="0"/>
      <w:numFmt w:val="bullet"/>
      <w:lvlText w:val="•"/>
      <w:lvlJc w:val="left"/>
      <w:pPr>
        <w:ind w:left="7816" w:hanging="525"/>
      </w:pPr>
      <w:rPr>
        <w:rFonts w:hint="default"/>
        <w:lang w:val="zh-CN" w:eastAsia="zh-CN" w:bidi="zh-CN"/>
      </w:rPr>
    </w:lvl>
    <w:lvl w:ilvl="8" w:tentative="1">
      <w:start w:val="0"/>
      <w:numFmt w:val="bullet"/>
      <w:lvlText w:val="•"/>
      <w:lvlJc w:val="left"/>
      <w:pPr>
        <w:ind w:left="8692" w:hanging="525"/>
      </w:pPr>
      <w:rPr>
        <w:rFonts w:hint="default"/>
        <w:lang w:val="zh-CN" w:eastAsia="zh-CN" w:bidi="zh-CN"/>
      </w:rPr>
    </w:lvl>
  </w:abstractNum>
  <w:abstractNum w:abstractNumId="3671304276">
    <w:nsid w:val="DAD3A854"/>
    <w:multiLevelType w:val="multilevel"/>
    <w:tmpl w:val="DAD3A854"/>
    <w:lvl w:ilvl="0" w:tentative="1">
      <w:start w:val="1"/>
      <w:numFmt w:val="decimal"/>
      <w:lvlText w:val="%1."/>
      <w:lvlJc w:val="left"/>
      <w:pPr>
        <w:ind w:left="731" w:hanging="316"/>
      </w:pPr>
      <w:rPr>
        <w:rFonts w:hint="default" w:ascii="Times New Roman" w:hAnsi="Times New Roman" w:eastAsia="Times New Roman" w:cs="Times New Roman"/>
        <w:spacing w:val="-34"/>
        <w:w w:val="99"/>
        <w:sz w:val="19"/>
        <w:szCs w:val="19"/>
        <w:lang w:val="zh-CN" w:eastAsia="zh-CN" w:bidi="zh-CN"/>
      </w:rPr>
    </w:lvl>
    <w:lvl w:ilvl="1" w:tentative="1">
      <w:start w:val="0"/>
      <w:numFmt w:val="bullet"/>
      <w:lvlText w:val="•"/>
      <w:lvlJc w:val="left"/>
      <w:pPr>
        <w:ind w:left="1710" w:hanging="316"/>
      </w:pPr>
      <w:rPr>
        <w:rFonts w:hint="default"/>
        <w:lang w:val="zh-CN" w:eastAsia="zh-CN" w:bidi="zh-CN"/>
      </w:rPr>
    </w:lvl>
    <w:lvl w:ilvl="2" w:tentative="1">
      <w:start w:val="0"/>
      <w:numFmt w:val="bullet"/>
      <w:lvlText w:val="•"/>
      <w:lvlJc w:val="left"/>
      <w:pPr>
        <w:ind w:left="2681" w:hanging="316"/>
      </w:pPr>
      <w:rPr>
        <w:rFonts w:hint="default"/>
        <w:lang w:val="zh-CN" w:eastAsia="zh-CN" w:bidi="zh-CN"/>
      </w:rPr>
    </w:lvl>
    <w:lvl w:ilvl="3" w:tentative="1">
      <w:start w:val="0"/>
      <w:numFmt w:val="bullet"/>
      <w:lvlText w:val="•"/>
      <w:lvlJc w:val="left"/>
      <w:pPr>
        <w:ind w:left="3651" w:hanging="316"/>
      </w:pPr>
      <w:rPr>
        <w:rFonts w:hint="default"/>
        <w:lang w:val="zh-CN" w:eastAsia="zh-CN" w:bidi="zh-CN"/>
      </w:rPr>
    </w:lvl>
    <w:lvl w:ilvl="4" w:tentative="1">
      <w:start w:val="0"/>
      <w:numFmt w:val="bullet"/>
      <w:lvlText w:val="•"/>
      <w:lvlJc w:val="left"/>
      <w:pPr>
        <w:ind w:left="4622" w:hanging="316"/>
      </w:pPr>
      <w:rPr>
        <w:rFonts w:hint="default"/>
        <w:lang w:val="zh-CN" w:eastAsia="zh-CN" w:bidi="zh-CN"/>
      </w:rPr>
    </w:lvl>
    <w:lvl w:ilvl="5" w:tentative="1">
      <w:start w:val="0"/>
      <w:numFmt w:val="bullet"/>
      <w:lvlText w:val="•"/>
      <w:lvlJc w:val="left"/>
      <w:pPr>
        <w:ind w:left="5593" w:hanging="316"/>
      </w:pPr>
      <w:rPr>
        <w:rFonts w:hint="default"/>
        <w:lang w:val="zh-CN" w:eastAsia="zh-CN" w:bidi="zh-CN"/>
      </w:rPr>
    </w:lvl>
    <w:lvl w:ilvl="6" w:tentative="1">
      <w:start w:val="0"/>
      <w:numFmt w:val="bullet"/>
      <w:lvlText w:val="•"/>
      <w:lvlJc w:val="left"/>
      <w:pPr>
        <w:ind w:left="6563" w:hanging="316"/>
      </w:pPr>
      <w:rPr>
        <w:rFonts w:hint="default"/>
        <w:lang w:val="zh-CN" w:eastAsia="zh-CN" w:bidi="zh-CN"/>
      </w:rPr>
    </w:lvl>
    <w:lvl w:ilvl="7" w:tentative="1">
      <w:start w:val="0"/>
      <w:numFmt w:val="bullet"/>
      <w:lvlText w:val="•"/>
      <w:lvlJc w:val="left"/>
      <w:pPr>
        <w:ind w:left="7534" w:hanging="316"/>
      </w:pPr>
      <w:rPr>
        <w:rFonts w:hint="default"/>
        <w:lang w:val="zh-CN" w:eastAsia="zh-CN" w:bidi="zh-CN"/>
      </w:rPr>
    </w:lvl>
    <w:lvl w:ilvl="8" w:tentative="1">
      <w:start w:val="0"/>
      <w:numFmt w:val="bullet"/>
      <w:lvlText w:val="•"/>
      <w:lvlJc w:val="left"/>
      <w:pPr>
        <w:ind w:left="8504" w:hanging="316"/>
      </w:pPr>
      <w:rPr>
        <w:rFonts w:hint="default"/>
        <w:lang w:val="zh-CN" w:eastAsia="zh-CN" w:bidi="zh-CN"/>
      </w:rPr>
    </w:lvl>
  </w:abstractNum>
  <w:abstractNum w:abstractNumId="3703204691">
    <w:nsid w:val="DCBA6B53"/>
    <w:multiLevelType w:val="multilevel"/>
    <w:tmpl w:val="DCBA6B53"/>
    <w:lvl w:ilvl="0" w:tentative="1">
      <w:start w:val="1"/>
      <w:numFmt w:val="decimal"/>
      <w:lvlText w:val="%1"/>
      <w:lvlJc w:val="left"/>
      <w:pPr>
        <w:ind w:left="1134" w:hanging="802"/>
      </w:pPr>
      <w:rPr>
        <w:rFonts w:hint="default"/>
        <w:lang w:val="zh-CN" w:eastAsia="zh-CN" w:bidi="zh-CN"/>
      </w:rPr>
    </w:lvl>
    <w:lvl w:ilvl="1" w:tentative="1">
      <w:start w:val="12"/>
      <w:numFmt w:val="decimal"/>
      <w:lvlText w:val="%1.%2"/>
      <w:lvlJc w:val="left"/>
      <w:pPr>
        <w:ind w:left="1134" w:hanging="802"/>
      </w:pPr>
      <w:rPr>
        <w:rFonts w:hint="default" w:ascii="宋体" w:hAnsi="宋体" w:eastAsia="宋体" w:cs="宋体"/>
        <w:spacing w:val="-2"/>
        <w:w w:val="99"/>
        <w:sz w:val="32"/>
        <w:szCs w:val="32"/>
        <w:lang w:val="zh-CN" w:eastAsia="zh-CN" w:bidi="zh-CN"/>
      </w:rPr>
    </w:lvl>
    <w:lvl w:ilvl="2" w:tentative="1">
      <w:start w:val="0"/>
      <w:numFmt w:val="bullet"/>
      <w:lvlText w:val="•"/>
      <w:lvlJc w:val="left"/>
      <w:pPr>
        <w:ind w:left="3001" w:hanging="802"/>
      </w:pPr>
      <w:rPr>
        <w:rFonts w:hint="default"/>
        <w:lang w:val="zh-CN" w:eastAsia="zh-CN" w:bidi="zh-CN"/>
      </w:rPr>
    </w:lvl>
    <w:lvl w:ilvl="3" w:tentative="1">
      <w:start w:val="0"/>
      <w:numFmt w:val="bullet"/>
      <w:lvlText w:val="•"/>
      <w:lvlJc w:val="left"/>
      <w:pPr>
        <w:ind w:left="3931" w:hanging="802"/>
      </w:pPr>
      <w:rPr>
        <w:rFonts w:hint="default"/>
        <w:lang w:val="zh-CN" w:eastAsia="zh-CN" w:bidi="zh-CN"/>
      </w:rPr>
    </w:lvl>
    <w:lvl w:ilvl="4" w:tentative="1">
      <w:start w:val="0"/>
      <w:numFmt w:val="bullet"/>
      <w:lvlText w:val="•"/>
      <w:lvlJc w:val="left"/>
      <w:pPr>
        <w:ind w:left="4862" w:hanging="802"/>
      </w:pPr>
      <w:rPr>
        <w:rFonts w:hint="default"/>
        <w:lang w:val="zh-CN" w:eastAsia="zh-CN" w:bidi="zh-CN"/>
      </w:rPr>
    </w:lvl>
    <w:lvl w:ilvl="5" w:tentative="1">
      <w:start w:val="0"/>
      <w:numFmt w:val="bullet"/>
      <w:lvlText w:val="•"/>
      <w:lvlJc w:val="left"/>
      <w:pPr>
        <w:ind w:left="5793" w:hanging="802"/>
      </w:pPr>
      <w:rPr>
        <w:rFonts w:hint="default"/>
        <w:lang w:val="zh-CN" w:eastAsia="zh-CN" w:bidi="zh-CN"/>
      </w:rPr>
    </w:lvl>
    <w:lvl w:ilvl="6" w:tentative="1">
      <w:start w:val="0"/>
      <w:numFmt w:val="bullet"/>
      <w:lvlText w:val="•"/>
      <w:lvlJc w:val="left"/>
      <w:pPr>
        <w:ind w:left="6723" w:hanging="802"/>
      </w:pPr>
      <w:rPr>
        <w:rFonts w:hint="default"/>
        <w:lang w:val="zh-CN" w:eastAsia="zh-CN" w:bidi="zh-CN"/>
      </w:rPr>
    </w:lvl>
    <w:lvl w:ilvl="7" w:tentative="1">
      <w:start w:val="0"/>
      <w:numFmt w:val="bullet"/>
      <w:lvlText w:val="•"/>
      <w:lvlJc w:val="left"/>
      <w:pPr>
        <w:ind w:left="7654" w:hanging="802"/>
      </w:pPr>
      <w:rPr>
        <w:rFonts w:hint="default"/>
        <w:lang w:val="zh-CN" w:eastAsia="zh-CN" w:bidi="zh-CN"/>
      </w:rPr>
    </w:lvl>
    <w:lvl w:ilvl="8" w:tentative="1">
      <w:start w:val="0"/>
      <w:numFmt w:val="bullet"/>
      <w:lvlText w:val="•"/>
      <w:lvlJc w:val="left"/>
      <w:pPr>
        <w:ind w:left="8584" w:hanging="802"/>
      </w:pPr>
      <w:rPr>
        <w:rFonts w:hint="default"/>
        <w:lang w:val="zh-CN" w:eastAsia="zh-CN" w:bidi="zh-CN"/>
      </w:rPr>
    </w:lvl>
  </w:abstractNum>
  <w:abstractNum w:abstractNumId="3303068234">
    <w:nsid w:val="C4E0D24A"/>
    <w:multiLevelType w:val="multilevel"/>
    <w:tmpl w:val="C4E0D24A"/>
    <w:lvl w:ilvl="0" w:tentative="1">
      <w:start w:val="2"/>
      <w:numFmt w:val="decimal"/>
      <w:lvlText w:val="%1"/>
      <w:lvlJc w:val="left"/>
      <w:pPr>
        <w:ind w:left="1465" w:hanging="315"/>
      </w:pPr>
      <w:rPr>
        <w:rFonts w:hint="default"/>
        <w:lang w:val="zh-CN" w:eastAsia="zh-CN" w:bidi="zh-CN"/>
      </w:rPr>
    </w:lvl>
    <w:lvl w:ilvl="1" w:tentative="1">
      <w:start w:val="1"/>
      <w:numFmt w:val="decimal"/>
      <w:lvlText w:val="%1.%2"/>
      <w:lvlJc w:val="left"/>
      <w:pPr>
        <w:ind w:left="1465" w:hanging="315"/>
      </w:pPr>
      <w:rPr>
        <w:rFonts w:hint="default" w:ascii="Times New Roman" w:hAnsi="Times New Roman" w:eastAsia="Times New Roman" w:cs="Times New Roman"/>
        <w:spacing w:val="0"/>
        <w:w w:val="99"/>
        <w:sz w:val="21"/>
        <w:szCs w:val="21"/>
        <w:lang w:val="zh-CN" w:eastAsia="zh-CN" w:bidi="zh-CN"/>
      </w:rPr>
    </w:lvl>
    <w:lvl w:ilvl="2" w:tentative="1">
      <w:start w:val="0"/>
      <w:numFmt w:val="bullet"/>
      <w:lvlText w:val="•"/>
      <w:lvlJc w:val="left"/>
      <w:pPr>
        <w:ind w:left="3257" w:hanging="315"/>
      </w:pPr>
      <w:rPr>
        <w:rFonts w:hint="default"/>
        <w:lang w:val="zh-CN" w:eastAsia="zh-CN" w:bidi="zh-CN"/>
      </w:rPr>
    </w:lvl>
    <w:lvl w:ilvl="3" w:tentative="1">
      <w:start w:val="0"/>
      <w:numFmt w:val="bullet"/>
      <w:lvlText w:val="•"/>
      <w:lvlJc w:val="left"/>
      <w:pPr>
        <w:ind w:left="4155" w:hanging="315"/>
      </w:pPr>
      <w:rPr>
        <w:rFonts w:hint="default"/>
        <w:lang w:val="zh-CN" w:eastAsia="zh-CN" w:bidi="zh-CN"/>
      </w:rPr>
    </w:lvl>
    <w:lvl w:ilvl="4" w:tentative="1">
      <w:start w:val="0"/>
      <w:numFmt w:val="bullet"/>
      <w:lvlText w:val="•"/>
      <w:lvlJc w:val="left"/>
      <w:pPr>
        <w:ind w:left="5054" w:hanging="315"/>
      </w:pPr>
      <w:rPr>
        <w:rFonts w:hint="default"/>
        <w:lang w:val="zh-CN" w:eastAsia="zh-CN" w:bidi="zh-CN"/>
      </w:rPr>
    </w:lvl>
    <w:lvl w:ilvl="5" w:tentative="1">
      <w:start w:val="0"/>
      <w:numFmt w:val="bullet"/>
      <w:lvlText w:val="•"/>
      <w:lvlJc w:val="left"/>
      <w:pPr>
        <w:ind w:left="5953" w:hanging="315"/>
      </w:pPr>
      <w:rPr>
        <w:rFonts w:hint="default"/>
        <w:lang w:val="zh-CN" w:eastAsia="zh-CN" w:bidi="zh-CN"/>
      </w:rPr>
    </w:lvl>
    <w:lvl w:ilvl="6" w:tentative="1">
      <w:start w:val="0"/>
      <w:numFmt w:val="bullet"/>
      <w:lvlText w:val="•"/>
      <w:lvlJc w:val="left"/>
      <w:pPr>
        <w:ind w:left="6851" w:hanging="315"/>
      </w:pPr>
      <w:rPr>
        <w:rFonts w:hint="default"/>
        <w:lang w:val="zh-CN" w:eastAsia="zh-CN" w:bidi="zh-CN"/>
      </w:rPr>
    </w:lvl>
    <w:lvl w:ilvl="7" w:tentative="1">
      <w:start w:val="0"/>
      <w:numFmt w:val="bullet"/>
      <w:lvlText w:val="•"/>
      <w:lvlJc w:val="left"/>
      <w:pPr>
        <w:ind w:left="7750" w:hanging="315"/>
      </w:pPr>
      <w:rPr>
        <w:rFonts w:hint="default"/>
        <w:lang w:val="zh-CN" w:eastAsia="zh-CN" w:bidi="zh-CN"/>
      </w:rPr>
    </w:lvl>
    <w:lvl w:ilvl="8" w:tentative="1">
      <w:start w:val="0"/>
      <w:numFmt w:val="bullet"/>
      <w:lvlText w:val="•"/>
      <w:lvlJc w:val="left"/>
      <w:pPr>
        <w:ind w:left="8648" w:hanging="315"/>
      </w:pPr>
      <w:rPr>
        <w:rFonts w:hint="default"/>
        <w:lang w:val="zh-CN" w:eastAsia="zh-CN" w:bidi="zh-CN"/>
      </w:rPr>
    </w:lvl>
  </w:abstractNum>
  <w:abstractNum w:abstractNumId="3767772336">
    <w:nsid w:val="E093A4B0"/>
    <w:multiLevelType w:val="multilevel"/>
    <w:tmpl w:val="E093A4B0"/>
    <w:lvl w:ilvl="0" w:tentative="1">
      <w:start w:val="1"/>
      <w:numFmt w:val="decimal"/>
      <w:lvlText w:val="%1"/>
      <w:lvlJc w:val="left"/>
      <w:pPr>
        <w:ind w:left="1676" w:hanging="526"/>
      </w:pPr>
      <w:rPr>
        <w:rFonts w:hint="default"/>
        <w:lang w:val="zh-CN" w:eastAsia="zh-CN" w:bidi="zh-CN"/>
      </w:rPr>
    </w:lvl>
    <w:lvl w:ilvl="1" w:tentative="1">
      <w:start w:val="6"/>
      <w:numFmt w:val="decimal"/>
      <w:lvlText w:val="%1.%2"/>
      <w:lvlJc w:val="left"/>
      <w:pPr>
        <w:ind w:left="1676" w:hanging="526"/>
      </w:pPr>
      <w:rPr>
        <w:rFonts w:hint="default"/>
        <w:lang w:val="zh-CN" w:eastAsia="zh-CN" w:bidi="zh-CN"/>
      </w:rPr>
    </w:lvl>
    <w:lvl w:ilvl="2" w:tentative="1">
      <w:start w:val="4"/>
      <w:numFmt w:val="decimal"/>
      <w:lvlText w:val="%1.%2.%3"/>
      <w:lvlJc w:val="left"/>
      <w:pPr>
        <w:ind w:left="1676" w:hanging="526"/>
      </w:pPr>
      <w:rPr>
        <w:rFonts w:hint="default" w:ascii="Times New Roman" w:hAnsi="Times New Roman" w:eastAsia="Times New Roman" w:cs="Times New Roman"/>
        <w:spacing w:val="0"/>
        <w:w w:val="99"/>
        <w:sz w:val="21"/>
        <w:szCs w:val="21"/>
        <w:lang w:val="zh-CN" w:eastAsia="zh-CN" w:bidi="zh-CN"/>
      </w:rPr>
    </w:lvl>
    <w:lvl w:ilvl="3" w:tentative="1">
      <w:start w:val="0"/>
      <w:numFmt w:val="bullet"/>
      <w:lvlText w:val="•"/>
      <w:lvlJc w:val="left"/>
      <w:pPr>
        <w:ind w:left="4309" w:hanging="526"/>
      </w:pPr>
      <w:rPr>
        <w:rFonts w:hint="default"/>
        <w:lang w:val="zh-CN" w:eastAsia="zh-CN" w:bidi="zh-CN"/>
      </w:rPr>
    </w:lvl>
    <w:lvl w:ilvl="4" w:tentative="1">
      <w:start w:val="0"/>
      <w:numFmt w:val="bullet"/>
      <w:lvlText w:val="•"/>
      <w:lvlJc w:val="left"/>
      <w:pPr>
        <w:ind w:left="5186" w:hanging="526"/>
      </w:pPr>
      <w:rPr>
        <w:rFonts w:hint="default"/>
        <w:lang w:val="zh-CN" w:eastAsia="zh-CN" w:bidi="zh-CN"/>
      </w:rPr>
    </w:lvl>
    <w:lvl w:ilvl="5" w:tentative="1">
      <w:start w:val="0"/>
      <w:numFmt w:val="bullet"/>
      <w:lvlText w:val="•"/>
      <w:lvlJc w:val="left"/>
      <w:pPr>
        <w:ind w:left="6063" w:hanging="526"/>
      </w:pPr>
      <w:rPr>
        <w:rFonts w:hint="default"/>
        <w:lang w:val="zh-CN" w:eastAsia="zh-CN" w:bidi="zh-CN"/>
      </w:rPr>
    </w:lvl>
    <w:lvl w:ilvl="6" w:tentative="1">
      <w:start w:val="0"/>
      <w:numFmt w:val="bullet"/>
      <w:lvlText w:val="•"/>
      <w:lvlJc w:val="left"/>
      <w:pPr>
        <w:ind w:left="6939" w:hanging="526"/>
      </w:pPr>
      <w:rPr>
        <w:rFonts w:hint="default"/>
        <w:lang w:val="zh-CN" w:eastAsia="zh-CN" w:bidi="zh-CN"/>
      </w:rPr>
    </w:lvl>
    <w:lvl w:ilvl="7" w:tentative="1">
      <w:start w:val="0"/>
      <w:numFmt w:val="bullet"/>
      <w:lvlText w:val="•"/>
      <w:lvlJc w:val="left"/>
      <w:pPr>
        <w:ind w:left="7816" w:hanging="526"/>
      </w:pPr>
      <w:rPr>
        <w:rFonts w:hint="default"/>
        <w:lang w:val="zh-CN" w:eastAsia="zh-CN" w:bidi="zh-CN"/>
      </w:rPr>
    </w:lvl>
    <w:lvl w:ilvl="8" w:tentative="1">
      <w:start w:val="0"/>
      <w:numFmt w:val="bullet"/>
      <w:lvlText w:val="•"/>
      <w:lvlJc w:val="left"/>
      <w:pPr>
        <w:ind w:left="8692" w:hanging="526"/>
      </w:pPr>
      <w:rPr>
        <w:rFonts w:hint="default"/>
        <w:lang w:val="zh-CN" w:eastAsia="zh-CN" w:bidi="zh-CN"/>
      </w:rPr>
    </w:lvl>
  </w:abstractNum>
  <w:abstractNum w:abstractNumId="4041773688">
    <w:nsid w:val="F0E89278"/>
    <w:multiLevelType w:val="multilevel"/>
    <w:tmpl w:val="F0E89278"/>
    <w:lvl w:ilvl="0" w:tentative="1">
      <w:start w:val="13"/>
      <w:numFmt w:val="decimal"/>
      <w:lvlText w:val="%1"/>
      <w:lvlJc w:val="left"/>
      <w:pPr>
        <w:ind w:left="1727" w:hanging="576"/>
      </w:pPr>
      <w:rPr>
        <w:rFonts w:hint="default"/>
        <w:lang w:val="zh-CN" w:eastAsia="zh-CN" w:bidi="zh-CN"/>
      </w:rPr>
    </w:lvl>
    <w:lvl w:ilvl="1" w:tentative="1">
      <w:start w:val="2"/>
      <w:numFmt w:val="decimal"/>
      <w:lvlText w:val="%1.%2"/>
      <w:lvlJc w:val="left"/>
      <w:pPr>
        <w:ind w:left="1727" w:hanging="576"/>
      </w:pPr>
      <w:rPr>
        <w:rFonts w:hint="default"/>
        <w:lang w:val="zh-CN" w:eastAsia="zh-CN" w:bidi="zh-CN"/>
      </w:rPr>
    </w:lvl>
    <w:lvl w:ilvl="2" w:tentative="1">
      <w:start w:val="2"/>
      <w:numFmt w:val="decimal"/>
      <w:lvlText w:val="%1.%2.%3"/>
      <w:lvlJc w:val="left"/>
      <w:pPr>
        <w:ind w:left="1727" w:hanging="576"/>
      </w:pPr>
      <w:rPr>
        <w:rFonts w:hint="default" w:ascii="Times New Roman" w:hAnsi="Times New Roman" w:eastAsia="Times New Roman" w:cs="Times New Roman"/>
        <w:spacing w:val="-2"/>
        <w:w w:val="99"/>
        <w:sz w:val="21"/>
        <w:szCs w:val="21"/>
        <w:lang w:val="zh-CN" w:eastAsia="zh-CN" w:bidi="zh-CN"/>
      </w:rPr>
    </w:lvl>
    <w:lvl w:ilvl="3" w:tentative="1">
      <w:start w:val="0"/>
      <w:numFmt w:val="bullet"/>
      <w:lvlText w:val="•"/>
      <w:lvlJc w:val="left"/>
      <w:pPr>
        <w:ind w:left="4337" w:hanging="576"/>
      </w:pPr>
      <w:rPr>
        <w:rFonts w:hint="default"/>
        <w:lang w:val="zh-CN" w:eastAsia="zh-CN" w:bidi="zh-CN"/>
      </w:rPr>
    </w:lvl>
    <w:lvl w:ilvl="4" w:tentative="1">
      <w:start w:val="0"/>
      <w:numFmt w:val="bullet"/>
      <w:lvlText w:val="•"/>
      <w:lvlJc w:val="left"/>
      <w:pPr>
        <w:ind w:left="5210" w:hanging="576"/>
      </w:pPr>
      <w:rPr>
        <w:rFonts w:hint="default"/>
        <w:lang w:val="zh-CN" w:eastAsia="zh-CN" w:bidi="zh-CN"/>
      </w:rPr>
    </w:lvl>
    <w:lvl w:ilvl="5" w:tentative="1">
      <w:start w:val="0"/>
      <w:numFmt w:val="bullet"/>
      <w:lvlText w:val="•"/>
      <w:lvlJc w:val="left"/>
      <w:pPr>
        <w:ind w:left="6083" w:hanging="576"/>
      </w:pPr>
      <w:rPr>
        <w:rFonts w:hint="default"/>
        <w:lang w:val="zh-CN" w:eastAsia="zh-CN" w:bidi="zh-CN"/>
      </w:rPr>
    </w:lvl>
    <w:lvl w:ilvl="6" w:tentative="1">
      <w:start w:val="0"/>
      <w:numFmt w:val="bullet"/>
      <w:lvlText w:val="•"/>
      <w:lvlJc w:val="left"/>
      <w:pPr>
        <w:ind w:left="6955" w:hanging="576"/>
      </w:pPr>
      <w:rPr>
        <w:rFonts w:hint="default"/>
        <w:lang w:val="zh-CN" w:eastAsia="zh-CN" w:bidi="zh-CN"/>
      </w:rPr>
    </w:lvl>
    <w:lvl w:ilvl="7" w:tentative="1">
      <w:start w:val="0"/>
      <w:numFmt w:val="bullet"/>
      <w:lvlText w:val="•"/>
      <w:lvlJc w:val="left"/>
      <w:pPr>
        <w:ind w:left="7828" w:hanging="576"/>
      </w:pPr>
      <w:rPr>
        <w:rFonts w:hint="default"/>
        <w:lang w:val="zh-CN" w:eastAsia="zh-CN" w:bidi="zh-CN"/>
      </w:rPr>
    </w:lvl>
    <w:lvl w:ilvl="8" w:tentative="1">
      <w:start w:val="0"/>
      <w:numFmt w:val="bullet"/>
      <w:lvlText w:val="•"/>
      <w:lvlJc w:val="left"/>
      <w:pPr>
        <w:ind w:left="8700" w:hanging="576"/>
      </w:pPr>
      <w:rPr>
        <w:rFonts w:hint="default"/>
        <w:lang w:val="zh-CN" w:eastAsia="zh-CN" w:bidi="zh-CN"/>
      </w:rPr>
    </w:lvl>
  </w:abstractNum>
  <w:abstractNum w:abstractNumId="4151533001">
    <w:nsid w:val="F7735DC9"/>
    <w:multiLevelType w:val="multilevel"/>
    <w:tmpl w:val="F7735DC9"/>
    <w:lvl w:ilvl="0" w:tentative="1">
      <w:start w:val="1"/>
      <w:numFmt w:val="decimal"/>
      <w:lvlText w:val="（%1）"/>
      <w:lvlJc w:val="left"/>
      <w:pPr>
        <w:ind w:left="1675" w:hanging="525"/>
      </w:pPr>
      <w:rPr>
        <w:rFonts w:hint="default" w:ascii="仿宋" w:hAnsi="仿宋" w:eastAsia="仿宋" w:cs="仿宋"/>
        <w:spacing w:val="-1"/>
        <w:w w:val="99"/>
        <w:sz w:val="19"/>
        <w:szCs w:val="19"/>
        <w:lang w:val="zh-CN" w:eastAsia="zh-CN" w:bidi="zh-CN"/>
      </w:rPr>
    </w:lvl>
    <w:lvl w:ilvl="1" w:tentative="1">
      <w:start w:val="0"/>
      <w:numFmt w:val="bullet"/>
      <w:lvlText w:val="•"/>
      <w:lvlJc w:val="left"/>
      <w:pPr>
        <w:ind w:left="2556" w:hanging="525"/>
      </w:pPr>
      <w:rPr>
        <w:rFonts w:hint="default"/>
        <w:lang w:val="zh-CN" w:eastAsia="zh-CN" w:bidi="zh-CN"/>
      </w:rPr>
    </w:lvl>
    <w:lvl w:ilvl="2" w:tentative="1">
      <w:start w:val="0"/>
      <w:numFmt w:val="bullet"/>
      <w:lvlText w:val="•"/>
      <w:lvlJc w:val="left"/>
      <w:pPr>
        <w:ind w:left="3433" w:hanging="525"/>
      </w:pPr>
      <w:rPr>
        <w:rFonts w:hint="default"/>
        <w:lang w:val="zh-CN" w:eastAsia="zh-CN" w:bidi="zh-CN"/>
      </w:rPr>
    </w:lvl>
    <w:lvl w:ilvl="3" w:tentative="1">
      <w:start w:val="0"/>
      <w:numFmt w:val="bullet"/>
      <w:lvlText w:val="•"/>
      <w:lvlJc w:val="left"/>
      <w:pPr>
        <w:ind w:left="4309" w:hanging="525"/>
      </w:pPr>
      <w:rPr>
        <w:rFonts w:hint="default"/>
        <w:lang w:val="zh-CN" w:eastAsia="zh-CN" w:bidi="zh-CN"/>
      </w:rPr>
    </w:lvl>
    <w:lvl w:ilvl="4" w:tentative="1">
      <w:start w:val="0"/>
      <w:numFmt w:val="bullet"/>
      <w:lvlText w:val="•"/>
      <w:lvlJc w:val="left"/>
      <w:pPr>
        <w:ind w:left="5186" w:hanging="525"/>
      </w:pPr>
      <w:rPr>
        <w:rFonts w:hint="default"/>
        <w:lang w:val="zh-CN" w:eastAsia="zh-CN" w:bidi="zh-CN"/>
      </w:rPr>
    </w:lvl>
    <w:lvl w:ilvl="5" w:tentative="1">
      <w:start w:val="0"/>
      <w:numFmt w:val="bullet"/>
      <w:lvlText w:val="•"/>
      <w:lvlJc w:val="left"/>
      <w:pPr>
        <w:ind w:left="6063" w:hanging="525"/>
      </w:pPr>
      <w:rPr>
        <w:rFonts w:hint="default"/>
        <w:lang w:val="zh-CN" w:eastAsia="zh-CN" w:bidi="zh-CN"/>
      </w:rPr>
    </w:lvl>
    <w:lvl w:ilvl="6" w:tentative="1">
      <w:start w:val="0"/>
      <w:numFmt w:val="bullet"/>
      <w:lvlText w:val="•"/>
      <w:lvlJc w:val="left"/>
      <w:pPr>
        <w:ind w:left="6939" w:hanging="525"/>
      </w:pPr>
      <w:rPr>
        <w:rFonts w:hint="default"/>
        <w:lang w:val="zh-CN" w:eastAsia="zh-CN" w:bidi="zh-CN"/>
      </w:rPr>
    </w:lvl>
    <w:lvl w:ilvl="7" w:tentative="1">
      <w:start w:val="0"/>
      <w:numFmt w:val="bullet"/>
      <w:lvlText w:val="•"/>
      <w:lvlJc w:val="left"/>
      <w:pPr>
        <w:ind w:left="7816" w:hanging="525"/>
      </w:pPr>
      <w:rPr>
        <w:rFonts w:hint="default"/>
        <w:lang w:val="zh-CN" w:eastAsia="zh-CN" w:bidi="zh-CN"/>
      </w:rPr>
    </w:lvl>
    <w:lvl w:ilvl="8" w:tentative="1">
      <w:start w:val="0"/>
      <w:numFmt w:val="bullet"/>
      <w:lvlText w:val="•"/>
      <w:lvlJc w:val="left"/>
      <w:pPr>
        <w:ind w:left="8692" w:hanging="525"/>
      </w:pPr>
      <w:rPr>
        <w:rFonts w:hint="default"/>
        <w:lang w:val="zh-CN" w:eastAsia="zh-CN" w:bidi="zh-CN"/>
      </w:rPr>
    </w:lvl>
  </w:abstractNum>
  <w:abstractNum w:abstractNumId="3197253489">
    <w:nsid w:val="BE923771"/>
    <w:multiLevelType w:val="multilevel"/>
    <w:tmpl w:val="BE923771"/>
    <w:lvl w:ilvl="0" w:tentative="1">
      <w:start w:val="3"/>
      <w:numFmt w:val="decimal"/>
      <w:lvlText w:val="（%1）"/>
      <w:lvlJc w:val="left"/>
      <w:pPr>
        <w:ind w:left="1382" w:hanging="525"/>
      </w:pPr>
      <w:rPr>
        <w:rFonts w:hint="default" w:ascii="宋体" w:hAnsi="宋体" w:eastAsia="宋体" w:cs="宋体"/>
        <w:spacing w:val="-2"/>
        <w:w w:val="99"/>
        <w:sz w:val="19"/>
        <w:szCs w:val="19"/>
        <w:lang w:val="zh-CN" w:eastAsia="zh-CN" w:bidi="zh-CN"/>
      </w:rPr>
    </w:lvl>
    <w:lvl w:ilvl="1" w:tentative="1">
      <w:start w:val="0"/>
      <w:numFmt w:val="bullet"/>
      <w:lvlText w:val="•"/>
      <w:lvlJc w:val="left"/>
      <w:pPr>
        <w:ind w:left="2286" w:hanging="525"/>
      </w:pPr>
      <w:rPr>
        <w:rFonts w:hint="default"/>
        <w:lang w:val="zh-CN" w:eastAsia="zh-CN" w:bidi="zh-CN"/>
      </w:rPr>
    </w:lvl>
    <w:lvl w:ilvl="2" w:tentative="1">
      <w:start w:val="0"/>
      <w:numFmt w:val="bullet"/>
      <w:lvlText w:val="•"/>
      <w:lvlJc w:val="left"/>
      <w:pPr>
        <w:ind w:left="3193" w:hanging="525"/>
      </w:pPr>
      <w:rPr>
        <w:rFonts w:hint="default"/>
        <w:lang w:val="zh-CN" w:eastAsia="zh-CN" w:bidi="zh-CN"/>
      </w:rPr>
    </w:lvl>
    <w:lvl w:ilvl="3" w:tentative="1">
      <w:start w:val="0"/>
      <w:numFmt w:val="bullet"/>
      <w:lvlText w:val="•"/>
      <w:lvlJc w:val="left"/>
      <w:pPr>
        <w:ind w:left="4099" w:hanging="525"/>
      </w:pPr>
      <w:rPr>
        <w:rFonts w:hint="default"/>
        <w:lang w:val="zh-CN" w:eastAsia="zh-CN" w:bidi="zh-CN"/>
      </w:rPr>
    </w:lvl>
    <w:lvl w:ilvl="4" w:tentative="1">
      <w:start w:val="0"/>
      <w:numFmt w:val="bullet"/>
      <w:lvlText w:val="•"/>
      <w:lvlJc w:val="left"/>
      <w:pPr>
        <w:ind w:left="5006" w:hanging="525"/>
      </w:pPr>
      <w:rPr>
        <w:rFonts w:hint="default"/>
        <w:lang w:val="zh-CN" w:eastAsia="zh-CN" w:bidi="zh-CN"/>
      </w:rPr>
    </w:lvl>
    <w:lvl w:ilvl="5" w:tentative="1">
      <w:start w:val="0"/>
      <w:numFmt w:val="bullet"/>
      <w:lvlText w:val="•"/>
      <w:lvlJc w:val="left"/>
      <w:pPr>
        <w:ind w:left="5913" w:hanging="525"/>
      </w:pPr>
      <w:rPr>
        <w:rFonts w:hint="default"/>
        <w:lang w:val="zh-CN" w:eastAsia="zh-CN" w:bidi="zh-CN"/>
      </w:rPr>
    </w:lvl>
    <w:lvl w:ilvl="6" w:tentative="1">
      <w:start w:val="0"/>
      <w:numFmt w:val="bullet"/>
      <w:lvlText w:val="•"/>
      <w:lvlJc w:val="left"/>
      <w:pPr>
        <w:ind w:left="6819" w:hanging="525"/>
      </w:pPr>
      <w:rPr>
        <w:rFonts w:hint="default"/>
        <w:lang w:val="zh-CN" w:eastAsia="zh-CN" w:bidi="zh-CN"/>
      </w:rPr>
    </w:lvl>
    <w:lvl w:ilvl="7" w:tentative="1">
      <w:start w:val="0"/>
      <w:numFmt w:val="bullet"/>
      <w:lvlText w:val="•"/>
      <w:lvlJc w:val="left"/>
      <w:pPr>
        <w:ind w:left="7726" w:hanging="525"/>
      </w:pPr>
      <w:rPr>
        <w:rFonts w:hint="default"/>
        <w:lang w:val="zh-CN" w:eastAsia="zh-CN" w:bidi="zh-CN"/>
      </w:rPr>
    </w:lvl>
    <w:lvl w:ilvl="8" w:tentative="1">
      <w:start w:val="0"/>
      <w:numFmt w:val="bullet"/>
      <w:lvlText w:val="•"/>
      <w:lvlJc w:val="left"/>
      <w:pPr>
        <w:ind w:left="8632" w:hanging="525"/>
      </w:pPr>
      <w:rPr>
        <w:rFonts w:hint="default"/>
        <w:lang w:val="zh-CN" w:eastAsia="zh-CN" w:bidi="zh-CN"/>
      </w:rPr>
    </w:lvl>
  </w:abstractNum>
  <w:abstractNum w:abstractNumId="4087560532">
    <w:nsid w:val="F3A33954"/>
    <w:multiLevelType w:val="multilevel"/>
    <w:tmpl w:val="F3A33954"/>
    <w:lvl w:ilvl="0" w:tentative="1">
      <w:start w:val="1"/>
      <w:numFmt w:val="decimal"/>
      <w:lvlText w:val="（%1）"/>
      <w:lvlJc w:val="left"/>
      <w:pPr>
        <w:ind w:left="731" w:hanging="551"/>
      </w:pPr>
      <w:rPr>
        <w:rFonts w:hint="default"/>
        <w:spacing w:val="-3"/>
        <w:w w:val="100"/>
        <w:sz w:val="20"/>
        <w:szCs w:val="20"/>
        <w:u w:val="single" w:color="000000"/>
        <w:lang w:val="zh-CN" w:eastAsia="zh-CN" w:bidi="zh-CN"/>
      </w:rPr>
    </w:lvl>
    <w:lvl w:ilvl="1" w:tentative="1">
      <w:start w:val="0"/>
      <w:numFmt w:val="bullet"/>
      <w:lvlText w:val="•"/>
      <w:lvlJc w:val="left"/>
      <w:pPr>
        <w:ind w:left="1710" w:hanging="551"/>
      </w:pPr>
      <w:rPr>
        <w:rFonts w:hint="default"/>
        <w:lang w:val="zh-CN" w:eastAsia="zh-CN" w:bidi="zh-CN"/>
      </w:rPr>
    </w:lvl>
    <w:lvl w:ilvl="2" w:tentative="1">
      <w:start w:val="0"/>
      <w:numFmt w:val="bullet"/>
      <w:lvlText w:val="•"/>
      <w:lvlJc w:val="left"/>
      <w:pPr>
        <w:ind w:left="2681" w:hanging="551"/>
      </w:pPr>
      <w:rPr>
        <w:rFonts w:hint="default"/>
        <w:lang w:val="zh-CN" w:eastAsia="zh-CN" w:bidi="zh-CN"/>
      </w:rPr>
    </w:lvl>
    <w:lvl w:ilvl="3" w:tentative="1">
      <w:start w:val="0"/>
      <w:numFmt w:val="bullet"/>
      <w:lvlText w:val="•"/>
      <w:lvlJc w:val="left"/>
      <w:pPr>
        <w:ind w:left="3651" w:hanging="551"/>
      </w:pPr>
      <w:rPr>
        <w:rFonts w:hint="default"/>
        <w:lang w:val="zh-CN" w:eastAsia="zh-CN" w:bidi="zh-CN"/>
      </w:rPr>
    </w:lvl>
    <w:lvl w:ilvl="4" w:tentative="1">
      <w:start w:val="0"/>
      <w:numFmt w:val="bullet"/>
      <w:lvlText w:val="•"/>
      <w:lvlJc w:val="left"/>
      <w:pPr>
        <w:ind w:left="4622" w:hanging="551"/>
      </w:pPr>
      <w:rPr>
        <w:rFonts w:hint="default"/>
        <w:lang w:val="zh-CN" w:eastAsia="zh-CN" w:bidi="zh-CN"/>
      </w:rPr>
    </w:lvl>
    <w:lvl w:ilvl="5" w:tentative="1">
      <w:start w:val="0"/>
      <w:numFmt w:val="bullet"/>
      <w:lvlText w:val="•"/>
      <w:lvlJc w:val="left"/>
      <w:pPr>
        <w:ind w:left="5593" w:hanging="551"/>
      </w:pPr>
      <w:rPr>
        <w:rFonts w:hint="default"/>
        <w:lang w:val="zh-CN" w:eastAsia="zh-CN" w:bidi="zh-CN"/>
      </w:rPr>
    </w:lvl>
    <w:lvl w:ilvl="6" w:tentative="1">
      <w:start w:val="0"/>
      <w:numFmt w:val="bullet"/>
      <w:lvlText w:val="•"/>
      <w:lvlJc w:val="left"/>
      <w:pPr>
        <w:ind w:left="6563" w:hanging="551"/>
      </w:pPr>
      <w:rPr>
        <w:rFonts w:hint="default"/>
        <w:lang w:val="zh-CN" w:eastAsia="zh-CN" w:bidi="zh-CN"/>
      </w:rPr>
    </w:lvl>
    <w:lvl w:ilvl="7" w:tentative="1">
      <w:start w:val="0"/>
      <w:numFmt w:val="bullet"/>
      <w:lvlText w:val="•"/>
      <w:lvlJc w:val="left"/>
      <w:pPr>
        <w:ind w:left="7534" w:hanging="551"/>
      </w:pPr>
      <w:rPr>
        <w:rFonts w:hint="default"/>
        <w:lang w:val="zh-CN" w:eastAsia="zh-CN" w:bidi="zh-CN"/>
      </w:rPr>
    </w:lvl>
    <w:lvl w:ilvl="8" w:tentative="1">
      <w:start w:val="0"/>
      <w:numFmt w:val="bullet"/>
      <w:lvlText w:val="•"/>
      <w:lvlJc w:val="left"/>
      <w:pPr>
        <w:ind w:left="8504" w:hanging="551"/>
      </w:pPr>
      <w:rPr>
        <w:rFonts w:hint="default"/>
        <w:lang w:val="zh-CN" w:eastAsia="zh-CN" w:bidi="zh-CN"/>
      </w:rPr>
    </w:lvl>
  </w:abstractNum>
  <w:abstractNum w:abstractNumId="3196735308">
    <w:nsid w:val="BE8A4F4C"/>
    <w:multiLevelType w:val="multilevel"/>
    <w:tmpl w:val="BE8A4F4C"/>
    <w:lvl w:ilvl="0" w:tentative="1">
      <w:start w:val="1"/>
      <w:numFmt w:val="decimal"/>
      <w:lvlText w:val="%1."/>
      <w:lvlJc w:val="left"/>
      <w:pPr>
        <w:ind w:left="955" w:hanging="225"/>
      </w:pPr>
      <w:rPr>
        <w:rFonts w:hint="default" w:ascii="宋体" w:hAnsi="宋体" w:eastAsia="宋体" w:cs="宋体"/>
        <w:b/>
        <w:bCs/>
        <w:spacing w:val="-3"/>
        <w:w w:val="99"/>
        <w:sz w:val="20"/>
        <w:szCs w:val="20"/>
        <w:lang w:val="zh-CN" w:eastAsia="zh-CN" w:bidi="zh-CN"/>
      </w:rPr>
    </w:lvl>
    <w:lvl w:ilvl="1" w:tentative="1">
      <w:start w:val="0"/>
      <w:numFmt w:val="bullet"/>
      <w:lvlText w:val="•"/>
      <w:lvlJc w:val="left"/>
      <w:pPr>
        <w:ind w:left="1908" w:hanging="225"/>
      </w:pPr>
      <w:rPr>
        <w:rFonts w:hint="default"/>
        <w:lang w:val="zh-CN" w:eastAsia="zh-CN" w:bidi="zh-CN"/>
      </w:rPr>
    </w:lvl>
    <w:lvl w:ilvl="2" w:tentative="1">
      <w:start w:val="0"/>
      <w:numFmt w:val="bullet"/>
      <w:lvlText w:val="•"/>
      <w:lvlJc w:val="left"/>
      <w:pPr>
        <w:ind w:left="2857" w:hanging="225"/>
      </w:pPr>
      <w:rPr>
        <w:rFonts w:hint="default"/>
        <w:lang w:val="zh-CN" w:eastAsia="zh-CN" w:bidi="zh-CN"/>
      </w:rPr>
    </w:lvl>
    <w:lvl w:ilvl="3" w:tentative="1">
      <w:start w:val="0"/>
      <w:numFmt w:val="bullet"/>
      <w:lvlText w:val="•"/>
      <w:lvlJc w:val="left"/>
      <w:pPr>
        <w:ind w:left="3805" w:hanging="225"/>
      </w:pPr>
      <w:rPr>
        <w:rFonts w:hint="default"/>
        <w:lang w:val="zh-CN" w:eastAsia="zh-CN" w:bidi="zh-CN"/>
      </w:rPr>
    </w:lvl>
    <w:lvl w:ilvl="4" w:tentative="1">
      <w:start w:val="0"/>
      <w:numFmt w:val="bullet"/>
      <w:lvlText w:val="•"/>
      <w:lvlJc w:val="left"/>
      <w:pPr>
        <w:ind w:left="4754" w:hanging="225"/>
      </w:pPr>
      <w:rPr>
        <w:rFonts w:hint="default"/>
        <w:lang w:val="zh-CN" w:eastAsia="zh-CN" w:bidi="zh-CN"/>
      </w:rPr>
    </w:lvl>
    <w:lvl w:ilvl="5" w:tentative="1">
      <w:start w:val="0"/>
      <w:numFmt w:val="bullet"/>
      <w:lvlText w:val="•"/>
      <w:lvlJc w:val="left"/>
      <w:pPr>
        <w:ind w:left="5703" w:hanging="225"/>
      </w:pPr>
      <w:rPr>
        <w:rFonts w:hint="default"/>
        <w:lang w:val="zh-CN" w:eastAsia="zh-CN" w:bidi="zh-CN"/>
      </w:rPr>
    </w:lvl>
    <w:lvl w:ilvl="6" w:tentative="1">
      <w:start w:val="0"/>
      <w:numFmt w:val="bullet"/>
      <w:lvlText w:val="•"/>
      <w:lvlJc w:val="left"/>
      <w:pPr>
        <w:ind w:left="6651" w:hanging="225"/>
      </w:pPr>
      <w:rPr>
        <w:rFonts w:hint="default"/>
        <w:lang w:val="zh-CN" w:eastAsia="zh-CN" w:bidi="zh-CN"/>
      </w:rPr>
    </w:lvl>
    <w:lvl w:ilvl="7" w:tentative="1">
      <w:start w:val="0"/>
      <w:numFmt w:val="bullet"/>
      <w:lvlText w:val="•"/>
      <w:lvlJc w:val="left"/>
      <w:pPr>
        <w:ind w:left="7600" w:hanging="225"/>
      </w:pPr>
      <w:rPr>
        <w:rFonts w:hint="default"/>
        <w:lang w:val="zh-CN" w:eastAsia="zh-CN" w:bidi="zh-CN"/>
      </w:rPr>
    </w:lvl>
    <w:lvl w:ilvl="8" w:tentative="1">
      <w:start w:val="0"/>
      <w:numFmt w:val="bullet"/>
      <w:lvlText w:val="•"/>
      <w:lvlJc w:val="left"/>
      <w:pPr>
        <w:ind w:left="8548" w:hanging="225"/>
      </w:pPr>
      <w:rPr>
        <w:rFonts w:hint="default"/>
        <w:lang w:val="zh-CN" w:eastAsia="zh-CN" w:bidi="zh-CN"/>
      </w:rPr>
    </w:lvl>
  </w:abstractNum>
  <w:abstractNum w:abstractNumId="3230752591">
    <w:nsid w:val="C0915F4F"/>
    <w:multiLevelType w:val="multilevel"/>
    <w:tmpl w:val="C0915F4F"/>
    <w:lvl w:ilvl="0" w:tentative="1">
      <w:start w:val="15"/>
      <w:numFmt w:val="decimal"/>
      <w:lvlText w:val="%1"/>
      <w:lvlJc w:val="left"/>
      <w:pPr>
        <w:ind w:left="1770" w:hanging="629"/>
      </w:pPr>
      <w:rPr>
        <w:rFonts w:hint="default"/>
        <w:lang w:val="zh-CN" w:eastAsia="zh-CN" w:bidi="zh-CN"/>
      </w:rPr>
    </w:lvl>
    <w:lvl w:ilvl="1" w:tentative="1">
      <w:start w:val="4"/>
      <w:numFmt w:val="decimal"/>
      <w:lvlText w:val="%1.%2"/>
      <w:lvlJc w:val="left"/>
      <w:pPr>
        <w:ind w:left="1770" w:hanging="629"/>
      </w:pPr>
      <w:rPr>
        <w:rFonts w:hint="default"/>
        <w:lang w:val="zh-CN" w:eastAsia="zh-CN" w:bidi="zh-CN"/>
      </w:rPr>
    </w:lvl>
    <w:lvl w:ilvl="2" w:tentative="1">
      <w:start w:val="3"/>
      <w:numFmt w:val="decimal"/>
      <w:lvlText w:val="%1.%2.%3"/>
      <w:lvlJc w:val="left"/>
      <w:pPr>
        <w:ind w:left="1770" w:hanging="629"/>
      </w:pPr>
      <w:rPr>
        <w:rFonts w:hint="default" w:ascii="Times New Roman" w:hAnsi="Times New Roman" w:eastAsia="Times New Roman" w:cs="Times New Roman"/>
        <w:spacing w:val="-2"/>
        <w:w w:val="99"/>
        <w:sz w:val="21"/>
        <w:szCs w:val="21"/>
        <w:lang w:val="zh-CN" w:eastAsia="zh-CN" w:bidi="zh-CN"/>
      </w:rPr>
    </w:lvl>
    <w:lvl w:ilvl="3" w:tentative="1">
      <w:start w:val="0"/>
      <w:numFmt w:val="bullet"/>
      <w:lvlText w:val="•"/>
      <w:lvlJc w:val="left"/>
      <w:pPr>
        <w:ind w:left="4379" w:hanging="629"/>
      </w:pPr>
      <w:rPr>
        <w:rFonts w:hint="default"/>
        <w:lang w:val="zh-CN" w:eastAsia="zh-CN" w:bidi="zh-CN"/>
      </w:rPr>
    </w:lvl>
    <w:lvl w:ilvl="4" w:tentative="1">
      <w:start w:val="0"/>
      <w:numFmt w:val="bullet"/>
      <w:lvlText w:val="•"/>
      <w:lvlJc w:val="left"/>
      <w:pPr>
        <w:ind w:left="5246" w:hanging="629"/>
      </w:pPr>
      <w:rPr>
        <w:rFonts w:hint="default"/>
        <w:lang w:val="zh-CN" w:eastAsia="zh-CN" w:bidi="zh-CN"/>
      </w:rPr>
    </w:lvl>
    <w:lvl w:ilvl="5" w:tentative="1">
      <w:start w:val="0"/>
      <w:numFmt w:val="bullet"/>
      <w:lvlText w:val="•"/>
      <w:lvlJc w:val="left"/>
      <w:pPr>
        <w:ind w:left="6113" w:hanging="629"/>
      </w:pPr>
      <w:rPr>
        <w:rFonts w:hint="default"/>
        <w:lang w:val="zh-CN" w:eastAsia="zh-CN" w:bidi="zh-CN"/>
      </w:rPr>
    </w:lvl>
    <w:lvl w:ilvl="6" w:tentative="1">
      <w:start w:val="0"/>
      <w:numFmt w:val="bullet"/>
      <w:lvlText w:val="•"/>
      <w:lvlJc w:val="left"/>
      <w:pPr>
        <w:ind w:left="6979" w:hanging="629"/>
      </w:pPr>
      <w:rPr>
        <w:rFonts w:hint="default"/>
        <w:lang w:val="zh-CN" w:eastAsia="zh-CN" w:bidi="zh-CN"/>
      </w:rPr>
    </w:lvl>
    <w:lvl w:ilvl="7" w:tentative="1">
      <w:start w:val="0"/>
      <w:numFmt w:val="bullet"/>
      <w:lvlText w:val="•"/>
      <w:lvlJc w:val="left"/>
      <w:pPr>
        <w:ind w:left="7846" w:hanging="629"/>
      </w:pPr>
      <w:rPr>
        <w:rFonts w:hint="default"/>
        <w:lang w:val="zh-CN" w:eastAsia="zh-CN" w:bidi="zh-CN"/>
      </w:rPr>
    </w:lvl>
    <w:lvl w:ilvl="8" w:tentative="1">
      <w:start w:val="0"/>
      <w:numFmt w:val="bullet"/>
      <w:lvlText w:val="•"/>
      <w:lvlJc w:val="left"/>
      <w:pPr>
        <w:ind w:left="8712" w:hanging="629"/>
      </w:pPr>
      <w:rPr>
        <w:rFonts w:hint="default"/>
        <w:lang w:val="zh-CN" w:eastAsia="zh-CN" w:bidi="zh-CN"/>
      </w:rPr>
    </w:lvl>
  </w:abstractNum>
  <w:abstractNum w:abstractNumId="3473484676">
    <w:nsid w:val="CF092B84"/>
    <w:multiLevelType w:val="multilevel"/>
    <w:tmpl w:val="CF092B84"/>
    <w:lvl w:ilvl="0" w:tentative="1">
      <w:start w:val="7"/>
      <w:numFmt w:val="decimal"/>
      <w:lvlText w:val="%1."/>
      <w:lvlJc w:val="left"/>
      <w:pPr>
        <w:ind w:left="1800" w:hanging="361"/>
      </w:pPr>
      <w:rPr>
        <w:rFonts w:hint="default" w:ascii="宋体" w:hAnsi="宋体" w:eastAsia="宋体" w:cs="宋体"/>
        <w:w w:val="100"/>
        <w:sz w:val="22"/>
        <w:szCs w:val="22"/>
        <w:lang w:val="zh-CN" w:eastAsia="zh-CN" w:bidi="zh-CN"/>
      </w:rPr>
    </w:lvl>
    <w:lvl w:ilvl="1" w:tentative="1">
      <w:start w:val="0"/>
      <w:numFmt w:val="bullet"/>
      <w:lvlText w:val="•"/>
      <w:lvlJc w:val="left"/>
      <w:pPr>
        <w:ind w:left="2664" w:hanging="361"/>
      </w:pPr>
      <w:rPr>
        <w:rFonts w:hint="default"/>
        <w:lang w:val="zh-CN" w:eastAsia="zh-CN" w:bidi="zh-CN"/>
      </w:rPr>
    </w:lvl>
    <w:lvl w:ilvl="2" w:tentative="1">
      <w:start w:val="0"/>
      <w:numFmt w:val="bullet"/>
      <w:lvlText w:val="•"/>
      <w:lvlJc w:val="left"/>
      <w:pPr>
        <w:ind w:left="3529" w:hanging="361"/>
      </w:pPr>
      <w:rPr>
        <w:rFonts w:hint="default"/>
        <w:lang w:val="zh-CN" w:eastAsia="zh-CN" w:bidi="zh-CN"/>
      </w:rPr>
    </w:lvl>
    <w:lvl w:ilvl="3" w:tentative="1">
      <w:start w:val="0"/>
      <w:numFmt w:val="bullet"/>
      <w:lvlText w:val="•"/>
      <w:lvlJc w:val="left"/>
      <w:pPr>
        <w:ind w:left="4393" w:hanging="361"/>
      </w:pPr>
      <w:rPr>
        <w:rFonts w:hint="default"/>
        <w:lang w:val="zh-CN" w:eastAsia="zh-CN" w:bidi="zh-CN"/>
      </w:rPr>
    </w:lvl>
    <w:lvl w:ilvl="4" w:tentative="1">
      <w:start w:val="0"/>
      <w:numFmt w:val="bullet"/>
      <w:lvlText w:val="•"/>
      <w:lvlJc w:val="left"/>
      <w:pPr>
        <w:ind w:left="5258" w:hanging="361"/>
      </w:pPr>
      <w:rPr>
        <w:rFonts w:hint="default"/>
        <w:lang w:val="zh-CN" w:eastAsia="zh-CN" w:bidi="zh-CN"/>
      </w:rPr>
    </w:lvl>
    <w:lvl w:ilvl="5" w:tentative="1">
      <w:start w:val="0"/>
      <w:numFmt w:val="bullet"/>
      <w:lvlText w:val="•"/>
      <w:lvlJc w:val="left"/>
      <w:pPr>
        <w:ind w:left="6123" w:hanging="361"/>
      </w:pPr>
      <w:rPr>
        <w:rFonts w:hint="default"/>
        <w:lang w:val="zh-CN" w:eastAsia="zh-CN" w:bidi="zh-CN"/>
      </w:rPr>
    </w:lvl>
    <w:lvl w:ilvl="6" w:tentative="1">
      <w:start w:val="0"/>
      <w:numFmt w:val="bullet"/>
      <w:lvlText w:val="•"/>
      <w:lvlJc w:val="left"/>
      <w:pPr>
        <w:ind w:left="6987" w:hanging="361"/>
      </w:pPr>
      <w:rPr>
        <w:rFonts w:hint="default"/>
        <w:lang w:val="zh-CN" w:eastAsia="zh-CN" w:bidi="zh-CN"/>
      </w:rPr>
    </w:lvl>
    <w:lvl w:ilvl="7" w:tentative="1">
      <w:start w:val="0"/>
      <w:numFmt w:val="bullet"/>
      <w:lvlText w:val="•"/>
      <w:lvlJc w:val="left"/>
      <w:pPr>
        <w:ind w:left="7852" w:hanging="361"/>
      </w:pPr>
      <w:rPr>
        <w:rFonts w:hint="default"/>
        <w:lang w:val="zh-CN" w:eastAsia="zh-CN" w:bidi="zh-CN"/>
      </w:rPr>
    </w:lvl>
    <w:lvl w:ilvl="8" w:tentative="1">
      <w:start w:val="0"/>
      <w:numFmt w:val="bullet"/>
      <w:lvlText w:val="•"/>
      <w:lvlJc w:val="left"/>
      <w:pPr>
        <w:ind w:left="8716" w:hanging="361"/>
      </w:pPr>
      <w:rPr>
        <w:rFonts w:hint="default"/>
        <w:lang w:val="zh-CN" w:eastAsia="zh-CN" w:bidi="zh-CN"/>
      </w:rPr>
    </w:lvl>
  </w:abstractNum>
  <w:abstractNum w:abstractNumId="1610592679">
    <w:nsid w:val="5FFFB1A7"/>
    <w:multiLevelType w:val="multilevel"/>
    <w:tmpl w:val="5FFFB1A7"/>
    <w:lvl w:ilvl="0" w:tentative="1">
      <w:start w:val="1"/>
      <w:numFmt w:val="decimal"/>
      <w:lvlText w:val="（%1）"/>
      <w:lvlJc w:val="left"/>
      <w:pPr>
        <w:ind w:left="731" w:hanging="527"/>
      </w:pPr>
      <w:rPr>
        <w:rFonts w:hint="default" w:ascii="仿宋" w:hAnsi="仿宋" w:eastAsia="仿宋" w:cs="仿宋"/>
        <w:spacing w:val="-34"/>
        <w:w w:val="99"/>
        <w:sz w:val="19"/>
        <w:szCs w:val="19"/>
        <w:lang w:val="zh-CN" w:eastAsia="zh-CN" w:bidi="zh-CN"/>
      </w:rPr>
    </w:lvl>
    <w:lvl w:ilvl="1" w:tentative="1">
      <w:start w:val="0"/>
      <w:numFmt w:val="bullet"/>
      <w:lvlText w:val="•"/>
      <w:lvlJc w:val="left"/>
      <w:pPr>
        <w:ind w:left="1710" w:hanging="527"/>
      </w:pPr>
      <w:rPr>
        <w:rFonts w:hint="default"/>
        <w:lang w:val="zh-CN" w:eastAsia="zh-CN" w:bidi="zh-CN"/>
      </w:rPr>
    </w:lvl>
    <w:lvl w:ilvl="2" w:tentative="1">
      <w:start w:val="0"/>
      <w:numFmt w:val="bullet"/>
      <w:lvlText w:val="•"/>
      <w:lvlJc w:val="left"/>
      <w:pPr>
        <w:ind w:left="2681" w:hanging="527"/>
      </w:pPr>
      <w:rPr>
        <w:rFonts w:hint="default"/>
        <w:lang w:val="zh-CN" w:eastAsia="zh-CN" w:bidi="zh-CN"/>
      </w:rPr>
    </w:lvl>
    <w:lvl w:ilvl="3" w:tentative="1">
      <w:start w:val="0"/>
      <w:numFmt w:val="bullet"/>
      <w:lvlText w:val="•"/>
      <w:lvlJc w:val="left"/>
      <w:pPr>
        <w:ind w:left="3651" w:hanging="527"/>
      </w:pPr>
      <w:rPr>
        <w:rFonts w:hint="default"/>
        <w:lang w:val="zh-CN" w:eastAsia="zh-CN" w:bidi="zh-CN"/>
      </w:rPr>
    </w:lvl>
    <w:lvl w:ilvl="4" w:tentative="1">
      <w:start w:val="0"/>
      <w:numFmt w:val="bullet"/>
      <w:lvlText w:val="•"/>
      <w:lvlJc w:val="left"/>
      <w:pPr>
        <w:ind w:left="4622" w:hanging="527"/>
      </w:pPr>
      <w:rPr>
        <w:rFonts w:hint="default"/>
        <w:lang w:val="zh-CN" w:eastAsia="zh-CN" w:bidi="zh-CN"/>
      </w:rPr>
    </w:lvl>
    <w:lvl w:ilvl="5" w:tentative="1">
      <w:start w:val="0"/>
      <w:numFmt w:val="bullet"/>
      <w:lvlText w:val="•"/>
      <w:lvlJc w:val="left"/>
      <w:pPr>
        <w:ind w:left="5593" w:hanging="527"/>
      </w:pPr>
      <w:rPr>
        <w:rFonts w:hint="default"/>
        <w:lang w:val="zh-CN" w:eastAsia="zh-CN" w:bidi="zh-CN"/>
      </w:rPr>
    </w:lvl>
    <w:lvl w:ilvl="6" w:tentative="1">
      <w:start w:val="0"/>
      <w:numFmt w:val="bullet"/>
      <w:lvlText w:val="•"/>
      <w:lvlJc w:val="left"/>
      <w:pPr>
        <w:ind w:left="6563" w:hanging="527"/>
      </w:pPr>
      <w:rPr>
        <w:rFonts w:hint="default"/>
        <w:lang w:val="zh-CN" w:eastAsia="zh-CN" w:bidi="zh-CN"/>
      </w:rPr>
    </w:lvl>
    <w:lvl w:ilvl="7" w:tentative="1">
      <w:start w:val="0"/>
      <w:numFmt w:val="bullet"/>
      <w:lvlText w:val="•"/>
      <w:lvlJc w:val="left"/>
      <w:pPr>
        <w:ind w:left="7534" w:hanging="527"/>
      </w:pPr>
      <w:rPr>
        <w:rFonts w:hint="default"/>
        <w:lang w:val="zh-CN" w:eastAsia="zh-CN" w:bidi="zh-CN"/>
      </w:rPr>
    </w:lvl>
    <w:lvl w:ilvl="8" w:tentative="1">
      <w:start w:val="0"/>
      <w:numFmt w:val="bullet"/>
      <w:lvlText w:val="•"/>
      <w:lvlJc w:val="left"/>
      <w:pPr>
        <w:ind w:left="8504" w:hanging="527"/>
      </w:pPr>
      <w:rPr>
        <w:rFonts w:hint="default"/>
        <w:lang w:val="zh-CN" w:eastAsia="zh-CN" w:bidi="zh-CN"/>
      </w:rPr>
    </w:lvl>
  </w:abstractNum>
  <w:abstractNum w:abstractNumId="1614294894">
    <w:nsid w:val="60382F6E"/>
    <w:multiLevelType w:val="multilevel"/>
    <w:tmpl w:val="60382F6E"/>
    <w:lvl w:ilvl="0" w:tentative="1">
      <w:start w:val="1"/>
      <w:numFmt w:val="decimal"/>
      <w:lvlText w:val="（%1）"/>
      <w:lvlJc w:val="left"/>
      <w:pPr>
        <w:ind w:left="1274" w:hanging="551"/>
      </w:pPr>
      <w:rPr>
        <w:rFonts w:hint="default" w:ascii="宋体" w:hAnsi="宋体" w:eastAsia="宋体" w:cs="宋体"/>
        <w:spacing w:val="-3"/>
        <w:w w:val="100"/>
        <w:sz w:val="20"/>
        <w:szCs w:val="20"/>
        <w:lang w:val="zh-CN" w:eastAsia="zh-CN" w:bidi="zh-CN"/>
      </w:rPr>
    </w:lvl>
    <w:lvl w:ilvl="1" w:tentative="1">
      <w:start w:val="0"/>
      <w:numFmt w:val="bullet"/>
      <w:lvlText w:val="•"/>
      <w:lvlJc w:val="left"/>
      <w:pPr>
        <w:ind w:left="2196" w:hanging="551"/>
      </w:pPr>
      <w:rPr>
        <w:rFonts w:hint="default"/>
        <w:lang w:val="zh-CN" w:eastAsia="zh-CN" w:bidi="zh-CN"/>
      </w:rPr>
    </w:lvl>
    <w:lvl w:ilvl="2" w:tentative="1">
      <w:start w:val="0"/>
      <w:numFmt w:val="bullet"/>
      <w:lvlText w:val="•"/>
      <w:lvlJc w:val="left"/>
      <w:pPr>
        <w:ind w:left="3113" w:hanging="551"/>
      </w:pPr>
      <w:rPr>
        <w:rFonts w:hint="default"/>
        <w:lang w:val="zh-CN" w:eastAsia="zh-CN" w:bidi="zh-CN"/>
      </w:rPr>
    </w:lvl>
    <w:lvl w:ilvl="3" w:tentative="1">
      <w:start w:val="0"/>
      <w:numFmt w:val="bullet"/>
      <w:lvlText w:val="•"/>
      <w:lvlJc w:val="left"/>
      <w:pPr>
        <w:ind w:left="4029" w:hanging="551"/>
      </w:pPr>
      <w:rPr>
        <w:rFonts w:hint="default"/>
        <w:lang w:val="zh-CN" w:eastAsia="zh-CN" w:bidi="zh-CN"/>
      </w:rPr>
    </w:lvl>
    <w:lvl w:ilvl="4" w:tentative="1">
      <w:start w:val="0"/>
      <w:numFmt w:val="bullet"/>
      <w:lvlText w:val="•"/>
      <w:lvlJc w:val="left"/>
      <w:pPr>
        <w:ind w:left="4946" w:hanging="551"/>
      </w:pPr>
      <w:rPr>
        <w:rFonts w:hint="default"/>
        <w:lang w:val="zh-CN" w:eastAsia="zh-CN" w:bidi="zh-CN"/>
      </w:rPr>
    </w:lvl>
    <w:lvl w:ilvl="5" w:tentative="1">
      <w:start w:val="0"/>
      <w:numFmt w:val="bullet"/>
      <w:lvlText w:val="•"/>
      <w:lvlJc w:val="left"/>
      <w:pPr>
        <w:ind w:left="5863" w:hanging="551"/>
      </w:pPr>
      <w:rPr>
        <w:rFonts w:hint="default"/>
        <w:lang w:val="zh-CN" w:eastAsia="zh-CN" w:bidi="zh-CN"/>
      </w:rPr>
    </w:lvl>
    <w:lvl w:ilvl="6" w:tentative="1">
      <w:start w:val="0"/>
      <w:numFmt w:val="bullet"/>
      <w:lvlText w:val="•"/>
      <w:lvlJc w:val="left"/>
      <w:pPr>
        <w:ind w:left="6779" w:hanging="551"/>
      </w:pPr>
      <w:rPr>
        <w:rFonts w:hint="default"/>
        <w:lang w:val="zh-CN" w:eastAsia="zh-CN" w:bidi="zh-CN"/>
      </w:rPr>
    </w:lvl>
    <w:lvl w:ilvl="7" w:tentative="1">
      <w:start w:val="0"/>
      <w:numFmt w:val="bullet"/>
      <w:lvlText w:val="•"/>
      <w:lvlJc w:val="left"/>
      <w:pPr>
        <w:ind w:left="7696" w:hanging="551"/>
      </w:pPr>
      <w:rPr>
        <w:rFonts w:hint="default"/>
        <w:lang w:val="zh-CN" w:eastAsia="zh-CN" w:bidi="zh-CN"/>
      </w:rPr>
    </w:lvl>
    <w:lvl w:ilvl="8" w:tentative="1">
      <w:start w:val="0"/>
      <w:numFmt w:val="bullet"/>
      <w:lvlText w:val="•"/>
      <w:lvlJc w:val="left"/>
      <w:pPr>
        <w:ind w:left="8612" w:hanging="551"/>
      </w:pPr>
      <w:rPr>
        <w:rFonts w:hint="default"/>
        <w:lang w:val="zh-CN" w:eastAsia="zh-CN" w:bidi="zh-CN"/>
      </w:rPr>
    </w:lvl>
  </w:abstractNum>
  <w:abstractNum w:abstractNumId="1301600870">
    <w:nsid w:val="4D94DA66"/>
    <w:multiLevelType w:val="multilevel"/>
    <w:tmpl w:val="4D94DA66"/>
    <w:lvl w:ilvl="0" w:tentative="1">
      <w:start w:val="1"/>
      <w:numFmt w:val="decimal"/>
      <w:lvlText w:val="%1"/>
      <w:lvlJc w:val="left"/>
      <w:pPr>
        <w:ind w:left="1465" w:hanging="315"/>
      </w:pPr>
      <w:rPr>
        <w:rFonts w:hint="default"/>
        <w:lang w:val="zh-CN" w:eastAsia="zh-CN" w:bidi="zh-CN"/>
      </w:rPr>
    </w:lvl>
    <w:lvl w:ilvl="1" w:tentative="1">
      <w:start w:val="3"/>
      <w:numFmt w:val="decimal"/>
      <w:lvlText w:val="%1.%2"/>
      <w:lvlJc w:val="left"/>
      <w:pPr>
        <w:ind w:left="1465" w:hanging="315"/>
      </w:pPr>
      <w:rPr>
        <w:rFonts w:hint="default" w:ascii="Times New Roman" w:hAnsi="Times New Roman" w:eastAsia="Times New Roman" w:cs="Times New Roman"/>
        <w:spacing w:val="0"/>
        <w:w w:val="99"/>
        <w:sz w:val="21"/>
        <w:szCs w:val="21"/>
        <w:lang w:val="zh-CN" w:eastAsia="zh-CN" w:bidi="zh-CN"/>
      </w:rPr>
    </w:lvl>
    <w:lvl w:ilvl="2" w:tentative="1">
      <w:start w:val="1"/>
      <w:numFmt w:val="decimal"/>
      <w:lvlText w:val="%1.%2.%3"/>
      <w:lvlJc w:val="left"/>
      <w:pPr>
        <w:ind w:left="1799" w:hanging="473"/>
      </w:pPr>
      <w:rPr>
        <w:rFonts w:hint="default" w:ascii="Times New Roman" w:hAnsi="Times New Roman" w:eastAsia="Times New Roman" w:cs="Times New Roman"/>
        <w:spacing w:val="0"/>
        <w:w w:val="99"/>
        <w:sz w:val="21"/>
        <w:szCs w:val="21"/>
        <w:lang w:val="zh-CN" w:eastAsia="zh-CN" w:bidi="zh-CN"/>
      </w:rPr>
    </w:lvl>
    <w:lvl w:ilvl="3" w:tentative="1">
      <w:start w:val="0"/>
      <w:numFmt w:val="bullet"/>
      <w:lvlText w:val="•"/>
      <w:lvlJc w:val="left"/>
      <w:pPr>
        <w:ind w:left="1800" w:hanging="473"/>
      </w:pPr>
      <w:rPr>
        <w:rFonts w:hint="default"/>
        <w:lang w:val="zh-CN" w:eastAsia="zh-CN" w:bidi="zh-CN"/>
      </w:rPr>
    </w:lvl>
    <w:lvl w:ilvl="4" w:tentative="1">
      <w:start w:val="0"/>
      <w:numFmt w:val="bullet"/>
      <w:lvlText w:val="•"/>
      <w:lvlJc w:val="left"/>
      <w:pPr>
        <w:ind w:left="3035" w:hanging="473"/>
      </w:pPr>
      <w:rPr>
        <w:rFonts w:hint="default"/>
        <w:lang w:val="zh-CN" w:eastAsia="zh-CN" w:bidi="zh-CN"/>
      </w:rPr>
    </w:lvl>
    <w:lvl w:ilvl="5" w:tentative="1">
      <w:start w:val="0"/>
      <w:numFmt w:val="bullet"/>
      <w:lvlText w:val="•"/>
      <w:lvlJc w:val="left"/>
      <w:pPr>
        <w:ind w:left="4270" w:hanging="473"/>
      </w:pPr>
      <w:rPr>
        <w:rFonts w:hint="default"/>
        <w:lang w:val="zh-CN" w:eastAsia="zh-CN" w:bidi="zh-CN"/>
      </w:rPr>
    </w:lvl>
    <w:lvl w:ilvl="6" w:tentative="1">
      <w:start w:val="0"/>
      <w:numFmt w:val="bullet"/>
      <w:lvlText w:val="•"/>
      <w:lvlJc w:val="left"/>
      <w:pPr>
        <w:ind w:left="5505" w:hanging="473"/>
      </w:pPr>
      <w:rPr>
        <w:rFonts w:hint="default"/>
        <w:lang w:val="zh-CN" w:eastAsia="zh-CN" w:bidi="zh-CN"/>
      </w:rPr>
    </w:lvl>
    <w:lvl w:ilvl="7" w:tentative="1">
      <w:start w:val="0"/>
      <w:numFmt w:val="bullet"/>
      <w:lvlText w:val="•"/>
      <w:lvlJc w:val="left"/>
      <w:pPr>
        <w:ind w:left="6740" w:hanging="473"/>
      </w:pPr>
      <w:rPr>
        <w:rFonts w:hint="default"/>
        <w:lang w:val="zh-CN" w:eastAsia="zh-CN" w:bidi="zh-CN"/>
      </w:rPr>
    </w:lvl>
    <w:lvl w:ilvl="8" w:tentative="1">
      <w:start w:val="0"/>
      <w:numFmt w:val="bullet"/>
      <w:lvlText w:val="•"/>
      <w:lvlJc w:val="left"/>
      <w:pPr>
        <w:ind w:left="7975" w:hanging="473"/>
      </w:pPr>
      <w:rPr>
        <w:rFonts w:hint="default"/>
        <w:lang w:val="zh-CN" w:eastAsia="zh-CN" w:bidi="zh-CN"/>
      </w:rPr>
    </w:lvl>
  </w:abstractNum>
  <w:abstractNum w:abstractNumId="1279097460">
    <w:nsid w:val="4C3D7A74"/>
    <w:multiLevelType w:val="multilevel"/>
    <w:tmpl w:val="4C3D7A74"/>
    <w:lvl w:ilvl="0" w:tentative="1">
      <w:start w:val="8"/>
      <w:numFmt w:val="decimal"/>
      <w:lvlText w:val="%1"/>
      <w:lvlJc w:val="left"/>
      <w:pPr>
        <w:ind w:left="1465" w:hanging="315"/>
      </w:pPr>
      <w:rPr>
        <w:rFonts w:hint="default"/>
        <w:lang w:val="zh-CN" w:eastAsia="zh-CN" w:bidi="zh-CN"/>
      </w:rPr>
    </w:lvl>
    <w:lvl w:ilvl="1" w:tentative="1">
      <w:start w:val="4"/>
      <w:numFmt w:val="decimal"/>
      <w:lvlText w:val="%1.%2"/>
      <w:lvlJc w:val="left"/>
      <w:pPr>
        <w:ind w:left="1465" w:hanging="315"/>
      </w:pPr>
      <w:rPr>
        <w:rFonts w:hint="default" w:ascii="Times New Roman" w:hAnsi="Times New Roman" w:eastAsia="Times New Roman" w:cs="Times New Roman"/>
        <w:spacing w:val="0"/>
        <w:w w:val="99"/>
        <w:sz w:val="21"/>
        <w:szCs w:val="21"/>
        <w:lang w:val="zh-CN" w:eastAsia="zh-CN" w:bidi="zh-CN"/>
      </w:rPr>
    </w:lvl>
    <w:lvl w:ilvl="2" w:tentative="1">
      <w:start w:val="1"/>
      <w:numFmt w:val="decimal"/>
      <w:lvlText w:val="%1.%2.%3"/>
      <w:lvlJc w:val="left"/>
      <w:pPr>
        <w:ind w:left="1624" w:hanging="473"/>
      </w:pPr>
      <w:rPr>
        <w:rFonts w:hint="default" w:ascii="Times New Roman" w:hAnsi="Times New Roman" w:eastAsia="Times New Roman" w:cs="Times New Roman"/>
        <w:spacing w:val="0"/>
        <w:w w:val="99"/>
        <w:sz w:val="21"/>
        <w:szCs w:val="21"/>
        <w:lang w:val="zh-CN" w:eastAsia="zh-CN" w:bidi="zh-CN"/>
      </w:rPr>
    </w:lvl>
    <w:lvl w:ilvl="3" w:tentative="1">
      <w:start w:val="0"/>
      <w:numFmt w:val="bullet"/>
      <w:lvlText w:val="•"/>
      <w:lvlJc w:val="left"/>
      <w:pPr>
        <w:ind w:left="3581" w:hanging="473"/>
      </w:pPr>
      <w:rPr>
        <w:rFonts w:hint="default"/>
        <w:lang w:val="zh-CN" w:eastAsia="zh-CN" w:bidi="zh-CN"/>
      </w:rPr>
    </w:lvl>
    <w:lvl w:ilvl="4" w:tentative="1">
      <w:start w:val="0"/>
      <w:numFmt w:val="bullet"/>
      <w:lvlText w:val="•"/>
      <w:lvlJc w:val="left"/>
      <w:pPr>
        <w:ind w:left="4562" w:hanging="473"/>
      </w:pPr>
      <w:rPr>
        <w:rFonts w:hint="default"/>
        <w:lang w:val="zh-CN" w:eastAsia="zh-CN" w:bidi="zh-CN"/>
      </w:rPr>
    </w:lvl>
    <w:lvl w:ilvl="5" w:tentative="1">
      <w:start w:val="0"/>
      <w:numFmt w:val="bullet"/>
      <w:lvlText w:val="•"/>
      <w:lvlJc w:val="left"/>
      <w:pPr>
        <w:ind w:left="5542" w:hanging="473"/>
      </w:pPr>
      <w:rPr>
        <w:rFonts w:hint="default"/>
        <w:lang w:val="zh-CN" w:eastAsia="zh-CN" w:bidi="zh-CN"/>
      </w:rPr>
    </w:lvl>
    <w:lvl w:ilvl="6" w:tentative="1">
      <w:start w:val="0"/>
      <w:numFmt w:val="bullet"/>
      <w:lvlText w:val="•"/>
      <w:lvlJc w:val="left"/>
      <w:pPr>
        <w:ind w:left="6523" w:hanging="473"/>
      </w:pPr>
      <w:rPr>
        <w:rFonts w:hint="default"/>
        <w:lang w:val="zh-CN" w:eastAsia="zh-CN" w:bidi="zh-CN"/>
      </w:rPr>
    </w:lvl>
    <w:lvl w:ilvl="7" w:tentative="1">
      <w:start w:val="0"/>
      <w:numFmt w:val="bullet"/>
      <w:lvlText w:val="•"/>
      <w:lvlJc w:val="left"/>
      <w:pPr>
        <w:ind w:left="7504" w:hanging="473"/>
      </w:pPr>
      <w:rPr>
        <w:rFonts w:hint="default"/>
        <w:lang w:val="zh-CN" w:eastAsia="zh-CN" w:bidi="zh-CN"/>
      </w:rPr>
    </w:lvl>
    <w:lvl w:ilvl="8" w:tentative="1">
      <w:start w:val="0"/>
      <w:numFmt w:val="bullet"/>
      <w:lvlText w:val="•"/>
      <w:lvlJc w:val="left"/>
      <w:pPr>
        <w:ind w:left="8484" w:hanging="473"/>
      </w:pPr>
      <w:rPr>
        <w:rFonts w:hint="default"/>
        <w:lang w:val="zh-CN" w:eastAsia="zh-CN" w:bidi="zh-CN"/>
      </w:rPr>
    </w:lvl>
  </w:abstractNum>
  <w:abstractNum w:abstractNumId="2082760998">
    <w:nsid w:val="7C246926"/>
    <w:multiLevelType w:val="multilevel"/>
    <w:tmpl w:val="7C246926"/>
    <w:lvl w:ilvl="0" w:tentative="1">
      <w:start w:val="1"/>
      <w:numFmt w:val="decimal"/>
      <w:lvlText w:val="（%1）"/>
      <w:lvlJc w:val="left"/>
      <w:pPr>
        <w:ind w:left="332" w:hanging="551"/>
      </w:pPr>
      <w:rPr>
        <w:rFonts w:hint="default" w:ascii="宋体" w:hAnsi="宋体" w:eastAsia="宋体" w:cs="宋体"/>
        <w:spacing w:val="-25"/>
        <w:w w:val="100"/>
        <w:sz w:val="20"/>
        <w:szCs w:val="20"/>
        <w:lang w:val="zh-CN" w:eastAsia="zh-CN" w:bidi="zh-CN"/>
      </w:rPr>
    </w:lvl>
    <w:lvl w:ilvl="1" w:tentative="1">
      <w:start w:val="0"/>
      <w:numFmt w:val="bullet"/>
      <w:lvlText w:val="•"/>
      <w:lvlJc w:val="left"/>
      <w:pPr>
        <w:ind w:left="1350" w:hanging="551"/>
      </w:pPr>
      <w:rPr>
        <w:rFonts w:hint="default"/>
        <w:lang w:val="zh-CN" w:eastAsia="zh-CN" w:bidi="zh-CN"/>
      </w:rPr>
    </w:lvl>
    <w:lvl w:ilvl="2" w:tentative="1">
      <w:start w:val="0"/>
      <w:numFmt w:val="bullet"/>
      <w:lvlText w:val="•"/>
      <w:lvlJc w:val="left"/>
      <w:pPr>
        <w:ind w:left="2361" w:hanging="551"/>
      </w:pPr>
      <w:rPr>
        <w:rFonts w:hint="default"/>
        <w:lang w:val="zh-CN" w:eastAsia="zh-CN" w:bidi="zh-CN"/>
      </w:rPr>
    </w:lvl>
    <w:lvl w:ilvl="3" w:tentative="1">
      <w:start w:val="0"/>
      <w:numFmt w:val="bullet"/>
      <w:lvlText w:val="•"/>
      <w:lvlJc w:val="left"/>
      <w:pPr>
        <w:ind w:left="3371" w:hanging="551"/>
      </w:pPr>
      <w:rPr>
        <w:rFonts w:hint="default"/>
        <w:lang w:val="zh-CN" w:eastAsia="zh-CN" w:bidi="zh-CN"/>
      </w:rPr>
    </w:lvl>
    <w:lvl w:ilvl="4" w:tentative="1">
      <w:start w:val="0"/>
      <w:numFmt w:val="bullet"/>
      <w:lvlText w:val="•"/>
      <w:lvlJc w:val="left"/>
      <w:pPr>
        <w:ind w:left="4382" w:hanging="551"/>
      </w:pPr>
      <w:rPr>
        <w:rFonts w:hint="default"/>
        <w:lang w:val="zh-CN" w:eastAsia="zh-CN" w:bidi="zh-CN"/>
      </w:rPr>
    </w:lvl>
    <w:lvl w:ilvl="5" w:tentative="1">
      <w:start w:val="0"/>
      <w:numFmt w:val="bullet"/>
      <w:lvlText w:val="•"/>
      <w:lvlJc w:val="left"/>
      <w:pPr>
        <w:ind w:left="5393" w:hanging="551"/>
      </w:pPr>
      <w:rPr>
        <w:rFonts w:hint="default"/>
        <w:lang w:val="zh-CN" w:eastAsia="zh-CN" w:bidi="zh-CN"/>
      </w:rPr>
    </w:lvl>
    <w:lvl w:ilvl="6" w:tentative="1">
      <w:start w:val="0"/>
      <w:numFmt w:val="bullet"/>
      <w:lvlText w:val="•"/>
      <w:lvlJc w:val="left"/>
      <w:pPr>
        <w:ind w:left="6403" w:hanging="551"/>
      </w:pPr>
      <w:rPr>
        <w:rFonts w:hint="default"/>
        <w:lang w:val="zh-CN" w:eastAsia="zh-CN" w:bidi="zh-CN"/>
      </w:rPr>
    </w:lvl>
    <w:lvl w:ilvl="7" w:tentative="1">
      <w:start w:val="0"/>
      <w:numFmt w:val="bullet"/>
      <w:lvlText w:val="•"/>
      <w:lvlJc w:val="left"/>
      <w:pPr>
        <w:ind w:left="7414" w:hanging="551"/>
      </w:pPr>
      <w:rPr>
        <w:rFonts w:hint="default"/>
        <w:lang w:val="zh-CN" w:eastAsia="zh-CN" w:bidi="zh-CN"/>
      </w:rPr>
    </w:lvl>
    <w:lvl w:ilvl="8" w:tentative="1">
      <w:start w:val="0"/>
      <w:numFmt w:val="bullet"/>
      <w:lvlText w:val="•"/>
      <w:lvlJc w:val="left"/>
      <w:pPr>
        <w:ind w:left="8424" w:hanging="551"/>
      </w:pPr>
      <w:rPr>
        <w:rFonts w:hint="default"/>
        <w:lang w:val="zh-CN" w:eastAsia="zh-CN" w:bidi="zh-CN"/>
      </w:rPr>
    </w:lvl>
  </w:abstractNum>
  <w:abstractNum w:abstractNumId="2041204644">
    <w:nsid w:val="79AA4FA4"/>
    <w:multiLevelType w:val="multilevel"/>
    <w:tmpl w:val="79AA4FA4"/>
    <w:lvl w:ilvl="0" w:tentative="1">
      <w:start w:val="1"/>
      <w:numFmt w:val="decimal"/>
      <w:lvlText w:val="%1"/>
      <w:lvlJc w:val="left"/>
      <w:pPr>
        <w:ind w:left="1780" w:hanging="629"/>
      </w:pPr>
      <w:rPr>
        <w:rFonts w:hint="default"/>
        <w:lang w:val="zh-CN" w:eastAsia="zh-CN" w:bidi="zh-CN"/>
      </w:rPr>
    </w:lvl>
    <w:lvl w:ilvl="1" w:tentative="1">
      <w:start w:val="10"/>
      <w:numFmt w:val="decimal"/>
      <w:lvlText w:val="%1.%2"/>
      <w:lvlJc w:val="left"/>
      <w:pPr>
        <w:ind w:left="1780" w:hanging="629"/>
      </w:pPr>
      <w:rPr>
        <w:rFonts w:hint="default"/>
        <w:lang w:val="zh-CN" w:eastAsia="zh-CN" w:bidi="zh-CN"/>
      </w:rPr>
    </w:lvl>
    <w:lvl w:ilvl="2" w:tentative="1">
      <w:start w:val="3"/>
      <w:numFmt w:val="decimal"/>
      <w:lvlText w:val="%1.%2.%3"/>
      <w:lvlJc w:val="left"/>
      <w:pPr>
        <w:ind w:left="1780" w:hanging="629"/>
      </w:pPr>
      <w:rPr>
        <w:rFonts w:hint="default" w:ascii="Times New Roman" w:hAnsi="Times New Roman" w:eastAsia="Times New Roman" w:cs="Times New Roman"/>
        <w:spacing w:val="-2"/>
        <w:w w:val="99"/>
        <w:sz w:val="21"/>
        <w:szCs w:val="21"/>
        <w:lang w:val="zh-CN" w:eastAsia="zh-CN" w:bidi="zh-CN"/>
      </w:rPr>
    </w:lvl>
    <w:lvl w:ilvl="3" w:tentative="1">
      <w:start w:val="0"/>
      <w:numFmt w:val="bullet"/>
      <w:lvlText w:val="•"/>
      <w:lvlJc w:val="left"/>
      <w:pPr>
        <w:ind w:left="4379" w:hanging="629"/>
      </w:pPr>
      <w:rPr>
        <w:rFonts w:hint="default"/>
        <w:lang w:val="zh-CN" w:eastAsia="zh-CN" w:bidi="zh-CN"/>
      </w:rPr>
    </w:lvl>
    <w:lvl w:ilvl="4" w:tentative="1">
      <w:start w:val="0"/>
      <w:numFmt w:val="bullet"/>
      <w:lvlText w:val="•"/>
      <w:lvlJc w:val="left"/>
      <w:pPr>
        <w:ind w:left="5246" w:hanging="629"/>
      </w:pPr>
      <w:rPr>
        <w:rFonts w:hint="default"/>
        <w:lang w:val="zh-CN" w:eastAsia="zh-CN" w:bidi="zh-CN"/>
      </w:rPr>
    </w:lvl>
    <w:lvl w:ilvl="5" w:tentative="1">
      <w:start w:val="0"/>
      <w:numFmt w:val="bullet"/>
      <w:lvlText w:val="•"/>
      <w:lvlJc w:val="left"/>
      <w:pPr>
        <w:ind w:left="6113" w:hanging="629"/>
      </w:pPr>
      <w:rPr>
        <w:rFonts w:hint="default"/>
        <w:lang w:val="zh-CN" w:eastAsia="zh-CN" w:bidi="zh-CN"/>
      </w:rPr>
    </w:lvl>
    <w:lvl w:ilvl="6" w:tentative="1">
      <w:start w:val="0"/>
      <w:numFmt w:val="bullet"/>
      <w:lvlText w:val="•"/>
      <w:lvlJc w:val="left"/>
      <w:pPr>
        <w:ind w:left="6979" w:hanging="629"/>
      </w:pPr>
      <w:rPr>
        <w:rFonts w:hint="default"/>
        <w:lang w:val="zh-CN" w:eastAsia="zh-CN" w:bidi="zh-CN"/>
      </w:rPr>
    </w:lvl>
    <w:lvl w:ilvl="7" w:tentative="1">
      <w:start w:val="0"/>
      <w:numFmt w:val="bullet"/>
      <w:lvlText w:val="•"/>
      <w:lvlJc w:val="left"/>
      <w:pPr>
        <w:ind w:left="7846" w:hanging="629"/>
      </w:pPr>
      <w:rPr>
        <w:rFonts w:hint="default"/>
        <w:lang w:val="zh-CN" w:eastAsia="zh-CN" w:bidi="zh-CN"/>
      </w:rPr>
    </w:lvl>
    <w:lvl w:ilvl="8" w:tentative="1">
      <w:start w:val="0"/>
      <w:numFmt w:val="bullet"/>
      <w:lvlText w:val="•"/>
      <w:lvlJc w:val="left"/>
      <w:pPr>
        <w:ind w:left="8712" w:hanging="629"/>
      </w:pPr>
      <w:rPr>
        <w:rFonts w:hint="default"/>
        <w:lang w:val="zh-CN" w:eastAsia="zh-CN" w:bidi="zh-CN"/>
      </w:rPr>
    </w:lvl>
  </w:abstractNum>
  <w:abstractNum w:abstractNumId="1756535031">
    <w:nsid w:val="68B298F7"/>
    <w:multiLevelType w:val="multilevel"/>
    <w:tmpl w:val="68B298F7"/>
    <w:lvl w:ilvl="0" w:tentative="1">
      <w:start w:val="6"/>
      <w:numFmt w:val="decimal"/>
      <w:lvlText w:val="%1"/>
      <w:lvlJc w:val="left"/>
      <w:pPr>
        <w:ind w:left="1115" w:hanging="384"/>
      </w:pPr>
      <w:rPr>
        <w:rFonts w:hint="default"/>
        <w:lang w:val="zh-CN" w:eastAsia="zh-CN" w:bidi="zh-CN"/>
      </w:rPr>
    </w:lvl>
    <w:lvl w:ilvl="1" w:tentative="1">
      <w:start w:val="1"/>
      <w:numFmt w:val="decimal"/>
      <w:lvlText w:val="%1.%2"/>
      <w:lvlJc w:val="left"/>
      <w:pPr>
        <w:ind w:left="1115" w:hanging="384"/>
      </w:pPr>
      <w:rPr>
        <w:rFonts w:hint="default" w:ascii="宋体" w:hAnsi="宋体" w:eastAsia="宋体" w:cs="宋体"/>
        <w:spacing w:val="-1"/>
        <w:w w:val="100"/>
        <w:sz w:val="22"/>
        <w:szCs w:val="22"/>
        <w:lang w:val="zh-CN" w:eastAsia="zh-CN" w:bidi="zh-CN"/>
      </w:rPr>
    </w:lvl>
    <w:lvl w:ilvl="2" w:tentative="1">
      <w:start w:val="1"/>
      <w:numFmt w:val="decimal"/>
      <w:lvlText w:val="%1.%2.%3"/>
      <w:lvlJc w:val="left"/>
      <w:pPr>
        <w:ind w:left="731" w:hanging="605"/>
      </w:pPr>
      <w:rPr>
        <w:rFonts w:hint="default" w:ascii="宋体" w:hAnsi="宋体" w:eastAsia="宋体" w:cs="宋体"/>
        <w:spacing w:val="-1"/>
        <w:w w:val="100"/>
        <w:sz w:val="22"/>
        <w:szCs w:val="22"/>
        <w:lang w:val="zh-CN" w:eastAsia="zh-CN" w:bidi="zh-CN"/>
      </w:rPr>
    </w:lvl>
    <w:lvl w:ilvl="3" w:tentative="1">
      <w:start w:val="0"/>
      <w:numFmt w:val="bullet"/>
      <w:lvlText w:val="•"/>
      <w:lvlJc w:val="left"/>
      <w:pPr>
        <w:ind w:left="2898" w:hanging="605"/>
      </w:pPr>
      <w:rPr>
        <w:rFonts w:hint="default"/>
        <w:lang w:val="zh-CN" w:eastAsia="zh-CN" w:bidi="zh-CN"/>
      </w:rPr>
    </w:lvl>
    <w:lvl w:ilvl="4" w:tentative="1">
      <w:start w:val="0"/>
      <w:numFmt w:val="bullet"/>
      <w:lvlText w:val="•"/>
      <w:lvlJc w:val="left"/>
      <w:pPr>
        <w:ind w:left="3976" w:hanging="605"/>
      </w:pPr>
      <w:rPr>
        <w:rFonts w:hint="default"/>
        <w:lang w:val="zh-CN" w:eastAsia="zh-CN" w:bidi="zh-CN"/>
      </w:rPr>
    </w:lvl>
    <w:lvl w:ilvl="5" w:tentative="1">
      <w:start w:val="0"/>
      <w:numFmt w:val="bullet"/>
      <w:lvlText w:val="•"/>
      <w:lvlJc w:val="left"/>
      <w:pPr>
        <w:ind w:left="5054" w:hanging="605"/>
      </w:pPr>
      <w:rPr>
        <w:rFonts w:hint="default"/>
        <w:lang w:val="zh-CN" w:eastAsia="zh-CN" w:bidi="zh-CN"/>
      </w:rPr>
    </w:lvl>
    <w:lvl w:ilvl="6" w:tentative="1">
      <w:start w:val="0"/>
      <w:numFmt w:val="bullet"/>
      <w:lvlText w:val="•"/>
      <w:lvlJc w:val="left"/>
      <w:pPr>
        <w:ind w:left="6133" w:hanging="605"/>
      </w:pPr>
      <w:rPr>
        <w:rFonts w:hint="default"/>
        <w:lang w:val="zh-CN" w:eastAsia="zh-CN" w:bidi="zh-CN"/>
      </w:rPr>
    </w:lvl>
    <w:lvl w:ilvl="7" w:tentative="1">
      <w:start w:val="0"/>
      <w:numFmt w:val="bullet"/>
      <w:lvlText w:val="•"/>
      <w:lvlJc w:val="left"/>
      <w:pPr>
        <w:ind w:left="7211" w:hanging="605"/>
      </w:pPr>
      <w:rPr>
        <w:rFonts w:hint="default"/>
        <w:lang w:val="zh-CN" w:eastAsia="zh-CN" w:bidi="zh-CN"/>
      </w:rPr>
    </w:lvl>
    <w:lvl w:ilvl="8" w:tentative="1">
      <w:start w:val="0"/>
      <w:numFmt w:val="bullet"/>
      <w:lvlText w:val="•"/>
      <w:lvlJc w:val="left"/>
      <w:pPr>
        <w:ind w:left="8289" w:hanging="605"/>
      </w:pPr>
      <w:rPr>
        <w:rFonts w:hint="default"/>
        <w:lang w:val="zh-CN" w:eastAsia="zh-CN" w:bidi="zh-CN"/>
      </w:rPr>
    </w:lvl>
  </w:abstractNum>
  <w:abstractNum w:abstractNumId="1508834602">
    <w:nsid w:val="59EEFD2A"/>
    <w:multiLevelType w:val="multilevel"/>
    <w:tmpl w:val="59EEFD2A"/>
    <w:lvl w:ilvl="0" w:tentative="1">
      <w:start w:val="2"/>
      <w:numFmt w:val="decimal"/>
      <w:lvlText w:val="%1"/>
      <w:lvlJc w:val="left"/>
      <w:pPr>
        <w:ind w:left="1170" w:hanging="384"/>
      </w:pPr>
      <w:rPr>
        <w:rFonts w:hint="default"/>
        <w:lang w:val="zh-CN" w:eastAsia="zh-CN" w:bidi="zh-CN"/>
      </w:rPr>
    </w:lvl>
    <w:lvl w:ilvl="1" w:tentative="1">
      <w:start w:val="1"/>
      <w:numFmt w:val="decimal"/>
      <w:lvlText w:val="%1.%2"/>
      <w:lvlJc w:val="left"/>
      <w:pPr>
        <w:ind w:left="1170" w:hanging="384"/>
      </w:pPr>
      <w:rPr>
        <w:rFonts w:hint="default"/>
        <w:spacing w:val="-1"/>
        <w:w w:val="100"/>
        <w:lang w:val="zh-CN" w:eastAsia="zh-CN" w:bidi="zh-CN"/>
      </w:rPr>
    </w:lvl>
    <w:lvl w:ilvl="2" w:tentative="1">
      <w:start w:val="1"/>
      <w:numFmt w:val="decimal"/>
      <w:lvlText w:val="%1.%2.%3"/>
      <w:lvlJc w:val="left"/>
      <w:pPr>
        <w:ind w:left="1595" w:hanging="716"/>
      </w:pPr>
      <w:rPr>
        <w:rFonts w:hint="default" w:ascii="宋体" w:hAnsi="宋体" w:eastAsia="宋体" w:cs="宋体"/>
        <w:spacing w:val="-3"/>
        <w:w w:val="100"/>
        <w:sz w:val="22"/>
        <w:szCs w:val="22"/>
        <w:lang w:val="zh-CN" w:eastAsia="zh-CN" w:bidi="zh-CN"/>
      </w:rPr>
    </w:lvl>
    <w:lvl w:ilvl="3" w:tentative="1">
      <w:start w:val="0"/>
      <w:numFmt w:val="bullet"/>
      <w:lvlText w:val="•"/>
      <w:lvlJc w:val="left"/>
      <w:pPr>
        <w:ind w:left="2968" w:hanging="716"/>
      </w:pPr>
      <w:rPr>
        <w:rFonts w:hint="default"/>
        <w:lang w:val="zh-CN" w:eastAsia="zh-CN" w:bidi="zh-CN"/>
      </w:rPr>
    </w:lvl>
    <w:lvl w:ilvl="4" w:tentative="1">
      <w:start w:val="0"/>
      <w:numFmt w:val="bullet"/>
      <w:lvlText w:val="•"/>
      <w:lvlJc w:val="left"/>
      <w:pPr>
        <w:ind w:left="4036" w:hanging="716"/>
      </w:pPr>
      <w:rPr>
        <w:rFonts w:hint="default"/>
        <w:lang w:val="zh-CN" w:eastAsia="zh-CN" w:bidi="zh-CN"/>
      </w:rPr>
    </w:lvl>
    <w:lvl w:ilvl="5" w:tentative="1">
      <w:start w:val="0"/>
      <w:numFmt w:val="bullet"/>
      <w:lvlText w:val="•"/>
      <w:lvlJc w:val="left"/>
      <w:pPr>
        <w:ind w:left="5104" w:hanging="716"/>
      </w:pPr>
      <w:rPr>
        <w:rFonts w:hint="default"/>
        <w:lang w:val="zh-CN" w:eastAsia="zh-CN" w:bidi="zh-CN"/>
      </w:rPr>
    </w:lvl>
    <w:lvl w:ilvl="6" w:tentative="1">
      <w:start w:val="0"/>
      <w:numFmt w:val="bullet"/>
      <w:lvlText w:val="•"/>
      <w:lvlJc w:val="left"/>
      <w:pPr>
        <w:ind w:left="6173" w:hanging="716"/>
      </w:pPr>
      <w:rPr>
        <w:rFonts w:hint="default"/>
        <w:lang w:val="zh-CN" w:eastAsia="zh-CN" w:bidi="zh-CN"/>
      </w:rPr>
    </w:lvl>
    <w:lvl w:ilvl="7" w:tentative="1">
      <w:start w:val="0"/>
      <w:numFmt w:val="bullet"/>
      <w:lvlText w:val="•"/>
      <w:lvlJc w:val="left"/>
      <w:pPr>
        <w:ind w:left="7241" w:hanging="716"/>
      </w:pPr>
      <w:rPr>
        <w:rFonts w:hint="default"/>
        <w:lang w:val="zh-CN" w:eastAsia="zh-CN" w:bidi="zh-CN"/>
      </w:rPr>
    </w:lvl>
    <w:lvl w:ilvl="8" w:tentative="1">
      <w:start w:val="0"/>
      <w:numFmt w:val="bullet"/>
      <w:lvlText w:val="•"/>
      <w:lvlJc w:val="left"/>
      <w:pPr>
        <w:ind w:left="8309" w:hanging="716"/>
      </w:pPr>
      <w:rPr>
        <w:rFonts w:hint="default"/>
        <w:lang w:val="zh-CN" w:eastAsia="zh-CN" w:bidi="zh-CN"/>
      </w:rPr>
    </w:lvl>
  </w:abstractNum>
  <w:abstractNum w:abstractNumId="2002989590">
    <w:nsid w:val="77633216"/>
    <w:multiLevelType w:val="multilevel"/>
    <w:tmpl w:val="77633216"/>
    <w:lvl w:ilvl="0" w:tentative="1">
      <w:start w:val="4"/>
      <w:numFmt w:val="decimal"/>
      <w:lvlText w:val="%1"/>
      <w:lvlJc w:val="left"/>
      <w:pPr>
        <w:ind w:left="731" w:hanging="315"/>
      </w:pPr>
      <w:rPr>
        <w:rFonts w:hint="default"/>
        <w:lang w:val="zh-CN" w:eastAsia="zh-CN" w:bidi="zh-CN"/>
      </w:rPr>
    </w:lvl>
    <w:lvl w:ilvl="1" w:tentative="1">
      <w:start w:val="1"/>
      <w:numFmt w:val="decimal"/>
      <w:lvlText w:val="%1.%2"/>
      <w:lvlJc w:val="left"/>
      <w:pPr>
        <w:ind w:left="731" w:hanging="315"/>
      </w:pPr>
      <w:rPr>
        <w:rFonts w:hint="default" w:ascii="Times New Roman" w:hAnsi="Times New Roman" w:eastAsia="Times New Roman" w:cs="Times New Roman"/>
        <w:spacing w:val="0"/>
        <w:w w:val="99"/>
        <w:sz w:val="21"/>
        <w:szCs w:val="21"/>
        <w:lang w:val="zh-CN" w:eastAsia="zh-CN" w:bidi="zh-CN"/>
      </w:rPr>
    </w:lvl>
    <w:lvl w:ilvl="2" w:tentative="1">
      <w:start w:val="0"/>
      <w:numFmt w:val="bullet"/>
      <w:lvlText w:val="•"/>
      <w:lvlJc w:val="left"/>
      <w:pPr>
        <w:ind w:left="2681" w:hanging="315"/>
      </w:pPr>
      <w:rPr>
        <w:rFonts w:hint="default"/>
        <w:lang w:val="zh-CN" w:eastAsia="zh-CN" w:bidi="zh-CN"/>
      </w:rPr>
    </w:lvl>
    <w:lvl w:ilvl="3" w:tentative="1">
      <w:start w:val="0"/>
      <w:numFmt w:val="bullet"/>
      <w:lvlText w:val="•"/>
      <w:lvlJc w:val="left"/>
      <w:pPr>
        <w:ind w:left="3651" w:hanging="315"/>
      </w:pPr>
      <w:rPr>
        <w:rFonts w:hint="default"/>
        <w:lang w:val="zh-CN" w:eastAsia="zh-CN" w:bidi="zh-CN"/>
      </w:rPr>
    </w:lvl>
    <w:lvl w:ilvl="4" w:tentative="1">
      <w:start w:val="0"/>
      <w:numFmt w:val="bullet"/>
      <w:lvlText w:val="•"/>
      <w:lvlJc w:val="left"/>
      <w:pPr>
        <w:ind w:left="4622" w:hanging="315"/>
      </w:pPr>
      <w:rPr>
        <w:rFonts w:hint="default"/>
        <w:lang w:val="zh-CN" w:eastAsia="zh-CN" w:bidi="zh-CN"/>
      </w:rPr>
    </w:lvl>
    <w:lvl w:ilvl="5" w:tentative="1">
      <w:start w:val="0"/>
      <w:numFmt w:val="bullet"/>
      <w:lvlText w:val="•"/>
      <w:lvlJc w:val="left"/>
      <w:pPr>
        <w:ind w:left="5593" w:hanging="315"/>
      </w:pPr>
      <w:rPr>
        <w:rFonts w:hint="default"/>
        <w:lang w:val="zh-CN" w:eastAsia="zh-CN" w:bidi="zh-CN"/>
      </w:rPr>
    </w:lvl>
    <w:lvl w:ilvl="6" w:tentative="1">
      <w:start w:val="0"/>
      <w:numFmt w:val="bullet"/>
      <w:lvlText w:val="•"/>
      <w:lvlJc w:val="left"/>
      <w:pPr>
        <w:ind w:left="6563" w:hanging="315"/>
      </w:pPr>
      <w:rPr>
        <w:rFonts w:hint="default"/>
        <w:lang w:val="zh-CN" w:eastAsia="zh-CN" w:bidi="zh-CN"/>
      </w:rPr>
    </w:lvl>
    <w:lvl w:ilvl="7" w:tentative="1">
      <w:start w:val="0"/>
      <w:numFmt w:val="bullet"/>
      <w:lvlText w:val="•"/>
      <w:lvlJc w:val="left"/>
      <w:pPr>
        <w:ind w:left="7534" w:hanging="315"/>
      </w:pPr>
      <w:rPr>
        <w:rFonts w:hint="default"/>
        <w:lang w:val="zh-CN" w:eastAsia="zh-CN" w:bidi="zh-CN"/>
      </w:rPr>
    </w:lvl>
    <w:lvl w:ilvl="8" w:tentative="1">
      <w:start w:val="0"/>
      <w:numFmt w:val="bullet"/>
      <w:lvlText w:val="•"/>
      <w:lvlJc w:val="left"/>
      <w:pPr>
        <w:ind w:left="8504" w:hanging="315"/>
      </w:pPr>
      <w:rPr>
        <w:rFonts w:hint="default"/>
        <w:lang w:val="zh-CN" w:eastAsia="zh-CN" w:bidi="zh-CN"/>
      </w:rPr>
    </w:lvl>
  </w:abstractNum>
  <w:abstractNum w:abstractNumId="2112626825">
    <w:nsid w:val="7DEC2089"/>
    <w:multiLevelType w:val="multilevel"/>
    <w:tmpl w:val="7DEC2089"/>
    <w:lvl w:ilvl="0" w:tentative="1">
      <w:start w:val="1"/>
      <w:numFmt w:val="decimal"/>
      <w:lvlText w:val="%1."/>
      <w:lvlJc w:val="left"/>
      <w:pPr>
        <w:ind w:left="731" w:hanging="159"/>
      </w:pPr>
      <w:rPr>
        <w:rFonts w:hint="default" w:ascii="Times New Roman" w:hAnsi="Times New Roman" w:eastAsia="Times New Roman" w:cs="Times New Roman"/>
        <w:spacing w:val="0"/>
        <w:w w:val="99"/>
        <w:sz w:val="19"/>
        <w:szCs w:val="19"/>
        <w:lang w:val="zh-CN" w:eastAsia="zh-CN" w:bidi="zh-CN"/>
      </w:rPr>
    </w:lvl>
    <w:lvl w:ilvl="1" w:tentative="1">
      <w:start w:val="0"/>
      <w:numFmt w:val="bullet"/>
      <w:lvlText w:val="•"/>
      <w:lvlJc w:val="left"/>
      <w:pPr>
        <w:ind w:left="1710" w:hanging="159"/>
      </w:pPr>
      <w:rPr>
        <w:rFonts w:hint="default"/>
        <w:lang w:val="zh-CN" w:eastAsia="zh-CN" w:bidi="zh-CN"/>
      </w:rPr>
    </w:lvl>
    <w:lvl w:ilvl="2" w:tentative="1">
      <w:start w:val="0"/>
      <w:numFmt w:val="bullet"/>
      <w:lvlText w:val="•"/>
      <w:lvlJc w:val="left"/>
      <w:pPr>
        <w:ind w:left="2681" w:hanging="159"/>
      </w:pPr>
      <w:rPr>
        <w:rFonts w:hint="default"/>
        <w:lang w:val="zh-CN" w:eastAsia="zh-CN" w:bidi="zh-CN"/>
      </w:rPr>
    </w:lvl>
    <w:lvl w:ilvl="3" w:tentative="1">
      <w:start w:val="0"/>
      <w:numFmt w:val="bullet"/>
      <w:lvlText w:val="•"/>
      <w:lvlJc w:val="left"/>
      <w:pPr>
        <w:ind w:left="3651" w:hanging="159"/>
      </w:pPr>
      <w:rPr>
        <w:rFonts w:hint="default"/>
        <w:lang w:val="zh-CN" w:eastAsia="zh-CN" w:bidi="zh-CN"/>
      </w:rPr>
    </w:lvl>
    <w:lvl w:ilvl="4" w:tentative="1">
      <w:start w:val="0"/>
      <w:numFmt w:val="bullet"/>
      <w:lvlText w:val="•"/>
      <w:lvlJc w:val="left"/>
      <w:pPr>
        <w:ind w:left="4622" w:hanging="159"/>
      </w:pPr>
      <w:rPr>
        <w:rFonts w:hint="default"/>
        <w:lang w:val="zh-CN" w:eastAsia="zh-CN" w:bidi="zh-CN"/>
      </w:rPr>
    </w:lvl>
    <w:lvl w:ilvl="5" w:tentative="1">
      <w:start w:val="0"/>
      <w:numFmt w:val="bullet"/>
      <w:lvlText w:val="•"/>
      <w:lvlJc w:val="left"/>
      <w:pPr>
        <w:ind w:left="5593" w:hanging="159"/>
      </w:pPr>
      <w:rPr>
        <w:rFonts w:hint="default"/>
        <w:lang w:val="zh-CN" w:eastAsia="zh-CN" w:bidi="zh-CN"/>
      </w:rPr>
    </w:lvl>
    <w:lvl w:ilvl="6" w:tentative="1">
      <w:start w:val="0"/>
      <w:numFmt w:val="bullet"/>
      <w:lvlText w:val="•"/>
      <w:lvlJc w:val="left"/>
      <w:pPr>
        <w:ind w:left="6563" w:hanging="159"/>
      </w:pPr>
      <w:rPr>
        <w:rFonts w:hint="default"/>
        <w:lang w:val="zh-CN" w:eastAsia="zh-CN" w:bidi="zh-CN"/>
      </w:rPr>
    </w:lvl>
    <w:lvl w:ilvl="7" w:tentative="1">
      <w:start w:val="0"/>
      <w:numFmt w:val="bullet"/>
      <w:lvlText w:val="•"/>
      <w:lvlJc w:val="left"/>
      <w:pPr>
        <w:ind w:left="7534" w:hanging="159"/>
      </w:pPr>
      <w:rPr>
        <w:rFonts w:hint="default"/>
        <w:lang w:val="zh-CN" w:eastAsia="zh-CN" w:bidi="zh-CN"/>
      </w:rPr>
    </w:lvl>
    <w:lvl w:ilvl="8" w:tentative="1">
      <w:start w:val="0"/>
      <w:numFmt w:val="bullet"/>
      <w:lvlText w:val="•"/>
      <w:lvlJc w:val="left"/>
      <w:pPr>
        <w:ind w:left="8504" w:hanging="159"/>
      </w:pPr>
      <w:rPr>
        <w:rFonts w:hint="default"/>
        <w:lang w:val="zh-CN" w:eastAsia="zh-CN" w:bidi="zh-CN"/>
      </w:rPr>
    </w:lvl>
  </w:abstractNum>
  <w:abstractNum w:abstractNumId="2012015225">
    <w:nsid w:val="77ECEA79"/>
    <w:multiLevelType w:val="multilevel"/>
    <w:tmpl w:val="77ECEA79"/>
    <w:lvl w:ilvl="0" w:tentative="1">
      <w:start w:val="7"/>
      <w:numFmt w:val="decimal"/>
      <w:lvlText w:val="%1"/>
      <w:lvlJc w:val="left"/>
      <w:pPr>
        <w:ind w:left="1033" w:hanging="701"/>
      </w:pPr>
      <w:rPr>
        <w:rFonts w:hint="default"/>
        <w:lang w:val="zh-CN" w:eastAsia="zh-CN" w:bidi="zh-CN"/>
      </w:rPr>
    </w:lvl>
    <w:lvl w:ilvl="1" w:tentative="1">
      <w:start w:val="2"/>
      <w:numFmt w:val="decimal"/>
      <w:lvlText w:val="%1.%2"/>
      <w:lvlJc w:val="left"/>
      <w:pPr>
        <w:ind w:left="1033" w:hanging="701"/>
      </w:pPr>
      <w:rPr>
        <w:rFonts w:hint="default" w:ascii="宋体" w:hAnsi="宋体" w:eastAsia="宋体" w:cs="宋体"/>
        <w:spacing w:val="-2"/>
        <w:w w:val="100"/>
        <w:sz w:val="28"/>
        <w:szCs w:val="28"/>
        <w:lang w:val="zh-CN" w:eastAsia="zh-CN" w:bidi="zh-CN"/>
      </w:rPr>
    </w:lvl>
    <w:lvl w:ilvl="2" w:tentative="1">
      <w:start w:val="1"/>
      <w:numFmt w:val="decimal"/>
      <w:lvlText w:val="%1.%2.%3"/>
      <w:lvlJc w:val="left"/>
      <w:pPr>
        <w:ind w:left="1324" w:hanging="579"/>
      </w:pPr>
      <w:rPr>
        <w:rFonts w:hint="default" w:ascii="宋体" w:hAnsi="宋体" w:eastAsia="宋体" w:cs="宋体"/>
        <w:spacing w:val="-2"/>
        <w:w w:val="99"/>
        <w:sz w:val="21"/>
        <w:szCs w:val="21"/>
        <w:lang w:val="zh-CN" w:eastAsia="zh-CN" w:bidi="zh-CN"/>
      </w:rPr>
    </w:lvl>
    <w:lvl w:ilvl="3" w:tentative="1">
      <w:start w:val="0"/>
      <w:numFmt w:val="bullet"/>
      <w:lvlText w:val="•"/>
      <w:lvlJc w:val="left"/>
      <w:pPr>
        <w:ind w:left="2460" w:hanging="579"/>
      </w:pPr>
      <w:rPr>
        <w:rFonts w:hint="default"/>
        <w:lang w:val="zh-CN" w:eastAsia="zh-CN" w:bidi="zh-CN"/>
      </w:rPr>
    </w:lvl>
    <w:lvl w:ilvl="4" w:tentative="1">
      <w:start w:val="0"/>
      <w:numFmt w:val="bullet"/>
      <w:lvlText w:val="•"/>
      <w:lvlJc w:val="left"/>
      <w:pPr>
        <w:ind w:left="3601" w:hanging="579"/>
      </w:pPr>
      <w:rPr>
        <w:rFonts w:hint="default"/>
        <w:lang w:val="zh-CN" w:eastAsia="zh-CN" w:bidi="zh-CN"/>
      </w:rPr>
    </w:lvl>
    <w:lvl w:ilvl="5" w:tentative="1">
      <w:start w:val="0"/>
      <w:numFmt w:val="bullet"/>
      <w:lvlText w:val="•"/>
      <w:lvlJc w:val="left"/>
      <w:pPr>
        <w:ind w:left="4742" w:hanging="579"/>
      </w:pPr>
      <w:rPr>
        <w:rFonts w:hint="default"/>
        <w:lang w:val="zh-CN" w:eastAsia="zh-CN" w:bidi="zh-CN"/>
      </w:rPr>
    </w:lvl>
    <w:lvl w:ilvl="6" w:tentative="1">
      <w:start w:val="0"/>
      <w:numFmt w:val="bullet"/>
      <w:lvlText w:val="•"/>
      <w:lvlJc w:val="left"/>
      <w:pPr>
        <w:ind w:left="5883" w:hanging="579"/>
      </w:pPr>
      <w:rPr>
        <w:rFonts w:hint="default"/>
        <w:lang w:val="zh-CN" w:eastAsia="zh-CN" w:bidi="zh-CN"/>
      </w:rPr>
    </w:lvl>
    <w:lvl w:ilvl="7" w:tentative="1">
      <w:start w:val="0"/>
      <w:numFmt w:val="bullet"/>
      <w:lvlText w:val="•"/>
      <w:lvlJc w:val="left"/>
      <w:pPr>
        <w:ind w:left="7023" w:hanging="579"/>
      </w:pPr>
      <w:rPr>
        <w:rFonts w:hint="default"/>
        <w:lang w:val="zh-CN" w:eastAsia="zh-CN" w:bidi="zh-CN"/>
      </w:rPr>
    </w:lvl>
    <w:lvl w:ilvl="8" w:tentative="1">
      <w:start w:val="0"/>
      <w:numFmt w:val="bullet"/>
      <w:lvlText w:val="•"/>
      <w:lvlJc w:val="left"/>
      <w:pPr>
        <w:ind w:left="8164" w:hanging="579"/>
      </w:pPr>
      <w:rPr>
        <w:rFonts w:hint="default"/>
        <w:lang w:val="zh-CN" w:eastAsia="zh-CN" w:bidi="zh-CN"/>
      </w:rPr>
    </w:lvl>
  </w:abstractNum>
  <w:abstractNum w:abstractNumId="1504561850">
    <w:nsid w:val="59ADCABA"/>
    <w:multiLevelType w:val="multilevel"/>
    <w:tmpl w:val="59ADCABA"/>
    <w:lvl w:ilvl="0" w:tentative="1">
      <w:start w:val="1"/>
      <w:numFmt w:val="decimal"/>
      <w:lvlText w:val="%1."/>
      <w:lvlJc w:val="left"/>
      <w:pPr>
        <w:ind w:left="573" w:hanging="241"/>
      </w:pPr>
      <w:rPr>
        <w:rFonts w:hint="default" w:ascii="宋体" w:hAnsi="宋体" w:eastAsia="宋体" w:cs="宋体"/>
        <w:w w:val="100"/>
        <w:sz w:val="22"/>
        <w:szCs w:val="22"/>
        <w:lang w:val="zh-CN" w:eastAsia="zh-CN" w:bidi="zh-CN"/>
      </w:rPr>
    </w:lvl>
    <w:lvl w:ilvl="1" w:tentative="1">
      <w:start w:val="0"/>
      <w:numFmt w:val="bullet"/>
      <w:lvlText w:val="•"/>
      <w:lvlJc w:val="left"/>
      <w:pPr>
        <w:ind w:left="1566" w:hanging="241"/>
      </w:pPr>
      <w:rPr>
        <w:rFonts w:hint="default"/>
        <w:lang w:val="zh-CN" w:eastAsia="zh-CN" w:bidi="zh-CN"/>
      </w:rPr>
    </w:lvl>
    <w:lvl w:ilvl="2" w:tentative="1">
      <w:start w:val="0"/>
      <w:numFmt w:val="bullet"/>
      <w:lvlText w:val="•"/>
      <w:lvlJc w:val="left"/>
      <w:pPr>
        <w:ind w:left="2553" w:hanging="241"/>
      </w:pPr>
      <w:rPr>
        <w:rFonts w:hint="default"/>
        <w:lang w:val="zh-CN" w:eastAsia="zh-CN" w:bidi="zh-CN"/>
      </w:rPr>
    </w:lvl>
    <w:lvl w:ilvl="3" w:tentative="1">
      <w:start w:val="0"/>
      <w:numFmt w:val="bullet"/>
      <w:lvlText w:val="•"/>
      <w:lvlJc w:val="left"/>
      <w:pPr>
        <w:ind w:left="3539" w:hanging="241"/>
      </w:pPr>
      <w:rPr>
        <w:rFonts w:hint="default"/>
        <w:lang w:val="zh-CN" w:eastAsia="zh-CN" w:bidi="zh-CN"/>
      </w:rPr>
    </w:lvl>
    <w:lvl w:ilvl="4" w:tentative="1">
      <w:start w:val="0"/>
      <w:numFmt w:val="bullet"/>
      <w:lvlText w:val="•"/>
      <w:lvlJc w:val="left"/>
      <w:pPr>
        <w:ind w:left="4526" w:hanging="241"/>
      </w:pPr>
      <w:rPr>
        <w:rFonts w:hint="default"/>
        <w:lang w:val="zh-CN" w:eastAsia="zh-CN" w:bidi="zh-CN"/>
      </w:rPr>
    </w:lvl>
    <w:lvl w:ilvl="5" w:tentative="1">
      <w:start w:val="0"/>
      <w:numFmt w:val="bullet"/>
      <w:lvlText w:val="•"/>
      <w:lvlJc w:val="left"/>
      <w:pPr>
        <w:ind w:left="5513" w:hanging="241"/>
      </w:pPr>
      <w:rPr>
        <w:rFonts w:hint="default"/>
        <w:lang w:val="zh-CN" w:eastAsia="zh-CN" w:bidi="zh-CN"/>
      </w:rPr>
    </w:lvl>
    <w:lvl w:ilvl="6" w:tentative="1">
      <w:start w:val="0"/>
      <w:numFmt w:val="bullet"/>
      <w:lvlText w:val="•"/>
      <w:lvlJc w:val="left"/>
      <w:pPr>
        <w:ind w:left="6499" w:hanging="241"/>
      </w:pPr>
      <w:rPr>
        <w:rFonts w:hint="default"/>
        <w:lang w:val="zh-CN" w:eastAsia="zh-CN" w:bidi="zh-CN"/>
      </w:rPr>
    </w:lvl>
    <w:lvl w:ilvl="7" w:tentative="1">
      <w:start w:val="0"/>
      <w:numFmt w:val="bullet"/>
      <w:lvlText w:val="•"/>
      <w:lvlJc w:val="left"/>
      <w:pPr>
        <w:ind w:left="7486" w:hanging="241"/>
      </w:pPr>
      <w:rPr>
        <w:rFonts w:hint="default"/>
        <w:lang w:val="zh-CN" w:eastAsia="zh-CN" w:bidi="zh-CN"/>
      </w:rPr>
    </w:lvl>
    <w:lvl w:ilvl="8" w:tentative="1">
      <w:start w:val="0"/>
      <w:numFmt w:val="bullet"/>
      <w:lvlText w:val="•"/>
      <w:lvlJc w:val="left"/>
      <w:pPr>
        <w:ind w:left="8472" w:hanging="241"/>
      </w:pPr>
      <w:rPr>
        <w:rFonts w:hint="default"/>
        <w:lang w:val="zh-CN" w:eastAsia="zh-CN" w:bidi="zh-CN"/>
      </w:rPr>
    </w:lvl>
  </w:abstractNum>
  <w:abstractNum w:abstractNumId="1880087791">
    <w:nsid w:val="700FDCEF"/>
    <w:multiLevelType w:val="multilevel"/>
    <w:tmpl w:val="700FDCEF"/>
    <w:lvl w:ilvl="0" w:tentative="1">
      <w:start w:val="1"/>
      <w:numFmt w:val="decimal"/>
      <w:lvlText w:val="%1."/>
      <w:lvlJc w:val="left"/>
      <w:pPr>
        <w:ind w:left="836" w:hanging="316"/>
      </w:pPr>
      <w:rPr>
        <w:rFonts w:hint="default" w:ascii="Times New Roman" w:hAnsi="Times New Roman" w:eastAsia="Times New Roman" w:cs="Times New Roman"/>
        <w:spacing w:val="-3"/>
        <w:w w:val="99"/>
        <w:sz w:val="19"/>
        <w:szCs w:val="19"/>
        <w:lang w:val="zh-CN" w:eastAsia="zh-CN" w:bidi="zh-CN"/>
      </w:rPr>
    </w:lvl>
    <w:lvl w:ilvl="1" w:tentative="1">
      <w:start w:val="0"/>
      <w:numFmt w:val="bullet"/>
      <w:lvlText w:val="•"/>
      <w:lvlJc w:val="left"/>
      <w:pPr>
        <w:ind w:left="1800" w:hanging="316"/>
      </w:pPr>
      <w:rPr>
        <w:rFonts w:hint="default"/>
        <w:lang w:val="zh-CN" w:eastAsia="zh-CN" w:bidi="zh-CN"/>
      </w:rPr>
    </w:lvl>
    <w:lvl w:ilvl="2" w:tentative="1">
      <w:start w:val="0"/>
      <w:numFmt w:val="bullet"/>
      <w:lvlText w:val="•"/>
      <w:lvlJc w:val="left"/>
      <w:pPr>
        <w:ind w:left="2761" w:hanging="316"/>
      </w:pPr>
      <w:rPr>
        <w:rFonts w:hint="default"/>
        <w:lang w:val="zh-CN" w:eastAsia="zh-CN" w:bidi="zh-CN"/>
      </w:rPr>
    </w:lvl>
    <w:lvl w:ilvl="3" w:tentative="1">
      <w:start w:val="0"/>
      <w:numFmt w:val="bullet"/>
      <w:lvlText w:val="•"/>
      <w:lvlJc w:val="left"/>
      <w:pPr>
        <w:ind w:left="3721" w:hanging="316"/>
      </w:pPr>
      <w:rPr>
        <w:rFonts w:hint="default"/>
        <w:lang w:val="zh-CN" w:eastAsia="zh-CN" w:bidi="zh-CN"/>
      </w:rPr>
    </w:lvl>
    <w:lvl w:ilvl="4" w:tentative="1">
      <w:start w:val="0"/>
      <w:numFmt w:val="bullet"/>
      <w:lvlText w:val="•"/>
      <w:lvlJc w:val="left"/>
      <w:pPr>
        <w:ind w:left="4682" w:hanging="316"/>
      </w:pPr>
      <w:rPr>
        <w:rFonts w:hint="default"/>
        <w:lang w:val="zh-CN" w:eastAsia="zh-CN" w:bidi="zh-CN"/>
      </w:rPr>
    </w:lvl>
    <w:lvl w:ilvl="5" w:tentative="1">
      <w:start w:val="0"/>
      <w:numFmt w:val="bullet"/>
      <w:lvlText w:val="•"/>
      <w:lvlJc w:val="left"/>
      <w:pPr>
        <w:ind w:left="5643" w:hanging="316"/>
      </w:pPr>
      <w:rPr>
        <w:rFonts w:hint="default"/>
        <w:lang w:val="zh-CN" w:eastAsia="zh-CN" w:bidi="zh-CN"/>
      </w:rPr>
    </w:lvl>
    <w:lvl w:ilvl="6" w:tentative="1">
      <w:start w:val="0"/>
      <w:numFmt w:val="bullet"/>
      <w:lvlText w:val="•"/>
      <w:lvlJc w:val="left"/>
      <w:pPr>
        <w:ind w:left="6603" w:hanging="316"/>
      </w:pPr>
      <w:rPr>
        <w:rFonts w:hint="default"/>
        <w:lang w:val="zh-CN" w:eastAsia="zh-CN" w:bidi="zh-CN"/>
      </w:rPr>
    </w:lvl>
    <w:lvl w:ilvl="7" w:tentative="1">
      <w:start w:val="0"/>
      <w:numFmt w:val="bullet"/>
      <w:lvlText w:val="•"/>
      <w:lvlJc w:val="left"/>
      <w:pPr>
        <w:ind w:left="7564" w:hanging="316"/>
      </w:pPr>
      <w:rPr>
        <w:rFonts w:hint="default"/>
        <w:lang w:val="zh-CN" w:eastAsia="zh-CN" w:bidi="zh-CN"/>
      </w:rPr>
    </w:lvl>
    <w:lvl w:ilvl="8" w:tentative="1">
      <w:start w:val="0"/>
      <w:numFmt w:val="bullet"/>
      <w:lvlText w:val="•"/>
      <w:lvlJc w:val="left"/>
      <w:pPr>
        <w:ind w:left="8524" w:hanging="316"/>
      </w:pPr>
      <w:rPr>
        <w:rFonts w:hint="default"/>
        <w:lang w:val="zh-CN" w:eastAsia="zh-CN" w:bidi="zh-CN"/>
      </w:rPr>
    </w:lvl>
  </w:abstractNum>
  <w:abstractNum w:abstractNumId="1914191097">
    <w:nsid w:val="72183CF9"/>
    <w:multiLevelType w:val="multilevel"/>
    <w:tmpl w:val="72183CF9"/>
    <w:lvl w:ilvl="0" w:tentative="1">
      <w:start w:val="1"/>
      <w:numFmt w:val="decimal"/>
      <w:lvlText w:val="%1."/>
      <w:lvlJc w:val="left"/>
      <w:pPr>
        <w:ind w:left="108" w:hanging="222"/>
      </w:pPr>
      <w:rPr>
        <w:rFonts w:hint="default" w:ascii="宋体" w:hAnsi="宋体" w:eastAsia="宋体" w:cs="宋体"/>
        <w:spacing w:val="-1"/>
        <w:w w:val="100"/>
        <w:sz w:val="20"/>
        <w:szCs w:val="20"/>
        <w:lang w:val="zh-CN" w:eastAsia="zh-CN" w:bidi="zh-CN"/>
      </w:rPr>
    </w:lvl>
    <w:lvl w:ilvl="1" w:tentative="1">
      <w:start w:val="0"/>
      <w:numFmt w:val="bullet"/>
      <w:lvlText w:val="•"/>
      <w:lvlJc w:val="left"/>
      <w:pPr>
        <w:ind w:left="776" w:hanging="222"/>
      </w:pPr>
      <w:rPr>
        <w:rFonts w:hint="default"/>
        <w:lang w:val="zh-CN" w:eastAsia="zh-CN" w:bidi="zh-CN"/>
      </w:rPr>
    </w:lvl>
    <w:lvl w:ilvl="2" w:tentative="1">
      <w:start w:val="0"/>
      <w:numFmt w:val="bullet"/>
      <w:lvlText w:val="•"/>
      <w:lvlJc w:val="left"/>
      <w:pPr>
        <w:ind w:left="1452" w:hanging="222"/>
      </w:pPr>
      <w:rPr>
        <w:rFonts w:hint="default"/>
        <w:lang w:val="zh-CN" w:eastAsia="zh-CN" w:bidi="zh-CN"/>
      </w:rPr>
    </w:lvl>
    <w:lvl w:ilvl="3" w:tentative="1">
      <w:start w:val="0"/>
      <w:numFmt w:val="bullet"/>
      <w:lvlText w:val="•"/>
      <w:lvlJc w:val="left"/>
      <w:pPr>
        <w:ind w:left="2128" w:hanging="222"/>
      </w:pPr>
      <w:rPr>
        <w:rFonts w:hint="default"/>
        <w:lang w:val="zh-CN" w:eastAsia="zh-CN" w:bidi="zh-CN"/>
      </w:rPr>
    </w:lvl>
    <w:lvl w:ilvl="4" w:tentative="1">
      <w:start w:val="0"/>
      <w:numFmt w:val="bullet"/>
      <w:lvlText w:val="•"/>
      <w:lvlJc w:val="left"/>
      <w:pPr>
        <w:ind w:left="2805" w:hanging="222"/>
      </w:pPr>
      <w:rPr>
        <w:rFonts w:hint="default"/>
        <w:lang w:val="zh-CN" w:eastAsia="zh-CN" w:bidi="zh-CN"/>
      </w:rPr>
    </w:lvl>
    <w:lvl w:ilvl="5" w:tentative="1">
      <w:start w:val="0"/>
      <w:numFmt w:val="bullet"/>
      <w:lvlText w:val="•"/>
      <w:lvlJc w:val="left"/>
      <w:pPr>
        <w:ind w:left="3481" w:hanging="222"/>
      </w:pPr>
      <w:rPr>
        <w:rFonts w:hint="default"/>
        <w:lang w:val="zh-CN" w:eastAsia="zh-CN" w:bidi="zh-CN"/>
      </w:rPr>
    </w:lvl>
    <w:lvl w:ilvl="6" w:tentative="1">
      <w:start w:val="0"/>
      <w:numFmt w:val="bullet"/>
      <w:lvlText w:val="•"/>
      <w:lvlJc w:val="left"/>
      <w:pPr>
        <w:ind w:left="4157" w:hanging="222"/>
      </w:pPr>
      <w:rPr>
        <w:rFonts w:hint="default"/>
        <w:lang w:val="zh-CN" w:eastAsia="zh-CN" w:bidi="zh-CN"/>
      </w:rPr>
    </w:lvl>
    <w:lvl w:ilvl="7" w:tentative="1">
      <w:start w:val="0"/>
      <w:numFmt w:val="bullet"/>
      <w:lvlText w:val="•"/>
      <w:lvlJc w:val="left"/>
      <w:pPr>
        <w:ind w:left="4834" w:hanging="222"/>
      </w:pPr>
      <w:rPr>
        <w:rFonts w:hint="default"/>
        <w:lang w:val="zh-CN" w:eastAsia="zh-CN" w:bidi="zh-CN"/>
      </w:rPr>
    </w:lvl>
    <w:lvl w:ilvl="8" w:tentative="1">
      <w:start w:val="0"/>
      <w:numFmt w:val="bullet"/>
      <w:lvlText w:val="•"/>
      <w:lvlJc w:val="left"/>
      <w:pPr>
        <w:ind w:left="5510" w:hanging="222"/>
      </w:pPr>
      <w:rPr>
        <w:rFonts w:hint="default"/>
        <w:lang w:val="zh-CN" w:eastAsia="zh-CN" w:bidi="zh-CN"/>
      </w:rPr>
    </w:lvl>
  </w:abstractNum>
  <w:abstractNum w:abstractNumId="1607353191">
    <w:nsid w:val="5FCE4367"/>
    <w:multiLevelType w:val="multilevel"/>
    <w:tmpl w:val="5FCE4367"/>
    <w:lvl w:ilvl="0" w:tentative="1">
      <w:start w:val="1"/>
      <w:numFmt w:val="decimal"/>
      <w:lvlText w:val="%1."/>
      <w:lvlJc w:val="left"/>
      <w:pPr>
        <w:ind w:left="953" w:hanging="222"/>
      </w:pPr>
      <w:rPr>
        <w:rFonts w:hint="default" w:ascii="宋体" w:hAnsi="宋体" w:eastAsia="宋体" w:cs="宋体"/>
        <w:spacing w:val="-1"/>
        <w:w w:val="100"/>
        <w:sz w:val="20"/>
        <w:szCs w:val="20"/>
        <w:lang w:val="zh-CN" w:eastAsia="zh-CN" w:bidi="zh-CN"/>
      </w:rPr>
    </w:lvl>
    <w:lvl w:ilvl="1" w:tentative="1">
      <w:start w:val="1"/>
      <w:numFmt w:val="decimal"/>
      <w:lvlText w:val="%1.%2"/>
      <w:lvlJc w:val="left"/>
      <w:pPr>
        <w:ind w:left="1115" w:hanging="384"/>
      </w:pPr>
      <w:rPr>
        <w:rFonts w:hint="default" w:ascii="宋体" w:hAnsi="宋体" w:eastAsia="宋体" w:cs="宋体"/>
        <w:spacing w:val="-1"/>
        <w:w w:val="100"/>
        <w:sz w:val="22"/>
        <w:szCs w:val="22"/>
        <w:lang w:val="zh-CN" w:eastAsia="zh-CN" w:bidi="zh-CN"/>
      </w:rPr>
    </w:lvl>
    <w:lvl w:ilvl="2" w:tentative="1">
      <w:start w:val="0"/>
      <w:numFmt w:val="bullet"/>
      <w:lvlText w:val="•"/>
      <w:lvlJc w:val="left"/>
      <w:pPr>
        <w:ind w:left="2156" w:hanging="384"/>
      </w:pPr>
      <w:rPr>
        <w:rFonts w:hint="default"/>
        <w:lang w:val="zh-CN" w:eastAsia="zh-CN" w:bidi="zh-CN"/>
      </w:rPr>
    </w:lvl>
    <w:lvl w:ilvl="3" w:tentative="1">
      <w:start w:val="0"/>
      <w:numFmt w:val="bullet"/>
      <w:lvlText w:val="•"/>
      <w:lvlJc w:val="left"/>
      <w:pPr>
        <w:ind w:left="3192" w:hanging="384"/>
      </w:pPr>
      <w:rPr>
        <w:rFonts w:hint="default"/>
        <w:lang w:val="zh-CN" w:eastAsia="zh-CN" w:bidi="zh-CN"/>
      </w:rPr>
    </w:lvl>
    <w:lvl w:ilvl="4" w:tentative="1">
      <w:start w:val="0"/>
      <w:numFmt w:val="bullet"/>
      <w:lvlText w:val="•"/>
      <w:lvlJc w:val="left"/>
      <w:pPr>
        <w:ind w:left="4228" w:hanging="384"/>
      </w:pPr>
      <w:rPr>
        <w:rFonts w:hint="default"/>
        <w:lang w:val="zh-CN" w:eastAsia="zh-CN" w:bidi="zh-CN"/>
      </w:rPr>
    </w:lvl>
    <w:lvl w:ilvl="5" w:tentative="1">
      <w:start w:val="0"/>
      <w:numFmt w:val="bullet"/>
      <w:lvlText w:val="•"/>
      <w:lvlJc w:val="left"/>
      <w:pPr>
        <w:ind w:left="5264" w:hanging="384"/>
      </w:pPr>
      <w:rPr>
        <w:rFonts w:hint="default"/>
        <w:lang w:val="zh-CN" w:eastAsia="zh-CN" w:bidi="zh-CN"/>
      </w:rPr>
    </w:lvl>
    <w:lvl w:ilvl="6" w:tentative="1">
      <w:start w:val="0"/>
      <w:numFmt w:val="bullet"/>
      <w:lvlText w:val="•"/>
      <w:lvlJc w:val="left"/>
      <w:pPr>
        <w:ind w:left="6301" w:hanging="384"/>
      </w:pPr>
      <w:rPr>
        <w:rFonts w:hint="default"/>
        <w:lang w:val="zh-CN" w:eastAsia="zh-CN" w:bidi="zh-CN"/>
      </w:rPr>
    </w:lvl>
    <w:lvl w:ilvl="7" w:tentative="1">
      <w:start w:val="0"/>
      <w:numFmt w:val="bullet"/>
      <w:lvlText w:val="•"/>
      <w:lvlJc w:val="left"/>
      <w:pPr>
        <w:ind w:left="7337" w:hanging="384"/>
      </w:pPr>
      <w:rPr>
        <w:rFonts w:hint="default"/>
        <w:lang w:val="zh-CN" w:eastAsia="zh-CN" w:bidi="zh-CN"/>
      </w:rPr>
    </w:lvl>
    <w:lvl w:ilvl="8" w:tentative="1">
      <w:start w:val="0"/>
      <w:numFmt w:val="bullet"/>
      <w:lvlText w:val="•"/>
      <w:lvlJc w:val="left"/>
      <w:pPr>
        <w:ind w:left="8373" w:hanging="384"/>
      </w:pPr>
      <w:rPr>
        <w:rFonts w:hint="default"/>
        <w:lang w:val="zh-CN" w:eastAsia="zh-CN" w:bidi="zh-CN"/>
      </w:rPr>
    </w:lvl>
  </w:abstractNum>
  <w:abstractNum w:abstractNumId="1628372572">
    <w:nsid w:val="610EFE5C"/>
    <w:multiLevelType w:val="multilevel"/>
    <w:tmpl w:val="610EFE5C"/>
    <w:lvl w:ilvl="0" w:tentative="1">
      <w:start w:val="2"/>
      <w:numFmt w:val="decimal"/>
      <w:lvlText w:val="%1)"/>
      <w:lvlJc w:val="left"/>
      <w:pPr>
        <w:ind w:left="1392" w:hanging="222"/>
      </w:pPr>
      <w:rPr>
        <w:rFonts w:hint="default" w:ascii="宋体" w:hAnsi="宋体" w:eastAsia="宋体" w:cs="宋体"/>
        <w:spacing w:val="-1"/>
        <w:w w:val="100"/>
        <w:sz w:val="20"/>
        <w:szCs w:val="20"/>
        <w:lang w:val="zh-CN" w:eastAsia="zh-CN" w:bidi="zh-CN"/>
      </w:rPr>
    </w:lvl>
    <w:lvl w:ilvl="1" w:tentative="1">
      <w:start w:val="0"/>
      <w:numFmt w:val="bullet"/>
      <w:lvlText w:val="•"/>
      <w:lvlJc w:val="left"/>
      <w:pPr>
        <w:ind w:left="2304" w:hanging="222"/>
      </w:pPr>
      <w:rPr>
        <w:rFonts w:hint="default"/>
        <w:lang w:val="zh-CN" w:eastAsia="zh-CN" w:bidi="zh-CN"/>
      </w:rPr>
    </w:lvl>
    <w:lvl w:ilvl="2" w:tentative="1">
      <w:start w:val="0"/>
      <w:numFmt w:val="bullet"/>
      <w:lvlText w:val="•"/>
      <w:lvlJc w:val="left"/>
      <w:pPr>
        <w:ind w:left="3209" w:hanging="222"/>
      </w:pPr>
      <w:rPr>
        <w:rFonts w:hint="default"/>
        <w:lang w:val="zh-CN" w:eastAsia="zh-CN" w:bidi="zh-CN"/>
      </w:rPr>
    </w:lvl>
    <w:lvl w:ilvl="3" w:tentative="1">
      <w:start w:val="0"/>
      <w:numFmt w:val="bullet"/>
      <w:lvlText w:val="•"/>
      <w:lvlJc w:val="left"/>
      <w:pPr>
        <w:ind w:left="4113" w:hanging="222"/>
      </w:pPr>
      <w:rPr>
        <w:rFonts w:hint="default"/>
        <w:lang w:val="zh-CN" w:eastAsia="zh-CN" w:bidi="zh-CN"/>
      </w:rPr>
    </w:lvl>
    <w:lvl w:ilvl="4" w:tentative="1">
      <w:start w:val="0"/>
      <w:numFmt w:val="bullet"/>
      <w:lvlText w:val="•"/>
      <w:lvlJc w:val="left"/>
      <w:pPr>
        <w:ind w:left="5018" w:hanging="222"/>
      </w:pPr>
      <w:rPr>
        <w:rFonts w:hint="default"/>
        <w:lang w:val="zh-CN" w:eastAsia="zh-CN" w:bidi="zh-CN"/>
      </w:rPr>
    </w:lvl>
    <w:lvl w:ilvl="5" w:tentative="1">
      <w:start w:val="0"/>
      <w:numFmt w:val="bullet"/>
      <w:lvlText w:val="•"/>
      <w:lvlJc w:val="left"/>
      <w:pPr>
        <w:ind w:left="5923" w:hanging="222"/>
      </w:pPr>
      <w:rPr>
        <w:rFonts w:hint="default"/>
        <w:lang w:val="zh-CN" w:eastAsia="zh-CN" w:bidi="zh-CN"/>
      </w:rPr>
    </w:lvl>
    <w:lvl w:ilvl="6" w:tentative="1">
      <w:start w:val="0"/>
      <w:numFmt w:val="bullet"/>
      <w:lvlText w:val="•"/>
      <w:lvlJc w:val="left"/>
      <w:pPr>
        <w:ind w:left="6827" w:hanging="222"/>
      </w:pPr>
      <w:rPr>
        <w:rFonts w:hint="default"/>
        <w:lang w:val="zh-CN" w:eastAsia="zh-CN" w:bidi="zh-CN"/>
      </w:rPr>
    </w:lvl>
    <w:lvl w:ilvl="7" w:tentative="1">
      <w:start w:val="0"/>
      <w:numFmt w:val="bullet"/>
      <w:lvlText w:val="•"/>
      <w:lvlJc w:val="left"/>
      <w:pPr>
        <w:ind w:left="7732" w:hanging="222"/>
      </w:pPr>
      <w:rPr>
        <w:rFonts w:hint="default"/>
        <w:lang w:val="zh-CN" w:eastAsia="zh-CN" w:bidi="zh-CN"/>
      </w:rPr>
    </w:lvl>
    <w:lvl w:ilvl="8" w:tentative="1">
      <w:start w:val="0"/>
      <w:numFmt w:val="bullet"/>
      <w:lvlText w:val="•"/>
      <w:lvlJc w:val="left"/>
      <w:pPr>
        <w:ind w:left="8636" w:hanging="222"/>
      </w:pPr>
      <w:rPr>
        <w:rFonts w:hint="default"/>
        <w:lang w:val="zh-CN" w:eastAsia="zh-CN" w:bidi="zh-CN"/>
      </w:rPr>
    </w:lvl>
  </w:abstractNum>
  <w:abstractNum w:abstractNumId="1288823633">
    <w:nsid w:val="4CD1E351"/>
    <w:multiLevelType w:val="multilevel"/>
    <w:tmpl w:val="4CD1E351"/>
    <w:lvl w:ilvl="0" w:tentative="1">
      <w:start w:val="8"/>
      <w:numFmt w:val="decimal"/>
      <w:lvlText w:val="%1"/>
      <w:lvlJc w:val="left"/>
      <w:pPr>
        <w:ind w:left="724" w:hanging="442"/>
      </w:pPr>
      <w:rPr>
        <w:rFonts w:hint="default"/>
        <w:lang w:val="zh-CN" w:eastAsia="zh-CN" w:bidi="zh-CN"/>
      </w:rPr>
    </w:lvl>
    <w:lvl w:ilvl="1" w:tentative="1">
      <w:start w:val="1"/>
      <w:numFmt w:val="decimal"/>
      <w:lvlText w:val="%1.%2"/>
      <w:lvlJc w:val="left"/>
      <w:pPr>
        <w:ind w:left="724" w:hanging="442"/>
      </w:pPr>
      <w:rPr>
        <w:rFonts w:hint="default" w:ascii="宋体" w:hAnsi="宋体" w:eastAsia="宋体" w:cs="宋体"/>
        <w:spacing w:val="-1"/>
        <w:w w:val="100"/>
        <w:sz w:val="22"/>
        <w:szCs w:val="22"/>
        <w:lang w:val="zh-CN" w:eastAsia="zh-CN" w:bidi="zh-CN"/>
      </w:rPr>
    </w:lvl>
    <w:lvl w:ilvl="2" w:tentative="1">
      <w:start w:val="0"/>
      <w:numFmt w:val="bullet"/>
      <w:lvlText w:val="•"/>
      <w:lvlJc w:val="left"/>
      <w:pPr>
        <w:ind w:left="2665" w:hanging="442"/>
      </w:pPr>
      <w:rPr>
        <w:rFonts w:hint="default"/>
        <w:lang w:val="zh-CN" w:eastAsia="zh-CN" w:bidi="zh-CN"/>
      </w:rPr>
    </w:lvl>
    <w:lvl w:ilvl="3" w:tentative="1">
      <w:start w:val="0"/>
      <w:numFmt w:val="bullet"/>
      <w:lvlText w:val="•"/>
      <w:lvlJc w:val="left"/>
      <w:pPr>
        <w:ind w:left="3637" w:hanging="442"/>
      </w:pPr>
      <w:rPr>
        <w:rFonts w:hint="default"/>
        <w:lang w:val="zh-CN" w:eastAsia="zh-CN" w:bidi="zh-CN"/>
      </w:rPr>
    </w:lvl>
    <w:lvl w:ilvl="4" w:tentative="1">
      <w:start w:val="0"/>
      <w:numFmt w:val="bullet"/>
      <w:lvlText w:val="•"/>
      <w:lvlJc w:val="left"/>
      <w:pPr>
        <w:ind w:left="4610" w:hanging="442"/>
      </w:pPr>
      <w:rPr>
        <w:rFonts w:hint="default"/>
        <w:lang w:val="zh-CN" w:eastAsia="zh-CN" w:bidi="zh-CN"/>
      </w:rPr>
    </w:lvl>
    <w:lvl w:ilvl="5" w:tentative="1">
      <w:start w:val="0"/>
      <w:numFmt w:val="bullet"/>
      <w:lvlText w:val="•"/>
      <w:lvlJc w:val="left"/>
      <w:pPr>
        <w:ind w:left="5583" w:hanging="442"/>
      </w:pPr>
      <w:rPr>
        <w:rFonts w:hint="default"/>
        <w:lang w:val="zh-CN" w:eastAsia="zh-CN" w:bidi="zh-CN"/>
      </w:rPr>
    </w:lvl>
    <w:lvl w:ilvl="6" w:tentative="1">
      <w:start w:val="0"/>
      <w:numFmt w:val="bullet"/>
      <w:lvlText w:val="•"/>
      <w:lvlJc w:val="left"/>
      <w:pPr>
        <w:ind w:left="6555" w:hanging="442"/>
      </w:pPr>
      <w:rPr>
        <w:rFonts w:hint="default"/>
        <w:lang w:val="zh-CN" w:eastAsia="zh-CN" w:bidi="zh-CN"/>
      </w:rPr>
    </w:lvl>
    <w:lvl w:ilvl="7" w:tentative="1">
      <w:start w:val="0"/>
      <w:numFmt w:val="bullet"/>
      <w:lvlText w:val="•"/>
      <w:lvlJc w:val="left"/>
      <w:pPr>
        <w:ind w:left="7528" w:hanging="442"/>
      </w:pPr>
      <w:rPr>
        <w:rFonts w:hint="default"/>
        <w:lang w:val="zh-CN" w:eastAsia="zh-CN" w:bidi="zh-CN"/>
      </w:rPr>
    </w:lvl>
    <w:lvl w:ilvl="8" w:tentative="1">
      <w:start w:val="0"/>
      <w:numFmt w:val="bullet"/>
      <w:lvlText w:val="•"/>
      <w:lvlJc w:val="left"/>
      <w:pPr>
        <w:ind w:left="8500" w:hanging="442"/>
      </w:pPr>
      <w:rPr>
        <w:rFonts w:hint="default"/>
        <w:lang w:val="zh-CN" w:eastAsia="zh-CN" w:bidi="zh-CN"/>
      </w:rPr>
    </w:lvl>
  </w:abstractNum>
  <w:abstractNum w:abstractNumId="1579789146">
    <w:nsid w:val="5E29AB5A"/>
    <w:multiLevelType w:val="multilevel"/>
    <w:tmpl w:val="5E29AB5A"/>
    <w:lvl w:ilvl="0" w:tentative="1">
      <w:start w:val="3"/>
      <w:numFmt w:val="decimal"/>
      <w:lvlText w:val="%1"/>
      <w:lvlJc w:val="left"/>
      <w:pPr>
        <w:ind w:left="731" w:hanging="526"/>
      </w:pPr>
      <w:rPr>
        <w:rFonts w:hint="default"/>
        <w:lang w:val="zh-CN" w:eastAsia="zh-CN" w:bidi="zh-CN"/>
      </w:rPr>
    </w:lvl>
    <w:lvl w:ilvl="1" w:tentative="1">
      <w:start w:val="2"/>
      <w:numFmt w:val="decimal"/>
      <w:lvlText w:val="%1.%2"/>
      <w:lvlJc w:val="left"/>
      <w:pPr>
        <w:ind w:left="731" w:hanging="526"/>
      </w:pPr>
      <w:rPr>
        <w:rFonts w:hint="default"/>
        <w:lang w:val="zh-CN" w:eastAsia="zh-CN" w:bidi="zh-CN"/>
      </w:rPr>
    </w:lvl>
    <w:lvl w:ilvl="2" w:tentative="1">
      <w:start w:val="3"/>
      <w:numFmt w:val="decimal"/>
      <w:lvlText w:val="%1.%2.%3"/>
      <w:lvlJc w:val="left"/>
      <w:pPr>
        <w:ind w:left="731" w:hanging="526"/>
      </w:pPr>
      <w:rPr>
        <w:rFonts w:hint="default" w:ascii="Times New Roman" w:hAnsi="Times New Roman" w:eastAsia="Times New Roman" w:cs="Times New Roman"/>
        <w:spacing w:val="0"/>
        <w:w w:val="99"/>
        <w:sz w:val="21"/>
        <w:szCs w:val="21"/>
        <w:lang w:val="zh-CN" w:eastAsia="zh-CN" w:bidi="zh-CN"/>
      </w:rPr>
    </w:lvl>
    <w:lvl w:ilvl="3" w:tentative="1">
      <w:start w:val="0"/>
      <w:numFmt w:val="bullet"/>
      <w:lvlText w:val="•"/>
      <w:lvlJc w:val="left"/>
      <w:pPr>
        <w:ind w:left="3651" w:hanging="526"/>
      </w:pPr>
      <w:rPr>
        <w:rFonts w:hint="default"/>
        <w:lang w:val="zh-CN" w:eastAsia="zh-CN" w:bidi="zh-CN"/>
      </w:rPr>
    </w:lvl>
    <w:lvl w:ilvl="4" w:tentative="1">
      <w:start w:val="0"/>
      <w:numFmt w:val="bullet"/>
      <w:lvlText w:val="•"/>
      <w:lvlJc w:val="left"/>
      <w:pPr>
        <w:ind w:left="4622" w:hanging="526"/>
      </w:pPr>
      <w:rPr>
        <w:rFonts w:hint="default"/>
        <w:lang w:val="zh-CN" w:eastAsia="zh-CN" w:bidi="zh-CN"/>
      </w:rPr>
    </w:lvl>
    <w:lvl w:ilvl="5" w:tentative="1">
      <w:start w:val="0"/>
      <w:numFmt w:val="bullet"/>
      <w:lvlText w:val="•"/>
      <w:lvlJc w:val="left"/>
      <w:pPr>
        <w:ind w:left="5593" w:hanging="526"/>
      </w:pPr>
      <w:rPr>
        <w:rFonts w:hint="default"/>
        <w:lang w:val="zh-CN" w:eastAsia="zh-CN" w:bidi="zh-CN"/>
      </w:rPr>
    </w:lvl>
    <w:lvl w:ilvl="6" w:tentative="1">
      <w:start w:val="0"/>
      <w:numFmt w:val="bullet"/>
      <w:lvlText w:val="•"/>
      <w:lvlJc w:val="left"/>
      <w:pPr>
        <w:ind w:left="6563" w:hanging="526"/>
      </w:pPr>
      <w:rPr>
        <w:rFonts w:hint="default"/>
        <w:lang w:val="zh-CN" w:eastAsia="zh-CN" w:bidi="zh-CN"/>
      </w:rPr>
    </w:lvl>
    <w:lvl w:ilvl="7" w:tentative="1">
      <w:start w:val="0"/>
      <w:numFmt w:val="bullet"/>
      <w:lvlText w:val="•"/>
      <w:lvlJc w:val="left"/>
      <w:pPr>
        <w:ind w:left="7534" w:hanging="526"/>
      </w:pPr>
      <w:rPr>
        <w:rFonts w:hint="default"/>
        <w:lang w:val="zh-CN" w:eastAsia="zh-CN" w:bidi="zh-CN"/>
      </w:rPr>
    </w:lvl>
    <w:lvl w:ilvl="8" w:tentative="1">
      <w:start w:val="0"/>
      <w:numFmt w:val="bullet"/>
      <w:lvlText w:val="•"/>
      <w:lvlJc w:val="left"/>
      <w:pPr>
        <w:ind w:left="8504" w:hanging="526"/>
      </w:pPr>
      <w:rPr>
        <w:rFonts w:hint="default"/>
        <w:lang w:val="zh-CN" w:eastAsia="zh-CN" w:bidi="zh-CN"/>
      </w:rPr>
    </w:lvl>
  </w:abstractNum>
  <w:abstractNum w:abstractNumId="1654618194">
    <w:nsid w:val="629F7852"/>
    <w:multiLevelType w:val="multilevel"/>
    <w:tmpl w:val="629F7852"/>
    <w:lvl w:ilvl="0" w:tentative="1">
      <w:start w:val="1"/>
      <w:numFmt w:val="decimal"/>
      <w:lvlText w:val="（%1）"/>
      <w:lvlJc w:val="left"/>
      <w:pPr>
        <w:ind w:left="1262" w:hanging="527"/>
      </w:pPr>
      <w:rPr>
        <w:rFonts w:hint="default" w:ascii="宋体" w:hAnsi="宋体" w:eastAsia="宋体" w:cs="宋体"/>
        <w:spacing w:val="-1"/>
        <w:w w:val="99"/>
        <w:sz w:val="19"/>
        <w:szCs w:val="19"/>
        <w:lang w:val="zh-CN" w:eastAsia="zh-CN" w:bidi="zh-CN"/>
      </w:rPr>
    </w:lvl>
    <w:lvl w:ilvl="1" w:tentative="1">
      <w:start w:val="0"/>
      <w:numFmt w:val="bullet"/>
      <w:lvlText w:val="•"/>
      <w:lvlJc w:val="left"/>
      <w:pPr>
        <w:ind w:left="2178" w:hanging="527"/>
      </w:pPr>
      <w:rPr>
        <w:rFonts w:hint="default"/>
        <w:lang w:val="zh-CN" w:eastAsia="zh-CN" w:bidi="zh-CN"/>
      </w:rPr>
    </w:lvl>
    <w:lvl w:ilvl="2" w:tentative="1">
      <w:start w:val="0"/>
      <w:numFmt w:val="bullet"/>
      <w:lvlText w:val="•"/>
      <w:lvlJc w:val="left"/>
      <w:pPr>
        <w:ind w:left="3097" w:hanging="527"/>
      </w:pPr>
      <w:rPr>
        <w:rFonts w:hint="default"/>
        <w:lang w:val="zh-CN" w:eastAsia="zh-CN" w:bidi="zh-CN"/>
      </w:rPr>
    </w:lvl>
    <w:lvl w:ilvl="3" w:tentative="1">
      <w:start w:val="0"/>
      <w:numFmt w:val="bullet"/>
      <w:lvlText w:val="•"/>
      <w:lvlJc w:val="left"/>
      <w:pPr>
        <w:ind w:left="4015" w:hanging="527"/>
      </w:pPr>
      <w:rPr>
        <w:rFonts w:hint="default"/>
        <w:lang w:val="zh-CN" w:eastAsia="zh-CN" w:bidi="zh-CN"/>
      </w:rPr>
    </w:lvl>
    <w:lvl w:ilvl="4" w:tentative="1">
      <w:start w:val="0"/>
      <w:numFmt w:val="bullet"/>
      <w:lvlText w:val="•"/>
      <w:lvlJc w:val="left"/>
      <w:pPr>
        <w:ind w:left="4934" w:hanging="527"/>
      </w:pPr>
      <w:rPr>
        <w:rFonts w:hint="default"/>
        <w:lang w:val="zh-CN" w:eastAsia="zh-CN" w:bidi="zh-CN"/>
      </w:rPr>
    </w:lvl>
    <w:lvl w:ilvl="5" w:tentative="1">
      <w:start w:val="0"/>
      <w:numFmt w:val="bullet"/>
      <w:lvlText w:val="•"/>
      <w:lvlJc w:val="left"/>
      <w:pPr>
        <w:ind w:left="5853" w:hanging="527"/>
      </w:pPr>
      <w:rPr>
        <w:rFonts w:hint="default"/>
        <w:lang w:val="zh-CN" w:eastAsia="zh-CN" w:bidi="zh-CN"/>
      </w:rPr>
    </w:lvl>
    <w:lvl w:ilvl="6" w:tentative="1">
      <w:start w:val="0"/>
      <w:numFmt w:val="bullet"/>
      <w:lvlText w:val="•"/>
      <w:lvlJc w:val="left"/>
      <w:pPr>
        <w:ind w:left="6771" w:hanging="527"/>
      </w:pPr>
      <w:rPr>
        <w:rFonts w:hint="default"/>
        <w:lang w:val="zh-CN" w:eastAsia="zh-CN" w:bidi="zh-CN"/>
      </w:rPr>
    </w:lvl>
    <w:lvl w:ilvl="7" w:tentative="1">
      <w:start w:val="0"/>
      <w:numFmt w:val="bullet"/>
      <w:lvlText w:val="•"/>
      <w:lvlJc w:val="left"/>
      <w:pPr>
        <w:ind w:left="7690" w:hanging="527"/>
      </w:pPr>
      <w:rPr>
        <w:rFonts w:hint="default"/>
        <w:lang w:val="zh-CN" w:eastAsia="zh-CN" w:bidi="zh-CN"/>
      </w:rPr>
    </w:lvl>
    <w:lvl w:ilvl="8" w:tentative="1">
      <w:start w:val="0"/>
      <w:numFmt w:val="bullet"/>
      <w:lvlText w:val="•"/>
      <w:lvlJc w:val="left"/>
      <w:pPr>
        <w:ind w:left="8608" w:hanging="527"/>
      </w:pPr>
      <w:rPr>
        <w:rFonts w:hint="default"/>
        <w:lang w:val="zh-CN" w:eastAsia="zh-CN" w:bidi="zh-CN"/>
      </w:rPr>
    </w:lvl>
  </w:abstractNum>
  <w:abstractNum w:abstractNumId="1296941183">
    <w:nsid w:val="4D4DC07F"/>
    <w:multiLevelType w:val="multilevel"/>
    <w:tmpl w:val="4D4DC07F"/>
    <w:lvl w:ilvl="0" w:tentative="1">
      <w:start w:val="1"/>
      <w:numFmt w:val="decimal"/>
      <w:lvlText w:val="（%1）"/>
      <w:lvlJc w:val="left"/>
      <w:pPr>
        <w:ind w:left="1308" w:hanging="554"/>
      </w:pPr>
      <w:rPr>
        <w:rFonts w:hint="default" w:ascii="宋体" w:hAnsi="宋体" w:eastAsia="宋体" w:cs="宋体"/>
        <w:spacing w:val="-1"/>
        <w:w w:val="100"/>
        <w:sz w:val="20"/>
        <w:szCs w:val="20"/>
        <w:lang w:val="zh-CN" w:eastAsia="zh-CN" w:bidi="zh-CN"/>
      </w:rPr>
    </w:lvl>
    <w:lvl w:ilvl="1" w:tentative="1">
      <w:start w:val="0"/>
      <w:numFmt w:val="bullet"/>
      <w:lvlText w:val="•"/>
      <w:lvlJc w:val="left"/>
      <w:pPr>
        <w:ind w:left="2214" w:hanging="554"/>
      </w:pPr>
      <w:rPr>
        <w:rFonts w:hint="default"/>
        <w:lang w:val="zh-CN" w:eastAsia="zh-CN" w:bidi="zh-CN"/>
      </w:rPr>
    </w:lvl>
    <w:lvl w:ilvl="2" w:tentative="1">
      <w:start w:val="0"/>
      <w:numFmt w:val="bullet"/>
      <w:lvlText w:val="•"/>
      <w:lvlJc w:val="left"/>
      <w:pPr>
        <w:ind w:left="3129" w:hanging="554"/>
      </w:pPr>
      <w:rPr>
        <w:rFonts w:hint="default"/>
        <w:lang w:val="zh-CN" w:eastAsia="zh-CN" w:bidi="zh-CN"/>
      </w:rPr>
    </w:lvl>
    <w:lvl w:ilvl="3" w:tentative="1">
      <w:start w:val="0"/>
      <w:numFmt w:val="bullet"/>
      <w:lvlText w:val="•"/>
      <w:lvlJc w:val="left"/>
      <w:pPr>
        <w:ind w:left="4043" w:hanging="554"/>
      </w:pPr>
      <w:rPr>
        <w:rFonts w:hint="default"/>
        <w:lang w:val="zh-CN" w:eastAsia="zh-CN" w:bidi="zh-CN"/>
      </w:rPr>
    </w:lvl>
    <w:lvl w:ilvl="4" w:tentative="1">
      <w:start w:val="0"/>
      <w:numFmt w:val="bullet"/>
      <w:lvlText w:val="•"/>
      <w:lvlJc w:val="left"/>
      <w:pPr>
        <w:ind w:left="4958" w:hanging="554"/>
      </w:pPr>
      <w:rPr>
        <w:rFonts w:hint="default"/>
        <w:lang w:val="zh-CN" w:eastAsia="zh-CN" w:bidi="zh-CN"/>
      </w:rPr>
    </w:lvl>
    <w:lvl w:ilvl="5" w:tentative="1">
      <w:start w:val="0"/>
      <w:numFmt w:val="bullet"/>
      <w:lvlText w:val="•"/>
      <w:lvlJc w:val="left"/>
      <w:pPr>
        <w:ind w:left="5873" w:hanging="554"/>
      </w:pPr>
      <w:rPr>
        <w:rFonts w:hint="default"/>
        <w:lang w:val="zh-CN" w:eastAsia="zh-CN" w:bidi="zh-CN"/>
      </w:rPr>
    </w:lvl>
    <w:lvl w:ilvl="6" w:tentative="1">
      <w:start w:val="0"/>
      <w:numFmt w:val="bullet"/>
      <w:lvlText w:val="•"/>
      <w:lvlJc w:val="left"/>
      <w:pPr>
        <w:ind w:left="6787" w:hanging="554"/>
      </w:pPr>
      <w:rPr>
        <w:rFonts w:hint="default"/>
        <w:lang w:val="zh-CN" w:eastAsia="zh-CN" w:bidi="zh-CN"/>
      </w:rPr>
    </w:lvl>
    <w:lvl w:ilvl="7" w:tentative="1">
      <w:start w:val="0"/>
      <w:numFmt w:val="bullet"/>
      <w:lvlText w:val="•"/>
      <w:lvlJc w:val="left"/>
      <w:pPr>
        <w:ind w:left="7702" w:hanging="554"/>
      </w:pPr>
      <w:rPr>
        <w:rFonts w:hint="default"/>
        <w:lang w:val="zh-CN" w:eastAsia="zh-CN" w:bidi="zh-CN"/>
      </w:rPr>
    </w:lvl>
    <w:lvl w:ilvl="8" w:tentative="1">
      <w:start w:val="0"/>
      <w:numFmt w:val="bullet"/>
      <w:lvlText w:val="•"/>
      <w:lvlJc w:val="left"/>
      <w:pPr>
        <w:ind w:left="8616" w:hanging="554"/>
      </w:pPr>
      <w:rPr>
        <w:rFonts w:hint="default"/>
        <w:lang w:val="zh-CN" w:eastAsia="zh-CN" w:bidi="zh-CN"/>
      </w:rPr>
    </w:lvl>
  </w:abstractNum>
  <w:abstractNum w:abstractNumId="1707933812">
    <w:nsid w:val="65CD0074"/>
    <w:multiLevelType w:val="multilevel"/>
    <w:tmpl w:val="65CD0074"/>
    <w:lvl w:ilvl="0" w:tentative="1">
      <w:start w:val="8"/>
      <w:numFmt w:val="decimal"/>
      <w:lvlText w:val="%1"/>
      <w:lvlJc w:val="left"/>
      <w:pPr>
        <w:ind w:left="1518" w:hanging="368"/>
      </w:pPr>
      <w:rPr>
        <w:rFonts w:hint="default"/>
        <w:lang w:val="zh-CN" w:eastAsia="zh-CN" w:bidi="zh-CN"/>
      </w:rPr>
    </w:lvl>
    <w:lvl w:ilvl="1" w:tentative="1">
      <w:start w:val="8"/>
      <w:numFmt w:val="decimal"/>
      <w:lvlText w:val="%1.%2"/>
      <w:lvlJc w:val="left"/>
      <w:pPr>
        <w:ind w:left="1518" w:hanging="368"/>
      </w:pPr>
      <w:rPr>
        <w:rFonts w:hint="default" w:ascii="Times New Roman" w:hAnsi="Times New Roman" w:eastAsia="Times New Roman" w:cs="Times New Roman"/>
        <w:spacing w:val="0"/>
        <w:w w:val="99"/>
        <w:sz w:val="21"/>
        <w:szCs w:val="21"/>
        <w:lang w:val="zh-CN" w:eastAsia="zh-CN" w:bidi="zh-CN"/>
      </w:rPr>
    </w:lvl>
    <w:lvl w:ilvl="2" w:tentative="1">
      <w:start w:val="1"/>
      <w:numFmt w:val="decimal"/>
      <w:lvlText w:val="%1.%2.%3"/>
      <w:lvlJc w:val="left"/>
      <w:pPr>
        <w:ind w:left="1676" w:hanging="526"/>
      </w:pPr>
      <w:rPr>
        <w:rFonts w:hint="default" w:ascii="Times New Roman" w:hAnsi="Times New Roman" w:eastAsia="Times New Roman" w:cs="Times New Roman"/>
        <w:spacing w:val="0"/>
        <w:w w:val="99"/>
        <w:sz w:val="21"/>
        <w:szCs w:val="21"/>
        <w:lang w:val="zh-CN" w:eastAsia="zh-CN" w:bidi="zh-CN"/>
      </w:rPr>
    </w:lvl>
    <w:lvl w:ilvl="3" w:tentative="1">
      <w:start w:val="0"/>
      <w:numFmt w:val="bullet"/>
      <w:lvlText w:val="•"/>
      <w:lvlJc w:val="left"/>
      <w:pPr>
        <w:ind w:left="3628" w:hanging="526"/>
      </w:pPr>
      <w:rPr>
        <w:rFonts w:hint="default"/>
        <w:lang w:val="zh-CN" w:eastAsia="zh-CN" w:bidi="zh-CN"/>
      </w:rPr>
    </w:lvl>
    <w:lvl w:ilvl="4" w:tentative="1">
      <w:start w:val="0"/>
      <w:numFmt w:val="bullet"/>
      <w:lvlText w:val="•"/>
      <w:lvlJc w:val="left"/>
      <w:pPr>
        <w:ind w:left="4602" w:hanging="526"/>
      </w:pPr>
      <w:rPr>
        <w:rFonts w:hint="default"/>
        <w:lang w:val="zh-CN" w:eastAsia="zh-CN" w:bidi="zh-CN"/>
      </w:rPr>
    </w:lvl>
    <w:lvl w:ilvl="5" w:tentative="1">
      <w:start w:val="0"/>
      <w:numFmt w:val="bullet"/>
      <w:lvlText w:val="•"/>
      <w:lvlJc w:val="left"/>
      <w:pPr>
        <w:ind w:left="5576" w:hanging="526"/>
      </w:pPr>
      <w:rPr>
        <w:rFonts w:hint="default"/>
        <w:lang w:val="zh-CN" w:eastAsia="zh-CN" w:bidi="zh-CN"/>
      </w:rPr>
    </w:lvl>
    <w:lvl w:ilvl="6" w:tentative="1">
      <w:start w:val="0"/>
      <w:numFmt w:val="bullet"/>
      <w:lvlText w:val="•"/>
      <w:lvlJc w:val="left"/>
      <w:pPr>
        <w:ind w:left="6550" w:hanging="526"/>
      </w:pPr>
      <w:rPr>
        <w:rFonts w:hint="default"/>
        <w:lang w:val="zh-CN" w:eastAsia="zh-CN" w:bidi="zh-CN"/>
      </w:rPr>
    </w:lvl>
    <w:lvl w:ilvl="7" w:tentative="1">
      <w:start w:val="0"/>
      <w:numFmt w:val="bullet"/>
      <w:lvlText w:val="•"/>
      <w:lvlJc w:val="left"/>
      <w:pPr>
        <w:ind w:left="7524" w:hanging="526"/>
      </w:pPr>
      <w:rPr>
        <w:rFonts w:hint="default"/>
        <w:lang w:val="zh-CN" w:eastAsia="zh-CN" w:bidi="zh-CN"/>
      </w:rPr>
    </w:lvl>
    <w:lvl w:ilvl="8" w:tentative="1">
      <w:start w:val="0"/>
      <w:numFmt w:val="bullet"/>
      <w:lvlText w:val="•"/>
      <w:lvlJc w:val="left"/>
      <w:pPr>
        <w:ind w:left="8498" w:hanging="526"/>
      </w:pPr>
      <w:rPr>
        <w:rFonts w:hint="default"/>
        <w:lang w:val="zh-CN" w:eastAsia="zh-CN" w:bidi="zh-CN"/>
      </w:rPr>
    </w:lvl>
  </w:abstractNum>
  <w:abstractNum w:abstractNumId="1958906677">
    <w:nsid w:val="74C28B35"/>
    <w:multiLevelType w:val="multilevel"/>
    <w:tmpl w:val="74C28B35"/>
    <w:lvl w:ilvl="0" w:tentative="1">
      <w:start w:val="7"/>
      <w:numFmt w:val="decimal"/>
      <w:lvlText w:val="%1"/>
      <w:lvlJc w:val="left"/>
      <w:pPr>
        <w:ind w:left="1518" w:hanging="368"/>
      </w:pPr>
      <w:rPr>
        <w:rFonts w:hint="default"/>
        <w:lang w:val="zh-CN" w:eastAsia="zh-CN" w:bidi="zh-CN"/>
      </w:rPr>
    </w:lvl>
    <w:lvl w:ilvl="1" w:tentative="1">
      <w:start w:val="6"/>
      <w:numFmt w:val="decimal"/>
      <w:lvlText w:val="%1.%2"/>
      <w:lvlJc w:val="left"/>
      <w:pPr>
        <w:ind w:left="1518" w:hanging="368"/>
      </w:pPr>
      <w:rPr>
        <w:rFonts w:hint="default" w:ascii="Times New Roman" w:hAnsi="Times New Roman" w:eastAsia="Times New Roman" w:cs="Times New Roman"/>
        <w:spacing w:val="0"/>
        <w:w w:val="99"/>
        <w:sz w:val="21"/>
        <w:szCs w:val="21"/>
        <w:lang w:val="zh-CN" w:eastAsia="zh-CN" w:bidi="zh-CN"/>
      </w:rPr>
    </w:lvl>
    <w:lvl w:ilvl="2" w:tentative="1">
      <w:start w:val="1"/>
      <w:numFmt w:val="decimal"/>
      <w:lvlText w:val="%1.%2.%3"/>
      <w:lvlJc w:val="left"/>
      <w:pPr>
        <w:ind w:left="1624" w:hanging="473"/>
      </w:pPr>
      <w:rPr>
        <w:rFonts w:hint="default" w:ascii="Times New Roman" w:hAnsi="Times New Roman" w:eastAsia="Times New Roman" w:cs="Times New Roman"/>
        <w:spacing w:val="0"/>
        <w:w w:val="99"/>
        <w:sz w:val="21"/>
        <w:szCs w:val="21"/>
        <w:lang w:val="zh-CN" w:eastAsia="zh-CN" w:bidi="zh-CN"/>
      </w:rPr>
    </w:lvl>
    <w:lvl w:ilvl="3" w:tentative="1">
      <w:start w:val="0"/>
      <w:numFmt w:val="bullet"/>
      <w:lvlText w:val="•"/>
      <w:lvlJc w:val="left"/>
      <w:pPr>
        <w:ind w:left="2723" w:hanging="473"/>
      </w:pPr>
      <w:rPr>
        <w:rFonts w:hint="default"/>
        <w:lang w:val="zh-CN" w:eastAsia="zh-CN" w:bidi="zh-CN"/>
      </w:rPr>
    </w:lvl>
    <w:lvl w:ilvl="4" w:tentative="1">
      <w:start w:val="0"/>
      <w:numFmt w:val="bullet"/>
      <w:lvlText w:val="•"/>
      <w:lvlJc w:val="left"/>
      <w:pPr>
        <w:ind w:left="3826" w:hanging="473"/>
      </w:pPr>
      <w:rPr>
        <w:rFonts w:hint="default"/>
        <w:lang w:val="zh-CN" w:eastAsia="zh-CN" w:bidi="zh-CN"/>
      </w:rPr>
    </w:lvl>
    <w:lvl w:ilvl="5" w:tentative="1">
      <w:start w:val="0"/>
      <w:numFmt w:val="bullet"/>
      <w:lvlText w:val="•"/>
      <w:lvlJc w:val="left"/>
      <w:pPr>
        <w:ind w:left="4929" w:hanging="473"/>
      </w:pPr>
      <w:rPr>
        <w:rFonts w:hint="default"/>
        <w:lang w:val="zh-CN" w:eastAsia="zh-CN" w:bidi="zh-CN"/>
      </w:rPr>
    </w:lvl>
    <w:lvl w:ilvl="6" w:tentative="1">
      <w:start w:val="0"/>
      <w:numFmt w:val="bullet"/>
      <w:lvlText w:val="•"/>
      <w:lvlJc w:val="left"/>
      <w:pPr>
        <w:ind w:left="6033" w:hanging="473"/>
      </w:pPr>
      <w:rPr>
        <w:rFonts w:hint="default"/>
        <w:lang w:val="zh-CN" w:eastAsia="zh-CN" w:bidi="zh-CN"/>
      </w:rPr>
    </w:lvl>
    <w:lvl w:ilvl="7" w:tentative="1">
      <w:start w:val="0"/>
      <w:numFmt w:val="bullet"/>
      <w:lvlText w:val="•"/>
      <w:lvlJc w:val="left"/>
      <w:pPr>
        <w:ind w:left="7136" w:hanging="473"/>
      </w:pPr>
      <w:rPr>
        <w:rFonts w:hint="default"/>
        <w:lang w:val="zh-CN" w:eastAsia="zh-CN" w:bidi="zh-CN"/>
      </w:rPr>
    </w:lvl>
    <w:lvl w:ilvl="8" w:tentative="1">
      <w:start w:val="0"/>
      <w:numFmt w:val="bullet"/>
      <w:lvlText w:val="•"/>
      <w:lvlJc w:val="left"/>
      <w:pPr>
        <w:ind w:left="8239" w:hanging="473"/>
      </w:pPr>
      <w:rPr>
        <w:rFonts w:hint="default"/>
        <w:lang w:val="zh-CN" w:eastAsia="zh-CN" w:bidi="zh-CN"/>
      </w:rPr>
    </w:lvl>
  </w:abstractNum>
  <w:abstractNum w:abstractNumId="1416633505">
    <w:nsid w:val="54701CA1"/>
    <w:multiLevelType w:val="multilevel"/>
    <w:tmpl w:val="54701CA1"/>
    <w:lvl w:ilvl="0" w:tentative="1">
      <w:start w:val="3"/>
      <w:numFmt w:val="decimal"/>
      <w:lvlText w:val="%1."/>
      <w:lvlJc w:val="left"/>
      <w:pPr>
        <w:ind w:left="1063" w:hanging="333"/>
      </w:pPr>
      <w:rPr>
        <w:rFonts w:hint="default" w:ascii="宋体" w:hAnsi="宋体" w:eastAsia="宋体" w:cs="宋体"/>
        <w:spacing w:val="-1"/>
        <w:w w:val="100"/>
        <w:sz w:val="20"/>
        <w:szCs w:val="20"/>
        <w:lang w:val="zh-CN" w:eastAsia="zh-CN" w:bidi="zh-CN"/>
      </w:rPr>
    </w:lvl>
    <w:lvl w:ilvl="1" w:tentative="1">
      <w:start w:val="1"/>
      <w:numFmt w:val="decimal"/>
      <w:lvlText w:val="%1.%2"/>
      <w:lvlJc w:val="left"/>
      <w:pPr>
        <w:ind w:left="731" w:hanging="384"/>
      </w:pPr>
      <w:rPr>
        <w:rFonts w:hint="default" w:ascii="宋体" w:hAnsi="宋体" w:eastAsia="宋体" w:cs="宋体"/>
        <w:spacing w:val="-1"/>
        <w:w w:val="100"/>
        <w:sz w:val="22"/>
        <w:szCs w:val="22"/>
        <w:lang w:val="zh-CN" w:eastAsia="zh-CN" w:bidi="zh-CN"/>
      </w:rPr>
    </w:lvl>
    <w:lvl w:ilvl="2" w:tentative="1">
      <w:start w:val="0"/>
      <w:numFmt w:val="bullet"/>
      <w:lvlText w:val="•"/>
      <w:lvlJc w:val="left"/>
      <w:pPr>
        <w:ind w:left="2102" w:hanging="384"/>
      </w:pPr>
      <w:rPr>
        <w:rFonts w:hint="default"/>
        <w:lang w:val="zh-CN" w:eastAsia="zh-CN" w:bidi="zh-CN"/>
      </w:rPr>
    </w:lvl>
    <w:lvl w:ilvl="3" w:tentative="1">
      <w:start w:val="0"/>
      <w:numFmt w:val="bullet"/>
      <w:lvlText w:val="•"/>
      <w:lvlJc w:val="left"/>
      <w:pPr>
        <w:ind w:left="3145" w:hanging="384"/>
      </w:pPr>
      <w:rPr>
        <w:rFonts w:hint="default"/>
        <w:lang w:val="zh-CN" w:eastAsia="zh-CN" w:bidi="zh-CN"/>
      </w:rPr>
    </w:lvl>
    <w:lvl w:ilvl="4" w:tentative="1">
      <w:start w:val="0"/>
      <w:numFmt w:val="bullet"/>
      <w:lvlText w:val="•"/>
      <w:lvlJc w:val="left"/>
      <w:pPr>
        <w:ind w:left="4188" w:hanging="384"/>
      </w:pPr>
      <w:rPr>
        <w:rFonts w:hint="default"/>
        <w:lang w:val="zh-CN" w:eastAsia="zh-CN" w:bidi="zh-CN"/>
      </w:rPr>
    </w:lvl>
    <w:lvl w:ilvl="5" w:tentative="1">
      <w:start w:val="0"/>
      <w:numFmt w:val="bullet"/>
      <w:lvlText w:val="•"/>
      <w:lvlJc w:val="left"/>
      <w:pPr>
        <w:ind w:left="5231" w:hanging="384"/>
      </w:pPr>
      <w:rPr>
        <w:rFonts w:hint="default"/>
        <w:lang w:val="zh-CN" w:eastAsia="zh-CN" w:bidi="zh-CN"/>
      </w:rPr>
    </w:lvl>
    <w:lvl w:ilvl="6" w:tentative="1">
      <w:start w:val="0"/>
      <w:numFmt w:val="bullet"/>
      <w:lvlText w:val="•"/>
      <w:lvlJc w:val="left"/>
      <w:pPr>
        <w:ind w:left="6274" w:hanging="384"/>
      </w:pPr>
      <w:rPr>
        <w:rFonts w:hint="default"/>
        <w:lang w:val="zh-CN" w:eastAsia="zh-CN" w:bidi="zh-CN"/>
      </w:rPr>
    </w:lvl>
    <w:lvl w:ilvl="7" w:tentative="1">
      <w:start w:val="0"/>
      <w:numFmt w:val="bullet"/>
      <w:lvlText w:val="•"/>
      <w:lvlJc w:val="left"/>
      <w:pPr>
        <w:ind w:left="7317" w:hanging="384"/>
      </w:pPr>
      <w:rPr>
        <w:rFonts w:hint="default"/>
        <w:lang w:val="zh-CN" w:eastAsia="zh-CN" w:bidi="zh-CN"/>
      </w:rPr>
    </w:lvl>
    <w:lvl w:ilvl="8" w:tentative="1">
      <w:start w:val="0"/>
      <w:numFmt w:val="bullet"/>
      <w:lvlText w:val="•"/>
      <w:lvlJc w:val="left"/>
      <w:pPr>
        <w:ind w:left="8360" w:hanging="384"/>
      </w:pPr>
      <w:rPr>
        <w:rFonts w:hint="default"/>
        <w:lang w:val="zh-CN" w:eastAsia="zh-CN" w:bidi="zh-CN"/>
      </w:rPr>
    </w:lvl>
  </w:abstractNum>
  <w:abstractNum w:abstractNumId="1484150406">
    <w:nsid w:val="58765686"/>
    <w:multiLevelType w:val="multilevel"/>
    <w:tmpl w:val="58765686"/>
    <w:lvl w:ilvl="0" w:tentative="1">
      <w:start w:val="1"/>
      <w:numFmt w:val="decimal"/>
      <w:lvlText w:val="（%1）"/>
      <w:lvlJc w:val="left"/>
      <w:pPr>
        <w:ind w:left="1675" w:hanging="525"/>
      </w:pPr>
      <w:rPr>
        <w:rFonts w:hint="default" w:ascii="仿宋" w:hAnsi="仿宋" w:eastAsia="仿宋" w:cs="仿宋"/>
        <w:spacing w:val="-1"/>
        <w:w w:val="99"/>
        <w:sz w:val="19"/>
        <w:szCs w:val="19"/>
        <w:lang w:val="zh-CN" w:eastAsia="zh-CN" w:bidi="zh-CN"/>
      </w:rPr>
    </w:lvl>
    <w:lvl w:ilvl="1" w:tentative="1">
      <w:start w:val="0"/>
      <w:numFmt w:val="bullet"/>
      <w:lvlText w:val="•"/>
      <w:lvlJc w:val="left"/>
      <w:pPr>
        <w:ind w:left="2556" w:hanging="525"/>
      </w:pPr>
      <w:rPr>
        <w:rFonts w:hint="default"/>
        <w:lang w:val="zh-CN" w:eastAsia="zh-CN" w:bidi="zh-CN"/>
      </w:rPr>
    </w:lvl>
    <w:lvl w:ilvl="2" w:tentative="1">
      <w:start w:val="0"/>
      <w:numFmt w:val="bullet"/>
      <w:lvlText w:val="•"/>
      <w:lvlJc w:val="left"/>
      <w:pPr>
        <w:ind w:left="3433" w:hanging="525"/>
      </w:pPr>
      <w:rPr>
        <w:rFonts w:hint="default"/>
        <w:lang w:val="zh-CN" w:eastAsia="zh-CN" w:bidi="zh-CN"/>
      </w:rPr>
    </w:lvl>
    <w:lvl w:ilvl="3" w:tentative="1">
      <w:start w:val="0"/>
      <w:numFmt w:val="bullet"/>
      <w:lvlText w:val="•"/>
      <w:lvlJc w:val="left"/>
      <w:pPr>
        <w:ind w:left="4309" w:hanging="525"/>
      </w:pPr>
      <w:rPr>
        <w:rFonts w:hint="default"/>
        <w:lang w:val="zh-CN" w:eastAsia="zh-CN" w:bidi="zh-CN"/>
      </w:rPr>
    </w:lvl>
    <w:lvl w:ilvl="4" w:tentative="1">
      <w:start w:val="0"/>
      <w:numFmt w:val="bullet"/>
      <w:lvlText w:val="•"/>
      <w:lvlJc w:val="left"/>
      <w:pPr>
        <w:ind w:left="5186" w:hanging="525"/>
      </w:pPr>
      <w:rPr>
        <w:rFonts w:hint="default"/>
        <w:lang w:val="zh-CN" w:eastAsia="zh-CN" w:bidi="zh-CN"/>
      </w:rPr>
    </w:lvl>
    <w:lvl w:ilvl="5" w:tentative="1">
      <w:start w:val="0"/>
      <w:numFmt w:val="bullet"/>
      <w:lvlText w:val="•"/>
      <w:lvlJc w:val="left"/>
      <w:pPr>
        <w:ind w:left="6063" w:hanging="525"/>
      </w:pPr>
      <w:rPr>
        <w:rFonts w:hint="default"/>
        <w:lang w:val="zh-CN" w:eastAsia="zh-CN" w:bidi="zh-CN"/>
      </w:rPr>
    </w:lvl>
    <w:lvl w:ilvl="6" w:tentative="1">
      <w:start w:val="0"/>
      <w:numFmt w:val="bullet"/>
      <w:lvlText w:val="•"/>
      <w:lvlJc w:val="left"/>
      <w:pPr>
        <w:ind w:left="6939" w:hanging="525"/>
      </w:pPr>
      <w:rPr>
        <w:rFonts w:hint="default"/>
        <w:lang w:val="zh-CN" w:eastAsia="zh-CN" w:bidi="zh-CN"/>
      </w:rPr>
    </w:lvl>
    <w:lvl w:ilvl="7" w:tentative="1">
      <w:start w:val="0"/>
      <w:numFmt w:val="bullet"/>
      <w:lvlText w:val="•"/>
      <w:lvlJc w:val="left"/>
      <w:pPr>
        <w:ind w:left="7816" w:hanging="525"/>
      </w:pPr>
      <w:rPr>
        <w:rFonts w:hint="default"/>
        <w:lang w:val="zh-CN" w:eastAsia="zh-CN" w:bidi="zh-CN"/>
      </w:rPr>
    </w:lvl>
    <w:lvl w:ilvl="8" w:tentative="1">
      <w:start w:val="0"/>
      <w:numFmt w:val="bullet"/>
      <w:lvlText w:val="•"/>
      <w:lvlJc w:val="left"/>
      <w:pPr>
        <w:ind w:left="8692" w:hanging="525"/>
      </w:pPr>
      <w:rPr>
        <w:rFonts w:hint="default"/>
        <w:lang w:val="zh-CN" w:eastAsia="zh-CN" w:bidi="zh-CN"/>
      </w:rPr>
    </w:lvl>
  </w:abstractNum>
  <w:abstractNum w:abstractNumId="1512316212">
    <w:nsid w:val="5A241D34"/>
    <w:multiLevelType w:val="multilevel"/>
    <w:tmpl w:val="5A241D34"/>
    <w:lvl w:ilvl="0" w:tentative="1">
      <w:start w:val="1"/>
      <w:numFmt w:val="decimal"/>
      <w:lvlText w:val="%1"/>
      <w:lvlJc w:val="left"/>
      <w:pPr>
        <w:ind w:left="1418" w:hanging="664"/>
      </w:pPr>
      <w:rPr>
        <w:rFonts w:hint="default"/>
        <w:lang w:val="zh-CN" w:eastAsia="zh-CN" w:bidi="zh-CN"/>
      </w:rPr>
    </w:lvl>
    <w:lvl w:ilvl="1" w:tentative="1">
      <w:start w:val="1"/>
      <w:numFmt w:val="decimal"/>
      <w:lvlText w:val="%1.%2"/>
      <w:lvlJc w:val="left"/>
      <w:pPr>
        <w:ind w:left="1418" w:hanging="664"/>
      </w:pPr>
      <w:rPr>
        <w:rFonts w:hint="default"/>
        <w:lang w:val="zh-CN" w:eastAsia="zh-CN" w:bidi="zh-CN"/>
      </w:rPr>
    </w:lvl>
    <w:lvl w:ilvl="2" w:tentative="1">
      <w:start w:val="2"/>
      <w:numFmt w:val="decimal"/>
      <w:lvlText w:val="%1.%2.%3."/>
      <w:lvlJc w:val="left"/>
      <w:pPr>
        <w:ind w:left="1418" w:hanging="664"/>
      </w:pPr>
      <w:rPr>
        <w:rFonts w:hint="default" w:ascii="宋体" w:hAnsi="宋体" w:eastAsia="宋体" w:cs="宋体"/>
        <w:spacing w:val="-3"/>
        <w:w w:val="100"/>
        <w:sz w:val="20"/>
        <w:szCs w:val="20"/>
        <w:lang w:val="zh-CN" w:eastAsia="zh-CN" w:bidi="zh-CN"/>
      </w:rPr>
    </w:lvl>
    <w:lvl w:ilvl="3" w:tentative="1">
      <w:start w:val="0"/>
      <w:numFmt w:val="bullet"/>
      <w:lvlText w:val="•"/>
      <w:lvlJc w:val="left"/>
      <w:pPr>
        <w:ind w:left="4127" w:hanging="664"/>
      </w:pPr>
      <w:rPr>
        <w:rFonts w:hint="default"/>
        <w:lang w:val="zh-CN" w:eastAsia="zh-CN" w:bidi="zh-CN"/>
      </w:rPr>
    </w:lvl>
    <w:lvl w:ilvl="4" w:tentative="1">
      <w:start w:val="0"/>
      <w:numFmt w:val="bullet"/>
      <w:lvlText w:val="•"/>
      <w:lvlJc w:val="left"/>
      <w:pPr>
        <w:ind w:left="5030" w:hanging="664"/>
      </w:pPr>
      <w:rPr>
        <w:rFonts w:hint="default"/>
        <w:lang w:val="zh-CN" w:eastAsia="zh-CN" w:bidi="zh-CN"/>
      </w:rPr>
    </w:lvl>
    <w:lvl w:ilvl="5" w:tentative="1">
      <w:start w:val="0"/>
      <w:numFmt w:val="bullet"/>
      <w:lvlText w:val="•"/>
      <w:lvlJc w:val="left"/>
      <w:pPr>
        <w:ind w:left="5933" w:hanging="664"/>
      </w:pPr>
      <w:rPr>
        <w:rFonts w:hint="default"/>
        <w:lang w:val="zh-CN" w:eastAsia="zh-CN" w:bidi="zh-CN"/>
      </w:rPr>
    </w:lvl>
    <w:lvl w:ilvl="6" w:tentative="1">
      <w:start w:val="0"/>
      <w:numFmt w:val="bullet"/>
      <w:lvlText w:val="•"/>
      <w:lvlJc w:val="left"/>
      <w:pPr>
        <w:ind w:left="6835" w:hanging="664"/>
      </w:pPr>
      <w:rPr>
        <w:rFonts w:hint="default"/>
        <w:lang w:val="zh-CN" w:eastAsia="zh-CN" w:bidi="zh-CN"/>
      </w:rPr>
    </w:lvl>
    <w:lvl w:ilvl="7" w:tentative="1">
      <w:start w:val="0"/>
      <w:numFmt w:val="bullet"/>
      <w:lvlText w:val="•"/>
      <w:lvlJc w:val="left"/>
      <w:pPr>
        <w:ind w:left="7738" w:hanging="664"/>
      </w:pPr>
      <w:rPr>
        <w:rFonts w:hint="default"/>
        <w:lang w:val="zh-CN" w:eastAsia="zh-CN" w:bidi="zh-CN"/>
      </w:rPr>
    </w:lvl>
    <w:lvl w:ilvl="8" w:tentative="1">
      <w:start w:val="0"/>
      <w:numFmt w:val="bullet"/>
      <w:lvlText w:val="•"/>
      <w:lvlJc w:val="left"/>
      <w:pPr>
        <w:ind w:left="8640" w:hanging="664"/>
      </w:pPr>
      <w:rPr>
        <w:rFonts w:hint="default"/>
        <w:lang w:val="zh-CN" w:eastAsia="zh-CN" w:bidi="zh-CN"/>
      </w:rPr>
    </w:lvl>
  </w:abstractNum>
  <w:abstractNum w:abstractNumId="2990183593">
    <w:nsid w:val="B23A94A9"/>
    <w:multiLevelType w:val="multilevel"/>
    <w:tmpl w:val="B23A94A9"/>
    <w:lvl w:ilvl="0" w:tentative="1">
      <w:start w:val="1"/>
      <w:numFmt w:val="decimal"/>
      <w:lvlText w:val="（%1）"/>
      <w:lvlJc w:val="left"/>
      <w:pPr>
        <w:ind w:left="1675" w:hanging="525"/>
      </w:pPr>
      <w:rPr>
        <w:rFonts w:hint="default"/>
        <w:spacing w:val="-1"/>
        <w:w w:val="99"/>
        <w:sz w:val="19"/>
        <w:szCs w:val="19"/>
        <w:u w:val="single" w:color="000000"/>
        <w:lang w:val="zh-CN" w:eastAsia="zh-CN" w:bidi="zh-CN"/>
      </w:rPr>
    </w:lvl>
    <w:lvl w:ilvl="1" w:tentative="1">
      <w:start w:val="0"/>
      <w:numFmt w:val="bullet"/>
      <w:lvlText w:val="•"/>
      <w:lvlJc w:val="left"/>
      <w:pPr>
        <w:ind w:left="2556" w:hanging="525"/>
      </w:pPr>
      <w:rPr>
        <w:rFonts w:hint="default"/>
        <w:lang w:val="zh-CN" w:eastAsia="zh-CN" w:bidi="zh-CN"/>
      </w:rPr>
    </w:lvl>
    <w:lvl w:ilvl="2" w:tentative="1">
      <w:start w:val="0"/>
      <w:numFmt w:val="bullet"/>
      <w:lvlText w:val="•"/>
      <w:lvlJc w:val="left"/>
      <w:pPr>
        <w:ind w:left="3433" w:hanging="525"/>
      </w:pPr>
      <w:rPr>
        <w:rFonts w:hint="default"/>
        <w:lang w:val="zh-CN" w:eastAsia="zh-CN" w:bidi="zh-CN"/>
      </w:rPr>
    </w:lvl>
    <w:lvl w:ilvl="3" w:tentative="1">
      <w:start w:val="0"/>
      <w:numFmt w:val="bullet"/>
      <w:lvlText w:val="•"/>
      <w:lvlJc w:val="left"/>
      <w:pPr>
        <w:ind w:left="4309" w:hanging="525"/>
      </w:pPr>
      <w:rPr>
        <w:rFonts w:hint="default"/>
        <w:lang w:val="zh-CN" w:eastAsia="zh-CN" w:bidi="zh-CN"/>
      </w:rPr>
    </w:lvl>
    <w:lvl w:ilvl="4" w:tentative="1">
      <w:start w:val="0"/>
      <w:numFmt w:val="bullet"/>
      <w:lvlText w:val="•"/>
      <w:lvlJc w:val="left"/>
      <w:pPr>
        <w:ind w:left="5186" w:hanging="525"/>
      </w:pPr>
      <w:rPr>
        <w:rFonts w:hint="default"/>
        <w:lang w:val="zh-CN" w:eastAsia="zh-CN" w:bidi="zh-CN"/>
      </w:rPr>
    </w:lvl>
    <w:lvl w:ilvl="5" w:tentative="1">
      <w:start w:val="0"/>
      <w:numFmt w:val="bullet"/>
      <w:lvlText w:val="•"/>
      <w:lvlJc w:val="left"/>
      <w:pPr>
        <w:ind w:left="6063" w:hanging="525"/>
      </w:pPr>
      <w:rPr>
        <w:rFonts w:hint="default"/>
        <w:lang w:val="zh-CN" w:eastAsia="zh-CN" w:bidi="zh-CN"/>
      </w:rPr>
    </w:lvl>
    <w:lvl w:ilvl="6" w:tentative="1">
      <w:start w:val="0"/>
      <w:numFmt w:val="bullet"/>
      <w:lvlText w:val="•"/>
      <w:lvlJc w:val="left"/>
      <w:pPr>
        <w:ind w:left="6939" w:hanging="525"/>
      </w:pPr>
      <w:rPr>
        <w:rFonts w:hint="default"/>
        <w:lang w:val="zh-CN" w:eastAsia="zh-CN" w:bidi="zh-CN"/>
      </w:rPr>
    </w:lvl>
    <w:lvl w:ilvl="7" w:tentative="1">
      <w:start w:val="0"/>
      <w:numFmt w:val="bullet"/>
      <w:lvlText w:val="•"/>
      <w:lvlJc w:val="left"/>
      <w:pPr>
        <w:ind w:left="7816" w:hanging="525"/>
      </w:pPr>
      <w:rPr>
        <w:rFonts w:hint="default"/>
        <w:lang w:val="zh-CN" w:eastAsia="zh-CN" w:bidi="zh-CN"/>
      </w:rPr>
    </w:lvl>
    <w:lvl w:ilvl="8" w:tentative="1">
      <w:start w:val="0"/>
      <w:numFmt w:val="bullet"/>
      <w:lvlText w:val="•"/>
      <w:lvlJc w:val="left"/>
      <w:pPr>
        <w:ind w:left="8692" w:hanging="525"/>
      </w:pPr>
      <w:rPr>
        <w:rFonts w:hint="default"/>
        <w:lang w:val="zh-CN" w:eastAsia="zh-CN" w:bidi="zh-CN"/>
      </w:rPr>
    </w:lvl>
  </w:abstractNum>
  <w:abstractNum w:abstractNumId="2453222427">
    <w:nsid w:val="9239341B"/>
    <w:multiLevelType w:val="multilevel"/>
    <w:tmpl w:val="9239341B"/>
    <w:lvl w:ilvl="0" w:tentative="1">
      <w:start w:val="1"/>
      <w:numFmt w:val="decimal"/>
      <w:lvlText w:val="（%1）"/>
      <w:lvlJc w:val="left"/>
      <w:pPr>
        <w:ind w:left="659" w:hanging="551"/>
      </w:pPr>
      <w:rPr>
        <w:rFonts w:hint="default" w:ascii="宋体" w:hAnsi="宋体" w:eastAsia="宋体" w:cs="宋体"/>
        <w:spacing w:val="-3"/>
        <w:w w:val="100"/>
        <w:sz w:val="20"/>
        <w:szCs w:val="20"/>
        <w:lang w:val="zh-CN" w:eastAsia="zh-CN" w:bidi="zh-CN"/>
      </w:rPr>
    </w:lvl>
    <w:lvl w:ilvl="1" w:tentative="1">
      <w:start w:val="0"/>
      <w:numFmt w:val="bullet"/>
      <w:lvlText w:val="•"/>
      <w:lvlJc w:val="left"/>
      <w:pPr>
        <w:ind w:left="1280" w:hanging="551"/>
      </w:pPr>
      <w:rPr>
        <w:rFonts w:hint="default"/>
        <w:lang w:val="zh-CN" w:eastAsia="zh-CN" w:bidi="zh-CN"/>
      </w:rPr>
    </w:lvl>
    <w:lvl w:ilvl="2" w:tentative="1">
      <w:start w:val="0"/>
      <w:numFmt w:val="bullet"/>
      <w:lvlText w:val="•"/>
      <w:lvlJc w:val="left"/>
      <w:pPr>
        <w:ind w:left="1900" w:hanging="551"/>
      </w:pPr>
      <w:rPr>
        <w:rFonts w:hint="default"/>
        <w:lang w:val="zh-CN" w:eastAsia="zh-CN" w:bidi="zh-CN"/>
      </w:rPr>
    </w:lvl>
    <w:lvl w:ilvl="3" w:tentative="1">
      <w:start w:val="0"/>
      <w:numFmt w:val="bullet"/>
      <w:lvlText w:val="•"/>
      <w:lvlJc w:val="left"/>
      <w:pPr>
        <w:ind w:left="2520" w:hanging="551"/>
      </w:pPr>
      <w:rPr>
        <w:rFonts w:hint="default"/>
        <w:lang w:val="zh-CN" w:eastAsia="zh-CN" w:bidi="zh-CN"/>
      </w:rPr>
    </w:lvl>
    <w:lvl w:ilvl="4" w:tentative="1">
      <w:start w:val="0"/>
      <w:numFmt w:val="bullet"/>
      <w:lvlText w:val="•"/>
      <w:lvlJc w:val="left"/>
      <w:pPr>
        <w:ind w:left="3141" w:hanging="551"/>
      </w:pPr>
      <w:rPr>
        <w:rFonts w:hint="default"/>
        <w:lang w:val="zh-CN" w:eastAsia="zh-CN" w:bidi="zh-CN"/>
      </w:rPr>
    </w:lvl>
    <w:lvl w:ilvl="5" w:tentative="1">
      <w:start w:val="0"/>
      <w:numFmt w:val="bullet"/>
      <w:lvlText w:val="•"/>
      <w:lvlJc w:val="left"/>
      <w:pPr>
        <w:ind w:left="3761" w:hanging="551"/>
      </w:pPr>
      <w:rPr>
        <w:rFonts w:hint="default"/>
        <w:lang w:val="zh-CN" w:eastAsia="zh-CN" w:bidi="zh-CN"/>
      </w:rPr>
    </w:lvl>
    <w:lvl w:ilvl="6" w:tentative="1">
      <w:start w:val="0"/>
      <w:numFmt w:val="bullet"/>
      <w:lvlText w:val="•"/>
      <w:lvlJc w:val="left"/>
      <w:pPr>
        <w:ind w:left="4381" w:hanging="551"/>
      </w:pPr>
      <w:rPr>
        <w:rFonts w:hint="default"/>
        <w:lang w:val="zh-CN" w:eastAsia="zh-CN" w:bidi="zh-CN"/>
      </w:rPr>
    </w:lvl>
    <w:lvl w:ilvl="7" w:tentative="1">
      <w:start w:val="0"/>
      <w:numFmt w:val="bullet"/>
      <w:lvlText w:val="•"/>
      <w:lvlJc w:val="left"/>
      <w:pPr>
        <w:ind w:left="5002" w:hanging="551"/>
      </w:pPr>
      <w:rPr>
        <w:rFonts w:hint="default"/>
        <w:lang w:val="zh-CN" w:eastAsia="zh-CN" w:bidi="zh-CN"/>
      </w:rPr>
    </w:lvl>
    <w:lvl w:ilvl="8" w:tentative="1">
      <w:start w:val="0"/>
      <w:numFmt w:val="bullet"/>
      <w:lvlText w:val="•"/>
      <w:lvlJc w:val="left"/>
      <w:pPr>
        <w:ind w:left="5622" w:hanging="551"/>
      </w:pPr>
      <w:rPr>
        <w:rFonts w:hint="default"/>
        <w:lang w:val="zh-CN" w:eastAsia="zh-CN" w:bidi="zh-CN"/>
      </w:rPr>
    </w:lvl>
  </w:abstractNum>
  <w:abstractNum w:abstractNumId="3051554541">
    <w:nsid w:val="B5E306ED"/>
    <w:multiLevelType w:val="multilevel"/>
    <w:tmpl w:val="B5E306ED"/>
    <w:lvl w:ilvl="0" w:tentative="1">
      <w:start w:val="5"/>
      <w:numFmt w:val="decimal"/>
      <w:lvlText w:val="%1）"/>
      <w:lvlJc w:val="left"/>
      <w:pPr>
        <w:ind w:left="1057" w:hanging="365"/>
      </w:pPr>
      <w:rPr>
        <w:rFonts w:hint="default" w:ascii="宋体" w:hAnsi="宋体" w:eastAsia="宋体" w:cs="宋体"/>
        <w:spacing w:val="2"/>
        <w:w w:val="100"/>
        <w:sz w:val="22"/>
        <w:szCs w:val="22"/>
        <w:lang w:val="zh-CN" w:eastAsia="zh-CN" w:bidi="zh-CN"/>
      </w:rPr>
    </w:lvl>
    <w:lvl w:ilvl="1" w:tentative="1">
      <w:start w:val="0"/>
      <w:numFmt w:val="bullet"/>
      <w:lvlText w:val="•"/>
      <w:lvlJc w:val="left"/>
      <w:pPr>
        <w:ind w:left="1998" w:hanging="365"/>
      </w:pPr>
      <w:rPr>
        <w:rFonts w:hint="default"/>
        <w:lang w:val="zh-CN" w:eastAsia="zh-CN" w:bidi="zh-CN"/>
      </w:rPr>
    </w:lvl>
    <w:lvl w:ilvl="2" w:tentative="1">
      <w:start w:val="0"/>
      <w:numFmt w:val="bullet"/>
      <w:lvlText w:val="•"/>
      <w:lvlJc w:val="left"/>
      <w:pPr>
        <w:ind w:left="2937" w:hanging="365"/>
      </w:pPr>
      <w:rPr>
        <w:rFonts w:hint="default"/>
        <w:lang w:val="zh-CN" w:eastAsia="zh-CN" w:bidi="zh-CN"/>
      </w:rPr>
    </w:lvl>
    <w:lvl w:ilvl="3" w:tentative="1">
      <w:start w:val="0"/>
      <w:numFmt w:val="bullet"/>
      <w:lvlText w:val="•"/>
      <w:lvlJc w:val="left"/>
      <w:pPr>
        <w:ind w:left="3875" w:hanging="365"/>
      </w:pPr>
      <w:rPr>
        <w:rFonts w:hint="default"/>
        <w:lang w:val="zh-CN" w:eastAsia="zh-CN" w:bidi="zh-CN"/>
      </w:rPr>
    </w:lvl>
    <w:lvl w:ilvl="4" w:tentative="1">
      <w:start w:val="0"/>
      <w:numFmt w:val="bullet"/>
      <w:lvlText w:val="•"/>
      <w:lvlJc w:val="left"/>
      <w:pPr>
        <w:ind w:left="4814" w:hanging="365"/>
      </w:pPr>
      <w:rPr>
        <w:rFonts w:hint="default"/>
        <w:lang w:val="zh-CN" w:eastAsia="zh-CN" w:bidi="zh-CN"/>
      </w:rPr>
    </w:lvl>
    <w:lvl w:ilvl="5" w:tentative="1">
      <w:start w:val="0"/>
      <w:numFmt w:val="bullet"/>
      <w:lvlText w:val="•"/>
      <w:lvlJc w:val="left"/>
      <w:pPr>
        <w:ind w:left="5753" w:hanging="365"/>
      </w:pPr>
      <w:rPr>
        <w:rFonts w:hint="default"/>
        <w:lang w:val="zh-CN" w:eastAsia="zh-CN" w:bidi="zh-CN"/>
      </w:rPr>
    </w:lvl>
    <w:lvl w:ilvl="6" w:tentative="1">
      <w:start w:val="0"/>
      <w:numFmt w:val="bullet"/>
      <w:lvlText w:val="•"/>
      <w:lvlJc w:val="left"/>
      <w:pPr>
        <w:ind w:left="6691" w:hanging="365"/>
      </w:pPr>
      <w:rPr>
        <w:rFonts w:hint="default"/>
        <w:lang w:val="zh-CN" w:eastAsia="zh-CN" w:bidi="zh-CN"/>
      </w:rPr>
    </w:lvl>
    <w:lvl w:ilvl="7" w:tentative="1">
      <w:start w:val="0"/>
      <w:numFmt w:val="bullet"/>
      <w:lvlText w:val="•"/>
      <w:lvlJc w:val="left"/>
      <w:pPr>
        <w:ind w:left="7630" w:hanging="365"/>
      </w:pPr>
      <w:rPr>
        <w:rFonts w:hint="default"/>
        <w:lang w:val="zh-CN" w:eastAsia="zh-CN" w:bidi="zh-CN"/>
      </w:rPr>
    </w:lvl>
    <w:lvl w:ilvl="8" w:tentative="1">
      <w:start w:val="0"/>
      <w:numFmt w:val="bullet"/>
      <w:lvlText w:val="•"/>
      <w:lvlJc w:val="left"/>
      <w:pPr>
        <w:ind w:left="8568" w:hanging="365"/>
      </w:pPr>
      <w:rPr>
        <w:rFonts w:hint="default"/>
        <w:lang w:val="zh-CN" w:eastAsia="zh-CN" w:bidi="zh-CN"/>
      </w:rPr>
    </w:lvl>
  </w:abstractNum>
  <w:abstractNum w:abstractNumId="2597283232">
    <w:nsid w:val="9ACF65A0"/>
    <w:multiLevelType w:val="multilevel"/>
    <w:tmpl w:val="9ACF65A0"/>
    <w:lvl w:ilvl="0" w:tentative="1">
      <w:start w:val="1"/>
      <w:numFmt w:val="decimal"/>
      <w:lvlText w:val="%1."/>
      <w:lvlJc w:val="left"/>
      <w:pPr>
        <w:ind w:left="955" w:hanging="225"/>
      </w:pPr>
      <w:rPr>
        <w:rFonts w:hint="default" w:ascii="宋体" w:hAnsi="宋体" w:eastAsia="宋体" w:cs="宋体"/>
        <w:b/>
        <w:bCs/>
        <w:spacing w:val="-3"/>
        <w:w w:val="99"/>
        <w:sz w:val="20"/>
        <w:szCs w:val="20"/>
        <w:lang w:val="zh-CN" w:eastAsia="zh-CN" w:bidi="zh-CN"/>
      </w:rPr>
    </w:lvl>
    <w:lvl w:ilvl="1" w:tentative="1">
      <w:start w:val="1"/>
      <w:numFmt w:val="decimal"/>
      <w:lvlText w:val="%1.%2"/>
      <w:lvlJc w:val="left"/>
      <w:pPr>
        <w:ind w:left="731" w:hanging="387"/>
      </w:pPr>
      <w:rPr>
        <w:rFonts w:hint="default" w:ascii="宋体" w:hAnsi="宋体" w:eastAsia="宋体" w:cs="宋体"/>
        <w:spacing w:val="-1"/>
        <w:w w:val="100"/>
        <w:sz w:val="22"/>
        <w:szCs w:val="22"/>
        <w:lang w:val="zh-CN" w:eastAsia="zh-CN" w:bidi="zh-CN"/>
      </w:rPr>
    </w:lvl>
    <w:lvl w:ilvl="2" w:tentative="1">
      <w:start w:val="0"/>
      <w:numFmt w:val="bullet"/>
      <w:lvlText w:val="•"/>
      <w:lvlJc w:val="left"/>
      <w:pPr>
        <w:ind w:left="2014" w:hanging="387"/>
      </w:pPr>
      <w:rPr>
        <w:rFonts w:hint="default"/>
        <w:lang w:val="zh-CN" w:eastAsia="zh-CN" w:bidi="zh-CN"/>
      </w:rPr>
    </w:lvl>
    <w:lvl w:ilvl="3" w:tentative="1">
      <w:start w:val="0"/>
      <w:numFmt w:val="bullet"/>
      <w:lvlText w:val="•"/>
      <w:lvlJc w:val="left"/>
      <w:pPr>
        <w:ind w:left="3068" w:hanging="387"/>
      </w:pPr>
      <w:rPr>
        <w:rFonts w:hint="default"/>
        <w:lang w:val="zh-CN" w:eastAsia="zh-CN" w:bidi="zh-CN"/>
      </w:rPr>
    </w:lvl>
    <w:lvl w:ilvl="4" w:tentative="1">
      <w:start w:val="0"/>
      <w:numFmt w:val="bullet"/>
      <w:lvlText w:val="•"/>
      <w:lvlJc w:val="left"/>
      <w:pPr>
        <w:ind w:left="4122" w:hanging="387"/>
      </w:pPr>
      <w:rPr>
        <w:rFonts w:hint="default"/>
        <w:lang w:val="zh-CN" w:eastAsia="zh-CN" w:bidi="zh-CN"/>
      </w:rPr>
    </w:lvl>
    <w:lvl w:ilvl="5" w:tentative="1">
      <w:start w:val="0"/>
      <w:numFmt w:val="bullet"/>
      <w:lvlText w:val="•"/>
      <w:lvlJc w:val="left"/>
      <w:pPr>
        <w:ind w:left="5176" w:hanging="387"/>
      </w:pPr>
      <w:rPr>
        <w:rFonts w:hint="default"/>
        <w:lang w:val="zh-CN" w:eastAsia="zh-CN" w:bidi="zh-CN"/>
      </w:rPr>
    </w:lvl>
    <w:lvl w:ilvl="6" w:tentative="1">
      <w:start w:val="0"/>
      <w:numFmt w:val="bullet"/>
      <w:lvlText w:val="•"/>
      <w:lvlJc w:val="left"/>
      <w:pPr>
        <w:ind w:left="6230" w:hanging="387"/>
      </w:pPr>
      <w:rPr>
        <w:rFonts w:hint="default"/>
        <w:lang w:val="zh-CN" w:eastAsia="zh-CN" w:bidi="zh-CN"/>
      </w:rPr>
    </w:lvl>
    <w:lvl w:ilvl="7" w:tentative="1">
      <w:start w:val="0"/>
      <w:numFmt w:val="bullet"/>
      <w:lvlText w:val="•"/>
      <w:lvlJc w:val="left"/>
      <w:pPr>
        <w:ind w:left="7284" w:hanging="387"/>
      </w:pPr>
      <w:rPr>
        <w:rFonts w:hint="default"/>
        <w:lang w:val="zh-CN" w:eastAsia="zh-CN" w:bidi="zh-CN"/>
      </w:rPr>
    </w:lvl>
    <w:lvl w:ilvl="8" w:tentative="1">
      <w:start w:val="0"/>
      <w:numFmt w:val="bullet"/>
      <w:lvlText w:val="•"/>
      <w:lvlJc w:val="left"/>
      <w:pPr>
        <w:ind w:left="8338" w:hanging="387"/>
      </w:pPr>
      <w:rPr>
        <w:rFonts w:hint="default"/>
        <w:lang w:val="zh-CN" w:eastAsia="zh-CN" w:bidi="zh-CN"/>
      </w:rPr>
    </w:lvl>
  </w:abstractNum>
  <w:abstractNum w:abstractNumId="3040818000">
    <w:nsid w:val="B53F3350"/>
    <w:multiLevelType w:val="multilevel"/>
    <w:tmpl w:val="B53F3350"/>
    <w:lvl w:ilvl="0" w:tentative="1">
      <w:start w:val="13"/>
      <w:numFmt w:val="decimal"/>
      <w:lvlText w:val="%1"/>
      <w:lvlJc w:val="left"/>
      <w:pPr>
        <w:ind w:left="1624" w:hanging="473"/>
      </w:pPr>
      <w:rPr>
        <w:rFonts w:hint="default"/>
        <w:lang w:val="zh-CN" w:eastAsia="zh-CN" w:bidi="zh-CN"/>
      </w:rPr>
    </w:lvl>
    <w:lvl w:ilvl="1" w:tentative="1">
      <w:start w:val="6"/>
      <w:numFmt w:val="decimal"/>
      <w:lvlText w:val="%1.%2"/>
      <w:lvlJc w:val="left"/>
      <w:pPr>
        <w:ind w:left="1624" w:hanging="473"/>
      </w:pPr>
      <w:rPr>
        <w:rFonts w:hint="default" w:ascii="Times New Roman" w:hAnsi="Times New Roman" w:eastAsia="Times New Roman" w:cs="Times New Roman"/>
        <w:spacing w:val="0"/>
        <w:w w:val="99"/>
        <w:sz w:val="21"/>
        <w:szCs w:val="21"/>
        <w:lang w:val="zh-CN" w:eastAsia="zh-CN" w:bidi="zh-CN"/>
      </w:rPr>
    </w:lvl>
    <w:lvl w:ilvl="2" w:tentative="1">
      <w:start w:val="1"/>
      <w:numFmt w:val="decimal"/>
      <w:lvlText w:val="%1.%2.%3"/>
      <w:lvlJc w:val="left"/>
      <w:pPr>
        <w:ind w:left="1780" w:hanging="629"/>
      </w:pPr>
      <w:rPr>
        <w:rFonts w:hint="default" w:ascii="Times New Roman" w:hAnsi="Times New Roman" w:eastAsia="Times New Roman" w:cs="Times New Roman"/>
        <w:spacing w:val="-2"/>
        <w:w w:val="99"/>
        <w:sz w:val="21"/>
        <w:szCs w:val="21"/>
        <w:lang w:val="zh-CN" w:eastAsia="zh-CN" w:bidi="zh-CN"/>
      </w:rPr>
    </w:lvl>
    <w:lvl w:ilvl="3" w:tentative="1">
      <w:start w:val="0"/>
      <w:numFmt w:val="bullet"/>
      <w:lvlText w:val="•"/>
      <w:lvlJc w:val="left"/>
      <w:pPr>
        <w:ind w:left="3705" w:hanging="629"/>
      </w:pPr>
      <w:rPr>
        <w:rFonts w:hint="default"/>
        <w:lang w:val="zh-CN" w:eastAsia="zh-CN" w:bidi="zh-CN"/>
      </w:rPr>
    </w:lvl>
    <w:lvl w:ilvl="4" w:tentative="1">
      <w:start w:val="0"/>
      <w:numFmt w:val="bullet"/>
      <w:lvlText w:val="•"/>
      <w:lvlJc w:val="left"/>
      <w:pPr>
        <w:ind w:left="4668" w:hanging="629"/>
      </w:pPr>
      <w:rPr>
        <w:rFonts w:hint="default"/>
        <w:lang w:val="zh-CN" w:eastAsia="zh-CN" w:bidi="zh-CN"/>
      </w:rPr>
    </w:lvl>
    <w:lvl w:ilvl="5" w:tentative="1">
      <w:start w:val="0"/>
      <w:numFmt w:val="bullet"/>
      <w:lvlText w:val="•"/>
      <w:lvlJc w:val="left"/>
      <w:pPr>
        <w:ind w:left="5631" w:hanging="629"/>
      </w:pPr>
      <w:rPr>
        <w:rFonts w:hint="default"/>
        <w:lang w:val="zh-CN" w:eastAsia="zh-CN" w:bidi="zh-CN"/>
      </w:rPr>
    </w:lvl>
    <w:lvl w:ilvl="6" w:tentative="1">
      <w:start w:val="0"/>
      <w:numFmt w:val="bullet"/>
      <w:lvlText w:val="•"/>
      <w:lvlJc w:val="left"/>
      <w:pPr>
        <w:ind w:left="6594" w:hanging="629"/>
      </w:pPr>
      <w:rPr>
        <w:rFonts w:hint="default"/>
        <w:lang w:val="zh-CN" w:eastAsia="zh-CN" w:bidi="zh-CN"/>
      </w:rPr>
    </w:lvl>
    <w:lvl w:ilvl="7" w:tentative="1">
      <w:start w:val="0"/>
      <w:numFmt w:val="bullet"/>
      <w:lvlText w:val="•"/>
      <w:lvlJc w:val="left"/>
      <w:pPr>
        <w:ind w:left="7557" w:hanging="629"/>
      </w:pPr>
      <w:rPr>
        <w:rFonts w:hint="default"/>
        <w:lang w:val="zh-CN" w:eastAsia="zh-CN" w:bidi="zh-CN"/>
      </w:rPr>
    </w:lvl>
    <w:lvl w:ilvl="8" w:tentative="1">
      <w:start w:val="0"/>
      <w:numFmt w:val="bullet"/>
      <w:lvlText w:val="•"/>
      <w:lvlJc w:val="left"/>
      <w:pPr>
        <w:ind w:left="8520" w:hanging="629"/>
      </w:pPr>
      <w:rPr>
        <w:rFonts w:hint="default"/>
        <w:lang w:val="zh-CN" w:eastAsia="zh-CN" w:bidi="zh-CN"/>
      </w:rPr>
    </w:lvl>
  </w:abstractNum>
  <w:abstractNum w:abstractNumId="2968628441">
    <w:nsid w:val="B0F1ACD9"/>
    <w:multiLevelType w:val="multilevel"/>
    <w:tmpl w:val="B0F1ACD9"/>
    <w:lvl w:ilvl="0" w:tentative="1">
      <w:start w:val="1"/>
      <w:numFmt w:val="decimal"/>
      <w:lvlText w:val="（%1）"/>
      <w:lvlJc w:val="left"/>
      <w:pPr>
        <w:ind w:left="1374" w:hanging="526"/>
      </w:pPr>
      <w:rPr>
        <w:rFonts w:hint="default" w:ascii="宋体" w:hAnsi="宋体" w:eastAsia="宋体" w:cs="宋体"/>
        <w:spacing w:val="-2"/>
        <w:w w:val="99"/>
        <w:sz w:val="19"/>
        <w:szCs w:val="19"/>
        <w:lang w:val="zh-CN" w:eastAsia="zh-CN" w:bidi="zh-CN"/>
      </w:rPr>
    </w:lvl>
    <w:lvl w:ilvl="1" w:tentative="1">
      <w:start w:val="0"/>
      <w:numFmt w:val="bullet"/>
      <w:lvlText w:val="•"/>
      <w:lvlJc w:val="left"/>
      <w:pPr>
        <w:ind w:left="2286" w:hanging="526"/>
      </w:pPr>
      <w:rPr>
        <w:rFonts w:hint="default"/>
        <w:lang w:val="zh-CN" w:eastAsia="zh-CN" w:bidi="zh-CN"/>
      </w:rPr>
    </w:lvl>
    <w:lvl w:ilvl="2" w:tentative="1">
      <w:start w:val="0"/>
      <w:numFmt w:val="bullet"/>
      <w:lvlText w:val="•"/>
      <w:lvlJc w:val="left"/>
      <w:pPr>
        <w:ind w:left="3193" w:hanging="526"/>
      </w:pPr>
      <w:rPr>
        <w:rFonts w:hint="default"/>
        <w:lang w:val="zh-CN" w:eastAsia="zh-CN" w:bidi="zh-CN"/>
      </w:rPr>
    </w:lvl>
    <w:lvl w:ilvl="3" w:tentative="1">
      <w:start w:val="0"/>
      <w:numFmt w:val="bullet"/>
      <w:lvlText w:val="•"/>
      <w:lvlJc w:val="left"/>
      <w:pPr>
        <w:ind w:left="4099" w:hanging="526"/>
      </w:pPr>
      <w:rPr>
        <w:rFonts w:hint="default"/>
        <w:lang w:val="zh-CN" w:eastAsia="zh-CN" w:bidi="zh-CN"/>
      </w:rPr>
    </w:lvl>
    <w:lvl w:ilvl="4" w:tentative="1">
      <w:start w:val="0"/>
      <w:numFmt w:val="bullet"/>
      <w:lvlText w:val="•"/>
      <w:lvlJc w:val="left"/>
      <w:pPr>
        <w:ind w:left="5006" w:hanging="526"/>
      </w:pPr>
      <w:rPr>
        <w:rFonts w:hint="default"/>
        <w:lang w:val="zh-CN" w:eastAsia="zh-CN" w:bidi="zh-CN"/>
      </w:rPr>
    </w:lvl>
    <w:lvl w:ilvl="5" w:tentative="1">
      <w:start w:val="0"/>
      <w:numFmt w:val="bullet"/>
      <w:lvlText w:val="•"/>
      <w:lvlJc w:val="left"/>
      <w:pPr>
        <w:ind w:left="5913" w:hanging="526"/>
      </w:pPr>
      <w:rPr>
        <w:rFonts w:hint="default"/>
        <w:lang w:val="zh-CN" w:eastAsia="zh-CN" w:bidi="zh-CN"/>
      </w:rPr>
    </w:lvl>
    <w:lvl w:ilvl="6" w:tentative="1">
      <w:start w:val="0"/>
      <w:numFmt w:val="bullet"/>
      <w:lvlText w:val="•"/>
      <w:lvlJc w:val="left"/>
      <w:pPr>
        <w:ind w:left="6819" w:hanging="526"/>
      </w:pPr>
      <w:rPr>
        <w:rFonts w:hint="default"/>
        <w:lang w:val="zh-CN" w:eastAsia="zh-CN" w:bidi="zh-CN"/>
      </w:rPr>
    </w:lvl>
    <w:lvl w:ilvl="7" w:tentative="1">
      <w:start w:val="0"/>
      <w:numFmt w:val="bullet"/>
      <w:lvlText w:val="•"/>
      <w:lvlJc w:val="left"/>
      <w:pPr>
        <w:ind w:left="7726" w:hanging="526"/>
      </w:pPr>
      <w:rPr>
        <w:rFonts w:hint="default"/>
        <w:lang w:val="zh-CN" w:eastAsia="zh-CN" w:bidi="zh-CN"/>
      </w:rPr>
    </w:lvl>
    <w:lvl w:ilvl="8" w:tentative="1">
      <w:start w:val="0"/>
      <w:numFmt w:val="bullet"/>
      <w:lvlText w:val="•"/>
      <w:lvlJc w:val="left"/>
      <w:pPr>
        <w:ind w:left="8632" w:hanging="526"/>
      </w:pPr>
      <w:rPr>
        <w:rFonts w:hint="default"/>
        <w:lang w:val="zh-CN" w:eastAsia="zh-CN" w:bidi="zh-CN"/>
      </w:rPr>
    </w:lvl>
  </w:abstractNum>
  <w:abstractNum w:abstractNumId="2968361962">
    <w:nsid w:val="B0ED9BEA"/>
    <w:multiLevelType w:val="multilevel"/>
    <w:tmpl w:val="B0ED9BEA"/>
    <w:lvl w:ilvl="0" w:tentative="1">
      <w:start w:val="1"/>
      <w:numFmt w:val="decimal"/>
      <w:lvlText w:val="(%1)"/>
      <w:lvlJc w:val="left"/>
      <w:pPr>
        <w:ind w:left="731" w:hanging="440"/>
      </w:pPr>
      <w:rPr>
        <w:rFonts w:hint="default" w:ascii="宋体" w:hAnsi="宋体" w:eastAsia="宋体" w:cs="宋体"/>
        <w:spacing w:val="-1"/>
        <w:w w:val="100"/>
        <w:sz w:val="22"/>
        <w:szCs w:val="22"/>
        <w:lang w:val="zh-CN" w:eastAsia="zh-CN" w:bidi="zh-CN"/>
      </w:rPr>
    </w:lvl>
    <w:lvl w:ilvl="1" w:tentative="1">
      <w:start w:val="0"/>
      <w:numFmt w:val="bullet"/>
      <w:lvlText w:val="•"/>
      <w:lvlJc w:val="left"/>
      <w:pPr>
        <w:ind w:left="1710" w:hanging="440"/>
      </w:pPr>
      <w:rPr>
        <w:rFonts w:hint="default"/>
        <w:lang w:val="zh-CN" w:eastAsia="zh-CN" w:bidi="zh-CN"/>
      </w:rPr>
    </w:lvl>
    <w:lvl w:ilvl="2" w:tentative="1">
      <w:start w:val="0"/>
      <w:numFmt w:val="bullet"/>
      <w:lvlText w:val="•"/>
      <w:lvlJc w:val="left"/>
      <w:pPr>
        <w:ind w:left="2681" w:hanging="440"/>
      </w:pPr>
      <w:rPr>
        <w:rFonts w:hint="default"/>
        <w:lang w:val="zh-CN" w:eastAsia="zh-CN" w:bidi="zh-CN"/>
      </w:rPr>
    </w:lvl>
    <w:lvl w:ilvl="3" w:tentative="1">
      <w:start w:val="0"/>
      <w:numFmt w:val="bullet"/>
      <w:lvlText w:val="•"/>
      <w:lvlJc w:val="left"/>
      <w:pPr>
        <w:ind w:left="3651" w:hanging="440"/>
      </w:pPr>
      <w:rPr>
        <w:rFonts w:hint="default"/>
        <w:lang w:val="zh-CN" w:eastAsia="zh-CN" w:bidi="zh-CN"/>
      </w:rPr>
    </w:lvl>
    <w:lvl w:ilvl="4" w:tentative="1">
      <w:start w:val="0"/>
      <w:numFmt w:val="bullet"/>
      <w:lvlText w:val="•"/>
      <w:lvlJc w:val="left"/>
      <w:pPr>
        <w:ind w:left="4622" w:hanging="440"/>
      </w:pPr>
      <w:rPr>
        <w:rFonts w:hint="default"/>
        <w:lang w:val="zh-CN" w:eastAsia="zh-CN" w:bidi="zh-CN"/>
      </w:rPr>
    </w:lvl>
    <w:lvl w:ilvl="5" w:tentative="1">
      <w:start w:val="0"/>
      <w:numFmt w:val="bullet"/>
      <w:lvlText w:val="•"/>
      <w:lvlJc w:val="left"/>
      <w:pPr>
        <w:ind w:left="5593" w:hanging="440"/>
      </w:pPr>
      <w:rPr>
        <w:rFonts w:hint="default"/>
        <w:lang w:val="zh-CN" w:eastAsia="zh-CN" w:bidi="zh-CN"/>
      </w:rPr>
    </w:lvl>
    <w:lvl w:ilvl="6" w:tentative="1">
      <w:start w:val="0"/>
      <w:numFmt w:val="bullet"/>
      <w:lvlText w:val="•"/>
      <w:lvlJc w:val="left"/>
      <w:pPr>
        <w:ind w:left="6563" w:hanging="440"/>
      </w:pPr>
      <w:rPr>
        <w:rFonts w:hint="default"/>
        <w:lang w:val="zh-CN" w:eastAsia="zh-CN" w:bidi="zh-CN"/>
      </w:rPr>
    </w:lvl>
    <w:lvl w:ilvl="7" w:tentative="1">
      <w:start w:val="0"/>
      <w:numFmt w:val="bullet"/>
      <w:lvlText w:val="•"/>
      <w:lvlJc w:val="left"/>
      <w:pPr>
        <w:ind w:left="7534" w:hanging="440"/>
      </w:pPr>
      <w:rPr>
        <w:rFonts w:hint="default"/>
        <w:lang w:val="zh-CN" w:eastAsia="zh-CN" w:bidi="zh-CN"/>
      </w:rPr>
    </w:lvl>
    <w:lvl w:ilvl="8" w:tentative="1">
      <w:start w:val="0"/>
      <w:numFmt w:val="bullet"/>
      <w:lvlText w:val="•"/>
      <w:lvlJc w:val="left"/>
      <w:pPr>
        <w:ind w:left="8504" w:hanging="440"/>
      </w:pPr>
      <w:rPr>
        <w:rFonts w:hint="default"/>
        <w:lang w:val="zh-CN" w:eastAsia="zh-CN" w:bidi="zh-CN"/>
      </w:rPr>
    </w:lvl>
  </w:abstractNum>
  <w:abstractNum w:abstractNumId="3096256936">
    <w:nsid w:val="B88D21A8"/>
    <w:multiLevelType w:val="multilevel"/>
    <w:tmpl w:val="B88D21A8"/>
    <w:lvl w:ilvl="0" w:tentative="1">
      <w:start w:val="1"/>
      <w:numFmt w:val="decimal"/>
      <w:lvlText w:val="(%1)"/>
      <w:lvlJc w:val="left"/>
      <w:pPr>
        <w:ind w:left="731" w:hanging="246"/>
      </w:pPr>
      <w:rPr>
        <w:rFonts w:hint="default" w:ascii="Times New Roman" w:hAnsi="Times New Roman" w:eastAsia="Times New Roman" w:cs="Times New Roman"/>
        <w:w w:val="99"/>
        <w:sz w:val="19"/>
        <w:szCs w:val="19"/>
        <w:lang w:val="zh-CN" w:eastAsia="zh-CN" w:bidi="zh-CN"/>
      </w:rPr>
    </w:lvl>
    <w:lvl w:ilvl="1" w:tentative="1">
      <w:start w:val="0"/>
      <w:numFmt w:val="bullet"/>
      <w:lvlText w:val="•"/>
      <w:lvlJc w:val="left"/>
      <w:pPr>
        <w:ind w:left="1710" w:hanging="246"/>
      </w:pPr>
      <w:rPr>
        <w:rFonts w:hint="default"/>
        <w:lang w:val="zh-CN" w:eastAsia="zh-CN" w:bidi="zh-CN"/>
      </w:rPr>
    </w:lvl>
    <w:lvl w:ilvl="2" w:tentative="1">
      <w:start w:val="0"/>
      <w:numFmt w:val="bullet"/>
      <w:lvlText w:val="•"/>
      <w:lvlJc w:val="left"/>
      <w:pPr>
        <w:ind w:left="2681" w:hanging="246"/>
      </w:pPr>
      <w:rPr>
        <w:rFonts w:hint="default"/>
        <w:lang w:val="zh-CN" w:eastAsia="zh-CN" w:bidi="zh-CN"/>
      </w:rPr>
    </w:lvl>
    <w:lvl w:ilvl="3" w:tentative="1">
      <w:start w:val="0"/>
      <w:numFmt w:val="bullet"/>
      <w:lvlText w:val="•"/>
      <w:lvlJc w:val="left"/>
      <w:pPr>
        <w:ind w:left="3651" w:hanging="246"/>
      </w:pPr>
      <w:rPr>
        <w:rFonts w:hint="default"/>
        <w:lang w:val="zh-CN" w:eastAsia="zh-CN" w:bidi="zh-CN"/>
      </w:rPr>
    </w:lvl>
    <w:lvl w:ilvl="4" w:tentative="1">
      <w:start w:val="0"/>
      <w:numFmt w:val="bullet"/>
      <w:lvlText w:val="•"/>
      <w:lvlJc w:val="left"/>
      <w:pPr>
        <w:ind w:left="4622" w:hanging="246"/>
      </w:pPr>
      <w:rPr>
        <w:rFonts w:hint="default"/>
        <w:lang w:val="zh-CN" w:eastAsia="zh-CN" w:bidi="zh-CN"/>
      </w:rPr>
    </w:lvl>
    <w:lvl w:ilvl="5" w:tentative="1">
      <w:start w:val="0"/>
      <w:numFmt w:val="bullet"/>
      <w:lvlText w:val="•"/>
      <w:lvlJc w:val="left"/>
      <w:pPr>
        <w:ind w:left="5593" w:hanging="246"/>
      </w:pPr>
      <w:rPr>
        <w:rFonts w:hint="default"/>
        <w:lang w:val="zh-CN" w:eastAsia="zh-CN" w:bidi="zh-CN"/>
      </w:rPr>
    </w:lvl>
    <w:lvl w:ilvl="6" w:tentative="1">
      <w:start w:val="0"/>
      <w:numFmt w:val="bullet"/>
      <w:lvlText w:val="•"/>
      <w:lvlJc w:val="left"/>
      <w:pPr>
        <w:ind w:left="6563" w:hanging="246"/>
      </w:pPr>
      <w:rPr>
        <w:rFonts w:hint="default"/>
        <w:lang w:val="zh-CN" w:eastAsia="zh-CN" w:bidi="zh-CN"/>
      </w:rPr>
    </w:lvl>
    <w:lvl w:ilvl="7" w:tentative="1">
      <w:start w:val="0"/>
      <w:numFmt w:val="bullet"/>
      <w:lvlText w:val="•"/>
      <w:lvlJc w:val="left"/>
      <w:pPr>
        <w:ind w:left="7534" w:hanging="246"/>
      </w:pPr>
      <w:rPr>
        <w:rFonts w:hint="default"/>
        <w:lang w:val="zh-CN" w:eastAsia="zh-CN" w:bidi="zh-CN"/>
      </w:rPr>
    </w:lvl>
    <w:lvl w:ilvl="8" w:tentative="1">
      <w:start w:val="0"/>
      <w:numFmt w:val="bullet"/>
      <w:lvlText w:val="•"/>
      <w:lvlJc w:val="left"/>
      <w:pPr>
        <w:ind w:left="8504" w:hanging="246"/>
      </w:pPr>
      <w:rPr>
        <w:rFonts w:hint="default"/>
        <w:lang w:val="zh-CN" w:eastAsia="zh-CN" w:bidi="zh-CN"/>
      </w:rPr>
    </w:lvl>
  </w:abstractNum>
  <w:abstractNum w:abstractNumId="2846636711">
    <w:nsid w:val="A9AC3AA7"/>
    <w:multiLevelType w:val="multilevel"/>
    <w:tmpl w:val="A9AC3AA7"/>
    <w:lvl w:ilvl="0" w:tentative="1">
      <w:start w:val="14"/>
      <w:numFmt w:val="decimal"/>
      <w:lvlText w:val="%1"/>
      <w:lvlJc w:val="left"/>
      <w:pPr>
        <w:ind w:left="1280" w:hanging="550"/>
      </w:pPr>
      <w:rPr>
        <w:rFonts w:hint="default"/>
        <w:lang w:val="zh-CN" w:eastAsia="zh-CN" w:bidi="zh-CN"/>
      </w:rPr>
    </w:lvl>
    <w:lvl w:ilvl="1" w:tentative="1">
      <w:start w:val="1"/>
      <w:numFmt w:val="decimal"/>
      <w:lvlText w:val="%1.%2"/>
      <w:lvlJc w:val="left"/>
      <w:pPr>
        <w:ind w:left="1280" w:hanging="550"/>
      </w:pPr>
      <w:rPr>
        <w:rFonts w:hint="default" w:ascii="宋体" w:hAnsi="宋体" w:eastAsia="宋体" w:cs="宋体"/>
        <w:spacing w:val="-1"/>
        <w:w w:val="100"/>
        <w:sz w:val="22"/>
        <w:szCs w:val="22"/>
        <w:lang w:val="zh-CN" w:eastAsia="zh-CN" w:bidi="zh-CN"/>
      </w:rPr>
    </w:lvl>
    <w:lvl w:ilvl="2" w:tentative="1">
      <w:start w:val="1"/>
      <w:numFmt w:val="decimal"/>
      <w:lvlText w:val="%1.%2.%3"/>
      <w:lvlJc w:val="left"/>
      <w:pPr>
        <w:ind w:left="731" w:hanging="718"/>
      </w:pPr>
      <w:rPr>
        <w:rFonts w:hint="default" w:ascii="宋体" w:hAnsi="宋体" w:eastAsia="宋体" w:cs="宋体"/>
        <w:spacing w:val="-1"/>
        <w:w w:val="100"/>
        <w:sz w:val="22"/>
        <w:szCs w:val="22"/>
        <w:lang w:val="zh-CN" w:eastAsia="zh-CN" w:bidi="zh-CN"/>
      </w:rPr>
    </w:lvl>
    <w:lvl w:ilvl="3" w:tentative="1">
      <w:start w:val="0"/>
      <w:numFmt w:val="bullet"/>
      <w:lvlText w:val="•"/>
      <w:lvlJc w:val="left"/>
      <w:pPr>
        <w:ind w:left="3316" w:hanging="718"/>
      </w:pPr>
      <w:rPr>
        <w:rFonts w:hint="default"/>
        <w:lang w:val="zh-CN" w:eastAsia="zh-CN" w:bidi="zh-CN"/>
      </w:rPr>
    </w:lvl>
    <w:lvl w:ilvl="4" w:tentative="1">
      <w:start w:val="0"/>
      <w:numFmt w:val="bullet"/>
      <w:lvlText w:val="•"/>
      <w:lvlJc w:val="left"/>
      <w:pPr>
        <w:ind w:left="4335" w:hanging="718"/>
      </w:pPr>
      <w:rPr>
        <w:rFonts w:hint="default"/>
        <w:lang w:val="zh-CN" w:eastAsia="zh-CN" w:bidi="zh-CN"/>
      </w:rPr>
    </w:lvl>
    <w:lvl w:ilvl="5" w:tentative="1">
      <w:start w:val="0"/>
      <w:numFmt w:val="bullet"/>
      <w:lvlText w:val="•"/>
      <w:lvlJc w:val="left"/>
      <w:pPr>
        <w:ind w:left="5353" w:hanging="718"/>
      </w:pPr>
      <w:rPr>
        <w:rFonts w:hint="default"/>
        <w:lang w:val="zh-CN" w:eastAsia="zh-CN" w:bidi="zh-CN"/>
      </w:rPr>
    </w:lvl>
    <w:lvl w:ilvl="6" w:tentative="1">
      <w:start w:val="0"/>
      <w:numFmt w:val="bullet"/>
      <w:lvlText w:val="•"/>
      <w:lvlJc w:val="left"/>
      <w:pPr>
        <w:ind w:left="6372" w:hanging="718"/>
      </w:pPr>
      <w:rPr>
        <w:rFonts w:hint="default"/>
        <w:lang w:val="zh-CN" w:eastAsia="zh-CN" w:bidi="zh-CN"/>
      </w:rPr>
    </w:lvl>
    <w:lvl w:ilvl="7" w:tentative="1">
      <w:start w:val="0"/>
      <w:numFmt w:val="bullet"/>
      <w:lvlText w:val="•"/>
      <w:lvlJc w:val="left"/>
      <w:pPr>
        <w:ind w:left="7390" w:hanging="718"/>
      </w:pPr>
      <w:rPr>
        <w:rFonts w:hint="default"/>
        <w:lang w:val="zh-CN" w:eastAsia="zh-CN" w:bidi="zh-CN"/>
      </w:rPr>
    </w:lvl>
    <w:lvl w:ilvl="8" w:tentative="1">
      <w:start w:val="0"/>
      <w:numFmt w:val="bullet"/>
      <w:lvlText w:val="•"/>
      <w:lvlJc w:val="left"/>
      <w:pPr>
        <w:ind w:left="8409" w:hanging="718"/>
      </w:pPr>
      <w:rPr>
        <w:rFonts w:hint="default"/>
        <w:lang w:val="zh-CN" w:eastAsia="zh-CN" w:bidi="zh-CN"/>
      </w:rPr>
    </w:lvl>
  </w:abstractNum>
  <w:abstractNum w:abstractNumId="3143946153">
    <w:nsid w:val="BB64CFA9"/>
    <w:multiLevelType w:val="multilevel"/>
    <w:tmpl w:val="BB64CFA9"/>
    <w:lvl w:ilvl="0" w:tentative="1">
      <w:start w:val="1"/>
      <w:numFmt w:val="decimal"/>
      <w:lvlText w:val="（%1）"/>
      <w:lvlJc w:val="left"/>
      <w:pPr>
        <w:ind w:left="731" w:hanging="525"/>
      </w:pPr>
      <w:rPr>
        <w:rFonts w:hint="default" w:ascii="仿宋" w:hAnsi="仿宋" w:eastAsia="仿宋" w:cs="仿宋"/>
        <w:spacing w:val="-20"/>
        <w:w w:val="99"/>
        <w:sz w:val="19"/>
        <w:szCs w:val="19"/>
        <w:lang w:val="zh-CN" w:eastAsia="zh-CN" w:bidi="zh-CN"/>
      </w:rPr>
    </w:lvl>
    <w:lvl w:ilvl="1" w:tentative="1">
      <w:start w:val="0"/>
      <w:numFmt w:val="bullet"/>
      <w:lvlText w:val="•"/>
      <w:lvlJc w:val="left"/>
      <w:pPr>
        <w:ind w:left="1710" w:hanging="525"/>
      </w:pPr>
      <w:rPr>
        <w:rFonts w:hint="default"/>
        <w:lang w:val="zh-CN" w:eastAsia="zh-CN" w:bidi="zh-CN"/>
      </w:rPr>
    </w:lvl>
    <w:lvl w:ilvl="2" w:tentative="1">
      <w:start w:val="0"/>
      <w:numFmt w:val="bullet"/>
      <w:lvlText w:val="•"/>
      <w:lvlJc w:val="left"/>
      <w:pPr>
        <w:ind w:left="2681" w:hanging="525"/>
      </w:pPr>
      <w:rPr>
        <w:rFonts w:hint="default"/>
        <w:lang w:val="zh-CN" w:eastAsia="zh-CN" w:bidi="zh-CN"/>
      </w:rPr>
    </w:lvl>
    <w:lvl w:ilvl="3" w:tentative="1">
      <w:start w:val="0"/>
      <w:numFmt w:val="bullet"/>
      <w:lvlText w:val="•"/>
      <w:lvlJc w:val="left"/>
      <w:pPr>
        <w:ind w:left="3651" w:hanging="525"/>
      </w:pPr>
      <w:rPr>
        <w:rFonts w:hint="default"/>
        <w:lang w:val="zh-CN" w:eastAsia="zh-CN" w:bidi="zh-CN"/>
      </w:rPr>
    </w:lvl>
    <w:lvl w:ilvl="4" w:tentative="1">
      <w:start w:val="0"/>
      <w:numFmt w:val="bullet"/>
      <w:lvlText w:val="•"/>
      <w:lvlJc w:val="left"/>
      <w:pPr>
        <w:ind w:left="4622" w:hanging="525"/>
      </w:pPr>
      <w:rPr>
        <w:rFonts w:hint="default"/>
        <w:lang w:val="zh-CN" w:eastAsia="zh-CN" w:bidi="zh-CN"/>
      </w:rPr>
    </w:lvl>
    <w:lvl w:ilvl="5" w:tentative="1">
      <w:start w:val="0"/>
      <w:numFmt w:val="bullet"/>
      <w:lvlText w:val="•"/>
      <w:lvlJc w:val="left"/>
      <w:pPr>
        <w:ind w:left="5593" w:hanging="525"/>
      </w:pPr>
      <w:rPr>
        <w:rFonts w:hint="default"/>
        <w:lang w:val="zh-CN" w:eastAsia="zh-CN" w:bidi="zh-CN"/>
      </w:rPr>
    </w:lvl>
    <w:lvl w:ilvl="6" w:tentative="1">
      <w:start w:val="0"/>
      <w:numFmt w:val="bullet"/>
      <w:lvlText w:val="•"/>
      <w:lvlJc w:val="left"/>
      <w:pPr>
        <w:ind w:left="6563" w:hanging="525"/>
      </w:pPr>
      <w:rPr>
        <w:rFonts w:hint="default"/>
        <w:lang w:val="zh-CN" w:eastAsia="zh-CN" w:bidi="zh-CN"/>
      </w:rPr>
    </w:lvl>
    <w:lvl w:ilvl="7" w:tentative="1">
      <w:start w:val="0"/>
      <w:numFmt w:val="bullet"/>
      <w:lvlText w:val="•"/>
      <w:lvlJc w:val="left"/>
      <w:pPr>
        <w:ind w:left="7534" w:hanging="525"/>
      </w:pPr>
      <w:rPr>
        <w:rFonts w:hint="default"/>
        <w:lang w:val="zh-CN" w:eastAsia="zh-CN" w:bidi="zh-CN"/>
      </w:rPr>
    </w:lvl>
    <w:lvl w:ilvl="8" w:tentative="1">
      <w:start w:val="0"/>
      <w:numFmt w:val="bullet"/>
      <w:lvlText w:val="•"/>
      <w:lvlJc w:val="left"/>
      <w:pPr>
        <w:ind w:left="8504" w:hanging="525"/>
      </w:pPr>
      <w:rPr>
        <w:rFonts w:hint="default"/>
        <w:lang w:val="zh-CN" w:eastAsia="zh-CN" w:bidi="zh-CN"/>
      </w:rPr>
    </w:lvl>
  </w:abstractNum>
  <w:abstractNum w:abstractNumId="2221013726">
    <w:nsid w:val="8461FADE"/>
    <w:multiLevelType w:val="multilevel"/>
    <w:tmpl w:val="8461FADE"/>
    <w:lvl w:ilvl="0" w:tentative="1">
      <w:start w:val="1"/>
      <w:numFmt w:val="decimal"/>
      <w:lvlText w:val="（%1）"/>
      <w:lvlJc w:val="left"/>
      <w:pPr>
        <w:ind w:left="1675" w:hanging="525"/>
      </w:pPr>
      <w:rPr>
        <w:rFonts w:hint="default" w:ascii="仿宋" w:hAnsi="仿宋" w:eastAsia="仿宋" w:cs="仿宋"/>
        <w:spacing w:val="-1"/>
        <w:w w:val="99"/>
        <w:sz w:val="19"/>
        <w:szCs w:val="19"/>
        <w:lang w:val="zh-CN" w:eastAsia="zh-CN" w:bidi="zh-CN"/>
      </w:rPr>
    </w:lvl>
    <w:lvl w:ilvl="1" w:tentative="1">
      <w:start w:val="0"/>
      <w:numFmt w:val="bullet"/>
      <w:lvlText w:val="•"/>
      <w:lvlJc w:val="left"/>
      <w:pPr>
        <w:ind w:left="2556" w:hanging="525"/>
      </w:pPr>
      <w:rPr>
        <w:rFonts w:hint="default"/>
        <w:lang w:val="zh-CN" w:eastAsia="zh-CN" w:bidi="zh-CN"/>
      </w:rPr>
    </w:lvl>
    <w:lvl w:ilvl="2" w:tentative="1">
      <w:start w:val="0"/>
      <w:numFmt w:val="bullet"/>
      <w:lvlText w:val="•"/>
      <w:lvlJc w:val="left"/>
      <w:pPr>
        <w:ind w:left="3433" w:hanging="525"/>
      </w:pPr>
      <w:rPr>
        <w:rFonts w:hint="default"/>
        <w:lang w:val="zh-CN" w:eastAsia="zh-CN" w:bidi="zh-CN"/>
      </w:rPr>
    </w:lvl>
    <w:lvl w:ilvl="3" w:tentative="1">
      <w:start w:val="0"/>
      <w:numFmt w:val="bullet"/>
      <w:lvlText w:val="•"/>
      <w:lvlJc w:val="left"/>
      <w:pPr>
        <w:ind w:left="4309" w:hanging="525"/>
      </w:pPr>
      <w:rPr>
        <w:rFonts w:hint="default"/>
        <w:lang w:val="zh-CN" w:eastAsia="zh-CN" w:bidi="zh-CN"/>
      </w:rPr>
    </w:lvl>
    <w:lvl w:ilvl="4" w:tentative="1">
      <w:start w:val="0"/>
      <w:numFmt w:val="bullet"/>
      <w:lvlText w:val="•"/>
      <w:lvlJc w:val="left"/>
      <w:pPr>
        <w:ind w:left="5186" w:hanging="525"/>
      </w:pPr>
      <w:rPr>
        <w:rFonts w:hint="default"/>
        <w:lang w:val="zh-CN" w:eastAsia="zh-CN" w:bidi="zh-CN"/>
      </w:rPr>
    </w:lvl>
    <w:lvl w:ilvl="5" w:tentative="1">
      <w:start w:val="0"/>
      <w:numFmt w:val="bullet"/>
      <w:lvlText w:val="•"/>
      <w:lvlJc w:val="left"/>
      <w:pPr>
        <w:ind w:left="6063" w:hanging="525"/>
      </w:pPr>
      <w:rPr>
        <w:rFonts w:hint="default"/>
        <w:lang w:val="zh-CN" w:eastAsia="zh-CN" w:bidi="zh-CN"/>
      </w:rPr>
    </w:lvl>
    <w:lvl w:ilvl="6" w:tentative="1">
      <w:start w:val="0"/>
      <w:numFmt w:val="bullet"/>
      <w:lvlText w:val="•"/>
      <w:lvlJc w:val="left"/>
      <w:pPr>
        <w:ind w:left="6939" w:hanging="525"/>
      </w:pPr>
      <w:rPr>
        <w:rFonts w:hint="default"/>
        <w:lang w:val="zh-CN" w:eastAsia="zh-CN" w:bidi="zh-CN"/>
      </w:rPr>
    </w:lvl>
    <w:lvl w:ilvl="7" w:tentative="1">
      <w:start w:val="0"/>
      <w:numFmt w:val="bullet"/>
      <w:lvlText w:val="•"/>
      <w:lvlJc w:val="left"/>
      <w:pPr>
        <w:ind w:left="7816" w:hanging="525"/>
      </w:pPr>
      <w:rPr>
        <w:rFonts w:hint="default"/>
        <w:lang w:val="zh-CN" w:eastAsia="zh-CN" w:bidi="zh-CN"/>
      </w:rPr>
    </w:lvl>
    <w:lvl w:ilvl="8" w:tentative="1">
      <w:start w:val="0"/>
      <w:numFmt w:val="bullet"/>
      <w:lvlText w:val="•"/>
      <w:lvlJc w:val="left"/>
      <w:pPr>
        <w:ind w:left="8692" w:hanging="525"/>
      </w:pPr>
      <w:rPr>
        <w:rFonts w:hint="default"/>
        <w:lang w:val="zh-CN" w:eastAsia="zh-CN" w:bidi="zh-CN"/>
      </w:rPr>
    </w:lvl>
  </w:abstractNum>
  <w:abstractNum w:abstractNumId="3169624244">
    <w:nsid w:val="BCECA0B4"/>
    <w:multiLevelType w:val="multilevel"/>
    <w:tmpl w:val="BCECA0B4"/>
    <w:lvl w:ilvl="0" w:tentative="1">
      <w:start w:val="1"/>
      <w:numFmt w:val="decimal"/>
      <w:lvlText w:val="(%1)"/>
      <w:lvlJc w:val="left"/>
      <w:pPr>
        <w:ind w:left="1502" w:hanging="333"/>
      </w:pPr>
      <w:rPr>
        <w:rFonts w:hint="default" w:ascii="宋体" w:hAnsi="宋体" w:eastAsia="宋体" w:cs="宋体"/>
        <w:spacing w:val="-1"/>
        <w:w w:val="100"/>
        <w:sz w:val="20"/>
        <w:szCs w:val="20"/>
        <w:lang w:val="zh-CN" w:eastAsia="zh-CN" w:bidi="zh-CN"/>
      </w:rPr>
    </w:lvl>
    <w:lvl w:ilvl="1" w:tentative="1">
      <w:start w:val="0"/>
      <w:numFmt w:val="bullet"/>
      <w:lvlText w:val="•"/>
      <w:lvlJc w:val="left"/>
      <w:pPr>
        <w:ind w:left="2394" w:hanging="333"/>
      </w:pPr>
      <w:rPr>
        <w:rFonts w:hint="default"/>
        <w:lang w:val="zh-CN" w:eastAsia="zh-CN" w:bidi="zh-CN"/>
      </w:rPr>
    </w:lvl>
    <w:lvl w:ilvl="2" w:tentative="1">
      <w:start w:val="0"/>
      <w:numFmt w:val="bullet"/>
      <w:lvlText w:val="•"/>
      <w:lvlJc w:val="left"/>
      <w:pPr>
        <w:ind w:left="3289" w:hanging="333"/>
      </w:pPr>
      <w:rPr>
        <w:rFonts w:hint="default"/>
        <w:lang w:val="zh-CN" w:eastAsia="zh-CN" w:bidi="zh-CN"/>
      </w:rPr>
    </w:lvl>
    <w:lvl w:ilvl="3" w:tentative="1">
      <w:start w:val="0"/>
      <w:numFmt w:val="bullet"/>
      <w:lvlText w:val="•"/>
      <w:lvlJc w:val="left"/>
      <w:pPr>
        <w:ind w:left="4183" w:hanging="333"/>
      </w:pPr>
      <w:rPr>
        <w:rFonts w:hint="default"/>
        <w:lang w:val="zh-CN" w:eastAsia="zh-CN" w:bidi="zh-CN"/>
      </w:rPr>
    </w:lvl>
    <w:lvl w:ilvl="4" w:tentative="1">
      <w:start w:val="0"/>
      <w:numFmt w:val="bullet"/>
      <w:lvlText w:val="•"/>
      <w:lvlJc w:val="left"/>
      <w:pPr>
        <w:ind w:left="5078" w:hanging="333"/>
      </w:pPr>
      <w:rPr>
        <w:rFonts w:hint="default"/>
        <w:lang w:val="zh-CN" w:eastAsia="zh-CN" w:bidi="zh-CN"/>
      </w:rPr>
    </w:lvl>
    <w:lvl w:ilvl="5" w:tentative="1">
      <w:start w:val="0"/>
      <w:numFmt w:val="bullet"/>
      <w:lvlText w:val="•"/>
      <w:lvlJc w:val="left"/>
      <w:pPr>
        <w:ind w:left="5973" w:hanging="333"/>
      </w:pPr>
      <w:rPr>
        <w:rFonts w:hint="default"/>
        <w:lang w:val="zh-CN" w:eastAsia="zh-CN" w:bidi="zh-CN"/>
      </w:rPr>
    </w:lvl>
    <w:lvl w:ilvl="6" w:tentative="1">
      <w:start w:val="0"/>
      <w:numFmt w:val="bullet"/>
      <w:lvlText w:val="•"/>
      <w:lvlJc w:val="left"/>
      <w:pPr>
        <w:ind w:left="6867" w:hanging="333"/>
      </w:pPr>
      <w:rPr>
        <w:rFonts w:hint="default"/>
        <w:lang w:val="zh-CN" w:eastAsia="zh-CN" w:bidi="zh-CN"/>
      </w:rPr>
    </w:lvl>
    <w:lvl w:ilvl="7" w:tentative="1">
      <w:start w:val="0"/>
      <w:numFmt w:val="bullet"/>
      <w:lvlText w:val="•"/>
      <w:lvlJc w:val="left"/>
      <w:pPr>
        <w:ind w:left="7762" w:hanging="333"/>
      </w:pPr>
      <w:rPr>
        <w:rFonts w:hint="default"/>
        <w:lang w:val="zh-CN" w:eastAsia="zh-CN" w:bidi="zh-CN"/>
      </w:rPr>
    </w:lvl>
    <w:lvl w:ilvl="8" w:tentative="1">
      <w:start w:val="0"/>
      <w:numFmt w:val="bullet"/>
      <w:lvlText w:val="•"/>
      <w:lvlJc w:val="left"/>
      <w:pPr>
        <w:ind w:left="8656" w:hanging="333"/>
      </w:pPr>
      <w:rPr>
        <w:rFonts w:hint="default"/>
        <w:lang w:val="zh-CN" w:eastAsia="zh-CN" w:bidi="zh-CN"/>
      </w:rPr>
    </w:lvl>
  </w:abstractNum>
  <w:abstractNum w:abstractNumId="3100570459">
    <w:nsid w:val="B8CEF35B"/>
    <w:multiLevelType w:val="multilevel"/>
    <w:tmpl w:val="B8CEF35B"/>
    <w:lvl w:ilvl="0" w:tentative="1">
      <w:start w:val="1"/>
      <w:numFmt w:val="decimal"/>
      <w:lvlText w:val="（%1）"/>
      <w:lvlJc w:val="left"/>
      <w:pPr>
        <w:ind w:left="731" w:hanging="526"/>
      </w:pPr>
      <w:rPr>
        <w:rFonts w:hint="default" w:ascii="仿宋" w:hAnsi="仿宋" w:eastAsia="仿宋" w:cs="仿宋"/>
        <w:spacing w:val="-1"/>
        <w:w w:val="99"/>
        <w:sz w:val="19"/>
        <w:szCs w:val="19"/>
        <w:lang w:val="zh-CN" w:eastAsia="zh-CN" w:bidi="zh-CN"/>
      </w:rPr>
    </w:lvl>
    <w:lvl w:ilvl="1" w:tentative="1">
      <w:start w:val="0"/>
      <w:numFmt w:val="bullet"/>
      <w:lvlText w:val="•"/>
      <w:lvlJc w:val="left"/>
      <w:pPr>
        <w:ind w:left="1710" w:hanging="526"/>
      </w:pPr>
      <w:rPr>
        <w:rFonts w:hint="default"/>
        <w:lang w:val="zh-CN" w:eastAsia="zh-CN" w:bidi="zh-CN"/>
      </w:rPr>
    </w:lvl>
    <w:lvl w:ilvl="2" w:tentative="1">
      <w:start w:val="0"/>
      <w:numFmt w:val="bullet"/>
      <w:lvlText w:val="•"/>
      <w:lvlJc w:val="left"/>
      <w:pPr>
        <w:ind w:left="2681" w:hanging="526"/>
      </w:pPr>
      <w:rPr>
        <w:rFonts w:hint="default"/>
        <w:lang w:val="zh-CN" w:eastAsia="zh-CN" w:bidi="zh-CN"/>
      </w:rPr>
    </w:lvl>
    <w:lvl w:ilvl="3" w:tentative="1">
      <w:start w:val="0"/>
      <w:numFmt w:val="bullet"/>
      <w:lvlText w:val="•"/>
      <w:lvlJc w:val="left"/>
      <w:pPr>
        <w:ind w:left="3651" w:hanging="526"/>
      </w:pPr>
      <w:rPr>
        <w:rFonts w:hint="default"/>
        <w:lang w:val="zh-CN" w:eastAsia="zh-CN" w:bidi="zh-CN"/>
      </w:rPr>
    </w:lvl>
    <w:lvl w:ilvl="4" w:tentative="1">
      <w:start w:val="0"/>
      <w:numFmt w:val="bullet"/>
      <w:lvlText w:val="•"/>
      <w:lvlJc w:val="left"/>
      <w:pPr>
        <w:ind w:left="4622" w:hanging="526"/>
      </w:pPr>
      <w:rPr>
        <w:rFonts w:hint="default"/>
        <w:lang w:val="zh-CN" w:eastAsia="zh-CN" w:bidi="zh-CN"/>
      </w:rPr>
    </w:lvl>
    <w:lvl w:ilvl="5" w:tentative="1">
      <w:start w:val="0"/>
      <w:numFmt w:val="bullet"/>
      <w:lvlText w:val="•"/>
      <w:lvlJc w:val="left"/>
      <w:pPr>
        <w:ind w:left="5593" w:hanging="526"/>
      </w:pPr>
      <w:rPr>
        <w:rFonts w:hint="default"/>
        <w:lang w:val="zh-CN" w:eastAsia="zh-CN" w:bidi="zh-CN"/>
      </w:rPr>
    </w:lvl>
    <w:lvl w:ilvl="6" w:tentative="1">
      <w:start w:val="0"/>
      <w:numFmt w:val="bullet"/>
      <w:lvlText w:val="•"/>
      <w:lvlJc w:val="left"/>
      <w:pPr>
        <w:ind w:left="6563" w:hanging="526"/>
      </w:pPr>
      <w:rPr>
        <w:rFonts w:hint="default"/>
        <w:lang w:val="zh-CN" w:eastAsia="zh-CN" w:bidi="zh-CN"/>
      </w:rPr>
    </w:lvl>
    <w:lvl w:ilvl="7" w:tentative="1">
      <w:start w:val="0"/>
      <w:numFmt w:val="bullet"/>
      <w:lvlText w:val="•"/>
      <w:lvlJc w:val="left"/>
      <w:pPr>
        <w:ind w:left="7534" w:hanging="526"/>
      </w:pPr>
      <w:rPr>
        <w:rFonts w:hint="default"/>
        <w:lang w:val="zh-CN" w:eastAsia="zh-CN" w:bidi="zh-CN"/>
      </w:rPr>
    </w:lvl>
    <w:lvl w:ilvl="8" w:tentative="1">
      <w:start w:val="0"/>
      <w:numFmt w:val="bullet"/>
      <w:lvlText w:val="•"/>
      <w:lvlJc w:val="left"/>
      <w:pPr>
        <w:ind w:left="8504" w:hanging="526"/>
      </w:pPr>
      <w:rPr>
        <w:rFonts w:hint="default"/>
        <w:lang w:val="zh-CN" w:eastAsia="zh-CN" w:bidi="zh-CN"/>
      </w:rPr>
    </w:lvl>
  </w:abstractNum>
  <w:abstractNum w:abstractNumId="3181459804">
    <w:nsid w:val="BDA1395C"/>
    <w:multiLevelType w:val="multilevel"/>
    <w:tmpl w:val="BDA1395C"/>
    <w:lvl w:ilvl="0" w:tentative="1">
      <w:start w:val="6"/>
      <w:numFmt w:val="decimal"/>
      <w:lvlText w:val="(%1)"/>
      <w:lvlJc w:val="left"/>
      <w:pPr>
        <w:ind w:left="1507" w:hanging="333"/>
      </w:pPr>
      <w:rPr>
        <w:rFonts w:hint="default" w:ascii="宋体" w:hAnsi="宋体" w:eastAsia="宋体" w:cs="宋体"/>
        <w:spacing w:val="-3"/>
        <w:w w:val="100"/>
        <w:sz w:val="20"/>
        <w:szCs w:val="20"/>
        <w:lang w:val="zh-CN" w:eastAsia="zh-CN" w:bidi="zh-CN"/>
      </w:rPr>
    </w:lvl>
    <w:lvl w:ilvl="1" w:tentative="1">
      <w:start w:val="0"/>
      <w:numFmt w:val="bullet"/>
      <w:lvlText w:val="•"/>
      <w:lvlJc w:val="left"/>
      <w:pPr>
        <w:ind w:left="2394" w:hanging="333"/>
      </w:pPr>
      <w:rPr>
        <w:rFonts w:hint="default"/>
        <w:lang w:val="zh-CN" w:eastAsia="zh-CN" w:bidi="zh-CN"/>
      </w:rPr>
    </w:lvl>
    <w:lvl w:ilvl="2" w:tentative="1">
      <w:start w:val="0"/>
      <w:numFmt w:val="bullet"/>
      <w:lvlText w:val="•"/>
      <w:lvlJc w:val="left"/>
      <w:pPr>
        <w:ind w:left="3289" w:hanging="333"/>
      </w:pPr>
      <w:rPr>
        <w:rFonts w:hint="default"/>
        <w:lang w:val="zh-CN" w:eastAsia="zh-CN" w:bidi="zh-CN"/>
      </w:rPr>
    </w:lvl>
    <w:lvl w:ilvl="3" w:tentative="1">
      <w:start w:val="0"/>
      <w:numFmt w:val="bullet"/>
      <w:lvlText w:val="•"/>
      <w:lvlJc w:val="left"/>
      <w:pPr>
        <w:ind w:left="4183" w:hanging="333"/>
      </w:pPr>
      <w:rPr>
        <w:rFonts w:hint="default"/>
        <w:lang w:val="zh-CN" w:eastAsia="zh-CN" w:bidi="zh-CN"/>
      </w:rPr>
    </w:lvl>
    <w:lvl w:ilvl="4" w:tentative="1">
      <w:start w:val="0"/>
      <w:numFmt w:val="bullet"/>
      <w:lvlText w:val="•"/>
      <w:lvlJc w:val="left"/>
      <w:pPr>
        <w:ind w:left="5078" w:hanging="333"/>
      </w:pPr>
      <w:rPr>
        <w:rFonts w:hint="default"/>
        <w:lang w:val="zh-CN" w:eastAsia="zh-CN" w:bidi="zh-CN"/>
      </w:rPr>
    </w:lvl>
    <w:lvl w:ilvl="5" w:tentative="1">
      <w:start w:val="0"/>
      <w:numFmt w:val="bullet"/>
      <w:lvlText w:val="•"/>
      <w:lvlJc w:val="left"/>
      <w:pPr>
        <w:ind w:left="5973" w:hanging="333"/>
      </w:pPr>
      <w:rPr>
        <w:rFonts w:hint="default"/>
        <w:lang w:val="zh-CN" w:eastAsia="zh-CN" w:bidi="zh-CN"/>
      </w:rPr>
    </w:lvl>
    <w:lvl w:ilvl="6" w:tentative="1">
      <w:start w:val="0"/>
      <w:numFmt w:val="bullet"/>
      <w:lvlText w:val="•"/>
      <w:lvlJc w:val="left"/>
      <w:pPr>
        <w:ind w:left="6867" w:hanging="333"/>
      </w:pPr>
      <w:rPr>
        <w:rFonts w:hint="default"/>
        <w:lang w:val="zh-CN" w:eastAsia="zh-CN" w:bidi="zh-CN"/>
      </w:rPr>
    </w:lvl>
    <w:lvl w:ilvl="7" w:tentative="1">
      <w:start w:val="0"/>
      <w:numFmt w:val="bullet"/>
      <w:lvlText w:val="•"/>
      <w:lvlJc w:val="left"/>
      <w:pPr>
        <w:ind w:left="7762" w:hanging="333"/>
      </w:pPr>
      <w:rPr>
        <w:rFonts w:hint="default"/>
        <w:lang w:val="zh-CN" w:eastAsia="zh-CN" w:bidi="zh-CN"/>
      </w:rPr>
    </w:lvl>
    <w:lvl w:ilvl="8" w:tentative="1">
      <w:start w:val="0"/>
      <w:numFmt w:val="bullet"/>
      <w:lvlText w:val="•"/>
      <w:lvlJc w:val="left"/>
      <w:pPr>
        <w:ind w:left="8656" w:hanging="333"/>
      </w:pPr>
      <w:rPr>
        <w:rFonts w:hint="default"/>
        <w:lang w:val="zh-CN" w:eastAsia="zh-CN" w:bidi="zh-CN"/>
      </w:rPr>
    </w:lvl>
  </w:abstractNum>
  <w:abstractNum w:abstractNumId="2626341103">
    <w:nsid w:val="9C8AC8EF"/>
    <w:multiLevelType w:val="multilevel"/>
    <w:tmpl w:val="9C8AC8EF"/>
    <w:lvl w:ilvl="0" w:tentative="1">
      <w:start w:val="1"/>
      <w:numFmt w:val="decimal"/>
      <w:lvlText w:val="（%1）"/>
      <w:lvlJc w:val="left"/>
      <w:pPr>
        <w:ind w:left="1211" w:hanging="551"/>
      </w:pPr>
      <w:rPr>
        <w:rFonts w:hint="default" w:ascii="宋体" w:hAnsi="宋体" w:eastAsia="宋体" w:cs="宋体"/>
        <w:spacing w:val="-3"/>
        <w:w w:val="100"/>
        <w:sz w:val="20"/>
        <w:szCs w:val="20"/>
        <w:lang w:val="zh-CN" w:eastAsia="zh-CN" w:bidi="zh-CN"/>
      </w:rPr>
    </w:lvl>
    <w:lvl w:ilvl="1" w:tentative="1">
      <w:start w:val="0"/>
      <w:numFmt w:val="bullet"/>
      <w:lvlText w:val="•"/>
      <w:lvlJc w:val="left"/>
      <w:pPr>
        <w:ind w:left="2196" w:hanging="551"/>
      </w:pPr>
      <w:rPr>
        <w:rFonts w:hint="default"/>
        <w:lang w:val="zh-CN" w:eastAsia="zh-CN" w:bidi="zh-CN"/>
      </w:rPr>
    </w:lvl>
    <w:lvl w:ilvl="2" w:tentative="1">
      <w:start w:val="0"/>
      <w:numFmt w:val="bullet"/>
      <w:lvlText w:val="•"/>
      <w:lvlJc w:val="left"/>
      <w:pPr>
        <w:ind w:left="3113" w:hanging="551"/>
      </w:pPr>
      <w:rPr>
        <w:rFonts w:hint="default"/>
        <w:lang w:val="zh-CN" w:eastAsia="zh-CN" w:bidi="zh-CN"/>
      </w:rPr>
    </w:lvl>
    <w:lvl w:ilvl="3" w:tentative="1">
      <w:start w:val="0"/>
      <w:numFmt w:val="bullet"/>
      <w:lvlText w:val="•"/>
      <w:lvlJc w:val="left"/>
      <w:pPr>
        <w:ind w:left="4029" w:hanging="551"/>
      </w:pPr>
      <w:rPr>
        <w:rFonts w:hint="default"/>
        <w:lang w:val="zh-CN" w:eastAsia="zh-CN" w:bidi="zh-CN"/>
      </w:rPr>
    </w:lvl>
    <w:lvl w:ilvl="4" w:tentative="1">
      <w:start w:val="0"/>
      <w:numFmt w:val="bullet"/>
      <w:lvlText w:val="•"/>
      <w:lvlJc w:val="left"/>
      <w:pPr>
        <w:ind w:left="4946" w:hanging="551"/>
      </w:pPr>
      <w:rPr>
        <w:rFonts w:hint="default"/>
        <w:lang w:val="zh-CN" w:eastAsia="zh-CN" w:bidi="zh-CN"/>
      </w:rPr>
    </w:lvl>
    <w:lvl w:ilvl="5" w:tentative="1">
      <w:start w:val="0"/>
      <w:numFmt w:val="bullet"/>
      <w:lvlText w:val="•"/>
      <w:lvlJc w:val="left"/>
      <w:pPr>
        <w:ind w:left="5863" w:hanging="551"/>
      </w:pPr>
      <w:rPr>
        <w:rFonts w:hint="default"/>
        <w:lang w:val="zh-CN" w:eastAsia="zh-CN" w:bidi="zh-CN"/>
      </w:rPr>
    </w:lvl>
    <w:lvl w:ilvl="6" w:tentative="1">
      <w:start w:val="0"/>
      <w:numFmt w:val="bullet"/>
      <w:lvlText w:val="•"/>
      <w:lvlJc w:val="left"/>
      <w:pPr>
        <w:ind w:left="6779" w:hanging="551"/>
      </w:pPr>
      <w:rPr>
        <w:rFonts w:hint="default"/>
        <w:lang w:val="zh-CN" w:eastAsia="zh-CN" w:bidi="zh-CN"/>
      </w:rPr>
    </w:lvl>
    <w:lvl w:ilvl="7" w:tentative="1">
      <w:start w:val="0"/>
      <w:numFmt w:val="bullet"/>
      <w:lvlText w:val="•"/>
      <w:lvlJc w:val="left"/>
      <w:pPr>
        <w:ind w:left="7696" w:hanging="551"/>
      </w:pPr>
      <w:rPr>
        <w:rFonts w:hint="default"/>
        <w:lang w:val="zh-CN" w:eastAsia="zh-CN" w:bidi="zh-CN"/>
      </w:rPr>
    </w:lvl>
    <w:lvl w:ilvl="8" w:tentative="1">
      <w:start w:val="0"/>
      <w:numFmt w:val="bullet"/>
      <w:lvlText w:val="•"/>
      <w:lvlJc w:val="left"/>
      <w:pPr>
        <w:ind w:left="8612" w:hanging="551"/>
      </w:pPr>
      <w:rPr>
        <w:rFonts w:hint="default"/>
        <w:lang w:val="zh-CN" w:eastAsia="zh-CN" w:bidi="zh-CN"/>
      </w:rPr>
    </w:lvl>
  </w:abstractNum>
  <w:abstractNum w:abstractNumId="2474097733">
    <w:nsid w:val="9377BC45"/>
    <w:multiLevelType w:val="multilevel"/>
    <w:tmpl w:val="9377BC45"/>
    <w:lvl w:ilvl="0" w:tentative="1">
      <w:start w:val="3"/>
      <w:numFmt w:val="decimal"/>
      <w:lvlText w:val="%1."/>
      <w:lvlJc w:val="left"/>
      <w:pPr>
        <w:ind w:left="953" w:hanging="222"/>
      </w:pPr>
      <w:rPr>
        <w:rFonts w:hint="default" w:ascii="宋体" w:hAnsi="宋体" w:eastAsia="宋体" w:cs="宋体"/>
        <w:spacing w:val="-1"/>
        <w:w w:val="100"/>
        <w:sz w:val="20"/>
        <w:szCs w:val="20"/>
        <w:lang w:val="zh-CN" w:eastAsia="zh-CN" w:bidi="zh-CN"/>
      </w:rPr>
    </w:lvl>
    <w:lvl w:ilvl="1" w:tentative="1">
      <w:start w:val="1"/>
      <w:numFmt w:val="decimal"/>
      <w:lvlText w:val="%1.%2"/>
      <w:lvlJc w:val="left"/>
      <w:pPr>
        <w:ind w:left="1540" w:hanging="384"/>
      </w:pPr>
      <w:rPr>
        <w:rFonts w:hint="default" w:ascii="宋体" w:hAnsi="宋体" w:eastAsia="宋体" w:cs="宋体"/>
        <w:spacing w:val="-3"/>
        <w:w w:val="100"/>
        <w:sz w:val="22"/>
        <w:szCs w:val="22"/>
        <w:lang w:val="zh-CN" w:eastAsia="zh-CN" w:bidi="zh-CN"/>
      </w:rPr>
    </w:lvl>
    <w:lvl w:ilvl="2" w:tentative="1">
      <w:start w:val="0"/>
      <w:numFmt w:val="bullet"/>
      <w:lvlText w:val="•"/>
      <w:lvlJc w:val="left"/>
      <w:pPr>
        <w:ind w:left="2529" w:hanging="384"/>
      </w:pPr>
      <w:rPr>
        <w:rFonts w:hint="default"/>
        <w:lang w:val="zh-CN" w:eastAsia="zh-CN" w:bidi="zh-CN"/>
      </w:rPr>
    </w:lvl>
    <w:lvl w:ilvl="3" w:tentative="1">
      <w:start w:val="0"/>
      <w:numFmt w:val="bullet"/>
      <w:lvlText w:val="•"/>
      <w:lvlJc w:val="left"/>
      <w:pPr>
        <w:ind w:left="3519" w:hanging="384"/>
      </w:pPr>
      <w:rPr>
        <w:rFonts w:hint="default"/>
        <w:lang w:val="zh-CN" w:eastAsia="zh-CN" w:bidi="zh-CN"/>
      </w:rPr>
    </w:lvl>
    <w:lvl w:ilvl="4" w:tentative="1">
      <w:start w:val="0"/>
      <w:numFmt w:val="bullet"/>
      <w:lvlText w:val="•"/>
      <w:lvlJc w:val="left"/>
      <w:pPr>
        <w:ind w:left="4508" w:hanging="384"/>
      </w:pPr>
      <w:rPr>
        <w:rFonts w:hint="default"/>
        <w:lang w:val="zh-CN" w:eastAsia="zh-CN" w:bidi="zh-CN"/>
      </w:rPr>
    </w:lvl>
    <w:lvl w:ilvl="5" w:tentative="1">
      <w:start w:val="0"/>
      <w:numFmt w:val="bullet"/>
      <w:lvlText w:val="•"/>
      <w:lvlJc w:val="left"/>
      <w:pPr>
        <w:ind w:left="5498" w:hanging="384"/>
      </w:pPr>
      <w:rPr>
        <w:rFonts w:hint="default"/>
        <w:lang w:val="zh-CN" w:eastAsia="zh-CN" w:bidi="zh-CN"/>
      </w:rPr>
    </w:lvl>
    <w:lvl w:ilvl="6" w:tentative="1">
      <w:start w:val="0"/>
      <w:numFmt w:val="bullet"/>
      <w:lvlText w:val="•"/>
      <w:lvlJc w:val="left"/>
      <w:pPr>
        <w:ind w:left="6487" w:hanging="384"/>
      </w:pPr>
      <w:rPr>
        <w:rFonts w:hint="default"/>
        <w:lang w:val="zh-CN" w:eastAsia="zh-CN" w:bidi="zh-CN"/>
      </w:rPr>
    </w:lvl>
    <w:lvl w:ilvl="7" w:tentative="1">
      <w:start w:val="0"/>
      <w:numFmt w:val="bullet"/>
      <w:lvlText w:val="•"/>
      <w:lvlJc w:val="left"/>
      <w:pPr>
        <w:ind w:left="7477" w:hanging="384"/>
      </w:pPr>
      <w:rPr>
        <w:rFonts w:hint="default"/>
        <w:lang w:val="zh-CN" w:eastAsia="zh-CN" w:bidi="zh-CN"/>
      </w:rPr>
    </w:lvl>
    <w:lvl w:ilvl="8" w:tentative="1">
      <w:start w:val="0"/>
      <w:numFmt w:val="bullet"/>
      <w:lvlText w:val="•"/>
      <w:lvlJc w:val="left"/>
      <w:pPr>
        <w:ind w:left="8466" w:hanging="384"/>
      </w:pPr>
      <w:rPr>
        <w:rFonts w:hint="default"/>
        <w:lang w:val="zh-CN" w:eastAsia="zh-CN" w:bidi="zh-CN"/>
      </w:rPr>
    </w:lvl>
  </w:abstractNum>
  <w:abstractNum w:abstractNumId="2676079097">
    <w:nsid w:val="9F81B9F9"/>
    <w:multiLevelType w:val="multilevel"/>
    <w:tmpl w:val="9F81B9F9"/>
    <w:lvl w:ilvl="0" w:tentative="1">
      <w:start w:val="15"/>
      <w:numFmt w:val="decimal"/>
      <w:lvlText w:val="%1"/>
      <w:lvlJc w:val="left"/>
      <w:pPr>
        <w:ind w:left="1225" w:hanging="495"/>
      </w:pPr>
      <w:rPr>
        <w:rFonts w:hint="default"/>
        <w:lang w:val="zh-CN" w:eastAsia="zh-CN" w:bidi="zh-CN"/>
      </w:rPr>
    </w:lvl>
    <w:lvl w:ilvl="1" w:tentative="1">
      <w:start w:val="1"/>
      <w:numFmt w:val="decimal"/>
      <w:lvlText w:val="%1.%2"/>
      <w:lvlJc w:val="left"/>
      <w:pPr>
        <w:ind w:left="1225" w:hanging="495"/>
      </w:pPr>
      <w:rPr>
        <w:rFonts w:hint="default" w:ascii="宋体" w:hAnsi="宋体" w:eastAsia="宋体" w:cs="宋体"/>
        <w:spacing w:val="-1"/>
        <w:w w:val="100"/>
        <w:sz w:val="22"/>
        <w:szCs w:val="22"/>
        <w:lang w:val="zh-CN" w:eastAsia="zh-CN" w:bidi="zh-CN"/>
      </w:rPr>
    </w:lvl>
    <w:lvl w:ilvl="2" w:tentative="1">
      <w:start w:val="1"/>
      <w:numFmt w:val="decimal"/>
      <w:lvlText w:val="%1.%2.%3"/>
      <w:lvlJc w:val="left"/>
      <w:pPr>
        <w:ind w:left="731" w:hanging="716"/>
      </w:pPr>
      <w:rPr>
        <w:rFonts w:hint="default" w:ascii="宋体" w:hAnsi="宋体" w:eastAsia="宋体" w:cs="宋体"/>
        <w:spacing w:val="-1"/>
        <w:w w:val="100"/>
        <w:sz w:val="22"/>
        <w:szCs w:val="22"/>
        <w:lang w:val="zh-CN" w:eastAsia="zh-CN" w:bidi="zh-CN"/>
      </w:rPr>
    </w:lvl>
    <w:lvl w:ilvl="3" w:tentative="1">
      <w:start w:val="0"/>
      <w:numFmt w:val="bullet"/>
      <w:lvlText w:val="•"/>
      <w:lvlJc w:val="left"/>
      <w:pPr>
        <w:ind w:left="3270" w:hanging="716"/>
      </w:pPr>
      <w:rPr>
        <w:rFonts w:hint="default"/>
        <w:lang w:val="zh-CN" w:eastAsia="zh-CN" w:bidi="zh-CN"/>
      </w:rPr>
    </w:lvl>
    <w:lvl w:ilvl="4" w:tentative="1">
      <w:start w:val="0"/>
      <w:numFmt w:val="bullet"/>
      <w:lvlText w:val="•"/>
      <w:lvlJc w:val="left"/>
      <w:pPr>
        <w:ind w:left="4295" w:hanging="716"/>
      </w:pPr>
      <w:rPr>
        <w:rFonts w:hint="default"/>
        <w:lang w:val="zh-CN" w:eastAsia="zh-CN" w:bidi="zh-CN"/>
      </w:rPr>
    </w:lvl>
    <w:lvl w:ilvl="5" w:tentative="1">
      <w:start w:val="0"/>
      <w:numFmt w:val="bullet"/>
      <w:lvlText w:val="•"/>
      <w:lvlJc w:val="left"/>
      <w:pPr>
        <w:ind w:left="5320" w:hanging="716"/>
      </w:pPr>
      <w:rPr>
        <w:rFonts w:hint="default"/>
        <w:lang w:val="zh-CN" w:eastAsia="zh-CN" w:bidi="zh-CN"/>
      </w:rPr>
    </w:lvl>
    <w:lvl w:ilvl="6" w:tentative="1">
      <w:start w:val="0"/>
      <w:numFmt w:val="bullet"/>
      <w:lvlText w:val="•"/>
      <w:lvlJc w:val="left"/>
      <w:pPr>
        <w:ind w:left="6345" w:hanging="716"/>
      </w:pPr>
      <w:rPr>
        <w:rFonts w:hint="default"/>
        <w:lang w:val="zh-CN" w:eastAsia="zh-CN" w:bidi="zh-CN"/>
      </w:rPr>
    </w:lvl>
    <w:lvl w:ilvl="7" w:tentative="1">
      <w:start w:val="0"/>
      <w:numFmt w:val="bullet"/>
      <w:lvlText w:val="•"/>
      <w:lvlJc w:val="left"/>
      <w:pPr>
        <w:ind w:left="7370" w:hanging="716"/>
      </w:pPr>
      <w:rPr>
        <w:rFonts w:hint="default"/>
        <w:lang w:val="zh-CN" w:eastAsia="zh-CN" w:bidi="zh-CN"/>
      </w:rPr>
    </w:lvl>
    <w:lvl w:ilvl="8" w:tentative="1">
      <w:start w:val="0"/>
      <w:numFmt w:val="bullet"/>
      <w:lvlText w:val="•"/>
      <w:lvlJc w:val="left"/>
      <w:pPr>
        <w:ind w:left="8395" w:hanging="716"/>
      </w:pPr>
      <w:rPr>
        <w:rFonts w:hint="default"/>
        <w:lang w:val="zh-CN" w:eastAsia="zh-CN" w:bidi="zh-CN"/>
      </w:rPr>
    </w:lvl>
  </w:abstractNum>
  <w:abstractNum w:abstractNumId="2444663959">
    <w:nsid w:val="91B69C97"/>
    <w:multiLevelType w:val="multilevel"/>
    <w:tmpl w:val="91B69C97"/>
    <w:lvl w:ilvl="0" w:tentative="1">
      <w:start w:val="5"/>
      <w:numFmt w:val="decimal"/>
      <w:lvlText w:val="%1"/>
      <w:lvlJc w:val="left"/>
      <w:pPr>
        <w:ind w:left="1537" w:hanging="384"/>
      </w:pPr>
      <w:rPr>
        <w:rFonts w:hint="default"/>
        <w:lang w:val="zh-CN" w:eastAsia="zh-CN" w:bidi="zh-CN"/>
      </w:rPr>
    </w:lvl>
    <w:lvl w:ilvl="1" w:tentative="1">
      <w:start w:val="1"/>
      <w:numFmt w:val="decimal"/>
      <w:lvlText w:val="%1.%2"/>
      <w:lvlJc w:val="left"/>
      <w:pPr>
        <w:ind w:left="1537" w:hanging="384"/>
      </w:pPr>
      <w:rPr>
        <w:rFonts w:hint="default" w:ascii="宋体" w:hAnsi="宋体" w:eastAsia="宋体" w:cs="宋体"/>
        <w:spacing w:val="-1"/>
        <w:w w:val="100"/>
        <w:sz w:val="22"/>
        <w:szCs w:val="22"/>
        <w:lang w:val="zh-CN" w:eastAsia="zh-CN" w:bidi="zh-CN"/>
      </w:rPr>
    </w:lvl>
    <w:lvl w:ilvl="2" w:tentative="1">
      <w:start w:val="1"/>
      <w:numFmt w:val="decimal"/>
      <w:lvlText w:val="%1.%2.%3"/>
      <w:lvlJc w:val="left"/>
      <w:pPr>
        <w:ind w:left="1758" w:hanging="605"/>
      </w:pPr>
      <w:rPr>
        <w:rFonts w:hint="default" w:ascii="宋体" w:hAnsi="宋体" w:eastAsia="宋体" w:cs="宋体"/>
        <w:spacing w:val="-1"/>
        <w:w w:val="100"/>
        <w:sz w:val="22"/>
        <w:szCs w:val="22"/>
        <w:lang w:val="zh-CN" w:eastAsia="zh-CN" w:bidi="zh-CN"/>
      </w:rPr>
    </w:lvl>
    <w:lvl w:ilvl="3" w:tentative="1">
      <w:start w:val="0"/>
      <w:numFmt w:val="bullet"/>
      <w:lvlText w:val="•"/>
      <w:lvlJc w:val="left"/>
      <w:pPr>
        <w:ind w:left="3690" w:hanging="605"/>
      </w:pPr>
      <w:rPr>
        <w:rFonts w:hint="default"/>
        <w:lang w:val="zh-CN" w:eastAsia="zh-CN" w:bidi="zh-CN"/>
      </w:rPr>
    </w:lvl>
    <w:lvl w:ilvl="4" w:tentative="1">
      <w:start w:val="0"/>
      <w:numFmt w:val="bullet"/>
      <w:lvlText w:val="•"/>
      <w:lvlJc w:val="left"/>
      <w:pPr>
        <w:ind w:left="4655" w:hanging="605"/>
      </w:pPr>
      <w:rPr>
        <w:rFonts w:hint="default"/>
        <w:lang w:val="zh-CN" w:eastAsia="zh-CN" w:bidi="zh-CN"/>
      </w:rPr>
    </w:lvl>
    <w:lvl w:ilvl="5" w:tentative="1">
      <w:start w:val="0"/>
      <w:numFmt w:val="bullet"/>
      <w:lvlText w:val="•"/>
      <w:lvlJc w:val="left"/>
      <w:pPr>
        <w:ind w:left="5620" w:hanging="605"/>
      </w:pPr>
      <w:rPr>
        <w:rFonts w:hint="default"/>
        <w:lang w:val="zh-CN" w:eastAsia="zh-CN" w:bidi="zh-CN"/>
      </w:rPr>
    </w:lvl>
    <w:lvl w:ilvl="6" w:tentative="1">
      <w:start w:val="0"/>
      <w:numFmt w:val="bullet"/>
      <w:lvlText w:val="•"/>
      <w:lvlJc w:val="left"/>
      <w:pPr>
        <w:ind w:left="6585" w:hanging="605"/>
      </w:pPr>
      <w:rPr>
        <w:rFonts w:hint="default"/>
        <w:lang w:val="zh-CN" w:eastAsia="zh-CN" w:bidi="zh-CN"/>
      </w:rPr>
    </w:lvl>
    <w:lvl w:ilvl="7" w:tentative="1">
      <w:start w:val="0"/>
      <w:numFmt w:val="bullet"/>
      <w:lvlText w:val="•"/>
      <w:lvlJc w:val="left"/>
      <w:pPr>
        <w:ind w:left="7550" w:hanging="605"/>
      </w:pPr>
      <w:rPr>
        <w:rFonts w:hint="default"/>
        <w:lang w:val="zh-CN" w:eastAsia="zh-CN" w:bidi="zh-CN"/>
      </w:rPr>
    </w:lvl>
    <w:lvl w:ilvl="8" w:tentative="1">
      <w:start w:val="0"/>
      <w:numFmt w:val="bullet"/>
      <w:lvlText w:val="•"/>
      <w:lvlJc w:val="left"/>
      <w:pPr>
        <w:ind w:left="8515" w:hanging="605"/>
      </w:pPr>
      <w:rPr>
        <w:rFonts w:hint="default"/>
        <w:lang w:val="zh-CN" w:eastAsia="zh-CN" w:bidi="zh-CN"/>
      </w:rPr>
    </w:lvl>
  </w:abstractNum>
  <w:abstractNum w:abstractNumId="2360258853">
    <w:nsid w:val="8CAEB125"/>
    <w:multiLevelType w:val="multilevel"/>
    <w:tmpl w:val="8CAEB125"/>
    <w:lvl w:ilvl="0" w:tentative="1">
      <w:start w:val="6"/>
      <w:numFmt w:val="decimal"/>
      <w:lvlText w:val="%1"/>
      <w:lvlJc w:val="left"/>
      <w:pPr>
        <w:ind w:left="1676" w:hanging="526"/>
      </w:pPr>
      <w:rPr>
        <w:rFonts w:hint="default"/>
        <w:lang w:val="zh-CN" w:eastAsia="zh-CN" w:bidi="zh-CN"/>
      </w:rPr>
    </w:lvl>
    <w:lvl w:ilvl="1" w:tentative="1">
      <w:start w:val="1"/>
      <w:numFmt w:val="decimal"/>
      <w:lvlText w:val="%1.%2"/>
      <w:lvlJc w:val="left"/>
      <w:pPr>
        <w:ind w:left="1676" w:hanging="526"/>
      </w:pPr>
      <w:rPr>
        <w:rFonts w:hint="default"/>
        <w:lang w:val="zh-CN" w:eastAsia="zh-CN" w:bidi="zh-CN"/>
      </w:rPr>
    </w:lvl>
    <w:lvl w:ilvl="2" w:tentative="1">
      <w:start w:val="4"/>
      <w:numFmt w:val="decimal"/>
      <w:lvlText w:val="%1.%2.%3"/>
      <w:lvlJc w:val="left"/>
      <w:pPr>
        <w:ind w:left="1676" w:hanging="526"/>
      </w:pPr>
      <w:rPr>
        <w:rFonts w:hint="default" w:ascii="Times New Roman" w:hAnsi="Times New Roman" w:eastAsia="Times New Roman" w:cs="Times New Roman"/>
        <w:spacing w:val="0"/>
        <w:w w:val="99"/>
        <w:sz w:val="21"/>
        <w:szCs w:val="21"/>
        <w:lang w:val="zh-CN" w:eastAsia="zh-CN" w:bidi="zh-CN"/>
      </w:rPr>
    </w:lvl>
    <w:lvl w:ilvl="3" w:tentative="1">
      <w:start w:val="0"/>
      <w:numFmt w:val="bullet"/>
      <w:lvlText w:val="•"/>
      <w:lvlJc w:val="left"/>
      <w:pPr>
        <w:ind w:left="4309" w:hanging="526"/>
      </w:pPr>
      <w:rPr>
        <w:rFonts w:hint="default"/>
        <w:lang w:val="zh-CN" w:eastAsia="zh-CN" w:bidi="zh-CN"/>
      </w:rPr>
    </w:lvl>
    <w:lvl w:ilvl="4" w:tentative="1">
      <w:start w:val="0"/>
      <w:numFmt w:val="bullet"/>
      <w:lvlText w:val="•"/>
      <w:lvlJc w:val="left"/>
      <w:pPr>
        <w:ind w:left="5186" w:hanging="526"/>
      </w:pPr>
      <w:rPr>
        <w:rFonts w:hint="default"/>
        <w:lang w:val="zh-CN" w:eastAsia="zh-CN" w:bidi="zh-CN"/>
      </w:rPr>
    </w:lvl>
    <w:lvl w:ilvl="5" w:tentative="1">
      <w:start w:val="0"/>
      <w:numFmt w:val="bullet"/>
      <w:lvlText w:val="•"/>
      <w:lvlJc w:val="left"/>
      <w:pPr>
        <w:ind w:left="6063" w:hanging="526"/>
      </w:pPr>
      <w:rPr>
        <w:rFonts w:hint="default"/>
        <w:lang w:val="zh-CN" w:eastAsia="zh-CN" w:bidi="zh-CN"/>
      </w:rPr>
    </w:lvl>
    <w:lvl w:ilvl="6" w:tentative="1">
      <w:start w:val="0"/>
      <w:numFmt w:val="bullet"/>
      <w:lvlText w:val="•"/>
      <w:lvlJc w:val="left"/>
      <w:pPr>
        <w:ind w:left="6939" w:hanging="526"/>
      </w:pPr>
      <w:rPr>
        <w:rFonts w:hint="default"/>
        <w:lang w:val="zh-CN" w:eastAsia="zh-CN" w:bidi="zh-CN"/>
      </w:rPr>
    </w:lvl>
    <w:lvl w:ilvl="7" w:tentative="1">
      <w:start w:val="0"/>
      <w:numFmt w:val="bullet"/>
      <w:lvlText w:val="•"/>
      <w:lvlJc w:val="left"/>
      <w:pPr>
        <w:ind w:left="7816" w:hanging="526"/>
      </w:pPr>
      <w:rPr>
        <w:rFonts w:hint="default"/>
        <w:lang w:val="zh-CN" w:eastAsia="zh-CN" w:bidi="zh-CN"/>
      </w:rPr>
    </w:lvl>
    <w:lvl w:ilvl="8" w:tentative="1">
      <w:start w:val="0"/>
      <w:numFmt w:val="bullet"/>
      <w:lvlText w:val="•"/>
      <w:lvlJc w:val="left"/>
      <w:pPr>
        <w:ind w:left="8692" w:hanging="526"/>
      </w:pPr>
      <w:rPr>
        <w:rFonts w:hint="default"/>
        <w:lang w:val="zh-CN" w:eastAsia="zh-CN" w:bidi="zh-CN"/>
      </w:rPr>
    </w:lvl>
  </w:abstractNum>
  <w:abstractNum w:abstractNumId="2442747215">
    <w:nsid w:val="91995D4F"/>
    <w:multiLevelType w:val="multilevel"/>
    <w:tmpl w:val="91995D4F"/>
    <w:lvl w:ilvl="0" w:tentative="1">
      <w:start w:val="2"/>
      <w:numFmt w:val="decimal"/>
      <w:lvlText w:val="%1"/>
      <w:lvlJc w:val="left"/>
      <w:pPr>
        <w:ind w:left="1518" w:hanging="368"/>
      </w:pPr>
      <w:rPr>
        <w:rFonts w:hint="default"/>
        <w:lang w:val="zh-CN" w:eastAsia="zh-CN" w:bidi="zh-CN"/>
      </w:rPr>
    </w:lvl>
    <w:lvl w:ilvl="1" w:tentative="1">
      <w:start w:val="4"/>
      <w:numFmt w:val="decimal"/>
      <w:lvlText w:val="%1.%2"/>
      <w:lvlJc w:val="left"/>
      <w:pPr>
        <w:ind w:left="1518" w:hanging="368"/>
      </w:pPr>
      <w:rPr>
        <w:rFonts w:hint="default" w:ascii="Times New Roman" w:hAnsi="Times New Roman" w:eastAsia="Times New Roman" w:cs="Times New Roman"/>
        <w:spacing w:val="0"/>
        <w:w w:val="99"/>
        <w:sz w:val="21"/>
        <w:szCs w:val="21"/>
        <w:lang w:val="zh-CN" w:eastAsia="zh-CN" w:bidi="zh-CN"/>
      </w:rPr>
    </w:lvl>
    <w:lvl w:ilvl="2" w:tentative="1">
      <w:start w:val="1"/>
      <w:numFmt w:val="decimal"/>
      <w:lvlText w:val="%1.%2.%3"/>
      <w:lvlJc w:val="left"/>
      <w:pPr>
        <w:ind w:left="1676" w:hanging="526"/>
      </w:pPr>
      <w:rPr>
        <w:rFonts w:hint="default" w:ascii="Times New Roman" w:hAnsi="Times New Roman" w:eastAsia="Times New Roman" w:cs="Times New Roman"/>
        <w:spacing w:val="0"/>
        <w:w w:val="99"/>
        <w:sz w:val="21"/>
        <w:szCs w:val="21"/>
        <w:lang w:val="zh-CN" w:eastAsia="zh-CN" w:bidi="zh-CN"/>
      </w:rPr>
    </w:lvl>
    <w:lvl w:ilvl="3" w:tentative="1">
      <w:start w:val="0"/>
      <w:numFmt w:val="bullet"/>
      <w:lvlText w:val="•"/>
      <w:lvlJc w:val="left"/>
      <w:pPr>
        <w:ind w:left="3628" w:hanging="526"/>
      </w:pPr>
      <w:rPr>
        <w:rFonts w:hint="default"/>
        <w:lang w:val="zh-CN" w:eastAsia="zh-CN" w:bidi="zh-CN"/>
      </w:rPr>
    </w:lvl>
    <w:lvl w:ilvl="4" w:tentative="1">
      <w:start w:val="0"/>
      <w:numFmt w:val="bullet"/>
      <w:lvlText w:val="•"/>
      <w:lvlJc w:val="left"/>
      <w:pPr>
        <w:ind w:left="4602" w:hanging="526"/>
      </w:pPr>
      <w:rPr>
        <w:rFonts w:hint="default"/>
        <w:lang w:val="zh-CN" w:eastAsia="zh-CN" w:bidi="zh-CN"/>
      </w:rPr>
    </w:lvl>
    <w:lvl w:ilvl="5" w:tentative="1">
      <w:start w:val="0"/>
      <w:numFmt w:val="bullet"/>
      <w:lvlText w:val="•"/>
      <w:lvlJc w:val="left"/>
      <w:pPr>
        <w:ind w:left="5576" w:hanging="526"/>
      </w:pPr>
      <w:rPr>
        <w:rFonts w:hint="default"/>
        <w:lang w:val="zh-CN" w:eastAsia="zh-CN" w:bidi="zh-CN"/>
      </w:rPr>
    </w:lvl>
    <w:lvl w:ilvl="6" w:tentative="1">
      <w:start w:val="0"/>
      <w:numFmt w:val="bullet"/>
      <w:lvlText w:val="•"/>
      <w:lvlJc w:val="left"/>
      <w:pPr>
        <w:ind w:left="6550" w:hanging="526"/>
      </w:pPr>
      <w:rPr>
        <w:rFonts w:hint="default"/>
        <w:lang w:val="zh-CN" w:eastAsia="zh-CN" w:bidi="zh-CN"/>
      </w:rPr>
    </w:lvl>
    <w:lvl w:ilvl="7" w:tentative="1">
      <w:start w:val="0"/>
      <w:numFmt w:val="bullet"/>
      <w:lvlText w:val="•"/>
      <w:lvlJc w:val="left"/>
      <w:pPr>
        <w:ind w:left="7524" w:hanging="526"/>
      </w:pPr>
      <w:rPr>
        <w:rFonts w:hint="default"/>
        <w:lang w:val="zh-CN" w:eastAsia="zh-CN" w:bidi="zh-CN"/>
      </w:rPr>
    </w:lvl>
    <w:lvl w:ilvl="8" w:tentative="1">
      <w:start w:val="0"/>
      <w:numFmt w:val="bullet"/>
      <w:lvlText w:val="•"/>
      <w:lvlJc w:val="left"/>
      <w:pPr>
        <w:ind w:left="8498" w:hanging="526"/>
      </w:pPr>
      <w:rPr>
        <w:rFonts w:hint="default"/>
        <w:lang w:val="zh-CN" w:eastAsia="zh-CN" w:bidi="zh-CN"/>
      </w:rPr>
    </w:lvl>
  </w:abstractNum>
  <w:abstractNum w:abstractNumId="1276882470">
    <w:nsid w:val="4C1BAE26"/>
    <w:multiLevelType w:val="multilevel"/>
    <w:tmpl w:val="4C1BAE26"/>
    <w:lvl w:ilvl="0" w:tentative="1">
      <w:start w:val="1"/>
      <w:numFmt w:val="decimal"/>
      <w:lvlText w:val="（%1）"/>
      <w:lvlJc w:val="left"/>
      <w:pPr>
        <w:ind w:left="1386" w:hanging="663"/>
      </w:pPr>
      <w:rPr>
        <w:rFonts w:hint="default" w:ascii="宋体" w:hAnsi="宋体" w:eastAsia="宋体" w:cs="宋体"/>
        <w:b/>
        <w:bCs/>
        <w:spacing w:val="-3"/>
        <w:w w:val="99"/>
        <w:sz w:val="22"/>
        <w:szCs w:val="22"/>
        <w:lang w:val="zh-CN" w:eastAsia="zh-CN" w:bidi="zh-CN"/>
      </w:rPr>
    </w:lvl>
    <w:lvl w:ilvl="1" w:tentative="1">
      <w:start w:val="0"/>
      <w:numFmt w:val="bullet"/>
      <w:lvlText w:val="•"/>
      <w:lvlJc w:val="left"/>
      <w:pPr>
        <w:ind w:left="2286" w:hanging="663"/>
      </w:pPr>
      <w:rPr>
        <w:rFonts w:hint="default"/>
        <w:lang w:val="zh-CN" w:eastAsia="zh-CN" w:bidi="zh-CN"/>
      </w:rPr>
    </w:lvl>
    <w:lvl w:ilvl="2" w:tentative="1">
      <w:start w:val="0"/>
      <w:numFmt w:val="bullet"/>
      <w:lvlText w:val="•"/>
      <w:lvlJc w:val="left"/>
      <w:pPr>
        <w:ind w:left="3193" w:hanging="663"/>
      </w:pPr>
      <w:rPr>
        <w:rFonts w:hint="default"/>
        <w:lang w:val="zh-CN" w:eastAsia="zh-CN" w:bidi="zh-CN"/>
      </w:rPr>
    </w:lvl>
    <w:lvl w:ilvl="3" w:tentative="1">
      <w:start w:val="0"/>
      <w:numFmt w:val="bullet"/>
      <w:lvlText w:val="•"/>
      <w:lvlJc w:val="left"/>
      <w:pPr>
        <w:ind w:left="4099" w:hanging="663"/>
      </w:pPr>
      <w:rPr>
        <w:rFonts w:hint="default"/>
        <w:lang w:val="zh-CN" w:eastAsia="zh-CN" w:bidi="zh-CN"/>
      </w:rPr>
    </w:lvl>
    <w:lvl w:ilvl="4" w:tentative="1">
      <w:start w:val="0"/>
      <w:numFmt w:val="bullet"/>
      <w:lvlText w:val="•"/>
      <w:lvlJc w:val="left"/>
      <w:pPr>
        <w:ind w:left="5006" w:hanging="663"/>
      </w:pPr>
      <w:rPr>
        <w:rFonts w:hint="default"/>
        <w:lang w:val="zh-CN" w:eastAsia="zh-CN" w:bidi="zh-CN"/>
      </w:rPr>
    </w:lvl>
    <w:lvl w:ilvl="5" w:tentative="1">
      <w:start w:val="0"/>
      <w:numFmt w:val="bullet"/>
      <w:lvlText w:val="•"/>
      <w:lvlJc w:val="left"/>
      <w:pPr>
        <w:ind w:left="5913" w:hanging="663"/>
      </w:pPr>
      <w:rPr>
        <w:rFonts w:hint="default"/>
        <w:lang w:val="zh-CN" w:eastAsia="zh-CN" w:bidi="zh-CN"/>
      </w:rPr>
    </w:lvl>
    <w:lvl w:ilvl="6" w:tentative="1">
      <w:start w:val="0"/>
      <w:numFmt w:val="bullet"/>
      <w:lvlText w:val="•"/>
      <w:lvlJc w:val="left"/>
      <w:pPr>
        <w:ind w:left="6819" w:hanging="663"/>
      </w:pPr>
      <w:rPr>
        <w:rFonts w:hint="default"/>
        <w:lang w:val="zh-CN" w:eastAsia="zh-CN" w:bidi="zh-CN"/>
      </w:rPr>
    </w:lvl>
    <w:lvl w:ilvl="7" w:tentative="1">
      <w:start w:val="0"/>
      <w:numFmt w:val="bullet"/>
      <w:lvlText w:val="•"/>
      <w:lvlJc w:val="left"/>
      <w:pPr>
        <w:ind w:left="7726" w:hanging="663"/>
      </w:pPr>
      <w:rPr>
        <w:rFonts w:hint="default"/>
        <w:lang w:val="zh-CN" w:eastAsia="zh-CN" w:bidi="zh-CN"/>
      </w:rPr>
    </w:lvl>
    <w:lvl w:ilvl="8" w:tentative="1">
      <w:start w:val="0"/>
      <w:numFmt w:val="bullet"/>
      <w:lvlText w:val="•"/>
      <w:lvlJc w:val="left"/>
      <w:pPr>
        <w:ind w:left="8632" w:hanging="663"/>
      </w:pPr>
      <w:rPr>
        <w:rFonts w:hint="default"/>
        <w:lang w:val="zh-CN" w:eastAsia="zh-CN" w:bidi="zh-CN"/>
      </w:rPr>
    </w:lvl>
  </w:abstractNum>
  <w:abstractNum w:abstractNumId="2640147600">
    <w:nsid w:val="9D5D7490"/>
    <w:multiLevelType w:val="multilevel"/>
    <w:tmpl w:val="9D5D7490"/>
    <w:lvl w:ilvl="0" w:tentative="1">
      <w:start w:val="1"/>
      <w:numFmt w:val="decimal"/>
      <w:lvlText w:val="（%1）"/>
      <w:lvlJc w:val="left"/>
      <w:pPr>
        <w:ind w:left="1211" w:hanging="551"/>
      </w:pPr>
      <w:rPr>
        <w:rFonts w:hint="default" w:ascii="宋体" w:hAnsi="宋体" w:eastAsia="宋体" w:cs="宋体"/>
        <w:spacing w:val="-3"/>
        <w:w w:val="100"/>
        <w:sz w:val="20"/>
        <w:szCs w:val="20"/>
        <w:lang w:val="zh-CN" w:eastAsia="zh-CN" w:bidi="zh-CN"/>
      </w:rPr>
    </w:lvl>
    <w:lvl w:ilvl="1" w:tentative="1">
      <w:start w:val="0"/>
      <w:numFmt w:val="bullet"/>
      <w:lvlText w:val="•"/>
      <w:lvlJc w:val="left"/>
      <w:pPr>
        <w:ind w:left="2574" w:hanging="551"/>
      </w:pPr>
      <w:rPr>
        <w:rFonts w:hint="default"/>
        <w:lang w:val="zh-CN" w:eastAsia="zh-CN" w:bidi="zh-CN"/>
      </w:rPr>
    </w:lvl>
    <w:lvl w:ilvl="2" w:tentative="1">
      <w:start w:val="0"/>
      <w:numFmt w:val="bullet"/>
      <w:lvlText w:val="•"/>
      <w:lvlJc w:val="left"/>
      <w:pPr>
        <w:ind w:left="3449" w:hanging="551"/>
      </w:pPr>
      <w:rPr>
        <w:rFonts w:hint="default"/>
        <w:lang w:val="zh-CN" w:eastAsia="zh-CN" w:bidi="zh-CN"/>
      </w:rPr>
    </w:lvl>
    <w:lvl w:ilvl="3" w:tentative="1">
      <w:start w:val="0"/>
      <w:numFmt w:val="bullet"/>
      <w:lvlText w:val="•"/>
      <w:lvlJc w:val="left"/>
      <w:pPr>
        <w:ind w:left="4323" w:hanging="551"/>
      </w:pPr>
      <w:rPr>
        <w:rFonts w:hint="default"/>
        <w:lang w:val="zh-CN" w:eastAsia="zh-CN" w:bidi="zh-CN"/>
      </w:rPr>
    </w:lvl>
    <w:lvl w:ilvl="4" w:tentative="1">
      <w:start w:val="0"/>
      <w:numFmt w:val="bullet"/>
      <w:lvlText w:val="•"/>
      <w:lvlJc w:val="left"/>
      <w:pPr>
        <w:ind w:left="5198" w:hanging="551"/>
      </w:pPr>
      <w:rPr>
        <w:rFonts w:hint="default"/>
        <w:lang w:val="zh-CN" w:eastAsia="zh-CN" w:bidi="zh-CN"/>
      </w:rPr>
    </w:lvl>
    <w:lvl w:ilvl="5" w:tentative="1">
      <w:start w:val="0"/>
      <w:numFmt w:val="bullet"/>
      <w:lvlText w:val="•"/>
      <w:lvlJc w:val="left"/>
      <w:pPr>
        <w:ind w:left="6073" w:hanging="551"/>
      </w:pPr>
      <w:rPr>
        <w:rFonts w:hint="default"/>
        <w:lang w:val="zh-CN" w:eastAsia="zh-CN" w:bidi="zh-CN"/>
      </w:rPr>
    </w:lvl>
    <w:lvl w:ilvl="6" w:tentative="1">
      <w:start w:val="0"/>
      <w:numFmt w:val="bullet"/>
      <w:lvlText w:val="•"/>
      <w:lvlJc w:val="left"/>
      <w:pPr>
        <w:ind w:left="6947" w:hanging="551"/>
      </w:pPr>
      <w:rPr>
        <w:rFonts w:hint="default"/>
        <w:lang w:val="zh-CN" w:eastAsia="zh-CN" w:bidi="zh-CN"/>
      </w:rPr>
    </w:lvl>
    <w:lvl w:ilvl="7" w:tentative="1">
      <w:start w:val="0"/>
      <w:numFmt w:val="bullet"/>
      <w:lvlText w:val="•"/>
      <w:lvlJc w:val="left"/>
      <w:pPr>
        <w:ind w:left="7822" w:hanging="551"/>
      </w:pPr>
      <w:rPr>
        <w:rFonts w:hint="default"/>
        <w:lang w:val="zh-CN" w:eastAsia="zh-CN" w:bidi="zh-CN"/>
      </w:rPr>
    </w:lvl>
    <w:lvl w:ilvl="8" w:tentative="1">
      <w:start w:val="0"/>
      <w:numFmt w:val="bullet"/>
      <w:lvlText w:val="•"/>
      <w:lvlJc w:val="left"/>
      <w:pPr>
        <w:ind w:left="8696" w:hanging="551"/>
      </w:pPr>
      <w:rPr>
        <w:rFonts w:hint="default"/>
        <w:lang w:val="zh-CN" w:eastAsia="zh-CN" w:bidi="zh-CN"/>
      </w:rPr>
    </w:lvl>
  </w:abstractNum>
  <w:abstractNum w:abstractNumId="2220577650">
    <w:nsid w:val="845B5372"/>
    <w:multiLevelType w:val="multilevel"/>
    <w:tmpl w:val="845B5372"/>
    <w:lvl w:ilvl="0" w:tentative="1">
      <w:start w:val="3"/>
      <w:numFmt w:val="decimal"/>
      <w:lvlText w:val="%1"/>
      <w:lvlJc w:val="left"/>
      <w:pPr>
        <w:ind w:left="731" w:hanging="526"/>
      </w:pPr>
      <w:rPr>
        <w:rFonts w:hint="default"/>
        <w:lang w:val="zh-CN" w:eastAsia="zh-CN" w:bidi="zh-CN"/>
      </w:rPr>
    </w:lvl>
    <w:lvl w:ilvl="1" w:tentative="1">
      <w:start w:val="3"/>
      <w:numFmt w:val="decimal"/>
      <w:lvlText w:val="%1.%2"/>
      <w:lvlJc w:val="left"/>
      <w:pPr>
        <w:ind w:left="731" w:hanging="526"/>
      </w:pPr>
      <w:rPr>
        <w:rFonts w:hint="default"/>
        <w:lang w:val="zh-CN" w:eastAsia="zh-CN" w:bidi="zh-CN"/>
      </w:rPr>
    </w:lvl>
    <w:lvl w:ilvl="2" w:tentative="1">
      <w:start w:val="3"/>
      <w:numFmt w:val="decimal"/>
      <w:lvlText w:val="%1.%2.%3"/>
      <w:lvlJc w:val="left"/>
      <w:pPr>
        <w:ind w:left="731" w:hanging="526"/>
      </w:pPr>
      <w:rPr>
        <w:rFonts w:hint="default" w:ascii="Times New Roman" w:hAnsi="Times New Roman" w:eastAsia="Times New Roman" w:cs="Times New Roman"/>
        <w:spacing w:val="0"/>
        <w:w w:val="99"/>
        <w:sz w:val="21"/>
        <w:szCs w:val="21"/>
        <w:lang w:val="zh-CN" w:eastAsia="zh-CN" w:bidi="zh-CN"/>
      </w:rPr>
    </w:lvl>
    <w:lvl w:ilvl="3" w:tentative="1">
      <w:start w:val="0"/>
      <w:numFmt w:val="bullet"/>
      <w:lvlText w:val="•"/>
      <w:lvlJc w:val="left"/>
      <w:pPr>
        <w:ind w:left="3651" w:hanging="526"/>
      </w:pPr>
      <w:rPr>
        <w:rFonts w:hint="default"/>
        <w:lang w:val="zh-CN" w:eastAsia="zh-CN" w:bidi="zh-CN"/>
      </w:rPr>
    </w:lvl>
    <w:lvl w:ilvl="4" w:tentative="1">
      <w:start w:val="0"/>
      <w:numFmt w:val="bullet"/>
      <w:lvlText w:val="•"/>
      <w:lvlJc w:val="left"/>
      <w:pPr>
        <w:ind w:left="4622" w:hanging="526"/>
      </w:pPr>
      <w:rPr>
        <w:rFonts w:hint="default"/>
        <w:lang w:val="zh-CN" w:eastAsia="zh-CN" w:bidi="zh-CN"/>
      </w:rPr>
    </w:lvl>
    <w:lvl w:ilvl="5" w:tentative="1">
      <w:start w:val="0"/>
      <w:numFmt w:val="bullet"/>
      <w:lvlText w:val="•"/>
      <w:lvlJc w:val="left"/>
      <w:pPr>
        <w:ind w:left="5593" w:hanging="526"/>
      </w:pPr>
      <w:rPr>
        <w:rFonts w:hint="default"/>
        <w:lang w:val="zh-CN" w:eastAsia="zh-CN" w:bidi="zh-CN"/>
      </w:rPr>
    </w:lvl>
    <w:lvl w:ilvl="6" w:tentative="1">
      <w:start w:val="0"/>
      <w:numFmt w:val="bullet"/>
      <w:lvlText w:val="•"/>
      <w:lvlJc w:val="left"/>
      <w:pPr>
        <w:ind w:left="6563" w:hanging="526"/>
      </w:pPr>
      <w:rPr>
        <w:rFonts w:hint="default"/>
        <w:lang w:val="zh-CN" w:eastAsia="zh-CN" w:bidi="zh-CN"/>
      </w:rPr>
    </w:lvl>
    <w:lvl w:ilvl="7" w:tentative="1">
      <w:start w:val="0"/>
      <w:numFmt w:val="bullet"/>
      <w:lvlText w:val="•"/>
      <w:lvlJc w:val="left"/>
      <w:pPr>
        <w:ind w:left="7534" w:hanging="526"/>
      </w:pPr>
      <w:rPr>
        <w:rFonts w:hint="default"/>
        <w:lang w:val="zh-CN" w:eastAsia="zh-CN" w:bidi="zh-CN"/>
      </w:rPr>
    </w:lvl>
    <w:lvl w:ilvl="8" w:tentative="1">
      <w:start w:val="0"/>
      <w:numFmt w:val="bullet"/>
      <w:lvlText w:val="•"/>
      <w:lvlJc w:val="left"/>
      <w:pPr>
        <w:ind w:left="8504" w:hanging="526"/>
      </w:pPr>
      <w:rPr>
        <w:rFonts w:hint="default"/>
        <w:lang w:val="zh-CN" w:eastAsia="zh-CN" w:bidi="zh-CN"/>
      </w:rPr>
    </w:lvl>
  </w:abstractNum>
  <w:abstractNum w:abstractNumId="2285581929">
    <w:nsid w:val="883B3669"/>
    <w:multiLevelType w:val="multilevel"/>
    <w:tmpl w:val="883B3669"/>
    <w:lvl w:ilvl="0" w:tentative="1">
      <w:start w:val="1"/>
      <w:numFmt w:val="decimal"/>
      <w:lvlText w:val="%1)"/>
      <w:lvlJc w:val="left"/>
      <w:pPr>
        <w:ind w:left="1392" w:hanging="222"/>
      </w:pPr>
      <w:rPr>
        <w:rFonts w:hint="default" w:ascii="宋体" w:hAnsi="宋体" w:eastAsia="宋体" w:cs="宋体"/>
        <w:spacing w:val="-1"/>
        <w:w w:val="100"/>
        <w:sz w:val="20"/>
        <w:szCs w:val="20"/>
        <w:lang w:val="zh-CN" w:eastAsia="zh-CN" w:bidi="zh-CN"/>
      </w:rPr>
    </w:lvl>
    <w:lvl w:ilvl="1" w:tentative="1">
      <w:start w:val="0"/>
      <w:numFmt w:val="bullet"/>
      <w:lvlText w:val="•"/>
      <w:lvlJc w:val="left"/>
      <w:pPr>
        <w:ind w:left="2304" w:hanging="222"/>
      </w:pPr>
      <w:rPr>
        <w:rFonts w:hint="default"/>
        <w:lang w:val="zh-CN" w:eastAsia="zh-CN" w:bidi="zh-CN"/>
      </w:rPr>
    </w:lvl>
    <w:lvl w:ilvl="2" w:tentative="1">
      <w:start w:val="0"/>
      <w:numFmt w:val="bullet"/>
      <w:lvlText w:val="•"/>
      <w:lvlJc w:val="left"/>
      <w:pPr>
        <w:ind w:left="3209" w:hanging="222"/>
      </w:pPr>
      <w:rPr>
        <w:rFonts w:hint="default"/>
        <w:lang w:val="zh-CN" w:eastAsia="zh-CN" w:bidi="zh-CN"/>
      </w:rPr>
    </w:lvl>
    <w:lvl w:ilvl="3" w:tentative="1">
      <w:start w:val="0"/>
      <w:numFmt w:val="bullet"/>
      <w:lvlText w:val="•"/>
      <w:lvlJc w:val="left"/>
      <w:pPr>
        <w:ind w:left="4113" w:hanging="222"/>
      </w:pPr>
      <w:rPr>
        <w:rFonts w:hint="default"/>
        <w:lang w:val="zh-CN" w:eastAsia="zh-CN" w:bidi="zh-CN"/>
      </w:rPr>
    </w:lvl>
    <w:lvl w:ilvl="4" w:tentative="1">
      <w:start w:val="0"/>
      <w:numFmt w:val="bullet"/>
      <w:lvlText w:val="•"/>
      <w:lvlJc w:val="left"/>
      <w:pPr>
        <w:ind w:left="5018" w:hanging="222"/>
      </w:pPr>
      <w:rPr>
        <w:rFonts w:hint="default"/>
        <w:lang w:val="zh-CN" w:eastAsia="zh-CN" w:bidi="zh-CN"/>
      </w:rPr>
    </w:lvl>
    <w:lvl w:ilvl="5" w:tentative="1">
      <w:start w:val="0"/>
      <w:numFmt w:val="bullet"/>
      <w:lvlText w:val="•"/>
      <w:lvlJc w:val="left"/>
      <w:pPr>
        <w:ind w:left="5923" w:hanging="222"/>
      </w:pPr>
      <w:rPr>
        <w:rFonts w:hint="default"/>
        <w:lang w:val="zh-CN" w:eastAsia="zh-CN" w:bidi="zh-CN"/>
      </w:rPr>
    </w:lvl>
    <w:lvl w:ilvl="6" w:tentative="1">
      <w:start w:val="0"/>
      <w:numFmt w:val="bullet"/>
      <w:lvlText w:val="•"/>
      <w:lvlJc w:val="left"/>
      <w:pPr>
        <w:ind w:left="6827" w:hanging="222"/>
      </w:pPr>
      <w:rPr>
        <w:rFonts w:hint="default"/>
        <w:lang w:val="zh-CN" w:eastAsia="zh-CN" w:bidi="zh-CN"/>
      </w:rPr>
    </w:lvl>
    <w:lvl w:ilvl="7" w:tentative="1">
      <w:start w:val="0"/>
      <w:numFmt w:val="bullet"/>
      <w:lvlText w:val="•"/>
      <w:lvlJc w:val="left"/>
      <w:pPr>
        <w:ind w:left="7732" w:hanging="222"/>
      </w:pPr>
      <w:rPr>
        <w:rFonts w:hint="default"/>
        <w:lang w:val="zh-CN" w:eastAsia="zh-CN" w:bidi="zh-CN"/>
      </w:rPr>
    </w:lvl>
    <w:lvl w:ilvl="8" w:tentative="1">
      <w:start w:val="0"/>
      <w:numFmt w:val="bullet"/>
      <w:lvlText w:val="•"/>
      <w:lvlJc w:val="left"/>
      <w:pPr>
        <w:ind w:left="8636" w:hanging="222"/>
      </w:pPr>
      <w:rPr>
        <w:rFonts w:hint="default"/>
        <w:lang w:val="zh-CN" w:eastAsia="zh-CN" w:bidi="zh-CN"/>
      </w:rPr>
    </w:lvl>
  </w:abstractNum>
  <w:abstractNum w:abstractNumId="2458433794">
    <w:nsid w:val="9288B902"/>
    <w:multiLevelType w:val="multilevel"/>
    <w:tmpl w:val="9288B902"/>
    <w:lvl w:ilvl="0" w:tentative="1">
      <w:start w:val="3"/>
      <w:numFmt w:val="decimal"/>
      <w:lvlText w:val="%1"/>
      <w:lvlJc w:val="left"/>
      <w:pPr>
        <w:ind w:left="332" w:hanging="368"/>
      </w:pPr>
      <w:rPr>
        <w:rFonts w:hint="default"/>
        <w:lang w:val="zh-CN" w:eastAsia="zh-CN" w:bidi="zh-CN"/>
      </w:rPr>
    </w:lvl>
    <w:lvl w:ilvl="1" w:tentative="1">
      <w:start w:val="1"/>
      <w:numFmt w:val="decimal"/>
      <w:lvlText w:val="%1.%2"/>
      <w:lvlJc w:val="left"/>
      <w:pPr>
        <w:ind w:left="332" w:hanging="368"/>
      </w:pPr>
      <w:rPr>
        <w:rFonts w:hint="default" w:ascii="宋体" w:hAnsi="宋体" w:eastAsia="宋体" w:cs="宋体"/>
        <w:spacing w:val="0"/>
        <w:w w:val="99"/>
        <w:sz w:val="21"/>
        <w:szCs w:val="21"/>
        <w:lang w:val="zh-CN" w:eastAsia="zh-CN" w:bidi="zh-CN"/>
      </w:rPr>
    </w:lvl>
    <w:lvl w:ilvl="2" w:tentative="1">
      <w:start w:val="1"/>
      <w:numFmt w:val="decimal"/>
      <w:lvlText w:val="%3."/>
      <w:lvlJc w:val="left"/>
      <w:pPr>
        <w:ind w:left="1437" w:hanging="159"/>
      </w:pPr>
      <w:rPr>
        <w:rFonts w:hint="default" w:ascii="Times New Roman" w:hAnsi="Times New Roman" w:eastAsia="Times New Roman" w:cs="Times New Roman"/>
        <w:spacing w:val="0"/>
        <w:w w:val="99"/>
        <w:sz w:val="19"/>
        <w:szCs w:val="19"/>
        <w:lang w:val="zh-CN" w:eastAsia="zh-CN" w:bidi="zh-CN"/>
      </w:rPr>
    </w:lvl>
    <w:lvl w:ilvl="3" w:tentative="1">
      <w:start w:val="0"/>
      <w:numFmt w:val="bullet"/>
      <w:lvlText w:val="•"/>
      <w:lvlJc w:val="left"/>
      <w:pPr>
        <w:ind w:left="3441" w:hanging="159"/>
      </w:pPr>
      <w:rPr>
        <w:rFonts w:hint="default"/>
        <w:lang w:val="zh-CN" w:eastAsia="zh-CN" w:bidi="zh-CN"/>
      </w:rPr>
    </w:lvl>
    <w:lvl w:ilvl="4" w:tentative="1">
      <w:start w:val="0"/>
      <w:numFmt w:val="bullet"/>
      <w:lvlText w:val="•"/>
      <w:lvlJc w:val="left"/>
      <w:pPr>
        <w:ind w:left="4442" w:hanging="159"/>
      </w:pPr>
      <w:rPr>
        <w:rFonts w:hint="default"/>
        <w:lang w:val="zh-CN" w:eastAsia="zh-CN" w:bidi="zh-CN"/>
      </w:rPr>
    </w:lvl>
    <w:lvl w:ilvl="5" w:tentative="1">
      <w:start w:val="0"/>
      <w:numFmt w:val="bullet"/>
      <w:lvlText w:val="•"/>
      <w:lvlJc w:val="left"/>
      <w:pPr>
        <w:ind w:left="5442" w:hanging="159"/>
      </w:pPr>
      <w:rPr>
        <w:rFonts w:hint="default"/>
        <w:lang w:val="zh-CN" w:eastAsia="zh-CN" w:bidi="zh-CN"/>
      </w:rPr>
    </w:lvl>
    <w:lvl w:ilvl="6" w:tentative="1">
      <w:start w:val="0"/>
      <w:numFmt w:val="bullet"/>
      <w:lvlText w:val="•"/>
      <w:lvlJc w:val="left"/>
      <w:pPr>
        <w:ind w:left="6443" w:hanging="159"/>
      </w:pPr>
      <w:rPr>
        <w:rFonts w:hint="default"/>
        <w:lang w:val="zh-CN" w:eastAsia="zh-CN" w:bidi="zh-CN"/>
      </w:rPr>
    </w:lvl>
    <w:lvl w:ilvl="7" w:tentative="1">
      <w:start w:val="0"/>
      <w:numFmt w:val="bullet"/>
      <w:lvlText w:val="•"/>
      <w:lvlJc w:val="left"/>
      <w:pPr>
        <w:ind w:left="7444" w:hanging="159"/>
      </w:pPr>
      <w:rPr>
        <w:rFonts w:hint="default"/>
        <w:lang w:val="zh-CN" w:eastAsia="zh-CN" w:bidi="zh-CN"/>
      </w:rPr>
    </w:lvl>
    <w:lvl w:ilvl="8" w:tentative="1">
      <w:start w:val="0"/>
      <w:numFmt w:val="bullet"/>
      <w:lvlText w:val="•"/>
      <w:lvlJc w:val="left"/>
      <w:pPr>
        <w:ind w:left="8444" w:hanging="159"/>
      </w:pPr>
      <w:rPr>
        <w:rFonts w:hint="default"/>
        <w:lang w:val="zh-CN" w:eastAsia="zh-CN" w:bidi="zh-CN"/>
      </w:rPr>
    </w:lvl>
  </w:abstractNum>
  <w:abstractNum w:abstractNumId="2618419588">
    <w:nsid w:val="9C11E984"/>
    <w:multiLevelType w:val="multilevel"/>
    <w:tmpl w:val="9C11E984"/>
    <w:lvl w:ilvl="0" w:tentative="1">
      <w:start w:val="1"/>
      <w:numFmt w:val="decimal"/>
      <w:lvlText w:val="(%1)"/>
      <w:lvlJc w:val="left"/>
      <w:pPr>
        <w:ind w:left="731" w:hanging="333"/>
      </w:pPr>
      <w:rPr>
        <w:rFonts w:hint="default" w:ascii="宋体" w:hAnsi="宋体" w:eastAsia="宋体" w:cs="宋体"/>
        <w:spacing w:val="-3"/>
        <w:w w:val="100"/>
        <w:sz w:val="20"/>
        <w:szCs w:val="20"/>
        <w:lang w:val="zh-CN" w:eastAsia="zh-CN" w:bidi="zh-CN"/>
      </w:rPr>
    </w:lvl>
    <w:lvl w:ilvl="1" w:tentative="1">
      <w:start w:val="0"/>
      <w:numFmt w:val="bullet"/>
      <w:lvlText w:val="•"/>
      <w:lvlJc w:val="left"/>
      <w:pPr>
        <w:ind w:left="1710" w:hanging="333"/>
      </w:pPr>
      <w:rPr>
        <w:rFonts w:hint="default"/>
        <w:lang w:val="zh-CN" w:eastAsia="zh-CN" w:bidi="zh-CN"/>
      </w:rPr>
    </w:lvl>
    <w:lvl w:ilvl="2" w:tentative="1">
      <w:start w:val="0"/>
      <w:numFmt w:val="bullet"/>
      <w:lvlText w:val="•"/>
      <w:lvlJc w:val="left"/>
      <w:pPr>
        <w:ind w:left="2681" w:hanging="333"/>
      </w:pPr>
      <w:rPr>
        <w:rFonts w:hint="default"/>
        <w:lang w:val="zh-CN" w:eastAsia="zh-CN" w:bidi="zh-CN"/>
      </w:rPr>
    </w:lvl>
    <w:lvl w:ilvl="3" w:tentative="1">
      <w:start w:val="0"/>
      <w:numFmt w:val="bullet"/>
      <w:lvlText w:val="•"/>
      <w:lvlJc w:val="left"/>
      <w:pPr>
        <w:ind w:left="3651" w:hanging="333"/>
      </w:pPr>
      <w:rPr>
        <w:rFonts w:hint="default"/>
        <w:lang w:val="zh-CN" w:eastAsia="zh-CN" w:bidi="zh-CN"/>
      </w:rPr>
    </w:lvl>
    <w:lvl w:ilvl="4" w:tentative="1">
      <w:start w:val="0"/>
      <w:numFmt w:val="bullet"/>
      <w:lvlText w:val="•"/>
      <w:lvlJc w:val="left"/>
      <w:pPr>
        <w:ind w:left="4622" w:hanging="333"/>
      </w:pPr>
      <w:rPr>
        <w:rFonts w:hint="default"/>
        <w:lang w:val="zh-CN" w:eastAsia="zh-CN" w:bidi="zh-CN"/>
      </w:rPr>
    </w:lvl>
    <w:lvl w:ilvl="5" w:tentative="1">
      <w:start w:val="0"/>
      <w:numFmt w:val="bullet"/>
      <w:lvlText w:val="•"/>
      <w:lvlJc w:val="left"/>
      <w:pPr>
        <w:ind w:left="5593" w:hanging="333"/>
      </w:pPr>
      <w:rPr>
        <w:rFonts w:hint="default"/>
        <w:lang w:val="zh-CN" w:eastAsia="zh-CN" w:bidi="zh-CN"/>
      </w:rPr>
    </w:lvl>
    <w:lvl w:ilvl="6" w:tentative="1">
      <w:start w:val="0"/>
      <w:numFmt w:val="bullet"/>
      <w:lvlText w:val="•"/>
      <w:lvlJc w:val="left"/>
      <w:pPr>
        <w:ind w:left="6563" w:hanging="333"/>
      </w:pPr>
      <w:rPr>
        <w:rFonts w:hint="default"/>
        <w:lang w:val="zh-CN" w:eastAsia="zh-CN" w:bidi="zh-CN"/>
      </w:rPr>
    </w:lvl>
    <w:lvl w:ilvl="7" w:tentative="1">
      <w:start w:val="0"/>
      <w:numFmt w:val="bullet"/>
      <w:lvlText w:val="•"/>
      <w:lvlJc w:val="left"/>
      <w:pPr>
        <w:ind w:left="7534" w:hanging="333"/>
      </w:pPr>
      <w:rPr>
        <w:rFonts w:hint="default"/>
        <w:lang w:val="zh-CN" w:eastAsia="zh-CN" w:bidi="zh-CN"/>
      </w:rPr>
    </w:lvl>
    <w:lvl w:ilvl="8" w:tentative="1">
      <w:start w:val="0"/>
      <w:numFmt w:val="bullet"/>
      <w:lvlText w:val="•"/>
      <w:lvlJc w:val="left"/>
      <w:pPr>
        <w:ind w:left="8504" w:hanging="333"/>
      </w:pPr>
      <w:rPr>
        <w:rFonts w:hint="default"/>
        <w:lang w:val="zh-CN" w:eastAsia="zh-CN" w:bidi="zh-CN"/>
      </w:rPr>
    </w:lvl>
  </w:abstractNum>
  <w:abstractNum w:abstractNumId="2700104199">
    <w:nsid w:val="A0F05207"/>
    <w:multiLevelType w:val="multilevel"/>
    <w:tmpl w:val="A0F05207"/>
    <w:lvl w:ilvl="0" w:tentative="1">
      <w:start w:val="1"/>
      <w:numFmt w:val="decimal"/>
      <w:lvlText w:val="（%1）"/>
      <w:lvlJc w:val="left"/>
      <w:pPr>
        <w:ind w:left="731" w:hanging="525"/>
      </w:pPr>
      <w:rPr>
        <w:rFonts w:hint="default" w:ascii="仿宋" w:hAnsi="仿宋" w:eastAsia="仿宋" w:cs="仿宋"/>
        <w:spacing w:val="-51"/>
        <w:w w:val="99"/>
        <w:sz w:val="19"/>
        <w:szCs w:val="19"/>
        <w:lang w:val="zh-CN" w:eastAsia="zh-CN" w:bidi="zh-CN"/>
      </w:rPr>
    </w:lvl>
    <w:lvl w:ilvl="1" w:tentative="1">
      <w:start w:val="0"/>
      <w:numFmt w:val="bullet"/>
      <w:lvlText w:val="•"/>
      <w:lvlJc w:val="left"/>
      <w:pPr>
        <w:ind w:left="1710" w:hanging="525"/>
      </w:pPr>
      <w:rPr>
        <w:rFonts w:hint="default"/>
        <w:lang w:val="zh-CN" w:eastAsia="zh-CN" w:bidi="zh-CN"/>
      </w:rPr>
    </w:lvl>
    <w:lvl w:ilvl="2" w:tentative="1">
      <w:start w:val="0"/>
      <w:numFmt w:val="bullet"/>
      <w:lvlText w:val="•"/>
      <w:lvlJc w:val="left"/>
      <w:pPr>
        <w:ind w:left="2681" w:hanging="525"/>
      </w:pPr>
      <w:rPr>
        <w:rFonts w:hint="default"/>
        <w:lang w:val="zh-CN" w:eastAsia="zh-CN" w:bidi="zh-CN"/>
      </w:rPr>
    </w:lvl>
    <w:lvl w:ilvl="3" w:tentative="1">
      <w:start w:val="0"/>
      <w:numFmt w:val="bullet"/>
      <w:lvlText w:val="•"/>
      <w:lvlJc w:val="left"/>
      <w:pPr>
        <w:ind w:left="3651" w:hanging="525"/>
      </w:pPr>
      <w:rPr>
        <w:rFonts w:hint="default"/>
        <w:lang w:val="zh-CN" w:eastAsia="zh-CN" w:bidi="zh-CN"/>
      </w:rPr>
    </w:lvl>
    <w:lvl w:ilvl="4" w:tentative="1">
      <w:start w:val="0"/>
      <w:numFmt w:val="bullet"/>
      <w:lvlText w:val="•"/>
      <w:lvlJc w:val="left"/>
      <w:pPr>
        <w:ind w:left="4622" w:hanging="525"/>
      </w:pPr>
      <w:rPr>
        <w:rFonts w:hint="default"/>
        <w:lang w:val="zh-CN" w:eastAsia="zh-CN" w:bidi="zh-CN"/>
      </w:rPr>
    </w:lvl>
    <w:lvl w:ilvl="5" w:tentative="1">
      <w:start w:val="0"/>
      <w:numFmt w:val="bullet"/>
      <w:lvlText w:val="•"/>
      <w:lvlJc w:val="left"/>
      <w:pPr>
        <w:ind w:left="5593" w:hanging="525"/>
      </w:pPr>
      <w:rPr>
        <w:rFonts w:hint="default"/>
        <w:lang w:val="zh-CN" w:eastAsia="zh-CN" w:bidi="zh-CN"/>
      </w:rPr>
    </w:lvl>
    <w:lvl w:ilvl="6" w:tentative="1">
      <w:start w:val="0"/>
      <w:numFmt w:val="bullet"/>
      <w:lvlText w:val="•"/>
      <w:lvlJc w:val="left"/>
      <w:pPr>
        <w:ind w:left="6563" w:hanging="525"/>
      </w:pPr>
      <w:rPr>
        <w:rFonts w:hint="default"/>
        <w:lang w:val="zh-CN" w:eastAsia="zh-CN" w:bidi="zh-CN"/>
      </w:rPr>
    </w:lvl>
    <w:lvl w:ilvl="7" w:tentative="1">
      <w:start w:val="0"/>
      <w:numFmt w:val="bullet"/>
      <w:lvlText w:val="•"/>
      <w:lvlJc w:val="left"/>
      <w:pPr>
        <w:ind w:left="7534" w:hanging="525"/>
      </w:pPr>
      <w:rPr>
        <w:rFonts w:hint="default"/>
        <w:lang w:val="zh-CN" w:eastAsia="zh-CN" w:bidi="zh-CN"/>
      </w:rPr>
    </w:lvl>
    <w:lvl w:ilvl="8" w:tentative="1">
      <w:start w:val="0"/>
      <w:numFmt w:val="bullet"/>
      <w:lvlText w:val="•"/>
      <w:lvlJc w:val="left"/>
      <w:pPr>
        <w:ind w:left="8504" w:hanging="525"/>
      </w:pPr>
      <w:rPr>
        <w:rFonts w:hint="default"/>
        <w:lang w:val="zh-CN" w:eastAsia="zh-CN" w:bidi="zh-CN"/>
      </w:rPr>
    </w:lvl>
  </w:abstractNum>
  <w:abstractNum w:abstractNumId="2868114426">
    <w:nsid w:val="AAF3F3FA"/>
    <w:multiLevelType w:val="multilevel"/>
    <w:tmpl w:val="AAF3F3FA"/>
    <w:lvl w:ilvl="0" w:tentative="1">
      <w:start w:val="4"/>
      <w:numFmt w:val="decimal"/>
      <w:lvlText w:val="%1"/>
      <w:lvlJc w:val="left"/>
      <w:pPr>
        <w:ind w:left="1559" w:hanging="384"/>
      </w:pPr>
      <w:rPr>
        <w:rFonts w:hint="default"/>
        <w:lang w:val="zh-CN" w:eastAsia="zh-CN" w:bidi="zh-CN"/>
      </w:rPr>
    </w:lvl>
    <w:lvl w:ilvl="1" w:tentative="1">
      <w:start w:val="1"/>
      <w:numFmt w:val="decimal"/>
      <w:lvlText w:val="%1.%2"/>
      <w:lvlJc w:val="left"/>
      <w:pPr>
        <w:ind w:left="1559" w:hanging="384"/>
      </w:pPr>
      <w:rPr>
        <w:rFonts w:hint="default" w:ascii="宋体" w:hAnsi="宋体" w:eastAsia="宋体" w:cs="宋体"/>
        <w:spacing w:val="-1"/>
        <w:w w:val="100"/>
        <w:sz w:val="22"/>
        <w:szCs w:val="22"/>
        <w:lang w:val="zh-CN" w:eastAsia="zh-CN" w:bidi="zh-CN"/>
      </w:rPr>
    </w:lvl>
    <w:lvl w:ilvl="2" w:tentative="1">
      <w:start w:val="1"/>
      <w:numFmt w:val="decimal"/>
      <w:lvlText w:val="%1.%2.%3"/>
      <w:lvlJc w:val="left"/>
      <w:pPr>
        <w:ind w:left="1780" w:hanging="605"/>
      </w:pPr>
      <w:rPr>
        <w:rFonts w:hint="default" w:ascii="宋体" w:hAnsi="宋体" w:eastAsia="宋体" w:cs="宋体"/>
        <w:spacing w:val="-1"/>
        <w:w w:val="100"/>
        <w:sz w:val="22"/>
        <w:szCs w:val="22"/>
        <w:lang w:val="zh-CN" w:eastAsia="zh-CN" w:bidi="zh-CN"/>
      </w:rPr>
    </w:lvl>
    <w:lvl w:ilvl="3" w:tentative="1">
      <w:start w:val="0"/>
      <w:numFmt w:val="bullet"/>
      <w:lvlText w:val="•"/>
      <w:lvlJc w:val="left"/>
      <w:pPr>
        <w:ind w:left="1780" w:hanging="605"/>
      </w:pPr>
      <w:rPr>
        <w:rFonts w:hint="default"/>
        <w:lang w:val="zh-CN" w:eastAsia="zh-CN" w:bidi="zh-CN"/>
      </w:rPr>
    </w:lvl>
    <w:lvl w:ilvl="4" w:tentative="1">
      <w:start w:val="0"/>
      <w:numFmt w:val="bullet"/>
      <w:lvlText w:val="•"/>
      <w:lvlJc w:val="left"/>
      <w:pPr>
        <w:ind w:left="3018" w:hanging="605"/>
      </w:pPr>
      <w:rPr>
        <w:rFonts w:hint="default"/>
        <w:lang w:val="zh-CN" w:eastAsia="zh-CN" w:bidi="zh-CN"/>
      </w:rPr>
    </w:lvl>
    <w:lvl w:ilvl="5" w:tentative="1">
      <w:start w:val="0"/>
      <w:numFmt w:val="bullet"/>
      <w:lvlText w:val="•"/>
      <w:lvlJc w:val="left"/>
      <w:pPr>
        <w:ind w:left="4256" w:hanging="605"/>
      </w:pPr>
      <w:rPr>
        <w:rFonts w:hint="default"/>
        <w:lang w:val="zh-CN" w:eastAsia="zh-CN" w:bidi="zh-CN"/>
      </w:rPr>
    </w:lvl>
    <w:lvl w:ilvl="6" w:tentative="1">
      <w:start w:val="0"/>
      <w:numFmt w:val="bullet"/>
      <w:lvlText w:val="•"/>
      <w:lvlJc w:val="left"/>
      <w:pPr>
        <w:ind w:left="5494" w:hanging="605"/>
      </w:pPr>
      <w:rPr>
        <w:rFonts w:hint="default"/>
        <w:lang w:val="zh-CN" w:eastAsia="zh-CN" w:bidi="zh-CN"/>
      </w:rPr>
    </w:lvl>
    <w:lvl w:ilvl="7" w:tentative="1">
      <w:start w:val="0"/>
      <w:numFmt w:val="bullet"/>
      <w:lvlText w:val="•"/>
      <w:lvlJc w:val="left"/>
      <w:pPr>
        <w:ind w:left="6732" w:hanging="605"/>
      </w:pPr>
      <w:rPr>
        <w:rFonts w:hint="default"/>
        <w:lang w:val="zh-CN" w:eastAsia="zh-CN" w:bidi="zh-CN"/>
      </w:rPr>
    </w:lvl>
    <w:lvl w:ilvl="8" w:tentative="1">
      <w:start w:val="0"/>
      <w:numFmt w:val="bullet"/>
      <w:lvlText w:val="•"/>
      <w:lvlJc w:val="left"/>
      <w:pPr>
        <w:ind w:left="7970" w:hanging="605"/>
      </w:pPr>
      <w:rPr>
        <w:rFonts w:hint="default"/>
        <w:lang w:val="zh-CN" w:eastAsia="zh-CN" w:bidi="zh-CN"/>
      </w:rPr>
    </w:lvl>
  </w:abstractNum>
  <w:abstractNum w:abstractNumId="2187248581">
    <w:nsid w:val="825EC3C5"/>
    <w:multiLevelType w:val="multilevel"/>
    <w:tmpl w:val="825EC3C5"/>
    <w:lvl w:ilvl="0" w:tentative="1">
      <w:start w:val="1"/>
      <w:numFmt w:val="decimal"/>
      <w:lvlText w:val="%1)"/>
      <w:lvlJc w:val="left"/>
      <w:pPr>
        <w:ind w:left="1392" w:hanging="222"/>
      </w:pPr>
      <w:rPr>
        <w:rFonts w:hint="default" w:ascii="宋体" w:hAnsi="宋体" w:eastAsia="宋体" w:cs="宋体"/>
        <w:spacing w:val="-1"/>
        <w:w w:val="100"/>
        <w:sz w:val="20"/>
        <w:szCs w:val="20"/>
        <w:lang w:val="zh-CN" w:eastAsia="zh-CN" w:bidi="zh-CN"/>
      </w:rPr>
    </w:lvl>
    <w:lvl w:ilvl="1" w:tentative="1">
      <w:start w:val="0"/>
      <w:numFmt w:val="bullet"/>
      <w:lvlText w:val="•"/>
      <w:lvlJc w:val="left"/>
      <w:pPr>
        <w:ind w:left="2304" w:hanging="222"/>
      </w:pPr>
      <w:rPr>
        <w:rFonts w:hint="default"/>
        <w:lang w:val="zh-CN" w:eastAsia="zh-CN" w:bidi="zh-CN"/>
      </w:rPr>
    </w:lvl>
    <w:lvl w:ilvl="2" w:tentative="1">
      <w:start w:val="0"/>
      <w:numFmt w:val="bullet"/>
      <w:lvlText w:val="•"/>
      <w:lvlJc w:val="left"/>
      <w:pPr>
        <w:ind w:left="3209" w:hanging="222"/>
      </w:pPr>
      <w:rPr>
        <w:rFonts w:hint="default"/>
        <w:lang w:val="zh-CN" w:eastAsia="zh-CN" w:bidi="zh-CN"/>
      </w:rPr>
    </w:lvl>
    <w:lvl w:ilvl="3" w:tentative="1">
      <w:start w:val="0"/>
      <w:numFmt w:val="bullet"/>
      <w:lvlText w:val="•"/>
      <w:lvlJc w:val="left"/>
      <w:pPr>
        <w:ind w:left="4113" w:hanging="222"/>
      </w:pPr>
      <w:rPr>
        <w:rFonts w:hint="default"/>
        <w:lang w:val="zh-CN" w:eastAsia="zh-CN" w:bidi="zh-CN"/>
      </w:rPr>
    </w:lvl>
    <w:lvl w:ilvl="4" w:tentative="1">
      <w:start w:val="0"/>
      <w:numFmt w:val="bullet"/>
      <w:lvlText w:val="•"/>
      <w:lvlJc w:val="left"/>
      <w:pPr>
        <w:ind w:left="5018" w:hanging="222"/>
      </w:pPr>
      <w:rPr>
        <w:rFonts w:hint="default"/>
        <w:lang w:val="zh-CN" w:eastAsia="zh-CN" w:bidi="zh-CN"/>
      </w:rPr>
    </w:lvl>
    <w:lvl w:ilvl="5" w:tentative="1">
      <w:start w:val="0"/>
      <w:numFmt w:val="bullet"/>
      <w:lvlText w:val="•"/>
      <w:lvlJc w:val="left"/>
      <w:pPr>
        <w:ind w:left="5923" w:hanging="222"/>
      </w:pPr>
      <w:rPr>
        <w:rFonts w:hint="default"/>
        <w:lang w:val="zh-CN" w:eastAsia="zh-CN" w:bidi="zh-CN"/>
      </w:rPr>
    </w:lvl>
    <w:lvl w:ilvl="6" w:tentative="1">
      <w:start w:val="0"/>
      <w:numFmt w:val="bullet"/>
      <w:lvlText w:val="•"/>
      <w:lvlJc w:val="left"/>
      <w:pPr>
        <w:ind w:left="6827" w:hanging="222"/>
      </w:pPr>
      <w:rPr>
        <w:rFonts w:hint="default"/>
        <w:lang w:val="zh-CN" w:eastAsia="zh-CN" w:bidi="zh-CN"/>
      </w:rPr>
    </w:lvl>
    <w:lvl w:ilvl="7" w:tentative="1">
      <w:start w:val="0"/>
      <w:numFmt w:val="bullet"/>
      <w:lvlText w:val="•"/>
      <w:lvlJc w:val="left"/>
      <w:pPr>
        <w:ind w:left="7732" w:hanging="222"/>
      </w:pPr>
      <w:rPr>
        <w:rFonts w:hint="default"/>
        <w:lang w:val="zh-CN" w:eastAsia="zh-CN" w:bidi="zh-CN"/>
      </w:rPr>
    </w:lvl>
    <w:lvl w:ilvl="8" w:tentative="1">
      <w:start w:val="0"/>
      <w:numFmt w:val="bullet"/>
      <w:lvlText w:val="•"/>
      <w:lvlJc w:val="left"/>
      <w:pPr>
        <w:ind w:left="8636" w:hanging="222"/>
      </w:pPr>
      <w:rPr>
        <w:rFonts w:hint="default"/>
        <w:lang w:val="zh-CN" w:eastAsia="zh-CN" w:bidi="zh-CN"/>
      </w:rPr>
    </w:lvl>
  </w:abstractNum>
  <w:abstractNum w:abstractNumId="2697540946">
    <w:nsid w:val="A0C93552"/>
    <w:multiLevelType w:val="multilevel"/>
    <w:tmpl w:val="A0C93552"/>
    <w:lvl w:ilvl="0" w:tentative="1">
      <w:start w:val="3"/>
      <w:numFmt w:val="decimal"/>
      <w:lvlText w:val="%1"/>
      <w:lvlJc w:val="left"/>
      <w:pPr>
        <w:ind w:left="731" w:hanging="315"/>
      </w:pPr>
      <w:rPr>
        <w:rFonts w:hint="default"/>
        <w:lang w:val="zh-CN" w:eastAsia="zh-CN" w:bidi="zh-CN"/>
      </w:rPr>
    </w:lvl>
    <w:lvl w:ilvl="1" w:tentative="1">
      <w:start w:val="1"/>
      <w:numFmt w:val="decimal"/>
      <w:lvlText w:val="%1.%2"/>
      <w:lvlJc w:val="left"/>
      <w:pPr>
        <w:ind w:left="731" w:hanging="315"/>
      </w:pPr>
      <w:rPr>
        <w:rFonts w:hint="default" w:ascii="Times New Roman" w:hAnsi="Times New Roman" w:eastAsia="Times New Roman" w:cs="Times New Roman"/>
        <w:spacing w:val="0"/>
        <w:w w:val="99"/>
        <w:sz w:val="21"/>
        <w:szCs w:val="21"/>
        <w:lang w:val="zh-CN" w:eastAsia="zh-CN" w:bidi="zh-CN"/>
      </w:rPr>
    </w:lvl>
    <w:lvl w:ilvl="2" w:tentative="1">
      <w:start w:val="0"/>
      <w:numFmt w:val="bullet"/>
      <w:lvlText w:val="•"/>
      <w:lvlJc w:val="left"/>
      <w:pPr>
        <w:ind w:left="2681" w:hanging="315"/>
      </w:pPr>
      <w:rPr>
        <w:rFonts w:hint="default"/>
        <w:lang w:val="zh-CN" w:eastAsia="zh-CN" w:bidi="zh-CN"/>
      </w:rPr>
    </w:lvl>
    <w:lvl w:ilvl="3" w:tentative="1">
      <w:start w:val="0"/>
      <w:numFmt w:val="bullet"/>
      <w:lvlText w:val="•"/>
      <w:lvlJc w:val="left"/>
      <w:pPr>
        <w:ind w:left="3651" w:hanging="315"/>
      </w:pPr>
      <w:rPr>
        <w:rFonts w:hint="default"/>
        <w:lang w:val="zh-CN" w:eastAsia="zh-CN" w:bidi="zh-CN"/>
      </w:rPr>
    </w:lvl>
    <w:lvl w:ilvl="4" w:tentative="1">
      <w:start w:val="0"/>
      <w:numFmt w:val="bullet"/>
      <w:lvlText w:val="•"/>
      <w:lvlJc w:val="left"/>
      <w:pPr>
        <w:ind w:left="4622" w:hanging="315"/>
      </w:pPr>
      <w:rPr>
        <w:rFonts w:hint="default"/>
        <w:lang w:val="zh-CN" w:eastAsia="zh-CN" w:bidi="zh-CN"/>
      </w:rPr>
    </w:lvl>
    <w:lvl w:ilvl="5" w:tentative="1">
      <w:start w:val="0"/>
      <w:numFmt w:val="bullet"/>
      <w:lvlText w:val="•"/>
      <w:lvlJc w:val="left"/>
      <w:pPr>
        <w:ind w:left="5593" w:hanging="315"/>
      </w:pPr>
      <w:rPr>
        <w:rFonts w:hint="default"/>
        <w:lang w:val="zh-CN" w:eastAsia="zh-CN" w:bidi="zh-CN"/>
      </w:rPr>
    </w:lvl>
    <w:lvl w:ilvl="6" w:tentative="1">
      <w:start w:val="0"/>
      <w:numFmt w:val="bullet"/>
      <w:lvlText w:val="•"/>
      <w:lvlJc w:val="left"/>
      <w:pPr>
        <w:ind w:left="6563" w:hanging="315"/>
      </w:pPr>
      <w:rPr>
        <w:rFonts w:hint="default"/>
        <w:lang w:val="zh-CN" w:eastAsia="zh-CN" w:bidi="zh-CN"/>
      </w:rPr>
    </w:lvl>
    <w:lvl w:ilvl="7" w:tentative="1">
      <w:start w:val="0"/>
      <w:numFmt w:val="bullet"/>
      <w:lvlText w:val="•"/>
      <w:lvlJc w:val="left"/>
      <w:pPr>
        <w:ind w:left="7534" w:hanging="315"/>
      </w:pPr>
      <w:rPr>
        <w:rFonts w:hint="default"/>
        <w:lang w:val="zh-CN" w:eastAsia="zh-CN" w:bidi="zh-CN"/>
      </w:rPr>
    </w:lvl>
    <w:lvl w:ilvl="8" w:tentative="1">
      <w:start w:val="0"/>
      <w:numFmt w:val="bullet"/>
      <w:lvlText w:val="•"/>
      <w:lvlJc w:val="left"/>
      <w:pPr>
        <w:ind w:left="8504" w:hanging="315"/>
      </w:pPr>
      <w:rPr>
        <w:rFonts w:hint="default"/>
        <w:lang w:val="zh-CN" w:eastAsia="zh-CN" w:bidi="zh-CN"/>
      </w:rPr>
    </w:lvl>
  </w:abstractNum>
  <w:abstractNum w:abstractNumId="2563600762">
    <w:nsid w:val="98CD717A"/>
    <w:multiLevelType w:val="multilevel"/>
    <w:tmpl w:val="98CD717A"/>
    <w:lvl w:ilvl="0" w:tentative="1">
      <w:start w:val="1"/>
      <w:numFmt w:val="decimal"/>
      <w:lvlText w:val="%1."/>
      <w:lvlJc w:val="left"/>
      <w:pPr>
        <w:ind w:left="377" w:hanging="314"/>
      </w:pPr>
      <w:rPr>
        <w:rFonts w:hint="default" w:ascii="宋体" w:hAnsi="宋体" w:eastAsia="宋体" w:cs="宋体"/>
        <w:spacing w:val="-17"/>
        <w:w w:val="99"/>
        <w:sz w:val="19"/>
        <w:szCs w:val="19"/>
        <w:lang w:val="zh-CN" w:eastAsia="zh-CN" w:bidi="zh-CN"/>
      </w:rPr>
    </w:lvl>
    <w:lvl w:ilvl="1" w:tentative="1">
      <w:start w:val="1"/>
      <w:numFmt w:val="decimal"/>
      <w:lvlText w:val="%2."/>
      <w:lvlJc w:val="left"/>
      <w:pPr>
        <w:ind w:left="3560" w:hanging="212"/>
      </w:pPr>
      <w:rPr>
        <w:rFonts w:hint="default" w:ascii="宋体" w:hAnsi="宋体" w:eastAsia="宋体" w:cs="宋体"/>
        <w:spacing w:val="1"/>
        <w:w w:val="99"/>
        <w:sz w:val="19"/>
        <w:szCs w:val="19"/>
        <w:lang w:val="zh-CN" w:eastAsia="zh-CN" w:bidi="zh-CN"/>
      </w:rPr>
    </w:lvl>
    <w:lvl w:ilvl="2" w:tentative="1">
      <w:start w:val="0"/>
      <w:numFmt w:val="bullet"/>
      <w:lvlText w:val="•"/>
      <w:lvlJc w:val="left"/>
      <w:pPr>
        <w:ind w:left="4171" w:hanging="212"/>
      </w:pPr>
      <w:rPr>
        <w:rFonts w:hint="default"/>
        <w:lang w:val="zh-CN" w:eastAsia="zh-CN" w:bidi="zh-CN"/>
      </w:rPr>
    </w:lvl>
    <w:lvl w:ilvl="3" w:tentative="1">
      <w:start w:val="0"/>
      <w:numFmt w:val="bullet"/>
      <w:lvlText w:val="•"/>
      <w:lvlJc w:val="left"/>
      <w:pPr>
        <w:ind w:left="4783" w:hanging="212"/>
      </w:pPr>
      <w:rPr>
        <w:rFonts w:hint="default"/>
        <w:lang w:val="zh-CN" w:eastAsia="zh-CN" w:bidi="zh-CN"/>
      </w:rPr>
    </w:lvl>
    <w:lvl w:ilvl="4" w:tentative="1">
      <w:start w:val="0"/>
      <w:numFmt w:val="bullet"/>
      <w:lvlText w:val="•"/>
      <w:lvlJc w:val="left"/>
      <w:pPr>
        <w:ind w:left="5395" w:hanging="212"/>
      </w:pPr>
      <w:rPr>
        <w:rFonts w:hint="default"/>
        <w:lang w:val="zh-CN" w:eastAsia="zh-CN" w:bidi="zh-CN"/>
      </w:rPr>
    </w:lvl>
    <w:lvl w:ilvl="5" w:tentative="1">
      <w:start w:val="0"/>
      <w:numFmt w:val="bullet"/>
      <w:lvlText w:val="•"/>
      <w:lvlJc w:val="left"/>
      <w:pPr>
        <w:ind w:left="6007" w:hanging="212"/>
      </w:pPr>
      <w:rPr>
        <w:rFonts w:hint="default"/>
        <w:lang w:val="zh-CN" w:eastAsia="zh-CN" w:bidi="zh-CN"/>
      </w:rPr>
    </w:lvl>
    <w:lvl w:ilvl="6" w:tentative="1">
      <w:start w:val="0"/>
      <w:numFmt w:val="bullet"/>
      <w:lvlText w:val="•"/>
      <w:lvlJc w:val="left"/>
      <w:pPr>
        <w:ind w:left="6618" w:hanging="212"/>
      </w:pPr>
      <w:rPr>
        <w:rFonts w:hint="default"/>
        <w:lang w:val="zh-CN" w:eastAsia="zh-CN" w:bidi="zh-CN"/>
      </w:rPr>
    </w:lvl>
    <w:lvl w:ilvl="7" w:tentative="1">
      <w:start w:val="0"/>
      <w:numFmt w:val="bullet"/>
      <w:lvlText w:val="•"/>
      <w:lvlJc w:val="left"/>
      <w:pPr>
        <w:ind w:left="7230" w:hanging="212"/>
      </w:pPr>
      <w:rPr>
        <w:rFonts w:hint="default"/>
        <w:lang w:val="zh-CN" w:eastAsia="zh-CN" w:bidi="zh-CN"/>
      </w:rPr>
    </w:lvl>
    <w:lvl w:ilvl="8" w:tentative="1">
      <w:start w:val="0"/>
      <w:numFmt w:val="bullet"/>
      <w:lvlText w:val="•"/>
      <w:lvlJc w:val="left"/>
      <w:pPr>
        <w:ind w:left="7842" w:hanging="212"/>
      </w:pPr>
      <w:rPr>
        <w:rFonts w:hint="default"/>
        <w:lang w:val="zh-CN" w:eastAsia="zh-CN" w:bidi="zh-CN"/>
      </w:rPr>
    </w:lvl>
  </w:abstractNum>
  <w:num w:numId="1">
    <w:abstractNumId w:val="5447822"/>
  </w:num>
  <w:num w:numId="2">
    <w:abstractNumId w:val="3473484676"/>
  </w:num>
  <w:num w:numId="3">
    <w:abstractNumId w:val="1504561850"/>
  </w:num>
  <w:num w:numId="4">
    <w:abstractNumId w:val="3206568229"/>
  </w:num>
  <w:num w:numId="5">
    <w:abstractNumId w:val="3051554541"/>
  </w:num>
  <w:num w:numId="6">
    <w:abstractNumId w:val="64368334"/>
  </w:num>
  <w:num w:numId="7">
    <w:abstractNumId w:val="632706291"/>
  </w:num>
  <w:num w:numId="8">
    <w:abstractNumId w:val="1914191097"/>
  </w:num>
  <w:num w:numId="9">
    <w:abstractNumId w:val="38322553"/>
  </w:num>
  <w:num w:numId="10">
    <w:abstractNumId w:val="2453222427"/>
  </w:num>
  <w:num w:numId="11">
    <w:abstractNumId w:val="714036091"/>
  </w:num>
  <w:num w:numId="12">
    <w:abstractNumId w:val="1512316212"/>
  </w:num>
  <w:num w:numId="13">
    <w:abstractNumId w:val="3364330223"/>
  </w:num>
  <w:num w:numId="14">
    <w:abstractNumId w:val="1296941183"/>
  </w:num>
  <w:num w:numId="15">
    <w:abstractNumId w:val="4105558517"/>
  </w:num>
  <w:num w:numId="16">
    <w:abstractNumId w:val="611380375"/>
  </w:num>
  <w:num w:numId="17">
    <w:abstractNumId w:val="3703204691"/>
  </w:num>
  <w:num w:numId="18">
    <w:abstractNumId w:val="3623485017"/>
  </w:num>
  <w:num w:numId="19">
    <w:abstractNumId w:val="2626341103"/>
  </w:num>
  <w:num w:numId="20">
    <w:abstractNumId w:val="1276882470"/>
  </w:num>
  <w:num w:numId="21">
    <w:abstractNumId w:val="1614294894"/>
  </w:num>
  <w:num w:numId="22">
    <w:abstractNumId w:val="241435778"/>
  </w:num>
  <w:num w:numId="23">
    <w:abstractNumId w:val="1184926648"/>
  </w:num>
  <w:num w:numId="24">
    <w:abstractNumId w:val="2968628441"/>
  </w:num>
  <w:num w:numId="25">
    <w:abstractNumId w:val="2082760998"/>
  </w:num>
  <w:num w:numId="26">
    <w:abstractNumId w:val="2012015225"/>
  </w:num>
  <w:num w:numId="27">
    <w:abstractNumId w:val="3197253489"/>
  </w:num>
  <w:num w:numId="28">
    <w:abstractNumId w:val="1654618194"/>
  </w:num>
  <w:num w:numId="29">
    <w:abstractNumId w:val="2458433794"/>
  </w:num>
  <w:num w:numId="30">
    <w:abstractNumId w:val="966842796"/>
  </w:num>
  <w:num w:numId="31">
    <w:abstractNumId w:val="2221013726"/>
  </w:num>
  <w:num w:numId="32">
    <w:abstractNumId w:val="1484150406"/>
  </w:num>
  <w:num w:numId="33">
    <w:abstractNumId w:val="2112626825"/>
  </w:num>
  <w:num w:numId="34">
    <w:abstractNumId w:val="2168081287"/>
  </w:num>
  <w:num w:numId="35">
    <w:abstractNumId w:val="608161640"/>
  </w:num>
  <w:num w:numId="36">
    <w:abstractNumId w:val="1301600870"/>
  </w:num>
  <w:num w:numId="37">
    <w:abstractNumId w:val="4151533001"/>
  </w:num>
  <w:num w:numId="38">
    <w:abstractNumId w:val="3767772336"/>
  </w:num>
  <w:num w:numId="39">
    <w:abstractNumId w:val="821844757"/>
  </w:num>
  <w:num w:numId="40">
    <w:abstractNumId w:val="2041204644"/>
  </w:num>
  <w:num w:numId="41">
    <w:abstractNumId w:val="3143946153"/>
  </w:num>
  <w:num w:numId="42">
    <w:abstractNumId w:val="2442747215"/>
  </w:num>
  <w:num w:numId="43">
    <w:abstractNumId w:val="3100570459"/>
  </w:num>
  <w:num w:numId="44">
    <w:abstractNumId w:val="1579789146"/>
  </w:num>
  <w:num w:numId="45">
    <w:abstractNumId w:val="2220577650"/>
  </w:num>
  <w:num w:numId="46">
    <w:abstractNumId w:val="449701391"/>
  </w:num>
  <w:num w:numId="47">
    <w:abstractNumId w:val="2360258853"/>
  </w:num>
  <w:num w:numId="48">
    <w:abstractNumId w:val="1610592679"/>
  </w:num>
  <w:num w:numId="49">
    <w:abstractNumId w:val="1958906677"/>
  </w:num>
  <w:num w:numId="50">
    <w:abstractNumId w:val="1279097460"/>
  </w:num>
  <w:num w:numId="51">
    <w:abstractNumId w:val="841844170"/>
  </w:num>
  <w:num w:numId="52">
    <w:abstractNumId w:val="1707933812"/>
  </w:num>
  <w:num w:numId="53">
    <w:abstractNumId w:val="118095166"/>
  </w:num>
  <w:num w:numId="54">
    <w:abstractNumId w:val="216993803"/>
  </w:num>
  <w:num w:numId="55">
    <w:abstractNumId w:val="3620815076"/>
  </w:num>
  <w:num w:numId="56">
    <w:abstractNumId w:val="849850157"/>
  </w:num>
  <w:num w:numId="57">
    <w:abstractNumId w:val="472218747"/>
  </w:num>
  <w:num w:numId="58">
    <w:abstractNumId w:val="4041773688"/>
  </w:num>
  <w:num w:numId="59">
    <w:abstractNumId w:val="602502996"/>
  </w:num>
  <w:num w:numId="60">
    <w:abstractNumId w:val="3040818000"/>
  </w:num>
  <w:num w:numId="61">
    <w:abstractNumId w:val="1085426169"/>
  </w:num>
  <w:num w:numId="62">
    <w:abstractNumId w:val="262118602"/>
  </w:num>
  <w:num w:numId="63">
    <w:abstractNumId w:val="904411955"/>
  </w:num>
  <w:num w:numId="64">
    <w:abstractNumId w:val="61225537"/>
  </w:num>
  <w:num w:numId="65">
    <w:abstractNumId w:val="3230752591"/>
  </w:num>
  <w:num w:numId="66">
    <w:abstractNumId w:val="317382553"/>
  </w:num>
  <w:num w:numId="67">
    <w:abstractNumId w:val="2990183593"/>
  </w:num>
  <w:num w:numId="68">
    <w:abstractNumId w:val="998320095"/>
  </w:num>
  <w:num w:numId="69">
    <w:abstractNumId w:val="2700104199"/>
  </w:num>
  <w:num w:numId="70">
    <w:abstractNumId w:val="4136199227"/>
  </w:num>
  <w:num w:numId="71">
    <w:abstractNumId w:val="815836160"/>
  </w:num>
  <w:num w:numId="72">
    <w:abstractNumId w:val="4274186806"/>
  </w:num>
  <w:num w:numId="73">
    <w:abstractNumId w:val="418856981"/>
  </w:num>
  <w:num w:numId="74">
    <w:abstractNumId w:val="1880087791"/>
  </w:num>
  <w:num w:numId="75">
    <w:abstractNumId w:val="3842282620"/>
  </w:num>
  <w:num w:numId="76">
    <w:abstractNumId w:val="3303068234"/>
  </w:num>
  <w:num w:numId="77">
    <w:abstractNumId w:val="2697540946"/>
  </w:num>
  <w:num w:numId="78">
    <w:abstractNumId w:val="2002989590"/>
  </w:num>
  <w:num w:numId="79">
    <w:abstractNumId w:val="3671304276"/>
  </w:num>
  <w:num w:numId="80">
    <w:abstractNumId w:val="3096256936"/>
  </w:num>
  <w:num w:numId="81">
    <w:abstractNumId w:val="791509454"/>
  </w:num>
  <w:num w:numId="82">
    <w:abstractNumId w:val="3887234139"/>
  </w:num>
  <w:num w:numId="83">
    <w:abstractNumId w:val="2597283232"/>
  </w:num>
  <w:num w:numId="84">
    <w:abstractNumId w:val="1508834602"/>
  </w:num>
  <w:num w:numId="85">
    <w:abstractNumId w:val="3181459804"/>
  </w:num>
  <w:num w:numId="86">
    <w:abstractNumId w:val="2968361962"/>
  </w:num>
  <w:num w:numId="87">
    <w:abstractNumId w:val="2474097733"/>
  </w:num>
  <w:num w:numId="88">
    <w:abstractNumId w:val="2640147600"/>
  </w:num>
  <w:num w:numId="89">
    <w:abstractNumId w:val="2868114426"/>
  </w:num>
  <w:num w:numId="90">
    <w:abstractNumId w:val="2444663959"/>
  </w:num>
  <w:num w:numId="91">
    <w:abstractNumId w:val="466337008"/>
  </w:num>
  <w:num w:numId="92">
    <w:abstractNumId w:val="3196735308"/>
  </w:num>
  <w:num w:numId="93">
    <w:abstractNumId w:val="340797243"/>
  </w:num>
  <w:num w:numId="94">
    <w:abstractNumId w:val="3521845012"/>
  </w:num>
  <w:num w:numId="95">
    <w:abstractNumId w:val="1756535031"/>
  </w:num>
  <w:num w:numId="96">
    <w:abstractNumId w:val="2152615465"/>
  </w:num>
  <w:num w:numId="97">
    <w:abstractNumId w:val="3169624244"/>
  </w:num>
  <w:num w:numId="98">
    <w:abstractNumId w:val="4119183141"/>
  </w:num>
  <w:num w:numId="99">
    <w:abstractNumId w:val="1288823633"/>
  </w:num>
  <w:num w:numId="100">
    <w:abstractNumId w:val="282431973"/>
  </w:num>
  <w:num w:numId="101">
    <w:abstractNumId w:val="2618419588"/>
  </w:num>
  <w:num w:numId="102">
    <w:abstractNumId w:val="3760803527"/>
  </w:num>
  <w:num w:numId="103">
    <w:abstractNumId w:val="450167445"/>
  </w:num>
  <w:num w:numId="104">
    <w:abstractNumId w:val="1246877444"/>
  </w:num>
  <w:num w:numId="105">
    <w:abstractNumId w:val="2846636711"/>
  </w:num>
  <w:num w:numId="106">
    <w:abstractNumId w:val="1628372572"/>
  </w:num>
  <w:num w:numId="107">
    <w:abstractNumId w:val="2187248581"/>
  </w:num>
  <w:num w:numId="108">
    <w:abstractNumId w:val="2285581929"/>
  </w:num>
  <w:num w:numId="109">
    <w:abstractNumId w:val="25389677"/>
  </w:num>
  <w:num w:numId="110">
    <w:abstractNumId w:val="2676079097"/>
  </w:num>
  <w:num w:numId="111">
    <w:abstractNumId w:val="3209756267"/>
  </w:num>
  <w:num w:numId="112">
    <w:abstractNumId w:val="3373079305"/>
  </w:num>
  <w:num w:numId="113">
    <w:abstractNumId w:val="4104733438"/>
  </w:num>
  <w:num w:numId="114">
    <w:abstractNumId w:val="1607353191"/>
  </w:num>
  <w:num w:numId="115">
    <w:abstractNumId w:val="4087560532"/>
  </w:num>
  <w:num w:numId="116">
    <w:abstractNumId w:val="1416633505"/>
  </w:num>
  <w:num w:numId="117">
    <w:abstractNumId w:val="565424561"/>
  </w:num>
  <w:num w:numId="118">
    <w:abstractNumId w:val="2563600762"/>
  </w:num>
  <w:num w:numId="119">
    <w:abstractNumId w:val="630622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0"/>
  <w:displayHorizontalDrawingGridEvery w:val="2"/>
  <w:displayVerticalDrawingGridEvery w:val="1"/>
  <w:characterSpacingControl w:val="doNotCompress"/>
  <w:compat>
    <w:spaceForUL/>
    <w:doNotLeaveBackslashAlone/>
    <w:ulTrailSpac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49"/>
      <w:ind w:right="156"/>
      <w:jc w:val="center"/>
      <w:outlineLvl w:val="1"/>
    </w:pPr>
    <w:rPr>
      <w:rFonts w:ascii="宋体" w:hAnsi="宋体" w:eastAsia="宋体" w:cs="宋体"/>
      <w:b/>
      <w:bCs/>
      <w:sz w:val="36"/>
      <w:szCs w:val="36"/>
      <w:lang w:val="zh-CN" w:eastAsia="zh-CN" w:bidi="zh-CN"/>
    </w:rPr>
  </w:style>
  <w:style w:type="paragraph" w:styleId="3">
    <w:name w:val="heading 2"/>
    <w:basedOn w:val="1"/>
    <w:next w:val="1"/>
    <w:qFormat/>
    <w:uiPriority w:val="1"/>
    <w:pPr>
      <w:ind w:left="973" w:hanging="642"/>
      <w:outlineLvl w:val="2"/>
    </w:pPr>
    <w:rPr>
      <w:rFonts w:ascii="宋体" w:hAnsi="宋体" w:eastAsia="宋体" w:cs="宋体"/>
      <w:sz w:val="32"/>
      <w:szCs w:val="32"/>
      <w:lang w:val="zh-CN" w:eastAsia="zh-CN" w:bidi="zh-CN"/>
    </w:rPr>
  </w:style>
  <w:style w:type="paragraph" w:styleId="4">
    <w:name w:val="heading 3"/>
    <w:basedOn w:val="1"/>
    <w:next w:val="1"/>
    <w:qFormat/>
    <w:uiPriority w:val="1"/>
    <w:pPr>
      <w:spacing w:before="62"/>
      <w:ind w:left="377"/>
      <w:outlineLvl w:val="3"/>
    </w:pPr>
    <w:rPr>
      <w:rFonts w:ascii="宋体" w:hAnsi="宋体" w:eastAsia="宋体" w:cs="宋体"/>
      <w:b/>
      <w:bCs/>
      <w:sz w:val="28"/>
      <w:szCs w:val="28"/>
      <w:lang w:val="zh-CN" w:eastAsia="zh-CN" w:bidi="zh-CN"/>
    </w:rPr>
  </w:style>
  <w:style w:type="paragraph" w:styleId="5">
    <w:name w:val="heading 4"/>
    <w:basedOn w:val="1"/>
    <w:next w:val="1"/>
    <w:qFormat/>
    <w:uiPriority w:val="1"/>
    <w:pPr>
      <w:spacing w:before="1"/>
      <w:ind w:left="894" w:hanging="563"/>
      <w:outlineLvl w:val="4"/>
    </w:pPr>
    <w:rPr>
      <w:rFonts w:ascii="宋体" w:hAnsi="宋体" w:eastAsia="宋体" w:cs="宋体"/>
      <w:sz w:val="28"/>
      <w:szCs w:val="28"/>
      <w:lang w:val="zh-CN" w:eastAsia="zh-CN" w:bidi="zh-CN"/>
    </w:rPr>
  </w:style>
  <w:style w:type="paragraph" w:styleId="6">
    <w:name w:val="heading 5"/>
    <w:basedOn w:val="1"/>
    <w:next w:val="1"/>
    <w:qFormat/>
    <w:uiPriority w:val="1"/>
    <w:pPr>
      <w:ind w:left="332" w:right="727"/>
      <w:jc w:val="center"/>
      <w:outlineLvl w:val="5"/>
    </w:pPr>
    <w:rPr>
      <w:rFonts w:ascii="宋体" w:hAnsi="宋体" w:eastAsia="宋体" w:cs="宋体"/>
      <w:b/>
      <w:bCs/>
      <w:sz w:val="24"/>
      <w:szCs w:val="24"/>
      <w:lang w:val="zh-CN" w:eastAsia="zh-CN" w:bidi="zh-CN"/>
    </w:rPr>
  </w:style>
  <w:style w:type="paragraph" w:styleId="7">
    <w:name w:val="heading 6"/>
    <w:basedOn w:val="1"/>
    <w:next w:val="1"/>
    <w:qFormat/>
    <w:uiPriority w:val="1"/>
    <w:pPr>
      <w:spacing w:before="161"/>
      <w:ind w:left="332"/>
      <w:outlineLvl w:val="6"/>
    </w:pPr>
    <w:rPr>
      <w:rFonts w:ascii="宋体" w:hAnsi="宋体" w:eastAsia="宋体" w:cs="宋体"/>
      <w:sz w:val="24"/>
      <w:szCs w:val="24"/>
      <w:lang w:val="zh-CN" w:eastAsia="zh-CN" w:bidi="zh-CN"/>
    </w:rPr>
  </w:style>
  <w:style w:type="paragraph" w:styleId="8">
    <w:name w:val="heading 7"/>
    <w:basedOn w:val="1"/>
    <w:next w:val="1"/>
    <w:qFormat/>
    <w:uiPriority w:val="1"/>
    <w:pPr>
      <w:ind w:left="332"/>
      <w:outlineLvl w:val="7"/>
    </w:pPr>
    <w:rPr>
      <w:rFonts w:ascii="宋体" w:hAnsi="宋体" w:eastAsia="宋体" w:cs="宋体"/>
      <w:b/>
      <w:bCs/>
      <w:sz w:val="22"/>
      <w:szCs w:val="22"/>
      <w:lang w:val="zh-CN" w:eastAsia="zh-CN" w:bidi="zh-CN"/>
    </w:rPr>
  </w:style>
  <w:style w:type="character" w:default="1" w:styleId="12">
    <w:name w:val="Default Paragraph Font"/>
    <w:semiHidden/>
    <w:unhideWhenUsed/>
    <w:qFormat/>
    <w:uiPriority w:val="1"/>
  </w:style>
  <w:style w:type="paragraph" w:styleId="9">
    <w:name w:val="Body Text"/>
    <w:basedOn w:val="1"/>
    <w:qFormat/>
    <w:uiPriority w:val="1"/>
    <w:rPr>
      <w:rFonts w:ascii="宋体" w:hAnsi="宋体" w:eastAsia="宋体" w:cs="宋体"/>
      <w:sz w:val="22"/>
      <w:szCs w:val="22"/>
      <w:lang w:val="zh-CN" w:eastAsia="zh-CN" w:bidi="zh-CN"/>
    </w:rPr>
  </w:style>
  <w:style w:type="paragraph" w:styleId="10">
    <w:name w:val="toc 1"/>
    <w:basedOn w:val="1"/>
    <w:next w:val="1"/>
    <w:qFormat/>
    <w:uiPriority w:val="1"/>
    <w:pPr>
      <w:spacing w:before="113"/>
      <w:ind w:left="906"/>
    </w:pPr>
    <w:rPr>
      <w:rFonts w:ascii="宋体" w:hAnsi="宋体" w:eastAsia="宋体" w:cs="宋体"/>
      <w:sz w:val="24"/>
      <w:szCs w:val="24"/>
      <w:lang w:val="zh-CN" w:eastAsia="zh-CN" w:bidi="zh-CN"/>
    </w:rPr>
  </w:style>
  <w:style w:type="paragraph" w:styleId="11">
    <w:name w:val="toc 2"/>
    <w:basedOn w:val="1"/>
    <w:next w:val="1"/>
    <w:qFormat/>
    <w:uiPriority w:val="1"/>
    <w:pPr>
      <w:spacing w:before="131"/>
      <w:ind w:left="1439"/>
    </w:pPr>
    <w:rPr>
      <w:rFonts w:ascii="宋体" w:hAnsi="宋体" w:eastAsia="宋体" w:cs="宋体"/>
      <w:sz w:val="24"/>
      <w:szCs w:val="24"/>
      <w:lang w:val="zh-CN" w:eastAsia="zh-CN" w:bidi="zh-CN"/>
    </w:rPr>
  </w:style>
  <w:style w:type="paragraph" w:customStyle="1" w:styleId="13">
    <w:name w:val="List Paragraph"/>
    <w:basedOn w:val="1"/>
    <w:qFormat/>
    <w:uiPriority w:val="1"/>
    <w:pPr>
      <w:ind w:left="731" w:firstLine="420"/>
    </w:pPr>
    <w:rPr>
      <w:rFonts w:ascii="宋体" w:hAnsi="宋体" w:eastAsia="宋体" w:cs="宋体"/>
      <w:lang w:val="zh-CN" w:eastAsia="zh-CN" w:bidi="zh-CN"/>
    </w:rPr>
  </w:style>
  <w:style w:type="paragraph" w:customStyle="1" w:styleId="14">
    <w:name w:val="Table Paragraph"/>
    <w:basedOn w:val="1"/>
    <w:qFormat/>
    <w:uiPriority w:val="1"/>
    <w:rPr>
      <w:rFonts w:ascii="宋体" w:hAnsi="宋体" w:eastAsia="宋体" w:cs="宋体"/>
      <w:lang w:val="zh-CN" w:eastAsia="zh-CN" w:bidi="zh-CN"/>
    </w:rPr>
  </w:style>
  <w:style w:type="character" w:customStyle="1" w:styleId="15">
    <w:name w:val="NormalCharacter"/>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header" Target="header4.xml"/><Relationship Id="rId2" Type="http://schemas.openxmlformats.org/officeDocument/2006/relationships/styles" Target="styles.xml"/><Relationship Id="rId20" Type="http://schemas.openxmlformats.org/officeDocument/2006/relationships/footer" Target="footer13.xml"/><Relationship Id="rId21" Type="http://schemas.openxmlformats.org/officeDocument/2006/relationships/header" Target="header5.xml"/><Relationship Id="rId22" Type="http://schemas.openxmlformats.org/officeDocument/2006/relationships/footer" Target="footer14.xml"/><Relationship Id="rId23" Type="http://schemas.openxmlformats.org/officeDocument/2006/relationships/header" Target="header6.xml"/><Relationship Id="rId24" Type="http://schemas.openxmlformats.org/officeDocument/2006/relationships/footer" Target="footer15.xml"/><Relationship Id="rId25" Type="http://schemas.openxmlformats.org/officeDocument/2006/relationships/header" Target="header7.xml"/><Relationship Id="rId26" Type="http://schemas.openxmlformats.org/officeDocument/2006/relationships/footer" Target="footer16.xml"/><Relationship Id="rId27" Type="http://schemas.openxmlformats.org/officeDocument/2006/relationships/header" Target="header8.xml"/><Relationship Id="rId28" Type="http://schemas.openxmlformats.org/officeDocument/2006/relationships/footer" Target="footer17.xml"/><Relationship Id="rId29" Type="http://schemas.openxmlformats.org/officeDocument/2006/relationships/header" Target="header9.xml"/><Relationship Id="rId3" Type="http://schemas.openxmlformats.org/officeDocument/2006/relationships/settings" Target="settings.xml"/><Relationship Id="rId30" Type="http://schemas.openxmlformats.org/officeDocument/2006/relationships/footer" Target="footer18.xml"/><Relationship Id="rId31" Type="http://schemas.openxmlformats.org/officeDocument/2006/relationships/header" Target="header10.xml"/><Relationship Id="rId32" Type="http://schemas.openxmlformats.org/officeDocument/2006/relationships/footer" Target="footer19.xml"/><Relationship Id="rId33" Type="http://schemas.openxmlformats.org/officeDocument/2006/relationships/header" Target="header11.xml"/><Relationship Id="rId34" Type="http://schemas.openxmlformats.org/officeDocument/2006/relationships/footer" Target="footer20.xml"/><Relationship Id="rId35" Type="http://schemas.openxmlformats.org/officeDocument/2006/relationships/header" Target="header12.xml"/><Relationship Id="rId36" Type="http://schemas.openxmlformats.org/officeDocument/2006/relationships/footer" Target="footer21.xml"/><Relationship Id="rId37" Type="http://schemas.openxmlformats.org/officeDocument/2006/relationships/footer" Target="footer22.xml"/><Relationship Id="rId38" Type="http://schemas.openxmlformats.org/officeDocument/2006/relationships/theme" Target="theme/theme1.xml"/><Relationship Id="rId39" Type="http://schemas.openxmlformats.org/officeDocument/2006/relationships/customXml" Target="../customXml/item1.xml"/><Relationship Id="rId4" Type="http://schemas.openxmlformats.org/officeDocument/2006/relationships/header" Target="header1.xml"/><Relationship Id="rId40" Type="http://schemas.openxmlformats.org/officeDocument/2006/relationships/numbering" Target="numbering.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2021-07-04T12:38:00Z</dcterms:created>
  <dc:creator>微软用户</dc:creator>
  <cp:lastModifiedBy>zhuhb</cp:lastModifiedBy>
  <dcterms:modified xsi:type="dcterms:W3CDTF">2021-08-02T01:25:11Z</dcterms:modified>
  <dc:title>第一章  建设工程招标公告（施工）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2021-06-09T00:00:00Z</vt:filetime>
  </property>
  <property fmtid="{D5CDD505-2E9C-101B-9397-08002B2CF9AE}" pid="3" name="Creator">
    <vt:lpwstr>WPS 文字</vt:lpwstr>
  </property>
  <property fmtid="{D5CDD505-2E9C-101B-9397-08002B2CF9AE}" pid="4" name="LastSaved">
    <vt:filetime>2021-07-04T00:00:00Z</vt:filetime>
  </property>
  <property fmtid="{D5CDD505-2E9C-101B-9397-08002B2CF9AE}" pid="5" name="KSOProductBuildVer">
    <vt:lpwstr>2052-9.1.0.4688</vt:lpwstr>
  </property>
  <property fmtid="{D5CDD505-2E9C-101B-9397-08002B2CF9AE}" pid="6" name="ICV">
    <vt:lpwstr>495B8B337CA84BC6A2755B914A83C6E8</vt:lpwstr>
  </property>
</Properties>
</file>