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9"/>
      </w:pPr>
      <w:r>
        <w:rPr>
          <w:lang w:eastAsia="zh-CN"/>
        </w:rPr>
        <w:drawing>
          <wp:anchor distT="0" distB="0" distL="114300" distR="114300" simplePos="0" relativeHeight="251658240" behindDoc="1" locked="0" layoutInCell="1" allowOverlap="1">
            <wp:simplePos x="0" y="0"/>
            <wp:positionH relativeFrom="column">
              <wp:posOffset>66675</wp:posOffset>
            </wp:positionH>
            <wp:positionV relativeFrom="paragraph">
              <wp:posOffset>26670</wp:posOffset>
            </wp:positionV>
            <wp:extent cx="1087120" cy="1412875"/>
            <wp:effectExtent l="0" t="0" r="55880" b="53975"/>
            <wp:wrapTight wrapText="bothSides">
              <wp:wrapPolygon>
                <wp:start x="0" y="0"/>
                <wp:lineTo x="0" y="21260"/>
                <wp:lineTo x="21196" y="21260"/>
                <wp:lineTo x="2119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cstate="print"/>
                    <a:stretch>
                      <a:fillRect/>
                    </a:stretch>
                  </pic:blipFill>
                  <pic:spPr>
                    <a:xfrm>
                      <a:off x="0" y="0"/>
                      <a:ext cx="1087120" cy="1412875"/>
                    </a:xfrm>
                    <a:prstGeom prst="rect">
                      <a:avLst/>
                    </a:prstGeom>
                    <a:noFill/>
                    <a:ln>
                      <a:noFill/>
                    </a:ln>
                  </pic:spPr>
                </pic:pic>
              </a:graphicData>
            </a:graphic>
          </wp:anchor>
        </w:drawing>
      </w:r>
    </w:p>
    <w:p>
      <w:pPr>
        <w:tabs>
          <w:tab w:val="left" w:pos="500"/>
        </w:tabs>
        <w:snapToGrid w:val="0"/>
        <w:spacing w:line="360" w:lineRule="auto"/>
        <w:rPr>
          <w:rFonts w:ascii="宋体" w:hAnsi="宋体"/>
          <w:sz w:val="44"/>
          <w:szCs w:val="44"/>
        </w:rPr>
      </w:pPr>
    </w:p>
    <w:p>
      <w:pPr>
        <w:tabs>
          <w:tab w:val="left" w:pos="500"/>
        </w:tabs>
        <w:snapToGrid w:val="0"/>
        <w:spacing w:line="360" w:lineRule="auto"/>
        <w:jc w:val="center"/>
        <w:rPr>
          <w:rFonts w:ascii="宋体" w:hAnsi="宋体"/>
          <w:sz w:val="44"/>
          <w:szCs w:val="44"/>
        </w:rPr>
      </w:pPr>
    </w:p>
    <w:p>
      <w:pPr>
        <w:spacing w:line="360" w:lineRule="auto"/>
        <w:jc w:val="center"/>
        <w:rPr>
          <w:rFonts w:ascii="宋体" w:hAnsi="宋体"/>
          <w:b/>
          <w:bCs/>
          <w:sz w:val="52"/>
          <w:szCs w:val="52"/>
        </w:rPr>
      </w:pPr>
    </w:p>
    <w:p>
      <w:pPr>
        <w:spacing w:line="360" w:lineRule="auto"/>
        <w:jc w:val="center"/>
        <w:rPr>
          <w:rFonts w:hint="eastAsia" w:ascii="宋体" w:hAnsi="宋体"/>
          <w:b/>
          <w:bCs/>
          <w:sz w:val="52"/>
          <w:szCs w:val="52"/>
        </w:rPr>
      </w:pPr>
      <w:r>
        <w:rPr>
          <w:rFonts w:hint="eastAsia" w:ascii="宋体" w:hAnsi="宋体"/>
          <w:b/>
          <w:bCs/>
          <w:sz w:val="52"/>
          <w:szCs w:val="52"/>
        </w:rPr>
        <w:t>中理检验有限公司</w:t>
      </w:r>
    </w:p>
    <w:p>
      <w:pPr>
        <w:spacing w:line="360" w:lineRule="auto"/>
        <w:jc w:val="center"/>
        <w:rPr>
          <w:rFonts w:ascii="宋体" w:hAnsi="宋体"/>
          <w:b/>
          <w:bCs/>
          <w:sz w:val="52"/>
          <w:szCs w:val="52"/>
        </w:rPr>
      </w:pPr>
      <w:r>
        <w:rPr>
          <w:rFonts w:hint="eastAsia" w:ascii="宋体" w:hAnsi="宋体"/>
          <w:b/>
          <w:bCs/>
          <w:sz w:val="52"/>
          <w:szCs w:val="52"/>
        </w:rPr>
        <w:t>张家港实验室装修工程</w:t>
      </w: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color w:val="000000"/>
          <w:sz w:val="72"/>
          <w:szCs w:val="72"/>
        </w:rPr>
      </w:pPr>
      <w:r>
        <w:rPr>
          <w:rFonts w:hint="eastAsia" w:ascii="宋体" w:hAnsi="宋体"/>
          <w:b/>
          <w:color w:val="000000"/>
          <w:sz w:val="72"/>
          <w:szCs w:val="72"/>
        </w:rPr>
        <w:t xml:space="preserve">招标文件  </w:t>
      </w:r>
    </w:p>
    <w:p>
      <w:pPr>
        <w:spacing w:line="360" w:lineRule="auto"/>
        <w:ind w:firstLine="660"/>
        <w:jc w:val="center"/>
        <w:rPr>
          <w:rFonts w:ascii="宋体" w:hAnsi="宋体"/>
          <w:b/>
          <w:sz w:val="28"/>
          <w:szCs w:val="28"/>
        </w:rPr>
      </w:pPr>
    </w:p>
    <w:p>
      <w:pPr>
        <w:spacing w:line="360" w:lineRule="auto"/>
        <w:ind w:firstLine="660"/>
        <w:jc w:val="center"/>
        <w:rPr>
          <w:rFonts w:ascii="宋体" w:hAnsi="宋体"/>
          <w:b/>
          <w:sz w:val="28"/>
          <w:szCs w:val="28"/>
        </w:rPr>
      </w:pPr>
    </w:p>
    <w:p>
      <w:pPr>
        <w:spacing w:line="360" w:lineRule="auto"/>
        <w:ind w:firstLine="660"/>
        <w:jc w:val="center"/>
        <w:rPr>
          <w:rFonts w:hint="eastAsia" w:ascii="宋体" w:hAnsi="宋体" w:eastAsia="宋体"/>
          <w:b/>
          <w:sz w:val="36"/>
          <w:szCs w:val="32"/>
          <w:lang w:eastAsia="zh-CN"/>
        </w:rPr>
      </w:pPr>
      <w:r>
        <w:rPr>
          <w:rFonts w:hint="eastAsia" w:ascii="宋体" w:hAnsi="宋体"/>
          <w:b/>
          <w:sz w:val="36"/>
          <w:szCs w:val="32"/>
        </w:rPr>
        <w:t>招标编号</w:t>
      </w:r>
      <w:r>
        <w:rPr>
          <w:rFonts w:ascii="宋体" w:hAnsi="宋体"/>
          <w:b/>
          <w:sz w:val="36"/>
          <w:szCs w:val="32"/>
        </w:rPr>
        <w:t>：</w:t>
      </w:r>
      <w:r>
        <w:rPr>
          <w:rFonts w:hint="eastAsia" w:ascii="宋体" w:hAnsi="宋体"/>
          <w:b/>
          <w:sz w:val="36"/>
          <w:szCs w:val="32"/>
        </w:rPr>
        <w:t>CMEETC-197VI213KK11</w:t>
      </w:r>
      <w:r>
        <w:rPr>
          <w:rFonts w:hint="eastAsia" w:ascii="宋体" w:hAnsi="宋体"/>
          <w:b/>
          <w:sz w:val="36"/>
          <w:szCs w:val="32"/>
          <w:lang w:val="en-US" w:eastAsia="zh-CN"/>
        </w:rPr>
        <w:t>5</w:t>
      </w:r>
    </w:p>
    <w:p>
      <w:pPr>
        <w:spacing w:line="360" w:lineRule="auto"/>
        <w:ind w:firstLine="2249" w:firstLineChars="700"/>
        <w:rPr>
          <w:rFonts w:ascii="宋体" w:hAnsi="宋体"/>
          <w:b/>
          <w:sz w:val="32"/>
          <w:szCs w:val="32"/>
        </w:rPr>
      </w:pPr>
    </w:p>
    <w:p>
      <w:pPr>
        <w:spacing w:line="360" w:lineRule="auto"/>
        <w:rPr>
          <w:rFonts w:ascii="宋体" w:hAnsi="宋体"/>
          <w:b/>
          <w:sz w:val="32"/>
        </w:rPr>
      </w:pPr>
    </w:p>
    <w:p>
      <w:pPr>
        <w:spacing w:line="360" w:lineRule="auto"/>
        <w:rPr>
          <w:rFonts w:ascii="宋体" w:hAnsi="宋体"/>
          <w:b/>
          <w:sz w:val="32"/>
        </w:rPr>
      </w:pPr>
    </w:p>
    <w:p>
      <w:pPr>
        <w:spacing w:line="360" w:lineRule="auto"/>
        <w:rPr>
          <w:rFonts w:ascii="宋体" w:hAnsi="宋体" w:cs="Arial"/>
          <w:b/>
          <w:sz w:val="32"/>
          <w:szCs w:val="32"/>
        </w:rPr>
      </w:pPr>
    </w:p>
    <w:p>
      <w:pPr>
        <w:spacing w:line="360" w:lineRule="auto"/>
        <w:rPr>
          <w:rFonts w:ascii="宋体" w:hAnsi="宋体"/>
          <w:b/>
          <w:sz w:val="32"/>
        </w:rPr>
      </w:pPr>
      <w:r>
        <w:rPr>
          <w:rFonts w:hint="eastAsia" w:ascii="宋体" w:hAnsi="宋体"/>
          <w:b/>
          <w:sz w:val="32"/>
        </w:rPr>
        <w:t xml:space="preserve">        招   标   人：中理检验有限公司</w:t>
      </w:r>
    </w:p>
    <w:p>
      <w:pPr>
        <w:spacing w:line="360" w:lineRule="auto"/>
        <w:rPr>
          <w:rFonts w:ascii="宋体" w:hAnsi="宋体"/>
          <w:b/>
          <w:sz w:val="32"/>
        </w:rPr>
      </w:pPr>
      <w:r>
        <w:rPr>
          <w:rFonts w:hint="eastAsia" w:ascii="宋体" w:hAnsi="宋体"/>
          <w:b/>
          <w:sz w:val="32"/>
        </w:rPr>
        <w:t xml:space="preserve">        招标代理机构：中国机电工程招标有限公司</w:t>
      </w:r>
    </w:p>
    <w:p>
      <w:pPr>
        <w:spacing w:line="360" w:lineRule="auto"/>
        <w:rPr>
          <w:rFonts w:ascii="宋体" w:hAnsi="宋体"/>
          <w:b/>
          <w:sz w:val="28"/>
          <w:szCs w:val="28"/>
        </w:rPr>
      </w:pPr>
    </w:p>
    <w:p>
      <w:pPr>
        <w:spacing w:line="360" w:lineRule="auto"/>
        <w:jc w:val="center"/>
        <w:rPr>
          <w:rFonts w:ascii="宋体" w:hAnsi="宋体"/>
          <w:b/>
          <w:sz w:val="32"/>
        </w:rPr>
      </w:pPr>
      <w:r>
        <w:rPr>
          <w:rFonts w:hint="eastAsia" w:ascii="宋体" w:hAnsi="宋体"/>
          <w:b/>
          <w:sz w:val="32"/>
        </w:rPr>
        <w:t>2019年7月</w:t>
      </w:r>
    </w:p>
    <w:p>
      <w:pPr>
        <w:spacing w:line="360" w:lineRule="auto"/>
        <w:ind w:firstLine="2339" w:firstLineChars="728"/>
        <w:rPr>
          <w:rFonts w:ascii="宋体" w:hAnsi="宋体"/>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418" w:left="1474" w:header="851" w:footer="992" w:gutter="0"/>
          <w:pgNumType w:start="1"/>
          <w:cols w:space="720" w:num="1"/>
          <w:titlePg/>
          <w:docGrid w:linePitch="312" w:charSpace="0"/>
        </w:sectPr>
      </w:pPr>
    </w:p>
    <w:p>
      <w:pPr>
        <w:spacing w:line="360" w:lineRule="auto"/>
        <w:jc w:val="center"/>
        <w:rPr>
          <w:rFonts w:ascii="宋体" w:hAnsi="宋体"/>
          <w:b/>
          <w:sz w:val="40"/>
          <w:szCs w:val="28"/>
        </w:rPr>
      </w:pPr>
      <w:r>
        <w:rPr>
          <w:rFonts w:hint="eastAsia" w:ascii="宋体" w:hAnsi="宋体"/>
          <w:b/>
          <w:sz w:val="40"/>
          <w:szCs w:val="28"/>
        </w:rPr>
        <w:t>目录</w:t>
      </w:r>
    </w:p>
    <w:p>
      <w:pPr>
        <w:pStyle w:val="42"/>
        <w:tabs>
          <w:tab w:val="right" w:leader="dot" w:pos="8551"/>
        </w:tabs>
        <w:spacing w:line="360" w:lineRule="auto"/>
        <w:rPr>
          <w:rFonts w:ascii="宋体" w:hAnsi="宋体" w:cstheme="minorBidi"/>
          <w:b w:val="0"/>
          <w:bCs w:val="0"/>
          <w:caps w:val="0"/>
          <w:sz w:val="28"/>
          <w:szCs w:val="28"/>
        </w:rPr>
      </w:pPr>
      <w:r>
        <w:rPr>
          <w:rStyle w:val="69"/>
          <w:rFonts w:ascii="宋体" w:hAnsi="宋体"/>
          <w:b w:val="0"/>
          <w:sz w:val="28"/>
          <w:szCs w:val="28"/>
        </w:rPr>
        <w:fldChar w:fldCharType="begin"/>
      </w:r>
      <w:r>
        <w:rPr>
          <w:rStyle w:val="69"/>
          <w:rFonts w:hint="eastAsia" w:ascii="宋体" w:hAnsi="宋体"/>
          <w:b w:val="0"/>
          <w:sz w:val="28"/>
          <w:szCs w:val="28"/>
        </w:rPr>
        <w:instrText xml:space="preserve">TOC \o "1-2" \h \z \u</w:instrText>
      </w:r>
      <w:r>
        <w:rPr>
          <w:rStyle w:val="69"/>
          <w:rFonts w:ascii="宋体" w:hAnsi="宋体"/>
          <w:b w:val="0"/>
          <w:sz w:val="28"/>
          <w:szCs w:val="28"/>
        </w:rPr>
        <w:fldChar w:fldCharType="separate"/>
      </w:r>
      <w:r>
        <w:fldChar w:fldCharType="begin"/>
      </w:r>
      <w:r>
        <w:instrText xml:space="preserve"> HYPERLINK \l "_Toc490062121" </w:instrText>
      </w:r>
      <w:r>
        <w:fldChar w:fldCharType="separate"/>
      </w:r>
      <w:r>
        <w:rPr>
          <w:rStyle w:val="69"/>
          <w:rFonts w:hint="eastAsia" w:ascii="宋体" w:hAnsi="宋体"/>
          <w:b w:val="0"/>
          <w:sz w:val="28"/>
          <w:szCs w:val="28"/>
        </w:rPr>
        <w:t>第一卷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_Toc490062121 \h </w:instrText>
      </w:r>
      <w:r>
        <w:rPr>
          <w:rFonts w:ascii="宋体" w:hAnsi="宋体"/>
          <w:b w:val="0"/>
          <w:sz w:val="28"/>
          <w:szCs w:val="28"/>
        </w:rPr>
        <w:fldChar w:fldCharType="separate"/>
      </w:r>
      <w:r>
        <w:rPr>
          <w:rFonts w:ascii="宋体" w:hAnsi="宋体"/>
          <w:b w:val="0"/>
          <w:sz w:val="28"/>
          <w:szCs w:val="28"/>
        </w:rPr>
        <w:t>2</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"_Toc490062122" </w:instrText>
      </w:r>
      <w:r>
        <w:fldChar w:fldCharType="separate"/>
      </w:r>
      <w:r>
        <w:rPr>
          <w:rStyle w:val="69"/>
          <w:rFonts w:hint="eastAsia" w:ascii="宋体" w:hAnsi="宋体"/>
          <w:b w:val="0"/>
          <w:sz w:val="28"/>
          <w:szCs w:val="28"/>
        </w:rPr>
        <w:t>第一章招标公告</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_Toc490062122 \h </w:instrText>
      </w:r>
      <w:r>
        <w:rPr>
          <w:rFonts w:ascii="宋体" w:hAnsi="宋体"/>
          <w:b w:val="0"/>
          <w:sz w:val="28"/>
          <w:szCs w:val="28"/>
        </w:rPr>
        <w:fldChar w:fldCharType="separate"/>
      </w:r>
      <w:r>
        <w:rPr>
          <w:rFonts w:ascii="宋体" w:hAnsi="宋体"/>
          <w:b w:val="0"/>
          <w:sz w:val="28"/>
          <w:szCs w:val="28"/>
        </w:rPr>
        <w:t>3</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"_Toc490062123" </w:instrText>
      </w:r>
      <w:r>
        <w:fldChar w:fldCharType="separate"/>
      </w:r>
      <w:r>
        <w:rPr>
          <w:rStyle w:val="69"/>
          <w:rFonts w:hint="eastAsia" w:ascii="宋体" w:hAnsi="宋体"/>
          <w:b w:val="0"/>
          <w:sz w:val="28"/>
          <w:szCs w:val="28"/>
        </w:rPr>
        <w:t>第二章投标人须知</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_Toc490062123 \h </w:instrText>
      </w:r>
      <w:r>
        <w:rPr>
          <w:rFonts w:ascii="宋体" w:hAnsi="宋体"/>
          <w:b w:val="0"/>
          <w:sz w:val="28"/>
          <w:szCs w:val="28"/>
        </w:rPr>
        <w:fldChar w:fldCharType="separate"/>
      </w:r>
      <w:r>
        <w:rPr>
          <w:rFonts w:ascii="宋体" w:hAnsi="宋体"/>
          <w:b w:val="0"/>
          <w:sz w:val="28"/>
          <w:szCs w:val="28"/>
        </w:rPr>
        <w:t>5</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"_Toc490062124" </w:instrText>
      </w:r>
      <w:r>
        <w:fldChar w:fldCharType="separate"/>
      </w:r>
      <w:r>
        <w:rPr>
          <w:rStyle w:val="69"/>
          <w:rFonts w:hint="eastAsia" w:ascii="宋体" w:hAnsi="宋体"/>
          <w:b w:val="0"/>
          <w:sz w:val="28"/>
          <w:szCs w:val="28"/>
        </w:rPr>
        <w:t>第三章评标办法</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_Toc490062124 \h </w:instrText>
      </w:r>
      <w:r>
        <w:rPr>
          <w:rFonts w:ascii="宋体" w:hAnsi="宋体"/>
          <w:b w:val="0"/>
          <w:sz w:val="28"/>
          <w:szCs w:val="28"/>
        </w:rPr>
        <w:fldChar w:fldCharType="separate"/>
      </w:r>
      <w:r>
        <w:rPr>
          <w:rFonts w:ascii="宋体" w:hAnsi="宋体"/>
          <w:b w:val="0"/>
          <w:sz w:val="28"/>
          <w:szCs w:val="28"/>
        </w:rPr>
        <w:t>25</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"_Toc490062125" </w:instrText>
      </w:r>
      <w:r>
        <w:fldChar w:fldCharType="separate"/>
      </w:r>
      <w:r>
        <w:rPr>
          <w:rStyle w:val="69"/>
          <w:rFonts w:hint="eastAsia" w:ascii="宋体" w:hAnsi="宋体"/>
          <w:b w:val="0"/>
          <w:sz w:val="28"/>
          <w:szCs w:val="28"/>
        </w:rPr>
        <w:t>第二卷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_Toc490062125 \h </w:instrText>
      </w:r>
      <w:r>
        <w:rPr>
          <w:rFonts w:ascii="宋体" w:hAnsi="宋体"/>
          <w:b w:val="0"/>
          <w:sz w:val="28"/>
          <w:szCs w:val="28"/>
        </w:rPr>
        <w:fldChar w:fldCharType="separate"/>
      </w:r>
      <w:r>
        <w:rPr>
          <w:rFonts w:ascii="宋体" w:hAnsi="宋体"/>
          <w:b w:val="0"/>
          <w:sz w:val="28"/>
          <w:szCs w:val="28"/>
        </w:rPr>
        <w:t>29</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"_Toc490062126" </w:instrText>
      </w:r>
      <w:r>
        <w:fldChar w:fldCharType="separate"/>
      </w:r>
      <w:r>
        <w:rPr>
          <w:rStyle w:val="69"/>
          <w:rFonts w:hint="eastAsia" w:ascii="宋体" w:hAnsi="宋体"/>
          <w:b w:val="0"/>
          <w:sz w:val="28"/>
          <w:szCs w:val="28"/>
        </w:rPr>
        <w:t>第四章设计文件及资料</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_Toc490062126 \h </w:instrText>
      </w:r>
      <w:r>
        <w:rPr>
          <w:rFonts w:ascii="宋体" w:hAnsi="宋体"/>
          <w:b w:val="0"/>
          <w:sz w:val="28"/>
          <w:szCs w:val="28"/>
        </w:rPr>
        <w:fldChar w:fldCharType="separate"/>
      </w:r>
      <w:r>
        <w:rPr>
          <w:rFonts w:ascii="宋体" w:hAnsi="宋体"/>
          <w:b w:val="0"/>
          <w:sz w:val="28"/>
          <w:szCs w:val="28"/>
        </w:rPr>
        <w:t>30</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"_Toc490062127" </w:instrText>
      </w:r>
      <w:r>
        <w:fldChar w:fldCharType="separate"/>
      </w:r>
      <w:r>
        <w:rPr>
          <w:rStyle w:val="69"/>
          <w:rFonts w:hint="eastAsia" w:ascii="宋体" w:hAnsi="宋体"/>
          <w:b w:val="0"/>
          <w:sz w:val="28"/>
          <w:szCs w:val="28"/>
        </w:rPr>
        <w:t>第五章技术标准和要求</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_Toc490062127 \h </w:instrText>
      </w:r>
      <w:r>
        <w:rPr>
          <w:rFonts w:ascii="宋体" w:hAnsi="宋体"/>
          <w:b w:val="0"/>
          <w:sz w:val="28"/>
          <w:szCs w:val="28"/>
        </w:rPr>
        <w:fldChar w:fldCharType="separate"/>
      </w:r>
      <w:r>
        <w:rPr>
          <w:rFonts w:ascii="宋体" w:hAnsi="宋体"/>
          <w:b w:val="0"/>
          <w:sz w:val="28"/>
          <w:szCs w:val="28"/>
        </w:rPr>
        <w:t>31</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"_Toc490062128" </w:instrText>
      </w:r>
      <w:r>
        <w:fldChar w:fldCharType="separate"/>
      </w:r>
      <w:r>
        <w:rPr>
          <w:rStyle w:val="69"/>
          <w:rFonts w:hint="eastAsia" w:ascii="宋体" w:hAnsi="宋体"/>
          <w:b w:val="0"/>
          <w:sz w:val="28"/>
          <w:szCs w:val="28"/>
        </w:rPr>
        <w:t>第三卷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_Toc490062128 \h </w:instrText>
      </w:r>
      <w:r>
        <w:rPr>
          <w:rFonts w:ascii="宋体" w:hAnsi="宋体"/>
          <w:b w:val="0"/>
          <w:sz w:val="28"/>
          <w:szCs w:val="28"/>
        </w:rPr>
        <w:fldChar w:fldCharType="separate"/>
      </w:r>
      <w:r>
        <w:rPr>
          <w:rFonts w:ascii="宋体" w:hAnsi="宋体"/>
          <w:b w:val="0"/>
          <w:sz w:val="28"/>
          <w:szCs w:val="28"/>
        </w:rPr>
        <w:t>42</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"_Toc490062129" </w:instrText>
      </w:r>
      <w:r>
        <w:fldChar w:fldCharType="separate"/>
      </w:r>
      <w:r>
        <w:rPr>
          <w:rStyle w:val="69"/>
          <w:rFonts w:hint="eastAsia" w:ascii="宋体" w:hAnsi="宋体"/>
          <w:b w:val="0"/>
          <w:sz w:val="28"/>
          <w:szCs w:val="28"/>
        </w:rPr>
        <w:t>第六章报价要求及其他关键性要求</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_Toc490062129 \h </w:instrText>
      </w:r>
      <w:r>
        <w:rPr>
          <w:rFonts w:ascii="宋体" w:hAnsi="宋体"/>
          <w:b w:val="0"/>
          <w:sz w:val="28"/>
          <w:szCs w:val="28"/>
        </w:rPr>
        <w:fldChar w:fldCharType="separate"/>
      </w:r>
      <w:r>
        <w:rPr>
          <w:rFonts w:ascii="宋体" w:hAnsi="宋体"/>
          <w:b w:val="0"/>
          <w:sz w:val="28"/>
          <w:szCs w:val="28"/>
        </w:rPr>
        <w:t>43</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"_Toc490062130" </w:instrText>
      </w:r>
      <w:r>
        <w:fldChar w:fldCharType="separate"/>
      </w:r>
      <w:r>
        <w:rPr>
          <w:rStyle w:val="69"/>
          <w:rFonts w:hint="eastAsia" w:ascii="宋体" w:hAnsi="宋体"/>
          <w:b w:val="0"/>
          <w:sz w:val="28"/>
          <w:szCs w:val="28"/>
        </w:rPr>
        <w:t>第四卷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_Toc490062130 \h </w:instrText>
      </w:r>
      <w:r>
        <w:rPr>
          <w:rFonts w:ascii="宋体" w:hAnsi="宋体"/>
          <w:b w:val="0"/>
          <w:sz w:val="28"/>
          <w:szCs w:val="28"/>
        </w:rPr>
        <w:fldChar w:fldCharType="separate"/>
      </w:r>
      <w:r>
        <w:rPr>
          <w:rFonts w:ascii="宋体" w:hAnsi="宋体"/>
          <w:b w:val="0"/>
          <w:sz w:val="28"/>
          <w:szCs w:val="28"/>
        </w:rPr>
        <w:t>44</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"_Toc490062131" </w:instrText>
      </w:r>
      <w:r>
        <w:fldChar w:fldCharType="separate"/>
      </w:r>
      <w:r>
        <w:rPr>
          <w:rStyle w:val="69"/>
          <w:rFonts w:hint="eastAsia" w:ascii="宋体" w:hAnsi="宋体"/>
          <w:b w:val="0"/>
          <w:sz w:val="28"/>
          <w:szCs w:val="28"/>
        </w:rPr>
        <w:t>第七章合同条款及格式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_Toc490062131 \h </w:instrText>
      </w:r>
      <w:r>
        <w:rPr>
          <w:rFonts w:ascii="宋体" w:hAnsi="宋体"/>
          <w:b w:val="0"/>
          <w:sz w:val="28"/>
          <w:szCs w:val="28"/>
        </w:rPr>
        <w:fldChar w:fldCharType="separate"/>
      </w:r>
      <w:r>
        <w:rPr>
          <w:rFonts w:ascii="宋体" w:hAnsi="宋体"/>
          <w:b w:val="0"/>
          <w:sz w:val="28"/>
          <w:szCs w:val="28"/>
        </w:rPr>
        <w:t>45</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"_Toc490062154" </w:instrText>
      </w:r>
      <w:r>
        <w:fldChar w:fldCharType="separate"/>
      </w:r>
      <w:r>
        <w:rPr>
          <w:rStyle w:val="69"/>
          <w:rFonts w:hint="eastAsia" w:ascii="宋体" w:hAnsi="宋体"/>
          <w:b w:val="0"/>
          <w:sz w:val="28"/>
          <w:szCs w:val="28"/>
        </w:rPr>
        <w:t>第五卷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_Toc490062154 \h </w:instrText>
      </w:r>
      <w:r>
        <w:rPr>
          <w:rFonts w:ascii="宋体" w:hAnsi="宋体"/>
          <w:b w:val="0"/>
          <w:sz w:val="28"/>
          <w:szCs w:val="28"/>
        </w:rPr>
        <w:fldChar w:fldCharType="separate"/>
      </w:r>
      <w:r>
        <w:rPr>
          <w:rFonts w:ascii="宋体" w:hAnsi="宋体"/>
          <w:b w:val="0"/>
          <w:sz w:val="28"/>
          <w:szCs w:val="28"/>
        </w:rPr>
        <w:t>48</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Fonts w:ascii="宋体" w:hAnsi="宋体" w:cstheme="minorBidi"/>
          <w:b w:val="0"/>
          <w:bCs w:val="0"/>
          <w:caps w:val="0"/>
          <w:sz w:val="28"/>
          <w:szCs w:val="28"/>
        </w:rPr>
      </w:pPr>
      <w:r>
        <w:fldChar w:fldCharType="begin"/>
      </w:r>
      <w:r>
        <w:instrText xml:space="preserve"> HYPERLINK \l "_Toc490062155" </w:instrText>
      </w:r>
      <w:r>
        <w:fldChar w:fldCharType="separate"/>
      </w:r>
      <w:r>
        <w:rPr>
          <w:rStyle w:val="69"/>
          <w:rFonts w:hint="eastAsia" w:ascii="宋体" w:hAnsi="宋体"/>
          <w:b w:val="0"/>
          <w:sz w:val="28"/>
          <w:szCs w:val="28"/>
        </w:rPr>
        <w:t>第八章投标文件格式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_Toc490062155 \h </w:instrText>
      </w:r>
      <w:r>
        <w:rPr>
          <w:rFonts w:ascii="宋体" w:hAnsi="宋体"/>
          <w:b w:val="0"/>
          <w:sz w:val="28"/>
          <w:szCs w:val="28"/>
        </w:rPr>
        <w:fldChar w:fldCharType="separate"/>
      </w:r>
      <w:r>
        <w:rPr>
          <w:rFonts w:ascii="宋体" w:hAnsi="宋体"/>
          <w:b w:val="0"/>
          <w:sz w:val="28"/>
          <w:szCs w:val="28"/>
        </w:rPr>
        <w:t>49</w:t>
      </w:r>
      <w:r>
        <w:rPr>
          <w:rFonts w:ascii="宋体" w:hAnsi="宋体"/>
          <w:b w:val="0"/>
          <w:sz w:val="28"/>
          <w:szCs w:val="28"/>
        </w:rPr>
        <w:fldChar w:fldCharType="end"/>
      </w:r>
      <w:r>
        <w:rPr>
          <w:rFonts w:ascii="宋体" w:hAnsi="宋体"/>
          <w:b w:val="0"/>
          <w:sz w:val="28"/>
          <w:szCs w:val="28"/>
        </w:rPr>
        <w:fldChar w:fldCharType="end"/>
      </w:r>
    </w:p>
    <w:p>
      <w:pPr>
        <w:pStyle w:val="42"/>
        <w:tabs>
          <w:tab w:val="right" w:leader="dot" w:pos="8551"/>
        </w:tabs>
        <w:spacing w:line="360" w:lineRule="auto"/>
        <w:rPr>
          <w:rStyle w:val="69"/>
          <w:rFonts w:ascii="宋体" w:hAnsi="宋体"/>
          <w:sz w:val="21"/>
          <w:szCs w:val="21"/>
        </w:rPr>
      </w:pPr>
      <w:r>
        <w:rPr>
          <w:rStyle w:val="69"/>
          <w:rFonts w:ascii="宋体" w:hAnsi="宋体"/>
          <w:b w:val="0"/>
          <w:sz w:val="28"/>
          <w:szCs w:val="28"/>
        </w:rPr>
        <w:fldChar w:fldCharType="end"/>
      </w:r>
    </w:p>
    <w:p>
      <w:pPr>
        <w:spacing w:line="360" w:lineRule="auto"/>
        <w:ind w:leftChars="-1" w:right="-82" w:rightChars="-39" w:hanging="2"/>
        <w:rPr>
          <w:rFonts w:ascii="宋体" w:hAnsi="宋体"/>
          <w:bCs/>
          <w:szCs w:val="21"/>
        </w:rPr>
        <w:sectPr>
          <w:footerReference r:id="rId10" w:type="first"/>
          <w:footerReference r:id="rId9" w:type="even"/>
          <w:pgSz w:w="11906" w:h="16838"/>
          <w:pgMar w:top="1418" w:right="1474" w:bottom="1418" w:left="1474" w:header="851" w:footer="851" w:gutter="397"/>
          <w:pgNumType w:start="1"/>
          <w:cols w:space="425" w:num="1"/>
          <w:titlePg/>
          <w:docGrid w:linePitch="312" w:charSpace="0"/>
        </w:sectPr>
      </w:pPr>
    </w:p>
    <w:p>
      <w:pPr>
        <w:spacing w:line="360" w:lineRule="auto"/>
        <w:ind w:leftChars="-1" w:right="-82" w:rightChars="-39" w:hanging="2"/>
        <w:rPr>
          <w:rFonts w:ascii="宋体" w:hAnsi="宋体"/>
          <w:bCs/>
          <w:sz w:val="32"/>
          <w:szCs w:val="32"/>
        </w:rPr>
      </w:pPr>
    </w:p>
    <w:p>
      <w:pPr>
        <w:spacing w:line="360" w:lineRule="auto"/>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pStyle w:val="56"/>
        <w:rPr>
          <w:rFonts w:ascii="宋体" w:hAnsi="宋体"/>
          <w:b w:val="0"/>
          <w:sz w:val="48"/>
          <w:szCs w:val="48"/>
        </w:rPr>
      </w:pPr>
      <w:bookmarkStart w:id="0" w:name="_Toc490062121"/>
      <w:r>
        <w:rPr>
          <w:rFonts w:hint="eastAsia" w:ascii="宋体" w:hAnsi="宋体"/>
          <w:b w:val="0"/>
          <w:sz w:val="48"/>
          <w:szCs w:val="48"/>
        </w:rPr>
        <w:t>第一卷</w:t>
      </w:r>
      <w:bookmarkEnd w:id="0"/>
    </w:p>
    <w:p>
      <w:pPr>
        <w:spacing w:beforeLines="100" w:afterLines="100" w:line="360" w:lineRule="auto"/>
        <w:jc w:val="center"/>
        <w:outlineLvl w:val="0"/>
        <w:rPr>
          <w:rFonts w:ascii="宋体" w:hAnsi="宋体"/>
          <w:b/>
          <w:sz w:val="32"/>
          <w:szCs w:val="32"/>
        </w:rPr>
      </w:pPr>
      <w:r>
        <w:rPr>
          <w:rFonts w:ascii="宋体" w:hAnsi="宋体"/>
          <w:sz w:val="32"/>
          <w:szCs w:val="32"/>
        </w:rPr>
        <w:br w:type="page"/>
      </w:r>
      <w:bookmarkStart w:id="1" w:name="_Toc490062122"/>
      <w:r>
        <w:rPr>
          <w:rFonts w:hint="eastAsia" w:ascii="宋体" w:hAnsi="宋体"/>
          <w:b/>
          <w:sz w:val="32"/>
          <w:szCs w:val="32"/>
        </w:rPr>
        <w:t>第一章招标公告</w:t>
      </w:r>
      <w:bookmarkEnd w:id="1"/>
    </w:p>
    <w:p>
      <w:pPr>
        <w:spacing w:line="360" w:lineRule="auto"/>
        <w:jc w:val="center"/>
        <w:rPr>
          <w:rFonts w:ascii="宋体" w:hAnsi="宋体"/>
          <w:b/>
          <w:sz w:val="28"/>
          <w:szCs w:val="28"/>
        </w:rPr>
      </w:pPr>
      <w:r>
        <w:rPr>
          <w:rFonts w:hint="eastAsia" w:ascii="宋体" w:hAnsi="宋体"/>
          <w:b/>
          <w:sz w:val="28"/>
          <w:szCs w:val="28"/>
        </w:rPr>
        <w:t>中理检验有限公司张家港实验室装修工程招标公告</w:t>
      </w:r>
    </w:p>
    <w:p>
      <w:pPr>
        <w:spacing w:line="360" w:lineRule="auto"/>
        <w:jc w:val="right"/>
        <w:rPr>
          <w:rFonts w:hint="eastAsia" w:ascii="宋体" w:hAnsi="宋体" w:eastAsia="宋体"/>
          <w:b/>
          <w:szCs w:val="21"/>
          <w:lang w:eastAsia="zh-CN"/>
        </w:rPr>
      </w:pPr>
      <w:r>
        <w:rPr>
          <w:rFonts w:hint="eastAsia" w:ascii="宋体" w:hAnsi="宋体"/>
          <w:b/>
          <w:szCs w:val="21"/>
        </w:rPr>
        <w:t>招标编号：CMEETC-197VI213KK11</w:t>
      </w:r>
      <w:r>
        <w:rPr>
          <w:rFonts w:hint="eastAsia" w:ascii="宋体" w:hAnsi="宋体"/>
          <w:b/>
          <w:szCs w:val="21"/>
          <w:lang w:val="en-US" w:eastAsia="zh-CN"/>
        </w:rPr>
        <w:t>5</w:t>
      </w:r>
    </w:p>
    <w:p>
      <w:pPr>
        <w:spacing w:line="360" w:lineRule="auto"/>
        <w:jc w:val="center"/>
        <w:rPr>
          <w:rFonts w:ascii="宋体" w:hAnsi="宋体"/>
          <w:b/>
          <w:sz w:val="28"/>
          <w:szCs w:val="28"/>
        </w:rPr>
      </w:pPr>
      <w:bookmarkStart w:id="320" w:name="_GoBack"/>
      <w:bookmarkEnd w:id="320"/>
    </w:p>
    <w:p>
      <w:pPr>
        <w:spacing w:line="360" w:lineRule="auto"/>
        <w:rPr>
          <w:rFonts w:ascii="宋体" w:hAnsi="宋体"/>
          <w:b/>
        </w:rPr>
      </w:pPr>
      <w:bookmarkStart w:id="2" w:name="_Toc309246784"/>
      <w:bookmarkStart w:id="3" w:name="_Toc378166523"/>
      <w:bookmarkStart w:id="4" w:name="_Toc309246652"/>
      <w:bookmarkStart w:id="5" w:name="_Toc309244626"/>
      <w:bookmarkStart w:id="6" w:name="_Toc309305497"/>
      <w:bookmarkStart w:id="7" w:name="_Toc475633961"/>
      <w:r>
        <w:rPr>
          <w:rFonts w:hint="eastAsia" w:ascii="宋体" w:hAnsi="宋体"/>
          <w:b/>
        </w:rPr>
        <w:t>一、</w:t>
      </w:r>
      <w:bookmarkEnd w:id="2"/>
      <w:bookmarkEnd w:id="3"/>
      <w:bookmarkEnd w:id="4"/>
      <w:bookmarkEnd w:id="5"/>
      <w:bookmarkEnd w:id="6"/>
      <w:r>
        <w:rPr>
          <w:rFonts w:hint="eastAsia" w:ascii="宋体" w:hAnsi="宋体"/>
          <w:b/>
        </w:rPr>
        <w:t>项目背景及概况</w:t>
      </w:r>
      <w:bookmarkEnd w:id="7"/>
    </w:p>
    <w:p>
      <w:pPr>
        <w:spacing w:line="360" w:lineRule="auto"/>
        <w:rPr>
          <w:rFonts w:ascii="宋体" w:hAnsi="宋体"/>
        </w:rPr>
      </w:pPr>
      <w:r>
        <w:rPr>
          <w:rFonts w:hint="eastAsia" w:ascii="宋体" w:hAnsi="宋体"/>
        </w:rPr>
        <w:t>1、项目背景</w:t>
      </w:r>
    </w:p>
    <w:p>
      <w:pPr>
        <w:spacing w:line="360" w:lineRule="auto"/>
        <w:ind w:firstLine="420" w:firstLineChars="200"/>
        <w:rPr>
          <w:rFonts w:ascii="宋体" w:hAnsi="宋体"/>
        </w:rPr>
      </w:pPr>
      <w:r>
        <w:rPr>
          <w:rFonts w:hint="eastAsia" w:ascii="宋体" w:hAnsi="宋体"/>
        </w:rPr>
        <w:t>中理检验有限公司张家港实验室装修工程</w:t>
      </w:r>
      <w:r>
        <w:rPr>
          <w:rFonts w:ascii="宋体" w:hAnsi="宋体"/>
        </w:rPr>
        <w:t>项目</w:t>
      </w:r>
      <w:r>
        <w:rPr>
          <w:rFonts w:hint="eastAsia" w:ascii="宋体" w:hAnsi="宋体"/>
        </w:rPr>
        <w:t>已经立项批准建设</w:t>
      </w:r>
      <w:r>
        <w:rPr>
          <w:rFonts w:hint="eastAsia" w:ascii="宋体" w:hAnsi="宋体" w:cs="宋体"/>
        </w:rPr>
        <w:t>，资金自筹已落实，具备招标条件，现对其进行公开招标。</w:t>
      </w:r>
    </w:p>
    <w:p>
      <w:pPr>
        <w:spacing w:line="360" w:lineRule="auto"/>
        <w:rPr>
          <w:rFonts w:ascii="宋体" w:hAnsi="宋体"/>
          <w:bCs/>
        </w:rPr>
      </w:pPr>
      <w:r>
        <w:rPr>
          <w:rFonts w:hint="eastAsia" w:ascii="宋体" w:hAnsi="宋体"/>
          <w:bCs/>
        </w:rPr>
        <w:t>2、项目情况：</w:t>
      </w:r>
    </w:p>
    <w:p>
      <w:pPr>
        <w:spacing w:line="360" w:lineRule="auto"/>
        <w:rPr>
          <w:rFonts w:ascii="宋体" w:hAnsi="宋体"/>
          <w:bCs/>
        </w:rPr>
      </w:pPr>
      <w:r>
        <w:rPr>
          <w:rFonts w:hint="eastAsia" w:ascii="宋体" w:hAnsi="宋体"/>
          <w:bCs/>
        </w:rPr>
        <w:t xml:space="preserve">工程规模：建筑面积150平方米。 </w:t>
      </w:r>
    </w:p>
    <w:p>
      <w:pPr>
        <w:spacing w:line="360" w:lineRule="auto"/>
        <w:rPr>
          <w:rFonts w:ascii="宋体" w:hAnsi="宋体"/>
          <w:bCs/>
        </w:rPr>
      </w:pPr>
      <w:r>
        <w:rPr>
          <w:rFonts w:hint="eastAsia" w:ascii="宋体" w:hAnsi="宋体"/>
          <w:bCs/>
        </w:rPr>
        <w:t>3、招标范围：</w:t>
      </w:r>
    </w:p>
    <w:tbl>
      <w:tblPr>
        <w:tblStyle w:val="60"/>
        <w:tblW w:w="85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7"/>
        <w:gridCol w:w="929"/>
        <w:gridCol w:w="4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850" w:type="dxa"/>
            <w:vAlign w:val="center"/>
          </w:tcPr>
          <w:p>
            <w:pPr>
              <w:spacing w:line="360" w:lineRule="auto"/>
              <w:jc w:val="center"/>
              <w:rPr>
                <w:rFonts w:ascii="宋体" w:hAnsi="宋体" w:cs="宋体"/>
                <w:szCs w:val="21"/>
              </w:rPr>
            </w:pPr>
            <w:bookmarkStart w:id="8" w:name="_Toc309246786"/>
            <w:bookmarkStart w:id="9" w:name="_Toc309246654"/>
            <w:bookmarkStart w:id="10" w:name="_Toc475633964"/>
            <w:bookmarkStart w:id="11" w:name="_Toc309305499"/>
            <w:bookmarkStart w:id="12" w:name="_Toc378166525"/>
            <w:bookmarkStart w:id="13" w:name="_Toc309244628"/>
            <w:r>
              <w:rPr>
                <w:rFonts w:hint="eastAsia" w:ascii="宋体" w:hAnsi="宋体" w:cs="宋体"/>
                <w:szCs w:val="21"/>
              </w:rPr>
              <w:t>项目</w:t>
            </w:r>
          </w:p>
        </w:tc>
        <w:tc>
          <w:tcPr>
            <w:tcW w:w="2667" w:type="dxa"/>
            <w:vAlign w:val="center"/>
          </w:tcPr>
          <w:p>
            <w:pPr>
              <w:pStyle w:val="475"/>
              <w:spacing w:line="360" w:lineRule="auto"/>
              <w:jc w:val="center"/>
              <w:rPr>
                <w:rFonts w:ascii="宋体" w:hAnsi="宋体" w:cs="宋体"/>
                <w:kern w:val="0"/>
                <w:sz w:val="21"/>
                <w:szCs w:val="21"/>
              </w:rPr>
            </w:pPr>
            <w:r>
              <w:rPr>
                <w:rFonts w:hint="eastAsia" w:ascii="宋体" w:hAnsi="宋体" w:cs="宋体"/>
                <w:sz w:val="21"/>
                <w:szCs w:val="21"/>
              </w:rPr>
              <w:t>货物名称</w:t>
            </w:r>
          </w:p>
        </w:tc>
        <w:tc>
          <w:tcPr>
            <w:tcW w:w="929" w:type="dxa"/>
            <w:vAlign w:val="center"/>
          </w:tcPr>
          <w:p>
            <w:pPr>
              <w:spacing w:line="360" w:lineRule="auto"/>
              <w:jc w:val="center"/>
              <w:rPr>
                <w:rFonts w:ascii="宋体" w:hAnsi="宋体" w:cs="宋体"/>
                <w:kern w:val="0"/>
                <w:szCs w:val="21"/>
              </w:rPr>
            </w:pPr>
            <w:r>
              <w:rPr>
                <w:rFonts w:hint="eastAsia" w:ascii="宋体" w:hAnsi="宋体" w:cs="宋体"/>
                <w:szCs w:val="21"/>
              </w:rPr>
              <w:t>数 量</w:t>
            </w:r>
          </w:p>
        </w:tc>
        <w:tc>
          <w:tcPr>
            <w:tcW w:w="4140" w:type="dxa"/>
            <w:vAlign w:val="center"/>
          </w:tcPr>
          <w:p>
            <w:pPr>
              <w:spacing w:line="360" w:lineRule="auto"/>
              <w:jc w:val="center"/>
              <w:rPr>
                <w:rFonts w:ascii="宋体" w:hAnsi="宋体" w:cs="宋体"/>
                <w:kern w:val="0"/>
                <w:szCs w:val="21"/>
              </w:rPr>
            </w:pPr>
            <w:r>
              <w:rPr>
                <w:rFonts w:hint="eastAsia" w:ascii="宋体" w:hAnsi="宋体" w:cs="宋体"/>
                <w:szCs w:val="21"/>
              </w:rPr>
              <w:t>用途及主要技术规格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850"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2667" w:type="dxa"/>
            <w:vAlign w:val="center"/>
          </w:tcPr>
          <w:p>
            <w:pPr>
              <w:pStyle w:val="475"/>
              <w:spacing w:line="240" w:lineRule="atLeast"/>
              <w:rPr>
                <w:rFonts w:ascii="宋体" w:hAnsi="宋体" w:cs="宋体"/>
                <w:sz w:val="21"/>
                <w:szCs w:val="21"/>
              </w:rPr>
            </w:pPr>
            <w:r>
              <w:rPr>
                <w:rFonts w:hint="eastAsia" w:ascii="宋体" w:hAnsi="宋体" w:cs="宋体"/>
                <w:sz w:val="21"/>
                <w:szCs w:val="21"/>
              </w:rPr>
              <w:t>实验室室内场地装修</w:t>
            </w:r>
          </w:p>
        </w:tc>
        <w:tc>
          <w:tcPr>
            <w:tcW w:w="929"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4140" w:type="dxa"/>
            <w:vAlign w:val="center"/>
          </w:tcPr>
          <w:p>
            <w:pPr>
              <w:spacing w:line="300" w:lineRule="exact"/>
              <w:jc w:val="center"/>
              <w:rPr>
                <w:rFonts w:ascii="宋体" w:hAnsi="宋体" w:cs="宋体"/>
                <w:szCs w:val="21"/>
              </w:rPr>
            </w:pPr>
            <w:r>
              <w:rPr>
                <w:rFonts w:hint="eastAsia" w:ascii="宋体" w:hAnsi="宋体" w:cs="宋体"/>
                <w:szCs w:val="21"/>
              </w:rPr>
              <w:t>详见《表B 产品技术规格和要求表》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850" w:type="dxa"/>
            <w:vAlign w:val="center"/>
          </w:tcPr>
          <w:p>
            <w:pPr>
              <w:spacing w:line="300" w:lineRule="exact"/>
              <w:jc w:val="center"/>
              <w:rPr>
                <w:rFonts w:ascii="宋体" w:hAnsi="宋体" w:cs="宋体"/>
                <w:szCs w:val="21"/>
              </w:rPr>
            </w:pPr>
            <w:r>
              <w:rPr>
                <w:rFonts w:hint="eastAsia" w:ascii="宋体" w:hAnsi="宋体" w:cs="宋体"/>
                <w:szCs w:val="21"/>
              </w:rPr>
              <w:t>2</w:t>
            </w:r>
          </w:p>
        </w:tc>
        <w:tc>
          <w:tcPr>
            <w:tcW w:w="2667" w:type="dxa"/>
            <w:vAlign w:val="center"/>
          </w:tcPr>
          <w:p>
            <w:pPr>
              <w:pStyle w:val="475"/>
              <w:spacing w:line="240" w:lineRule="atLeast"/>
              <w:rPr>
                <w:rFonts w:ascii="宋体" w:hAnsi="宋体" w:cs="宋体"/>
                <w:sz w:val="21"/>
                <w:szCs w:val="21"/>
              </w:rPr>
            </w:pPr>
            <w:r>
              <w:rPr>
                <w:rFonts w:hint="eastAsia" w:ascii="宋体" w:hAnsi="宋体" w:cs="宋体"/>
                <w:sz w:val="21"/>
                <w:szCs w:val="21"/>
              </w:rPr>
              <w:t>实验室家具装修</w:t>
            </w:r>
          </w:p>
        </w:tc>
        <w:tc>
          <w:tcPr>
            <w:tcW w:w="929"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4140" w:type="dxa"/>
            <w:vAlign w:val="center"/>
          </w:tcPr>
          <w:p>
            <w:pPr>
              <w:spacing w:line="300" w:lineRule="exact"/>
              <w:jc w:val="center"/>
              <w:rPr>
                <w:rFonts w:ascii="宋体" w:hAnsi="宋体" w:cs="宋体"/>
                <w:szCs w:val="21"/>
              </w:rPr>
            </w:pPr>
            <w:r>
              <w:rPr>
                <w:rFonts w:hint="eastAsia" w:ascii="宋体" w:hAnsi="宋体" w:cs="宋体"/>
                <w:szCs w:val="21"/>
              </w:rPr>
              <w:t>详见《表B 产品技术规格和要求表》</w:t>
            </w:r>
          </w:p>
        </w:tc>
      </w:tr>
    </w:tbl>
    <w:p>
      <w:pPr>
        <w:spacing w:line="360" w:lineRule="auto"/>
        <w:rPr>
          <w:rFonts w:ascii="宋体" w:hAnsi="宋体"/>
          <w:bCs/>
        </w:rPr>
      </w:pPr>
      <w:r>
        <w:rPr>
          <w:rFonts w:hint="eastAsia" w:ascii="宋体" w:hAnsi="宋体"/>
          <w:bCs/>
        </w:rPr>
        <w:t>4、质保期：1年。</w:t>
      </w:r>
    </w:p>
    <w:p>
      <w:pPr>
        <w:spacing w:line="360" w:lineRule="auto"/>
        <w:rPr>
          <w:rFonts w:ascii="宋体" w:hAnsi="宋体"/>
          <w:b/>
        </w:rPr>
      </w:pPr>
      <w:r>
        <w:rPr>
          <w:rFonts w:hint="eastAsia" w:ascii="宋体" w:hAnsi="宋体"/>
          <w:b/>
        </w:rPr>
        <w:t>二、投标人资格要求</w:t>
      </w:r>
      <w:bookmarkEnd w:id="8"/>
      <w:bookmarkEnd w:id="9"/>
      <w:bookmarkEnd w:id="10"/>
      <w:bookmarkEnd w:id="11"/>
      <w:bookmarkEnd w:id="12"/>
      <w:bookmarkEnd w:id="13"/>
      <w:bookmarkStart w:id="14" w:name="_Toc309246787"/>
      <w:bookmarkStart w:id="15" w:name="_Toc475633965"/>
      <w:bookmarkStart w:id="16" w:name="_Toc309246655"/>
      <w:bookmarkStart w:id="17" w:name="_Toc309305500"/>
      <w:bookmarkStart w:id="18" w:name="_Toc309244629"/>
      <w:bookmarkStart w:id="19" w:name="_Toc37816652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（1）本项目不接受联合体投标。不接受单位负责人为同一人或者存在控股、管理关系的不同单位参加本项目的投标。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（2）本次招标要求投标人具备：具有商检机构实验室装修业绩3个（含）以上。</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（3）要求近三年（2016、2017、2018）内未发生安全生产事故、严重环境事件和较大及以上质量事故；</w:t>
      </w:r>
    </w:p>
    <w:bookmarkEnd w:id="14"/>
    <w:bookmarkEnd w:id="15"/>
    <w:bookmarkEnd w:id="16"/>
    <w:bookmarkEnd w:id="17"/>
    <w:bookmarkEnd w:id="18"/>
    <w:bookmarkEnd w:id="19"/>
    <w:p>
      <w:pPr>
        <w:spacing w:line="360" w:lineRule="auto"/>
        <w:rPr>
          <w:rFonts w:ascii="宋体" w:hAnsi="宋体"/>
          <w:b/>
        </w:rPr>
      </w:pPr>
      <w:r>
        <w:rPr>
          <w:rFonts w:hint="eastAsia" w:ascii="宋体" w:hAnsi="宋体"/>
          <w:b/>
        </w:rPr>
        <w:t>三、招标文件的获取</w:t>
      </w:r>
    </w:p>
    <w:p>
      <w:pPr>
        <w:spacing w:line="360" w:lineRule="auto"/>
        <w:ind w:firstLine="420" w:firstLineChars="200"/>
        <w:rPr>
          <w:rFonts w:ascii="宋体" w:hAnsi="宋体"/>
        </w:rPr>
      </w:pPr>
      <w:bookmarkStart w:id="20" w:name="_Toc393368896"/>
      <w:r>
        <w:rPr>
          <w:rFonts w:hint="eastAsia" w:ascii="宋体" w:hAnsi="宋体"/>
        </w:rPr>
        <w:t>招标文件发售开始时间：2019-07-0</w:t>
      </w:r>
      <w:r>
        <w:rPr>
          <w:rFonts w:hint="eastAsia" w:ascii="宋体" w:hAnsi="宋体"/>
          <w:lang w:val="en-US" w:eastAsia="zh-CN"/>
        </w:rPr>
        <w:t>8</w:t>
      </w:r>
      <w:r>
        <w:rPr>
          <w:rFonts w:hint="eastAsia" w:ascii="宋体" w:hAnsi="宋体"/>
        </w:rPr>
        <w:t xml:space="preserve"> 09:00:00.0</w:t>
      </w:r>
    </w:p>
    <w:p>
      <w:pPr>
        <w:spacing w:line="360" w:lineRule="auto"/>
        <w:ind w:firstLine="420" w:firstLineChars="200"/>
        <w:rPr>
          <w:rFonts w:ascii="宋体" w:hAnsi="宋体"/>
        </w:rPr>
      </w:pPr>
      <w:r>
        <w:rPr>
          <w:rFonts w:hint="eastAsia" w:ascii="宋体" w:hAnsi="宋体"/>
        </w:rPr>
        <w:t>招标文件发售结束时间：2019-07-</w:t>
      </w:r>
      <w:r>
        <w:rPr>
          <w:rFonts w:hint="eastAsia" w:ascii="宋体" w:hAnsi="宋体"/>
          <w:lang w:val="en-US" w:eastAsia="zh-CN"/>
        </w:rPr>
        <w:t>15</w:t>
      </w:r>
      <w:r>
        <w:rPr>
          <w:rFonts w:hint="eastAsia" w:ascii="宋体" w:hAnsi="宋体"/>
        </w:rPr>
        <w:t xml:space="preserve"> 16:30:00.0</w:t>
      </w:r>
    </w:p>
    <w:p>
      <w:pPr>
        <w:spacing w:line="360" w:lineRule="auto"/>
        <w:ind w:firstLine="420" w:firstLineChars="200"/>
        <w:rPr>
          <w:rFonts w:ascii="宋体" w:hAnsi="宋体"/>
        </w:rPr>
      </w:pPr>
      <w:r>
        <w:rPr>
          <w:rFonts w:hint="eastAsia" w:ascii="宋体" w:hAnsi="宋体"/>
        </w:rPr>
        <w:t>(1)凡投标者，请于</w:t>
      </w:r>
      <w:r>
        <w:rPr>
          <w:rFonts w:ascii="宋体" w:hAnsi="宋体"/>
        </w:rPr>
        <w:t>201</w:t>
      </w:r>
      <w:r>
        <w:rPr>
          <w:rFonts w:hint="eastAsia" w:ascii="宋体" w:hAnsi="宋体"/>
        </w:rPr>
        <w:t>9年07月08日至</w:t>
      </w:r>
      <w:r>
        <w:rPr>
          <w:rFonts w:ascii="宋体" w:hAnsi="宋体"/>
        </w:rPr>
        <w:t>201</w:t>
      </w:r>
      <w:r>
        <w:rPr>
          <w:rFonts w:hint="eastAsia" w:ascii="宋体" w:hAnsi="宋体"/>
        </w:rPr>
        <w:t>9年07月15日，上午</w:t>
      </w:r>
      <w:r>
        <w:rPr>
          <w:rFonts w:ascii="宋体" w:hAnsi="宋体"/>
        </w:rPr>
        <w:t>9</w:t>
      </w:r>
      <w:r>
        <w:rPr>
          <w:rFonts w:hint="eastAsia" w:ascii="宋体" w:hAnsi="宋体"/>
        </w:rPr>
        <w:t>时</w:t>
      </w:r>
      <w:r>
        <w:rPr>
          <w:rFonts w:ascii="宋体" w:hAnsi="宋体"/>
        </w:rPr>
        <w:t>00</w:t>
      </w:r>
      <w:r>
        <w:rPr>
          <w:rFonts w:hint="eastAsia" w:ascii="宋体" w:hAnsi="宋体"/>
        </w:rPr>
        <w:t>分至</w:t>
      </w:r>
      <w:r>
        <w:rPr>
          <w:rFonts w:ascii="宋体" w:hAnsi="宋体"/>
        </w:rPr>
        <w:t>11</w:t>
      </w:r>
      <w:r>
        <w:rPr>
          <w:rFonts w:hint="eastAsia" w:ascii="宋体" w:hAnsi="宋体"/>
        </w:rPr>
        <w:t>时</w:t>
      </w:r>
      <w:r>
        <w:rPr>
          <w:rFonts w:ascii="宋体" w:hAnsi="宋体"/>
        </w:rPr>
        <w:t>00</w:t>
      </w:r>
      <w:r>
        <w:rPr>
          <w:rFonts w:hint="eastAsia" w:ascii="宋体" w:hAnsi="宋体"/>
        </w:rPr>
        <w:t>分，下午</w:t>
      </w:r>
      <w:r>
        <w:rPr>
          <w:rFonts w:ascii="宋体" w:hAnsi="宋体"/>
        </w:rPr>
        <w:t>13</w:t>
      </w:r>
      <w:r>
        <w:rPr>
          <w:rFonts w:hint="eastAsia" w:ascii="宋体" w:hAnsi="宋体"/>
        </w:rPr>
        <w:t>时</w:t>
      </w:r>
      <w:r>
        <w:rPr>
          <w:rFonts w:ascii="宋体" w:hAnsi="宋体"/>
        </w:rPr>
        <w:t>30</w:t>
      </w:r>
      <w:r>
        <w:rPr>
          <w:rFonts w:hint="eastAsia" w:ascii="宋体" w:hAnsi="宋体"/>
        </w:rPr>
        <w:t>分至</w:t>
      </w:r>
      <w:r>
        <w:rPr>
          <w:rFonts w:ascii="宋体" w:hAnsi="宋体"/>
        </w:rPr>
        <w:t>16</w:t>
      </w:r>
      <w:r>
        <w:rPr>
          <w:rFonts w:hint="eastAsia" w:ascii="宋体" w:hAnsi="宋体"/>
        </w:rPr>
        <w:t>时</w:t>
      </w:r>
      <w:r>
        <w:rPr>
          <w:rFonts w:ascii="宋体" w:hAnsi="宋体"/>
        </w:rPr>
        <w:t>30</w:t>
      </w:r>
      <w:r>
        <w:rPr>
          <w:rFonts w:hint="eastAsia" w:ascii="宋体" w:hAnsi="宋体"/>
        </w:rPr>
        <w:t>分。</w:t>
      </w:r>
    </w:p>
    <w:p>
      <w:pPr>
        <w:spacing w:line="360" w:lineRule="auto"/>
        <w:ind w:firstLine="420" w:firstLineChars="200"/>
        <w:rPr>
          <w:rFonts w:ascii="宋体" w:hAnsi="宋体"/>
        </w:rPr>
      </w:pPr>
      <w:r>
        <w:rPr>
          <w:rFonts w:hint="eastAsia" w:ascii="宋体" w:hAnsi="宋体"/>
        </w:rPr>
        <w:t>现场报名购买：在北京市海淀区车公庄西路乙</w:t>
      </w:r>
      <w:r>
        <w:rPr>
          <w:rFonts w:ascii="宋体" w:hAnsi="宋体"/>
        </w:rPr>
        <w:t>19</w:t>
      </w:r>
      <w:r>
        <w:rPr>
          <w:rFonts w:hint="eastAsia" w:ascii="宋体" w:hAnsi="宋体"/>
        </w:rPr>
        <w:t>号华通大厦</w:t>
      </w:r>
      <w:r>
        <w:rPr>
          <w:rFonts w:ascii="宋体" w:hAnsi="宋体"/>
        </w:rPr>
        <w:t>B</w:t>
      </w:r>
      <w:r>
        <w:rPr>
          <w:rFonts w:hint="eastAsia" w:ascii="宋体" w:hAnsi="宋体"/>
        </w:rPr>
        <w:t>座南塔</w:t>
      </w:r>
      <w:r>
        <w:rPr>
          <w:rFonts w:ascii="宋体" w:hAnsi="宋体"/>
        </w:rPr>
        <w:t>14</w:t>
      </w:r>
      <w:r>
        <w:rPr>
          <w:rFonts w:hint="eastAsia" w:ascii="宋体" w:hAnsi="宋体"/>
        </w:rPr>
        <w:t>层，持营业执照副本盖章件、企业银行开户许可证、法人授权委托书、购买人身份证复印件购买招标文件，现场购买只接受现金（现场购买请提前电话沟通）。</w:t>
      </w:r>
    </w:p>
    <w:p>
      <w:pPr>
        <w:spacing w:line="360" w:lineRule="auto"/>
        <w:ind w:firstLine="420" w:firstLineChars="200"/>
        <w:rPr>
          <w:rFonts w:ascii="宋体" w:hAnsi="宋体"/>
        </w:rPr>
      </w:pPr>
      <w:r>
        <w:rPr>
          <w:rFonts w:hint="eastAsia" w:ascii="宋体" w:hAnsi="宋体"/>
        </w:rPr>
        <w:t>邮件报名购买：将营业执照副本盖章件、企业银行开户许可证、</w:t>
      </w:r>
      <w:r>
        <w:fldChar w:fldCharType="begin"/>
      </w:r>
      <w:r>
        <w:instrText xml:space="preserve"> HYPERLINK "mailto:法人授权委托书、购买人身份证复印件加盖公章，扫描发到18610097097@139.com" </w:instrText>
      </w:r>
      <w:r>
        <w:fldChar w:fldCharType="separate"/>
      </w:r>
      <w:r>
        <w:rPr>
          <w:rFonts w:hint="eastAsia" w:ascii="宋体" w:hAnsi="宋体"/>
        </w:rPr>
        <w:t>法人授权委托书、购买人身份证复印件加盖公章，扫描发到jianglinlin@cmeetc.com</w:t>
      </w:r>
      <w:r>
        <w:rPr>
          <w:rFonts w:hint="eastAsia" w:ascii="宋体" w:hAnsi="宋体"/>
        </w:rPr>
        <w:fldChar w:fldCharType="end"/>
      </w:r>
      <w:r>
        <w:rPr>
          <w:rFonts w:hint="eastAsia" w:ascii="宋体" w:hAnsi="宋体"/>
        </w:rPr>
        <w:t>。</w:t>
      </w:r>
    </w:p>
    <w:p>
      <w:pPr>
        <w:spacing w:line="360" w:lineRule="auto"/>
        <w:ind w:firstLine="420" w:firstLineChars="200"/>
        <w:rPr>
          <w:rFonts w:ascii="宋体" w:hAnsi="宋体"/>
        </w:rPr>
      </w:pPr>
      <w:r>
        <w:rPr>
          <w:rFonts w:hint="eastAsia" w:ascii="宋体" w:hAnsi="宋体"/>
          <w:color w:val="auto"/>
        </w:rPr>
        <w:t>（</w:t>
      </w:r>
      <w:r>
        <w:rPr>
          <w:rFonts w:ascii="宋体" w:hAnsi="宋体"/>
          <w:color w:val="auto"/>
        </w:rPr>
        <w:t>2</w:t>
      </w:r>
      <w:r>
        <w:rPr>
          <w:rFonts w:hint="eastAsia" w:ascii="宋体" w:hAnsi="宋体"/>
          <w:color w:val="auto"/>
        </w:rPr>
        <w:t>）招标文件售价5</w:t>
      </w:r>
      <w:r>
        <w:rPr>
          <w:rFonts w:ascii="宋体" w:hAnsi="宋体"/>
          <w:color w:val="auto"/>
        </w:rPr>
        <w:t>00</w:t>
      </w:r>
      <w:r>
        <w:rPr>
          <w:rFonts w:hint="eastAsia" w:ascii="宋体" w:hAnsi="宋体"/>
          <w:color w:val="auto"/>
        </w:rPr>
        <w:t>元（汇款请备注KK11</w:t>
      </w:r>
      <w:r>
        <w:rPr>
          <w:rFonts w:hint="eastAsia" w:ascii="宋体" w:hAnsi="宋体"/>
          <w:color w:val="auto"/>
          <w:lang w:val="en-US" w:eastAsia="zh-CN"/>
        </w:rPr>
        <w:t>5</w:t>
      </w:r>
      <w:r>
        <w:rPr>
          <w:rFonts w:hint="eastAsia" w:ascii="宋体" w:hAnsi="宋体"/>
          <w:color w:val="auto"/>
        </w:rPr>
        <w:t>）公对公汇款，不接受个人汇款），售后不</w:t>
      </w:r>
      <w:r>
        <w:rPr>
          <w:rFonts w:hint="eastAsia" w:ascii="宋体" w:hAnsi="宋体"/>
        </w:rPr>
        <w:t>退。</w:t>
      </w:r>
    </w:p>
    <w:p>
      <w:pPr>
        <w:spacing w:line="360" w:lineRule="auto"/>
        <w:rPr>
          <w:rFonts w:ascii="宋体" w:hAnsi="宋体"/>
          <w:b/>
          <w:bCs/>
        </w:rPr>
      </w:pPr>
      <w:bookmarkStart w:id="21" w:name="_Toc507250633"/>
      <w:r>
        <w:rPr>
          <w:rFonts w:hint="eastAsia" w:ascii="宋体" w:hAnsi="宋体"/>
          <w:b/>
          <w:bCs/>
        </w:rPr>
        <w:t>四、投标文件的递交</w:t>
      </w:r>
      <w:bookmarkEnd w:id="20"/>
      <w:bookmarkEnd w:id="21"/>
    </w:p>
    <w:p>
      <w:pPr>
        <w:spacing w:line="360" w:lineRule="auto"/>
        <w:ind w:firstLine="420" w:firstLineChars="200"/>
        <w:rPr>
          <w:rFonts w:ascii="宋体" w:hAnsi="宋体"/>
        </w:rPr>
      </w:pPr>
      <w:bookmarkStart w:id="22" w:name="_Toc475613562"/>
      <w:bookmarkStart w:id="23" w:name="_Toc475633967"/>
      <w:bookmarkStart w:id="24" w:name="_Toc309657836"/>
      <w:bookmarkStart w:id="25" w:name="_Toc393368897"/>
      <w:r>
        <w:rPr>
          <w:rFonts w:hint="eastAsia" w:ascii="宋体" w:hAnsi="宋体"/>
        </w:rPr>
        <w:t>投标文件递交截止时间：2019-07</w:t>
      </w:r>
      <w:r>
        <w:rPr>
          <w:rFonts w:ascii="宋体" w:hAnsi="宋体"/>
        </w:rPr>
        <w:t>-</w:t>
      </w:r>
      <w:r>
        <w:rPr>
          <w:rFonts w:hint="eastAsia" w:ascii="宋体" w:hAnsi="宋体"/>
        </w:rPr>
        <w:t xml:space="preserve">29 </w:t>
      </w:r>
      <w:r>
        <w:rPr>
          <w:rFonts w:ascii="宋体" w:hAnsi="宋体"/>
        </w:rPr>
        <w:t>1</w:t>
      </w:r>
      <w:r>
        <w:rPr>
          <w:rFonts w:hint="eastAsia" w:ascii="宋体" w:hAnsi="宋体"/>
        </w:rPr>
        <w:t>0:</w:t>
      </w:r>
      <w:r>
        <w:rPr>
          <w:rFonts w:hint="eastAsia" w:ascii="宋体" w:hAnsi="宋体"/>
          <w:lang w:val="en-US" w:eastAsia="zh-CN"/>
        </w:rPr>
        <w:t>3</w:t>
      </w:r>
      <w:r>
        <w:rPr>
          <w:rFonts w:hint="eastAsia" w:ascii="宋体" w:hAnsi="宋体"/>
        </w:rPr>
        <w:t>0:00.0</w:t>
      </w:r>
      <w:bookmarkEnd w:id="22"/>
      <w:bookmarkEnd w:id="23"/>
    </w:p>
    <w:p>
      <w:pPr>
        <w:spacing w:line="360" w:lineRule="auto"/>
        <w:ind w:firstLine="420" w:firstLineChars="200"/>
        <w:rPr>
          <w:rFonts w:ascii="宋体" w:hAnsi="宋体"/>
        </w:rPr>
      </w:pPr>
      <w:r>
        <w:rPr>
          <w:rFonts w:hint="eastAsia" w:ascii="宋体" w:hAnsi="宋体"/>
        </w:rPr>
        <w:t>（1）投标文件递交截止时间：</w:t>
      </w:r>
      <w:r>
        <w:rPr>
          <w:rFonts w:ascii="宋体" w:hAnsi="宋体"/>
        </w:rPr>
        <w:t>201</w:t>
      </w:r>
      <w:r>
        <w:rPr>
          <w:rFonts w:hint="eastAsia" w:ascii="宋体" w:hAnsi="宋体"/>
        </w:rPr>
        <w:t>9年07月29日10时</w:t>
      </w:r>
      <w:r>
        <w:rPr>
          <w:rFonts w:hint="eastAsia" w:ascii="宋体" w:hAnsi="宋体"/>
          <w:lang w:val="en-US" w:eastAsia="zh-CN"/>
        </w:rPr>
        <w:t>3</w:t>
      </w:r>
      <w:r>
        <w:rPr>
          <w:rFonts w:hint="eastAsia" w:ascii="宋体" w:hAnsi="宋体"/>
        </w:rPr>
        <w:t>0分，投标文件递交地点：上海市浦东新区浦东大道1868号东方城市大厦1007-1012室。</w:t>
      </w:r>
    </w:p>
    <w:p>
      <w:pPr>
        <w:spacing w:line="360" w:lineRule="auto"/>
        <w:ind w:firstLine="420" w:firstLineChars="200"/>
        <w:rPr>
          <w:rFonts w:ascii="宋体" w:hAnsi="宋体"/>
        </w:rPr>
      </w:pPr>
      <w:r>
        <w:rPr>
          <w:rFonts w:hint="eastAsia" w:ascii="宋体" w:hAnsi="宋体"/>
        </w:rPr>
        <w:t>（2）逾期送达的或者未送达指定地点的投标文件，招标人不予受理。</w:t>
      </w:r>
    </w:p>
    <w:p>
      <w:pPr>
        <w:spacing w:line="360" w:lineRule="auto"/>
        <w:ind w:firstLine="420" w:firstLineChars="200"/>
        <w:rPr>
          <w:rFonts w:ascii="宋体" w:hAnsi="宋体"/>
        </w:rPr>
      </w:pPr>
      <w:r>
        <w:rPr>
          <w:rFonts w:hint="eastAsia" w:ascii="宋体" w:hAnsi="宋体"/>
        </w:rPr>
        <w:t>（3）投标申请人提交</w:t>
      </w:r>
      <w:r>
        <w:rPr>
          <w:rFonts w:hint="eastAsia" w:ascii="宋体" w:hAnsi="宋体"/>
          <w:lang w:eastAsia="zh-CN"/>
        </w:rPr>
        <w:t>壹</w:t>
      </w:r>
      <w:r>
        <w:rPr>
          <w:rFonts w:hint="eastAsia" w:ascii="宋体" w:hAnsi="宋体"/>
        </w:rPr>
        <w:t>万元人民币的投标保证金，投标保证金形式可为电汇、转账。</w:t>
      </w:r>
    </w:p>
    <w:bookmarkEnd w:id="24"/>
    <w:p>
      <w:pPr>
        <w:spacing w:line="360" w:lineRule="auto"/>
        <w:rPr>
          <w:rFonts w:ascii="宋体" w:hAnsi="宋体"/>
          <w:b/>
          <w:bCs/>
        </w:rPr>
      </w:pPr>
      <w:bookmarkStart w:id="26" w:name="_Toc507250634"/>
      <w:r>
        <w:rPr>
          <w:rFonts w:hint="eastAsia" w:ascii="宋体" w:hAnsi="宋体"/>
          <w:b/>
          <w:bCs/>
        </w:rPr>
        <w:t>五、发布公告的媒体</w:t>
      </w:r>
      <w:bookmarkEnd w:id="25"/>
      <w:bookmarkEnd w:id="26"/>
    </w:p>
    <w:p>
      <w:pPr>
        <w:spacing w:line="360" w:lineRule="auto"/>
        <w:ind w:firstLine="424" w:firstLineChars="202"/>
        <w:rPr>
          <w:rFonts w:hAnsi="宋体" w:cs="宋体"/>
          <w:szCs w:val="21"/>
        </w:rPr>
      </w:pPr>
      <w:bookmarkStart w:id="27" w:name="_Toc28214"/>
      <w:bookmarkStart w:id="28" w:name="_Toc393368898"/>
      <w:r>
        <w:rPr>
          <w:rFonts w:hint="eastAsia" w:ascii="宋体" w:hAnsi="宋体"/>
        </w:rPr>
        <w:t>本次招标公告同时中国招标投标服务平台、</w:t>
      </w:r>
      <w:r>
        <w:rPr>
          <w:rFonts w:hint="eastAsia" w:hAnsi="宋体" w:cs="宋体"/>
          <w:szCs w:val="21"/>
        </w:rPr>
        <w:t>中国远洋海运集团有限公司官网同时公布。</w:t>
      </w:r>
    </w:p>
    <w:bookmarkEnd w:id="27"/>
    <w:p>
      <w:pPr>
        <w:spacing w:line="360" w:lineRule="auto"/>
        <w:ind w:firstLine="420" w:firstLineChars="200"/>
        <w:rPr>
          <w:rFonts w:ascii="宋体" w:hAnsi="宋体"/>
        </w:rPr>
      </w:pPr>
      <w:bookmarkStart w:id="29" w:name="_Toc11198"/>
      <w:r>
        <w:rPr>
          <w:rFonts w:hint="eastAsia" w:ascii="宋体" w:hAnsi="宋体"/>
        </w:rPr>
        <w:t>注：以上网站招标信息发布存在偏差时，以中国招标投标服务平台上发布信息为准。</w:t>
      </w:r>
      <w:bookmarkEnd w:id="29"/>
    </w:p>
    <w:p>
      <w:pPr>
        <w:spacing w:line="360" w:lineRule="auto"/>
        <w:rPr>
          <w:rFonts w:ascii="宋体" w:hAnsi="宋体"/>
          <w:b/>
          <w:bCs/>
        </w:rPr>
      </w:pPr>
      <w:bookmarkStart w:id="30" w:name="_Toc507250635"/>
      <w:r>
        <w:rPr>
          <w:rFonts w:hint="eastAsia" w:ascii="宋体" w:hAnsi="宋体"/>
          <w:b/>
          <w:bCs/>
        </w:rPr>
        <w:t>六、开标</w:t>
      </w:r>
      <w:bookmarkEnd w:id="28"/>
      <w:bookmarkEnd w:id="30"/>
    </w:p>
    <w:p>
      <w:pPr>
        <w:spacing w:line="360" w:lineRule="auto"/>
        <w:ind w:firstLine="420" w:firstLineChars="200"/>
        <w:rPr>
          <w:rFonts w:ascii="宋体" w:hAnsi="宋体"/>
        </w:rPr>
      </w:pPr>
      <w:r>
        <w:rPr>
          <w:rFonts w:hint="eastAsia" w:ascii="宋体" w:hAnsi="宋体"/>
        </w:rPr>
        <w:t>招标人：中理检验有限公司</w:t>
      </w:r>
    </w:p>
    <w:p>
      <w:pPr>
        <w:spacing w:line="360" w:lineRule="auto"/>
        <w:ind w:firstLine="420" w:firstLineChars="200"/>
        <w:rPr>
          <w:rFonts w:ascii="宋体" w:hAnsi="宋体"/>
        </w:rPr>
      </w:pPr>
      <w:r>
        <w:rPr>
          <w:rFonts w:hint="eastAsia" w:ascii="宋体" w:hAnsi="宋体"/>
        </w:rPr>
        <w:t>地址：上海市浦东新区浦东大道1868号东方城市大厦1007-1012</w:t>
      </w:r>
    </w:p>
    <w:p>
      <w:pPr>
        <w:spacing w:line="360" w:lineRule="auto"/>
        <w:ind w:firstLine="420" w:firstLineChars="200"/>
        <w:rPr>
          <w:rFonts w:ascii="宋体" w:hAnsi="宋体"/>
        </w:rPr>
      </w:pPr>
      <w:r>
        <w:rPr>
          <w:rFonts w:hint="eastAsia" w:ascii="宋体" w:hAnsi="宋体"/>
        </w:rPr>
        <w:t>联系方式：林经理 021-61601572，谭经理021-61608607</w:t>
      </w:r>
    </w:p>
    <w:p>
      <w:pPr>
        <w:spacing w:line="360" w:lineRule="auto"/>
        <w:ind w:firstLine="420" w:firstLineChars="200"/>
        <w:rPr>
          <w:rFonts w:ascii="宋体" w:hAnsi="宋体"/>
        </w:rPr>
      </w:pPr>
      <w:r>
        <w:rPr>
          <w:rFonts w:hint="eastAsia" w:ascii="宋体" w:hAnsi="宋体"/>
        </w:rPr>
        <w:t>招标代理机构：中国机电工程招标有限公司</w:t>
      </w:r>
      <w:r>
        <w:rPr>
          <w:rFonts w:ascii="宋体" w:hAnsi="宋体"/>
        </w:rPr>
        <w:t xml:space="preserve"> </w:t>
      </w:r>
    </w:p>
    <w:p>
      <w:pPr>
        <w:spacing w:line="360" w:lineRule="auto"/>
        <w:ind w:firstLine="420" w:firstLineChars="200"/>
        <w:rPr>
          <w:rFonts w:ascii="宋体" w:hAnsi="宋体"/>
        </w:rPr>
      </w:pPr>
      <w:r>
        <w:rPr>
          <w:rFonts w:hint="eastAsia" w:ascii="宋体" w:hAnsi="宋体"/>
        </w:rPr>
        <w:t>开标时间：</w:t>
      </w:r>
      <w:r>
        <w:rPr>
          <w:rFonts w:ascii="宋体" w:hAnsi="宋体"/>
        </w:rPr>
        <w:t>201</w:t>
      </w:r>
      <w:r>
        <w:rPr>
          <w:rFonts w:hint="eastAsia" w:ascii="宋体" w:hAnsi="宋体"/>
        </w:rPr>
        <w:t>9年07月29日10时</w:t>
      </w:r>
      <w:r>
        <w:rPr>
          <w:rFonts w:hint="eastAsia" w:ascii="宋体" w:hAnsi="宋体"/>
          <w:lang w:val="en-US" w:eastAsia="zh-CN"/>
        </w:rPr>
        <w:t>3</w:t>
      </w:r>
      <w:r>
        <w:rPr>
          <w:rFonts w:hint="eastAsia" w:ascii="宋体" w:hAnsi="宋体"/>
        </w:rPr>
        <w:t>0分</w:t>
      </w:r>
    </w:p>
    <w:p>
      <w:pPr>
        <w:spacing w:line="360" w:lineRule="auto"/>
        <w:ind w:firstLine="420" w:firstLineChars="200"/>
        <w:rPr>
          <w:rFonts w:ascii="宋体" w:hAnsi="宋体"/>
        </w:rPr>
      </w:pPr>
      <w:r>
        <w:rPr>
          <w:rFonts w:hint="eastAsia" w:ascii="宋体" w:hAnsi="宋体"/>
        </w:rPr>
        <w:t>招标代理机构地址：北京市海淀区车公庄西路乙19号华通大厦B座南塔14层</w:t>
      </w:r>
    </w:p>
    <w:p>
      <w:pPr>
        <w:spacing w:line="360" w:lineRule="auto"/>
        <w:ind w:firstLine="420" w:firstLineChars="200"/>
        <w:rPr>
          <w:rFonts w:ascii="宋体" w:hAnsi="宋体"/>
        </w:rPr>
      </w:pPr>
      <w:r>
        <w:rPr>
          <w:rFonts w:hint="eastAsia" w:ascii="宋体" w:hAnsi="宋体"/>
        </w:rPr>
        <w:t>开标地点：北京海陆商品检验有限公司上海营运中心（上海市浦东新区浦东大道1868号东方城市大厦1007-1012室，021-61608616</w:t>
      </w:r>
    </w:p>
    <w:p>
      <w:pPr>
        <w:spacing w:line="360" w:lineRule="auto"/>
        <w:ind w:firstLine="420" w:firstLineChars="200"/>
        <w:rPr>
          <w:rFonts w:ascii="宋体" w:hAnsi="宋体"/>
        </w:rPr>
      </w:pPr>
      <w:r>
        <w:rPr>
          <w:rFonts w:hint="eastAsia" w:ascii="宋体" w:hAnsi="宋体"/>
        </w:rPr>
        <w:t>联系人：姜琳琳</w:t>
      </w:r>
    </w:p>
    <w:p>
      <w:pPr>
        <w:spacing w:line="360" w:lineRule="auto"/>
        <w:ind w:firstLine="420" w:firstLineChars="200"/>
        <w:rPr>
          <w:rFonts w:ascii="宋体" w:hAnsi="宋体"/>
        </w:rPr>
      </w:pPr>
      <w:r>
        <w:rPr>
          <w:rFonts w:hint="eastAsia" w:ascii="宋体" w:hAnsi="宋体"/>
        </w:rPr>
        <w:t>邮编：</w:t>
      </w:r>
      <w:r>
        <w:rPr>
          <w:rFonts w:ascii="宋体" w:hAnsi="宋体"/>
        </w:rPr>
        <w:t>100048</w:t>
      </w:r>
    </w:p>
    <w:p>
      <w:pPr>
        <w:spacing w:line="360" w:lineRule="auto"/>
        <w:ind w:firstLine="420" w:firstLineChars="200"/>
        <w:rPr>
          <w:rFonts w:ascii="宋体" w:hAnsi="宋体"/>
        </w:rPr>
      </w:pPr>
      <w:r>
        <w:rPr>
          <w:rFonts w:hint="eastAsia" w:ascii="宋体" w:hAnsi="宋体"/>
        </w:rPr>
        <w:t>电话：</w:t>
      </w:r>
      <w:r>
        <w:rPr>
          <w:rFonts w:ascii="宋体" w:hAnsi="宋体"/>
        </w:rPr>
        <w:t>010-88018616-</w:t>
      </w:r>
      <w:r>
        <w:rPr>
          <w:rFonts w:hint="eastAsia" w:ascii="宋体" w:hAnsi="宋体"/>
        </w:rPr>
        <w:t>8006、18610097097</w:t>
      </w:r>
    </w:p>
    <w:p>
      <w:pPr>
        <w:spacing w:line="360" w:lineRule="auto"/>
        <w:ind w:firstLine="420" w:firstLineChars="200"/>
        <w:rPr>
          <w:rFonts w:ascii="宋体" w:hAnsi="宋体"/>
        </w:rPr>
      </w:pPr>
      <w:r>
        <w:rPr>
          <w:rFonts w:hint="eastAsia" w:ascii="宋体" w:hAnsi="宋体"/>
        </w:rPr>
        <w:t>传真：</w:t>
      </w:r>
      <w:r>
        <w:rPr>
          <w:rFonts w:ascii="宋体" w:hAnsi="宋体"/>
        </w:rPr>
        <w:t>010-88018619</w:t>
      </w:r>
    </w:p>
    <w:p>
      <w:pPr>
        <w:spacing w:line="360" w:lineRule="auto"/>
        <w:ind w:firstLine="420" w:firstLineChars="200"/>
        <w:rPr>
          <w:rFonts w:ascii="宋体" w:hAnsi="宋体"/>
        </w:rPr>
      </w:pPr>
      <w:r>
        <w:rPr>
          <w:rFonts w:hint="eastAsia" w:ascii="宋体" w:hAnsi="宋体"/>
        </w:rPr>
        <w:t>电子邮件：jianglinlin@cmeetc.com</w:t>
      </w:r>
    </w:p>
    <w:p>
      <w:pPr>
        <w:spacing w:line="360" w:lineRule="auto"/>
        <w:ind w:firstLine="420" w:firstLineChars="200"/>
        <w:rPr>
          <w:rFonts w:ascii="宋体" w:hAnsi="宋体"/>
        </w:rPr>
      </w:pPr>
      <w:r>
        <w:rPr>
          <w:rFonts w:hint="eastAsia" w:ascii="宋体" w:hAnsi="宋体"/>
        </w:rPr>
        <w:t>账户名称：中国机电工程招标有限公司</w:t>
      </w:r>
    </w:p>
    <w:p>
      <w:pPr>
        <w:spacing w:line="360" w:lineRule="auto"/>
        <w:ind w:firstLine="420" w:firstLineChars="200"/>
        <w:rPr>
          <w:rFonts w:ascii="宋体" w:hAnsi="宋体"/>
        </w:rPr>
      </w:pPr>
      <w:r>
        <w:rPr>
          <w:rFonts w:hint="eastAsia" w:ascii="宋体" w:hAnsi="宋体"/>
        </w:rPr>
        <w:t>账  号：9558</w:t>
      </w:r>
      <w:r>
        <w:rPr>
          <w:rFonts w:ascii="宋体" w:hAnsi="宋体"/>
        </w:rPr>
        <w:t xml:space="preserve"> </w:t>
      </w:r>
      <w:r>
        <w:rPr>
          <w:rFonts w:hint="eastAsia" w:ascii="宋体" w:hAnsi="宋体"/>
        </w:rPr>
        <w:t>8502</w:t>
      </w:r>
      <w:r>
        <w:rPr>
          <w:rFonts w:ascii="宋体" w:hAnsi="宋体"/>
        </w:rPr>
        <w:t xml:space="preserve"> </w:t>
      </w:r>
      <w:r>
        <w:rPr>
          <w:rFonts w:hint="eastAsia" w:ascii="宋体" w:hAnsi="宋体"/>
        </w:rPr>
        <w:t>0000</w:t>
      </w:r>
      <w:r>
        <w:rPr>
          <w:rFonts w:ascii="宋体" w:hAnsi="宋体"/>
        </w:rPr>
        <w:t xml:space="preserve"> </w:t>
      </w:r>
      <w:r>
        <w:rPr>
          <w:rFonts w:hint="eastAsia" w:ascii="宋体" w:hAnsi="宋体"/>
        </w:rPr>
        <w:t>0599</w:t>
      </w:r>
      <w:r>
        <w:rPr>
          <w:rFonts w:ascii="宋体" w:hAnsi="宋体"/>
        </w:rPr>
        <w:t xml:space="preserve"> </w:t>
      </w:r>
      <w:r>
        <w:rPr>
          <w:rFonts w:hint="eastAsia" w:ascii="宋体" w:hAnsi="宋体"/>
        </w:rPr>
        <w:t>881</w:t>
      </w:r>
    </w:p>
    <w:p>
      <w:pPr>
        <w:spacing w:line="360" w:lineRule="auto"/>
        <w:ind w:firstLine="420" w:firstLineChars="200"/>
        <w:rPr>
          <w:rFonts w:ascii="宋体" w:hAnsi="宋体"/>
        </w:rPr>
      </w:pPr>
      <w:r>
        <w:rPr>
          <w:rFonts w:hint="eastAsia" w:ascii="宋体" w:hAnsi="宋体"/>
        </w:rPr>
        <w:t>开 户 行：中国工商银行股份有限公司北京海淀支行</w:t>
      </w:r>
    </w:p>
    <w:p>
      <w:pPr>
        <w:spacing w:line="360" w:lineRule="auto"/>
        <w:rPr>
          <w:rFonts w:ascii="宋体" w:hAnsi="宋体"/>
        </w:rPr>
      </w:pPr>
    </w:p>
    <w:p>
      <w:pPr>
        <w:spacing w:line="360" w:lineRule="auto"/>
        <w:rPr>
          <w:rFonts w:ascii="宋体" w:hAnsi="宋体"/>
        </w:rPr>
      </w:pPr>
    </w:p>
    <w:p>
      <w:pPr>
        <w:spacing w:line="360" w:lineRule="auto"/>
        <w:ind w:firstLine="5250" w:firstLineChars="2500"/>
        <w:rPr>
          <w:rFonts w:ascii="宋体" w:hAnsi="宋体"/>
        </w:rPr>
      </w:pPr>
      <w:r>
        <w:rPr>
          <w:rFonts w:hint="eastAsia" w:ascii="宋体" w:hAnsi="宋体"/>
        </w:rPr>
        <w:t>中国机电工程招标有限公司</w:t>
      </w:r>
    </w:p>
    <w:p>
      <w:pPr>
        <w:spacing w:line="360" w:lineRule="auto"/>
        <w:ind w:firstLine="5880" w:firstLineChars="2800"/>
        <w:rPr>
          <w:rFonts w:hint="eastAsia" w:ascii="宋体" w:hAnsi="宋体"/>
        </w:rPr>
      </w:pPr>
      <w:r>
        <w:rPr>
          <w:rFonts w:ascii="宋体" w:hAnsi="宋体"/>
        </w:rPr>
        <w:t>201</w:t>
      </w:r>
      <w:r>
        <w:rPr>
          <w:rFonts w:hint="eastAsia" w:ascii="宋体" w:hAnsi="宋体"/>
        </w:rPr>
        <w:t>9年7月8日</w:t>
      </w:r>
    </w:p>
    <w:p>
      <w:pPr>
        <w:spacing w:line="360" w:lineRule="auto"/>
        <w:ind w:firstLine="5880" w:firstLineChars="2800"/>
        <w:rPr>
          <w:rFonts w:ascii="宋体" w:hAnsi="宋体"/>
        </w:rPr>
      </w:pPr>
    </w:p>
    <w:p>
      <w:pPr>
        <w:spacing w:beforeLines="100" w:afterLines="100" w:line="360" w:lineRule="auto"/>
        <w:jc w:val="center"/>
        <w:outlineLvl w:val="0"/>
        <w:rPr>
          <w:rFonts w:ascii="宋体" w:hAnsi="宋体"/>
          <w:color w:val="000000"/>
          <w:sz w:val="32"/>
          <w:szCs w:val="32"/>
        </w:rPr>
      </w:pPr>
      <w:bookmarkStart w:id="31" w:name="_Toc490062123"/>
      <w:r>
        <w:rPr>
          <w:rFonts w:hint="eastAsia" w:ascii="宋体" w:hAnsi="宋体"/>
          <w:sz w:val="32"/>
          <w:szCs w:val="32"/>
        </w:rPr>
        <w:t>第二章投标人须知</w:t>
      </w:r>
      <w:bookmarkEnd w:id="31"/>
    </w:p>
    <w:p>
      <w:pPr>
        <w:spacing w:line="360" w:lineRule="auto"/>
        <w:jc w:val="center"/>
        <w:rPr>
          <w:rFonts w:ascii="宋体" w:hAnsi="宋体"/>
          <w:color w:val="000000"/>
          <w:sz w:val="28"/>
          <w:szCs w:val="28"/>
        </w:rPr>
      </w:pPr>
      <w:r>
        <w:rPr>
          <w:rFonts w:hint="eastAsia" w:ascii="宋体" w:hAnsi="宋体"/>
          <w:color w:val="000000"/>
          <w:sz w:val="28"/>
          <w:szCs w:val="28"/>
        </w:rPr>
        <w:t>投标人须知前附表</w:t>
      </w:r>
    </w:p>
    <w:tbl>
      <w:tblPr>
        <w:tblStyle w:val="60"/>
        <w:tblW w:w="95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9"/>
        <w:gridCol w:w="1958"/>
        <w:gridCol w:w="6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trPr>
        <w:tc>
          <w:tcPr>
            <w:tcW w:w="1173" w:type="dxa"/>
            <w:vAlign w:val="center"/>
          </w:tcPr>
          <w:p>
            <w:pPr>
              <w:rPr>
                <w:rFonts w:ascii="宋体" w:hAnsi="宋体"/>
              </w:rPr>
            </w:pPr>
            <w:r>
              <w:rPr>
                <w:rFonts w:hint="eastAsia" w:ascii="宋体" w:hAnsi="宋体"/>
              </w:rPr>
              <w:t>条款号</w:t>
            </w:r>
          </w:p>
        </w:tc>
        <w:tc>
          <w:tcPr>
            <w:tcW w:w="2027" w:type="dxa"/>
            <w:gridSpan w:val="2"/>
            <w:vAlign w:val="center"/>
          </w:tcPr>
          <w:p>
            <w:pPr>
              <w:rPr>
                <w:rFonts w:ascii="宋体" w:hAnsi="宋体"/>
              </w:rPr>
            </w:pPr>
            <w:r>
              <w:rPr>
                <w:rFonts w:hint="eastAsia" w:ascii="宋体" w:hAnsi="宋体"/>
              </w:rPr>
              <w:t>条  款  名  称</w:t>
            </w:r>
          </w:p>
        </w:tc>
        <w:tc>
          <w:tcPr>
            <w:tcW w:w="6315" w:type="dxa"/>
            <w:vAlign w:val="center"/>
          </w:tcPr>
          <w:p>
            <w:pPr>
              <w:rPr>
                <w:rFonts w:ascii="宋体" w:hAnsi="宋体"/>
              </w:rPr>
            </w:pPr>
            <w:r>
              <w:rPr>
                <w:rFonts w:hint="eastAsia" w:ascii="宋体" w:hAnsi="宋体"/>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1173" w:type="dxa"/>
            <w:vAlign w:val="center"/>
          </w:tcPr>
          <w:p>
            <w:pPr>
              <w:rPr>
                <w:rFonts w:ascii="宋体" w:hAnsi="宋体"/>
              </w:rPr>
            </w:pPr>
            <w:r>
              <w:rPr>
                <w:rFonts w:hint="eastAsia" w:ascii="宋体" w:hAnsi="宋体"/>
              </w:rPr>
              <w:t>1.1.2</w:t>
            </w:r>
          </w:p>
        </w:tc>
        <w:tc>
          <w:tcPr>
            <w:tcW w:w="2027" w:type="dxa"/>
            <w:gridSpan w:val="2"/>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招标人</w:t>
            </w:r>
          </w:p>
        </w:tc>
        <w:tc>
          <w:tcPr>
            <w:tcW w:w="631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招标人：中理检验有限公司</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地址：上海市浦东新区浦东大道1868号东方城市大厦1007-1012</w:t>
            </w:r>
          </w:p>
          <w:p>
            <w:pPr>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szCs w:val="21"/>
              </w:rPr>
              <w:t>联系方式：林经理 021-61601572，谭经理021-61608607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173" w:type="dxa"/>
            <w:vAlign w:val="center"/>
          </w:tcPr>
          <w:p>
            <w:pPr>
              <w:rPr>
                <w:rFonts w:ascii="宋体" w:hAnsi="宋体"/>
              </w:rPr>
            </w:pPr>
            <w:r>
              <w:rPr>
                <w:rFonts w:hint="eastAsia" w:ascii="宋体" w:hAnsi="宋体"/>
              </w:rPr>
              <w:t>1.1.3</w:t>
            </w:r>
          </w:p>
        </w:tc>
        <w:tc>
          <w:tcPr>
            <w:tcW w:w="2027" w:type="dxa"/>
            <w:gridSpan w:val="2"/>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招标代理机构</w:t>
            </w:r>
          </w:p>
        </w:tc>
        <w:tc>
          <w:tcPr>
            <w:tcW w:w="631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招标代理机构：中国机电工程招标有限公司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招标代理机构地点：北京市海淀区车公庄西路乙19号华通大厦B座南塔14层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联系人：姜琳琳</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电话：010-88018616-8006、18610097097</w:t>
            </w:r>
          </w:p>
          <w:p>
            <w:pPr>
              <w:autoSpaceDE w:val="0"/>
              <w:autoSpaceDN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电子邮件：</w:t>
            </w:r>
            <w:r>
              <w:fldChar w:fldCharType="begin"/>
            </w:r>
            <w:r>
              <w:instrText xml:space="preserve"> HYPERLINK "mailto:18610097097@139.com" </w:instrText>
            </w:r>
            <w:r>
              <w:fldChar w:fldCharType="separate"/>
            </w:r>
            <w:r>
              <w:rPr>
                <w:rFonts w:hint="eastAsia" w:asciiTheme="minorEastAsia" w:hAnsiTheme="minorEastAsia" w:eastAsiaTheme="minorEastAsia" w:cstheme="minorEastAsia"/>
                <w:szCs w:val="21"/>
              </w:rPr>
              <w:t>18610097097@139.com</w:t>
            </w:r>
            <w:r>
              <w:rPr>
                <w:rFonts w:hint="eastAsia" w:asciiTheme="minorEastAsia" w:hAnsiTheme="minorEastAsia" w:eastAsiaTheme="minorEastAsia" w:cstheme="minorEastAsia"/>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trPr>
        <w:tc>
          <w:tcPr>
            <w:tcW w:w="1173" w:type="dxa"/>
            <w:vAlign w:val="center"/>
          </w:tcPr>
          <w:p>
            <w:pPr>
              <w:rPr>
                <w:rFonts w:ascii="宋体" w:hAnsi="宋体"/>
              </w:rPr>
            </w:pPr>
            <w:r>
              <w:rPr>
                <w:rFonts w:hint="eastAsia" w:ascii="宋体" w:hAnsi="宋体"/>
              </w:rPr>
              <w:t>1.1.4</w:t>
            </w:r>
          </w:p>
        </w:tc>
        <w:tc>
          <w:tcPr>
            <w:tcW w:w="2027" w:type="dxa"/>
            <w:gridSpan w:val="2"/>
            <w:vAlign w:val="center"/>
          </w:tcPr>
          <w:p>
            <w:pPr>
              <w:rPr>
                <w:rFonts w:ascii="宋体" w:hAnsi="宋体"/>
              </w:rPr>
            </w:pPr>
            <w:r>
              <w:rPr>
                <w:rFonts w:hint="eastAsia" w:ascii="宋体" w:hAnsi="宋体"/>
              </w:rPr>
              <w:t>项目名称</w:t>
            </w:r>
          </w:p>
        </w:tc>
        <w:tc>
          <w:tcPr>
            <w:tcW w:w="6315" w:type="dxa"/>
            <w:vAlign w:val="center"/>
          </w:tcPr>
          <w:p>
            <w:pPr>
              <w:spacing w:line="360" w:lineRule="auto"/>
              <w:rPr>
                <w:rFonts w:ascii="宋体" w:hAnsi="宋体" w:cs="宋体"/>
              </w:rPr>
            </w:pPr>
            <w:r>
              <w:rPr>
                <w:rFonts w:hint="eastAsia" w:ascii="宋体" w:hAnsi="宋体" w:cs="宋体"/>
              </w:rPr>
              <w:t>中理检验有限公司张家港实验室装修工程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1" w:hRule="exact"/>
        </w:trPr>
        <w:tc>
          <w:tcPr>
            <w:tcW w:w="1173" w:type="dxa"/>
            <w:vAlign w:val="center"/>
          </w:tcPr>
          <w:p>
            <w:pPr>
              <w:rPr>
                <w:rFonts w:ascii="宋体" w:hAnsi="宋体"/>
              </w:rPr>
            </w:pPr>
            <w:r>
              <w:rPr>
                <w:rFonts w:hint="eastAsia" w:ascii="宋体" w:hAnsi="宋体"/>
              </w:rPr>
              <w:t>1.1.5</w:t>
            </w:r>
          </w:p>
        </w:tc>
        <w:tc>
          <w:tcPr>
            <w:tcW w:w="2027" w:type="dxa"/>
            <w:gridSpan w:val="2"/>
            <w:vAlign w:val="center"/>
          </w:tcPr>
          <w:p>
            <w:pPr>
              <w:rPr>
                <w:rFonts w:ascii="宋体" w:hAnsi="宋体"/>
              </w:rPr>
            </w:pPr>
            <w:r>
              <w:rPr>
                <w:rFonts w:hint="eastAsia" w:ascii="宋体" w:hAnsi="宋体"/>
              </w:rPr>
              <w:t>项目实施地点</w:t>
            </w:r>
          </w:p>
        </w:tc>
        <w:tc>
          <w:tcPr>
            <w:tcW w:w="6315" w:type="dxa"/>
            <w:vAlign w:val="center"/>
          </w:tcPr>
          <w:p>
            <w:pPr>
              <w:spacing w:line="360" w:lineRule="auto"/>
              <w:rPr>
                <w:rFonts w:ascii="宋体" w:hAnsi="宋体"/>
                <w:color w:val="000000"/>
              </w:rPr>
            </w:pPr>
            <w:r>
              <w:rPr>
                <w:rFonts w:hint="eastAsia" w:ascii="宋体" w:hAnsi="宋体"/>
                <w:color w:val="000000"/>
              </w:rPr>
              <w:t>江苏省张家港市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3" w:hRule="exact"/>
        </w:trPr>
        <w:tc>
          <w:tcPr>
            <w:tcW w:w="1173" w:type="dxa"/>
            <w:vAlign w:val="center"/>
          </w:tcPr>
          <w:p>
            <w:pPr>
              <w:rPr>
                <w:rFonts w:ascii="宋体" w:hAnsi="宋体"/>
              </w:rPr>
            </w:pPr>
            <w:r>
              <w:rPr>
                <w:rFonts w:hint="eastAsia" w:ascii="宋体" w:hAnsi="宋体"/>
              </w:rPr>
              <w:t>1.2.1</w:t>
            </w:r>
          </w:p>
        </w:tc>
        <w:tc>
          <w:tcPr>
            <w:tcW w:w="2027" w:type="dxa"/>
            <w:gridSpan w:val="2"/>
            <w:vAlign w:val="center"/>
          </w:tcPr>
          <w:p>
            <w:pPr>
              <w:rPr>
                <w:rFonts w:ascii="宋体" w:hAnsi="宋体"/>
              </w:rPr>
            </w:pPr>
            <w:r>
              <w:rPr>
                <w:rFonts w:hint="eastAsia" w:ascii="宋体" w:hAnsi="宋体"/>
              </w:rPr>
              <w:t>资金来源</w:t>
            </w:r>
          </w:p>
        </w:tc>
        <w:tc>
          <w:tcPr>
            <w:tcW w:w="6315" w:type="dxa"/>
            <w:vAlign w:val="bottom"/>
          </w:tcPr>
          <w:p>
            <w:pPr>
              <w:rPr>
                <w:rFonts w:ascii="宋体" w:hAnsi="宋体"/>
              </w:rPr>
            </w:pPr>
            <w:r>
              <w:rPr>
                <w:rFonts w:hint="eastAsia" w:ascii="宋体" w:hAnsi="宋体"/>
              </w:rPr>
              <w:t>资金自筹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73" w:type="dxa"/>
            <w:vAlign w:val="center"/>
          </w:tcPr>
          <w:p>
            <w:pPr>
              <w:rPr>
                <w:rFonts w:ascii="宋体" w:hAnsi="宋体"/>
              </w:rPr>
            </w:pPr>
            <w:r>
              <w:rPr>
                <w:rFonts w:hint="eastAsia" w:ascii="宋体" w:hAnsi="宋体"/>
              </w:rPr>
              <w:t>1.2.2</w:t>
            </w:r>
          </w:p>
        </w:tc>
        <w:tc>
          <w:tcPr>
            <w:tcW w:w="2027" w:type="dxa"/>
            <w:gridSpan w:val="2"/>
            <w:vAlign w:val="center"/>
          </w:tcPr>
          <w:p>
            <w:pPr>
              <w:rPr>
                <w:rFonts w:ascii="宋体" w:hAnsi="宋体"/>
              </w:rPr>
            </w:pPr>
            <w:r>
              <w:rPr>
                <w:rFonts w:hint="eastAsia" w:ascii="宋体" w:hAnsi="宋体"/>
              </w:rPr>
              <w:t>出资比例</w:t>
            </w:r>
          </w:p>
        </w:tc>
        <w:tc>
          <w:tcPr>
            <w:tcW w:w="6315" w:type="dxa"/>
            <w:vAlign w:val="center"/>
          </w:tcPr>
          <w:p>
            <w:pPr>
              <w:rPr>
                <w:rFonts w:ascii="宋体" w:hAnsi="宋体"/>
              </w:rPr>
            </w:pPr>
            <w:r>
              <w:rPr>
                <w:rFonts w:hint="eastAsia" w:ascii="宋体" w:hAnsi="宋体"/>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73" w:type="dxa"/>
            <w:vAlign w:val="center"/>
          </w:tcPr>
          <w:p>
            <w:pPr>
              <w:rPr>
                <w:rFonts w:ascii="宋体" w:hAnsi="宋体"/>
              </w:rPr>
            </w:pPr>
            <w:r>
              <w:rPr>
                <w:rFonts w:hint="eastAsia" w:ascii="宋体" w:hAnsi="宋体"/>
              </w:rPr>
              <w:t>1.2.3</w:t>
            </w:r>
          </w:p>
        </w:tc>
        <w:tc>
          <w:tcPr>
            <w:tcW w:w="2027" w:type="dxa"/>
            <w:gridSpan w:val="2"/>
            <w:vAlign w:val="center"/>
          </w:tcPr>
          <w:p>
            <w:pPr>
              <w:rPr>
                <w:rFonts w:ascii="宋体" w:hAnsi="宋体"/>
              </w:rPr>
            </w:pPr>
            <w:r>
              <w:rPr>
                <w:rFonts w:hint="eastAsia" w:ascii="宋体" w:hAnsi="宋体"/>
              </w:rPr>
              <w:t>资金落实情况</w:t>
            </w:r>
          </w:p>
        </w:tc>
        <w:tc>
          <w:tcPr>
            <w:tcW w:w="6315" w:type="dxa"/>
            <w:vAlign w:val="center"/>
          </w:tcPr>
          <w:p>
            <w:pPr>
              <w:rPr>
                <w:rFonts w:ascii="宋体" w:hAnsi="宋体"/>
              </w:rPr>
            </w:pPr>
            <w:r>
              <w:rPr>
                <w:rFonts w:hint="eastAsia" w:ascii="宋体" w:hAnsi="宋体"/>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73" w:type="dxa"/>
            <w:vAlign w:val="center"/>
          </w:tcPr>
          <w:p>
            <w:pPr>
              <w:spacing w:line="360" w:lineRule="auto"/>
              <w:jc w:val="left"/>
              <w:rPr>
                <w:rFonts w:ascii="宋体" w:hAnsi="宋体"/>
              </w:rPr>
            </w:pPr>
            <w:r>
              <w:rPr>
                <w:rFonts w:hint="eastAsia" w:ascii="宋体" w:hAnsi="宋体"/>
              </w:rPr>
              <w:t>1.3.1</w:t>
            </w:r>
          </w:p>
        </w:tc>
        <w:tc>
          <w:tcPr>
            <w:tcW w:w="2027" w:type="dxa"/>
            <w:gridSpan w:val="2"/>
            <w:vAlign w:val="center"/>
          </w:tcPr>
          <w:p>
            <w:pPr>
              <w:rPr>
                <w:rFonts w:ascii="宋体" w:hAnsi="宋体"/>
              </w:rPr>
            </w:pPr>
            <w:r>
              <w:rPr>
                <w:rFonts w:hint="eastAsia" w:ascii="宋体" w:hAnsi="宋体"/>
              </w:rPr>
              <w:t>招标范围</w:t>
            </w:r>
          </w:p>
        </w:tc>
        <w:tc>
          <w:tcPr>
            <w:tcW w:w="6315" w:type="dxa"/>
            <w:vAlign w:val="center"/>
          </w:tcPr>
          <w:p>
            <w:pPr>
              <w:rPr>
                <w:rFonts w:ascii="宋体" w:hAnsi="宋体"/>
              </w:rPr>
            </w:pPr>
            <w:r>
              <w:rPr>
                <w:rFonts w:hint="eastAsia" w:ascii="宋体" w:hAnsi="宋体"/>
              </w:rPr>
              <w:t>关于招标范围的详细说明见第五章“技术标准要求”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3" w:type="dxa"/>
            <w:vAlign w:val="center"/>
          </w:tcPr>
          <w:p>
            <w:pPr>
              <w:spacing w:line="360" w:lineRule="auto"/>
              <w:rPr>
                <w:rFonts w:ascii="宋体" w:hAnsi="宋体"/>
              </w:rPr>
            </w:pPr>
            <w:r>
              <w:rPr>
                <w:rFonts w:hint="eastAsia" w:ascii="宋体" w:hAnsi="宋体"/>
              </w:rPr>
              <w:t>1.3.2</w:t>
            </w:r>
          </w:p>
        </w:tc>
        <w:tc>
          <w:tcPr>
            <w:tcW w:w="2027" w:type="dxa"/>
            <w:gridSpan w:val="2"/>
            <w:vAlign w:val="center"/>
          </w:tcPr>
          <w:p>
            <w:pPr>
              <w:spacing w:line="360" w:lineRule="auto"/>
              <w:rPr>
                <w:rFonts w:ascii="宋体" w:hAnsi="宋体"/>
              </w:rPr>
            </w:pPr>
            <w:r>
              <w:rPr>
                <w:rFonts w:hint="eastAsia" w:ascii="宋体" w:hAnsi="宋体"/>
              </w:rPr>
              <w:t>服务期限</w:t>
            </w:r>
          </w:p>
        </w:tc>
        <w:tc>
          <w:tcPr>
            <w:tcW w:w="6315" w:type="dxa"/>
            <w:vAlign w:val="center"/>
          </w:tcPr>
          <w:p>
            <w:pPr>
              <w:spacing w:line="360" w:lineRule="auto"/>
              <w:rPr>
                <w:rFonts w:ascii="宋体" w:hAnsi="宋体"/>
              </w:rPr>
            </w:pPr>
            <w:r>
              <w:rPr>
                <w:rFonts w:hint="eastAsia" w:ascii="宋体" w:hAnsi="宋体"/>
              </w:rPr>
              <w:t>合同签订后60日历天（含安装调试结束）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173" w:type="dxa"/>
            <w:vAlign w:val="center"/>
          </w:tcPr>
          <w:p>
            <w:pPr>
              <w:spacing w:line="360" w:lineRule="auto"/>
              <w:rPr>
                <w:rFonts w:ascii="宋体" w:hAnsi="宋体"/>
              </w:rPr>
            </w:pPr>
            <w:r>
              <w:rPr>
                <w:rFonts w:hint="eastAsia" w:ascii="宋体" w:hAnsi="宋体"/>
              </w:rPr>
              <w:t>1.3.3</w:t>
            </w:r>
          </w:p>
        </w:tc>
        <w:tc>
          <w:tcPr>
            <w:tcW w:w="2027" w:type="dxa"/>
            <w:gridSpan w:val="2"/>
            <w:vAlign w:val="center"/>
          </w:tcPr>
          <w:p>
            <w:pPr>
              <w:spacing w:line="360" w:lineRule="auto"/>
              <w:rPr>
                <w:rFonts w:ascii="宋体" w:hAnsi="宋体"/>
              </w:rPr>
            </w:pPr>
            <w:r>
              <w:rPr>
                <w:rFonts w:hint="eastAsia" w:ascii="宋体" w:hAnsi="宋体"/>
              </w:rPr>
              <w:t>质量要求</w:t>
            </w:r>
          </w:p>
        </w:tc>
        <w:tc>
          <w:tcPr>
            <w:tcW w:w="6315" w:type="dxa"/>
            <w:vAlign w:val="center"/>
          </w:tcPr>
          <w:p>
            <w:pPr>
              <w:spacing w:line="360" w:lineRule="auto"/>
              <w:rPr>
                <w:rFonts w:ascii="宋体" w:hAnsi="宋体"/>
              </w:rPr>
            </w:pPr>
            <w:r>
              <w:rPr>
                <w:rFonts w:hint="eastAsia" w:ascii="宋体" w:hAnsi="宋体"/>
                <w:color w:val="000000"/>
              </w:rPr>
              <w:t>满足招标人具体要求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73" w:type="dxa"/>
            <w:vAlign w:val="center"/>
          </w:tcPr>
          <w:p>
            <w:pPr>
              <w:spacing w:line="360" w:lineRule="auto"/>
              <w:rPr>
                <w:rFonts w:ascii="宋体" w:hAnsi="宋体"/>
              </w:rPr>
            </w:pPr>
            <w:r>
              <w:rPr>
                <w:rFonts w:hint="eastAsia" w:ascii="宋体" w:hAnsi="宋体"/>
              </w:rPr>
              <w:t>1.3.4</w:t>
            </w:r>
          </w:p>
        </w:tc>
        <w:tc>
          <w:tcPr>
            <w:tcW w:w="2027" w:type="dxa"/>
            <w:gridSpan w:val="2"/>
            <w:vAlign w:val="center"/>
          </w:tcPr>
          <w:p>
            <w:pPr>
              <w:spacing w:line="360" w:lineRule="auto"/>
              <w:rPr>
                <w:rFonts w:ascii="宋体" w:hAnsi="宋体"/>
              </w:rPr>
            </w:pPr>
            <w:r>
              <w:rPr>
                <w:rFonts w:hint="eastAsia" w:ascii="宋体" w:hAnsi="宋体"/>
              </w:rPr>
              <w:t>承包方式</w:t>
            </w:r>
          </w:p>
        </w:tc>
        <w:tc>
          <w:tcPr>
            <w:tcW w:w="6315" w:type="dxa"/>
            <w:vAlign w:val="center"/>
          </w:tcPr>
          <w:p>
            <w:pPr>
              <w:spacing w:line="360" w:lineRule="auto"/>
              <w:rPr>
                <w:rFonts w:ascii="宋体" w:hAnsi="宋体"/>
              </w:rPr>
            </w:pPr>
            <w:r>
              <w:rPr>
                <w:rFonts w:hint="eastAsia" w:ascii="宋体" w:hAnsi="宋体"/>
              </w:rPr>
              <w:t>工程总承包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trPr>
        <w:tc>
          <w:tcPr>
            <w:tcW w:w="1173" w:type="dxa"/>
            <w:vAlign w:val="center"/>
          </w:tcPr>
          <w:p>
            <w:pPr>
              <w:spacing w:line="360" w:lineRule="auto"/>
              <w:rPr>
                <w:rFonts w:ascii="宋体" w:hAnsi="宋体"/>
              </w:rPr>
            </w:pPr>
            <w:r>
              <w:rPr>
                <w:rFonts w:hint="eastAsia" w:ascii="宋体" w:hAnsi="宋体"/>
              </w:rPr>
              <w:t>1.4.1</w:t>
            </w:r>
          </w:p>
        </w:tc>
        <w:tc>
          <w:tcPr>
            <w:tcW w:w="2027" w:type="dxa"/>
            <w:gridSpan w:val="2"/>
            <w:vAlign w:val="center"/>
          </w:tcPr>
          <w:p>
            <w:pPr>
              <w:spacing w:line="360" w:lineRule="auto"/>
              <w:rPr>
                <w:rFonts w:ascii="宋体" w:hAnsi="宋体"/>
              </w:rPr>
            </w:pPr>
            <w:r>
              <w:rPr>
                <w:rFonts w:hint="eastAsia" w:ascii="宋体" w:hAnsi="宋体"/>
              </w:rPr>
              <w:t>投标人资质条件、能力和信誉</w:t>
            </w:r>
          </w:p>
        </w:tc>
        <w:tc>
          <w:tcPr>
            <w:tcW w:w="6315" w:type="dxa"/>
            <w:vAlign w:val="center"/>
          </w:tcPr>
          <w:p>
            <w:pPr>
              <w:spacing w:line="360" w:lineRule="auto"/>
              <w:rPr>
                <w:rFonts w:ascii="宋体" w:hAnsi="宋体"/>
                <w:color w:val="000000"/>
              </w:rPr>
            </w:pPr>
            <w:r>
              <w:rPr>
                <w:rFonts w:hint="eastAsia" w:ascii="宋体" w:hAnsi="宋体"/>
                <w:color w:val="000000"/>
              </w:rPr>
              <w:t>（1）本项目不接受联合体投标。不接受单位负责人为同一人或者存在控股、管理关系的不同单位参加本项目的投标。</w:t>
            </w:r>
          </w:p>
          <w:p>
            <w:pPr>
              <w:spacing w:line="360" w:lineRule="auto"/>
              <w:rPr>
                <w:rFonts w:ascii="宋体" w:hAnsi="宋体"/>
                <w:color w:val="000000"/>
              </w:rPr>
            </w:pPr>
            <w:r>
              <w:rPr>
                <w:rFonts w:hint="eastAsia" w:ascii="宋体" w:hAnsi="宋体"/>
                <w:color w:val="000000"/>
              </w:rPr>
              <w:t>（2）本次招标要求投标人具备：具有商检机构实验室装修业绩3个（含）以上。</w:t>
            </w:r>
          </w:p>
          <w:p>
            <w:pPr>
              <w:spacing w:line="360" w:lineRule="auto"/>
              <w:rPr>
                <w:rFonts w:ascii="宋体" w:hAnsi="宋体"/>
                <w:color w:val="000000"/>
              </w:rPr>
            </w:pPr>
            <w:r>
              <w:rPr>
                <w:rFonts w:hint="eastAsia" w:ascii="宋体" w:hAnsi="宋体"/>
                <w:color w:val="000000"/>
              </w:rPr>
              <w:t>（3）要求近三年（2016、2017、2018）内未发生安全生产事故、严重环境事件和较大及以上质量事故；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1173" w:type="dxa"/>
            <w:vAlign w:val="center"/>
          </w:tcPr>
          <w:p>
            <w:pPr>
              <w:spacing w:line="360" w:lineRule="auto"/>
              <w:rPr>
                <w:rFonts w:ascii="宋体" w:hAnsi="宋体"/>
              </w:rPr>
            </w:pPr>
            <w:r>
              <w:rPr>
                <w:rFonts w:hint="eastAsia" w:ascii="宋体" w:hAnsi="宋体"/>
              </w:rPr>
              <w:t>1.4.2</w:t>
            </w:r>
          </w:p>
        </w:tc>
        <w:tc>
          <w:tcPr>
            <w:tcW w:w="2027" w:type="dxa"/>
            <w:gridSpan w:val="2"/>
            <w:vAlign w:val="center"/>
          </w:tcPr>
          <w:p>
            <w:pPr>
              <w:spacing w:line="360" w:lineRule="auto"/>
              <w:rPr>
                <w:rFonts w:ascii="宋体" w:hAnsi="宋体"/>
              </w:rPr>
            </w:pPr>
            <w:r>
              <w:rPr>
                <w:rFonts w:hint="eastAsia" w:ascii="宋体" w:hAnsi="宋体"/>
              </w:rPr>
              <w:t>是否接受联合体投标</w:t>
            </w:r>
          </w:p>
        </w:tc>
        <w:tc>
          <w:tcPr>
            <w:tcW w:w="6315" w:type="dxa"/>
            <w:vAlign w:val="center"/>
          </w:tcPr>
          <w:p>
            <w:pPr>
              <w:spacing w:line="360" w:lineRule="auto"/>
              <w:rPr>
                <w:rFonts w:ascii="宋体" w:hAnsi="宋体"/>
              </w:rPr>
            </w:pPr>
            <w:r>
              <w:rPr>
                <w:rFonts w:hint="eastAsia" w:ascii="宋体" w:hAnsi="宋体"/>
              </w:rPr>
              <w:t>√不接受</w:t>
            </w:r>
          </w:p>
          <w:p>
            <w:pPr>
              <w:spacing w:line="360" w:lineRule="auto"/>
              <w:rPr>
                <w:rFonts w:ascii="宋体" w:hAnsi="宋体"/>
              </w:rPr>
            </w:pPr>
            <w:r>
              <w:rPr>
                <w:rFonts w:hint="eastAsia" w:ascii="宋体" w:hAnsi="宋体"/>
              </w:rPr>
              <w:t>☑接受，应满足下列要求：</w:t>
            </w:r>
          </w:p>
          <w:p>
            <w:pPr>
              <w:spacing w:line="360" w:lineRule="auto"/>
              <w:rPr>
                <w:rFonts w:ascii="宋体" w:hAnsi="宋体"/>
              </w:rPr>
            </w:pPr>
            <w:r>
              <w:rPr>
                <w:rFonts w:hint="eastAsia" w:ascii="宋体" w:hAnsi="宋体"/>
              </w:rPr>
              <w:t>联合体资质按照联合体协议约定的分工认定。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1173" w:type="dxa"/>
            <w:vAlign w:val="center"/>
          </w:tcPr>
          <w:p>
            <w:pPr>
              <w:spacing w:line="360" w:lineRule="auto"/>
              <w:rPr>
                <w:rFonts w:ascii="宋体" w:hAnsi="宋体"/>
              </w:rPr>
            </w:pPr>
            <w:r>
              <w:rPr>
                <w:rFonts w:hint="eastAsia" w:ascii="宋体" w:hAnsi="宋体"/>
              </w:rPr>
              <w:t>1.9.1</w:t>
            </w:r>
          </w:p>
        </w:tc>
        <w:tc>
          <w:tcPr>
            <w:tcW w:w="2027" w:type="dxa"/>
            <w:gridSpan w:val="2"/>
            <w:vAlign w:val="center"/>
          </w:tcPr>
          <w:p>
            <w:pPr>
              <w:spacing w:line="360" w:lineRule="auto"/>
              <w:rPr>
                <w:rFonts w:ascii="宋体" w:hAnsi="宋体"/>
              </w:rPr>
            </w:pPr>
            <w:r>
              <w:rPr>
                <w:rFonts w:hint="eastAsia" w:ascii="宋体" w:hAnsi="宋体"/>
              </w:rPr>
              <w:t>踏勘现场</w:t>
            </w:r>
          </w:p>
        </w:tc>
        <w:tc>
          <w:tcPr>
            <w:tcW w:w="6315" w:type="dxa"/>
            <w:vAlign w:val="center"/>
          </w:tcPr>
          <w:p>
            <w:pPr>
              <w:spacing w:line="360" w:lineRule="auto"/>
              <w:rPr>
                <w:rFonts w:ascii="宋体" w:hAnsi="宋体"/>
              </w:rPr>
            </w:pPr>
            <w:r>
              <w:rPr>
                <w:rFonts w:hint="eastAsia" w:ascii="宋体" w:hAnsi="宋体"/>
              </w:rPr>
              <w:t>☑不组织</w:t>
            </w:r>
          </w:p>
          <w:p>
            <w:pPr>
              <w:spacing w:line="360" w:lineRule="auto"/>
              <w:rPr>
                <w:rFonts w:ascii="宋体" w:hAnsi="宋体"/>
              </w:rPr>
            </w:pPr>
            <w:r>
              <w:rPr>
                <w:rFonts w:hint="eastAsia" w:ascii="宋体" w:hAnsi="宋体"/>
              </w:rPr>
              <w:t>□组织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1173" w:type="dxa"/>
            <w:vAlign w:val="center"/>
          </w:tcPr>
          <w:p>
            <w:pPr>
              <w:spacing w:line="360" w:lineRule="auto"/>
              <w:rPr>
                <w:rFonts w:ascii="宋体" w:hAnsi="宋体"/>
              </w:rPr>
            </w:pPr>
            <w:r>
              <w:rPr>
                <w:rFonts w:hint="eastAsia" w:ascii="宋体" w:hAnsi="宋体"/>
              </w:rPr>
              <w:t>1.10.1</w:t>
            </w:r>
          </w:p>
        </w:tc>
        <w:tc>
          <w:tcPr>
            <w:tcW w:w="2027" w:type="dxa"/>
            <w:gridSpan w:val="2"/>
            <w:vAlign w:val="center"/>
          </w:tcPr>
          <w:p>
            <w:pPr>
              <w:spacing w:line="360" w:lineRule="auto"/>
              <w:rPr>
                <w:rFonts w:ascii="宋体" w:hAnsi="宋体"/>
              </w:rPr>
            </w:pPr>
            <w:r>
              <w:rPr>
                <w:rFonts w:hint="eastAsia" w:ascii="宋体" w:hAnsi="宋体"/>
              </w:rPr>
              <w:t>投标预备会</w:t>
            </w:r>
          </w:p>
        </w:tc>
        <w:tc>
          <w:tcPr>
            <w:tcW w:w="6315" w:type="dxa"/>
            <w:vAlign w:val="center"/>
          </w:tcPr>
          <w:p>
            <w:pPr>
              <w:spacing w:line="360" w:lineRule="auto"/>
              <w:rPr>
                <w:rFonts w:ascii="宋体" w:hAnsi="宋体"/>
              </w:rPr>
            </w:pPr>
            <w:r>
              <w:rPr>
                <w:rFonts w:hint="eastAsia" w:ascii="宋体" w:hAnsi="宋体"/>
              </w:rPr>
              <w:t>√不召开</w:t>
            </w:r>
          </w:p>
          <w:p>
            <w:pPr>
              <w:spacing w:line="360" w:lineRule="auto"/>
              <w:rPr>
                <w:rFonts w:ascii="宋体" w:hAnsi="宋体"/>
                <w:u w:val="single"/>
              </w:rPr>
            </w:pPr>
            <w:r>
              <w:rPr>
                <w:rFonts w:hint="eastAsia" w:ascii="宋体" w:hAnsi="宋体"/>
              </w:rPr>
              <w:t>□召开，召开时间：年月日</w:t>
            </w:r>
          </w:p>
          <w:p>
            <w:pPr>
              <w:spacing w:line="360" w:lineRule="auto"/>
              <w:rPr>
                <w:rFonts w:ascii="宋体" w:hAnsi="宋体"/>
                <w:u w:val="single"/>
              </w:rPr>
            </w:pPr>
            <w:r>
              <w:rPr>
                <w:rFonts w:hint="eastAsia" w:ascii="宋体" w:hAnsi="宋体"/>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1173" w:type="dxa"/>
            <w:vAlign w:val="center"/>
          </w:tcPr>
          <w:p>
            <w:pPr>
              <w:spacing w:line="360" w:lineRule="auto"/>
              <w:rPr>
                <w:rFonts w:ascii="宋体" w:hAnsi="宋体"/>
              </w:rPr>
            </w:pPr>
            <w:r>
              <w:rPr>
                <w:rFonts w:hint="eastAsia" w:ascii="宋体" w:hAnsi="宋体"/>
              </w:rPr>
              <w:t>1.10.2</w:t>
            </w:r>
          </w:p>
        </w:tc>
        <w:tc>
          <w:tcPr>
            <w:tcW w:w="2027" w:type="dxa"/>
            <w:gridSpan w:val="2"/>
            <w:vAlign w:val="center"/>
          </w:tcPr>
          <w:p>
            <w:pPr>
              <w:spacing w:line="360" w:lineRule="auto"/>
              <w:rPr>
                <w:rFonts w:ascii="宋体" w:hAnsi="宋体"/>
              </w:rPr>
            </w:pPr>
            <w:r>
              <w:rPr>
                <w:rFonts w:hint="eastAsia" w:ascii="宋体" w:hAnsi="宋体"/>
              </w:rPr>
              <w:t>投标人提出问题的截止时间</w:t>
            </w:r>
          </w:p>
        </w:tc>
        <w:tc>
          <w:tcPr>
            <w:tcW w:w="6315" w:type="dxa"/>
            <w:vAlign w:val="center"/>
          </w:tcPr>
          <w:p>
            <w:pPr>
              <w:spacing w:line="360" w:lineRule="auto"/>
              <w:rPr>
                <w:rFonts w:ascii="宋体" w:hAnsi="宋体"/>
              </w:rPr>
            </w:pPr>
            <w:r>
              <w:rPr>
                <w:rFonts w:hint="eastAsia" w:ascii="宋体" w:hAnsi="宋体" w:cs="Arial"/>
                <w:color w:val="0D0D0D"/>
                <w:szCs w:val="21"/>
              </w:rPr>
              <w:t>应以书面形式并加盖投标人公章后，于投标截止日前15个日历日通知招标人。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73" w:type="dxa"/>
            <w:vAlign w:val="center"/>
          </w:tcPr>
          <w:p>
            <w:pPr>
              <w:spacing w:line="360" w:lineRule="auto"/>
              <w:rPr>
                <w:rFonts w:ascii="宋体" w:hAnsi="宋体"/>
              </w:rPr>
            </w:pPr>
            <w:r>
              <w:rPr>
                <w:rFonts w:hint="eastAsia" w:ascii="宋体" w:hAnsi="宋体"/>
              </w:rPr>
              <w:t>1.10.3</w:t>
            </w:r>
          </w:p>
        </w:tc>
        <w:tc>
          <w:tcPr>
            <w:tcW w:w="2027" w:type="dxa"/>
            <w:gridSpan w:val="2"/>
            <w:vAlign w:val="center"/>
          </w:tcPr>
          <w:p>
            <w:pPr>
              <w:spacing w:line="360" w:lineRule="auto"/>
              <w:rPr>
                <w:rFonts w:ascii="宋体" w:hAnsi="宋体"/>
                <w:color w:val="000000"/>
              </w:rPr>
            </w:pPr>
            <w:r>
              <w:rPr>
                <w:rFonts w:hint="eastAsia" w:ascii="宋体" w:hAnsi="宋体"/>
                <w:color w:val="0D0D0D"/>
                <w:szCs w:val="21"/>
              </w:rPr>
              <w:t>招标人书面澄清答疑及补充通知的回应时间</w:t>
            </w:r>
          </w:p>
        </w:tc>
        <w:tc>
          <w:tcPr>
            <w:tcW w:w="6315" w:type="dxa"/>
            <w:vAlign w:val="center"/>
          </w:tcPr>
          <w:p>
            <w:pPr>
              <w:spacing w:line="360" w:lineRule="auto"/>
              <w:rPr>
                <w:rFonts w:ascii="宋体" w:hAnsi="宋体"/>
                <w:color w:val="0D0D0D"/>
                <w:szCs w:val="21"/>
              </w:rPr>
            </w:pPr>
            <w:r>
              <w:rPr>
                <w:rFonts w:hint="eastAsia" w:ascii="宋体" w:hAnsi="宋体" w:cs="Arial"/>
                <w:color w:val="0D0D0D"/>
                <w:szCs w:val="21"/>
              </w:rPr>
              <w:t>投标人在每次收到澄清答疑或补充通知后24小时内，以书面形式并加盖投标人公章后，通知招标人。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173" w:type="dxa"/>
            <w:vAlign w:val="center"/>
          </w:tcPr>
          <w:p>
            <w:pPr>
              <w:spacing w:line="360" w:lineRule="auto"/>
              <w:rPr>
                <w:rFonts w:ascii="宋体" w:hAnsi="宋体"/>
              </w:rPr>
            </w:pPr>
            <w:r>
              <w:rPr>
                <w:rFonts w:hint="eastAsia" w:ascii="宋体" w:hAnsi="宋体"/>
              </w:rPr>
              <w:t>1.11</w:t>
            </w:r>
          </w:p>
        </w:tc>
        <w:tc>
          <w:tcPr>
            <w:tcW w:w="2027" w:type="dxa"/>
            <w:gridSpan w:val="2"/>
            <w:vAlign w:val="center"/>
          </w:tcPr>
          <w:p>
            <w:pPr>
              <w:spacing w:line="360" w:lineRule="auto"/>
              <w:rPr>
                <w:rFonts w:ascii="宋体" w:hAnsi="宋体"/>
              </w:rPr>
            </w:pPr>
            <w:r>
              <w:rPr>
                <w:rFonts w:hint="eastAsia" w:ascii="宋体" w:hAnsi="宋体"/>
              </w:rPr>
              <w:t>分  包</w:t>
            </w:r>
          </w:p>
        </w:tc>
        <w:tc>
          <w:tcPr>
            <w:tcW w:w="6315" w:type="dxa"/>
            <w:vAlign w:val="center"/>
          </w:tcPr>
          <w:p>
            <w:pPr>
              <w:spacing w:line="360" w:lineRule="auto"/>
              <w:rPr>
                <w:rFonts w:ascii="宋体" w:hAnsi="宋体"/>
              </w:rPr>
            </w:pPr>
            <w:r>
              <w:rPr>
                <w:rFonts w:hint="eastAsia" w:ascii="宋体" w:hAnsi="宋体"/>
              </w:rPr>
              <w:t>√不允许</w:t>
            </w:r>
          </w:p>
          <w:p>
            <w:pPr>
              <w:spacing w:line="360" w:lineRule="auto"/>
              <w:rPr>
                <w:rFonts w:ascii="宋体" w:hAnsi="宋体"/>
              </w:rPr>
            </w:pPr>
            <w:r>
              <w:rPr>
                <w:rFonts w:hint="eastAsia" w:ascii="宋体" w:hAnsi="宋体"/>
              </w:rPr>
              <w:t>□允许，经招标人同意，允许中标方将部分非主体、非关键项目分包。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73" w:type="dxa"/>
            <w:vAlign w:val="center"/>
          </w:tcPr>
          <w:p>
            <w:pPr>
              <w:spacing w:line="360" w:lineRule="auto"/>
              <w:rPr>
                <w:rFonts w:ascii="宋体" w:hAnsi="宋体"/>
              </w:rPr>
            </w:pPr>
            <w:r>
              <w:rPr>
                <w:rFonts w:hint="eastAsia" w:ascii="宋体" w:hAnsi="宋体"/>
              </w:rPr>
              <w:t>1.12</w:t>
            </w:r>
          </w:p>
        </w:tc>
        <w:tc>
          <w:tcPr>
            <w:tcW w:w="2027" w:type="dxa"/>
            <w:gridSpan w:val="2"/>
            <w:vAlign w:val="center"/>
          </w:tcPr>
          <w:p>
            <w:pPr>
              <w:spacing w:line="360" w:lineRule="auto"/>
              <w:rPr>
                <w:rFonts w:ascii="宋体" w:hAnsi="宋体"/>
              </w:rPr>
            </w:pPr>
            <w:r>
              <w:rPr>
                <w:rFonts w:hint="eastAsia" w:ascii="宋体" w:hAnsi="宋体"/>
              </w:rPr>
              <w:t>偏  离</w:t>
            </w:r>
          </w:p>
        </w:tc>
        <w:tc>
          <w:tcPr>
            <w:tcW w:w="6315" w:type="dxa"/>
            <w:vAlign w:val="center"/>
          </w:tcPr>
          <w:p>
            <w:pPr>
              <w:spacing w:line="360" w:lineRule="auto"/>
              <w:rPr>
                <w:rFonts w:ascii="宋体" w:hAnsi="宋体"/>
              </w:rPr>
            </w:pPr>
            <w:r>
              <w:rPr>
                <w:rFonts w:hint="eastAsia" w:ascii="宋体" w:hAnsi="宋体"/>
              </w:rPr>
              <w:t>√不允许</w:t>
            </w:r>
          </w:p>
          <w:p>
            <w:pPr>
              <w:spacing w:line="360" w:lineRule="auto"/>
              <w:rPr>
                <w:rFonts w:ascii="宋体" w:hAnsi="宋体"/>
              </w:rPr>
            </w:pPr>
            <w:r>
              <w:rPr>
                <w:rFonts w:hint="eastAsia" w:ascii="宋体" w:hAnsi="宋体"/>
              </w:rPr>
              <w:t>□允许，可偏离的项目和范围</w:t>
            </w:r>
          </w:p>
          <w:p>
            <w:pPr>
              <w:spacing w:line="360" w:lineRule="auto"/>
              <w:rPr>
                <w:rFonts w:ascii="宋体" w:hAnsi="宋体"/>
              </w:rPr>
            </w:pPr>
            <w:r>
              <w:rPr>
                <w:rFonts w:hint="eastAsia" w:ascii="宋体" w:hAnsi="宋体"/>
              </w:rPr>
              <w:t xml:space="preserve">         商务偏离：</w:t>
            </w:r>
          </w:p>
          <w:p>
            <w:pPr>
              <w:spacing w:line="360" w:lineRule="auto"/>
              <w:rPr>
                <w:rFonts w:ascii="宋体" w:hAnsi="宋体"/>
              </w:rPr>
            </w:pPr>
            <w:r>
              <w:rPr>
                <w:rFonts w:hint="eastAsia" w:ascii="宋体" w:hAnsi="宋体"/>
              </w:rPr>
              <w:t xml:space="preserve">         技术偏离：</w:t>
            </w:r>
          </w:p>
          <w:p>
            <w:pPr>
              <w:spacing w:line="360" w:lineRule="auto"/>
              <w:rPr>
                <w:rFonts w:ascii="宋体" w:hAnsi="宋体"/>
              </w:rPr>
            </w:pPr>
            <w:r>
              <w:rPr>
                <w:rFonts w:hint="eastAsia" w:ascii="宋体" w:hAnsi="宋体"/>
              </w:rPr>
              <w:t xml:space="preserve">         允许偏离最高项数：</w:t>
            </w:r>
          </w:p>
          <w:p>
            <w:pPr>
              <w:spacing w:line="360" w:lineRule="auto"/>
              <w:rPr>
                <w:rFonts w:ascii="宋体" w:hAnsi="宋体"/>
              </w:rPr>
            </w:pPr>
            <w:r>
              <w:rPr>
                <w:rFonts w:hint="eastAsia" w:ascii="宋体" w:hAnsi="宋体"/>
              </w:rPr>
              <w:t xml:space="preserve">         偏差调整方法：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73" w:type="dxa"/>
            <w:vAlign w:val="center"/>
          </w:tcPr>
          <w:p>
            <w:pPr>
              <w:spacing w:line="360" w:lineRule="auto"/>
              <w:rPr>
                <w:rFonts w:ascii="宋体" w:hAnsi="宋体"/>
              </w:rPr>
            </w:pPr>
            <w:r>
              <w:rPr>
                <w:rFonts w:hint="eastAsia" w:ascii="宋体" w:hAnsi="宋体"/>
              </w:rPr>
              <w:t>2.1</w:t>
            </w:r>
          </w:p>
        </w:tc>
        <w:tc>
          <w:tcPr>
            <w:tcW w:w="2027" w:type="dxa"/>
            <w:gridSpan w:val="2"/>
            <w:vAlign w:val="center"/>
          </w:tcPr>
          <w:p>
            <w:pPr>
              <w:spacing w:line="360" w:lineRule="auto"/>
              <w:rPr>
                <w:rFonts w:ascii="宋体" w:hAnsi="宋体"/>
              </w:rPr>
            </w:pPr>
            <w:r>
              <w:rPr>
                <w:rFonts w:hint="eastAsia" w:ascii="宋体" w:hAnsi="宋体"/>
              </w:rPr>
              <w:t>构成招标文件的其他材料</w:t>
            </w:r>
          </w:p>
        </w:tc>
        <w:tc>
          <w:tcPr>
            <w:tcW w:w="6315" w:type="dxa"/>
            <w:vAlign w:val="center"/>
          </w:tcPr>
          <w:p>
            <w:pPr>
              <w:spacing w:line="360" w:lineRule="auto"/>
              <w:rPr>
                <w:rFonts w:ascii="宋体" w:hAnsi="宋体"/>
                <w:color w:val="0D0D0D"/>
                <w:szCs w:val="21"/>
              </w:rPr>
            </w:pPr>
            <w:r>
              <w:rPr>
                <w:rFonts w:hint="eastAsia" w:ascii="宋体" w:hAnsi="宋体"/>
                <w:color w:val="0D0D0D"/>
                <w:szCs w:val="21"/>
              </w:rPr>
              <w:t>设计文件、答疑文件、招标文件修改或补遗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3" w:type="dxa"/>
            <w:vAlign w:val="center"/>
          </w:tcPr>
          <w:p>
            <w:pPr>
              <w:spacing w:line="360" w:lineRule="auto"/>
              <w:rPr>
                <w:rFonts w:ascii="宋体" w:hAnsi="宋体"/>
              </w:rPr>
            </w:pPr>
            <w:r>
              <w:rPr>
                <w:rFonts w:hint="eastAsia" w:ascii="宋体" w:hAnsi="宋体"/>
              </w:rPr>
              <w:t>2.2.3</w:t>
            </w:r>
          </w:p>
        </w:tc>
        <w:tc>
          <w:tcPr>
            <w:tcW w:w="2027" w:type="dxa"/>
            <w:gridSpan w:val="2"/>
            <w:vAlign w:val="center"/>
          </w:tcPr>
          <w:p>
            <w:pPr>
              <w:spacing w:line="360" w:lineRule="auto"/>
              <w:rPr>
                <w:rFonts w:ascii="宋体" w:hAnsi="宋体"/>
              </w:rPr>
            </w:pPr>
            <w:r>
              <w:rPr>
                <w:rFonts w:hint="eastAsia" w:ascii="宋体" w:hAnsi="宋体"/>
              </w:rPr>
              <w:t>投标人确认收到招标文件澄清的时间</w:t>
            </w:r>
          </w:p>
        </w:tc>
        <w:tc>
          <w:tcPr>
            <w:tcW w:w="6315" w:type="dxa"/>
            <w:vAlign w:val="center"/>
          </w:tcPr>
          <w:p>
            <w:pPr>
              <w:spacing w:line="360" w:lineRule="auto"/>
              <w:rPr>
                <w:rFonts w:ascii="宋体" w:hAnsi="宋体"/>
                <w:color w:val="0D0D0D"/>
                <w:szCs w:val="21"/>
              </w:rPr>
            </w:pPr>
            <w:r>
              <w:rPr>
                <w:rFonts w:hint="eastAsia" w:ascii="宋体" w:hAnsi="宋体"/>
                <w:color w:val="0D0D0D"/>
                <w:szCs w:val="21"/>
              </w:rPr>
              <w:t>在收到相应澄清文件后24小时内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3" w:type="dxa"/>
            <w:vAlign w:val="center"/>
          </w:tcPr>
          <w:p>
            <w:pPr>
              <w:spacing w:line="360" w:lineRule="auto"/>
              <w:rPr>
                <w:rFonts w:ascii="宋体" w:hAnsi="宋体"/>
              </w:rPr>
            </w:pPr>
            <w:r>
              <w:rPr>
                <w:rFonts w:hint="eastAsia" w:ascii="宋体" w:hAnsi="宋体"/>
              </w:rPr>
              <w:t>2.3.2</w:t>
            </w:r>
          </w:p>
        </w:tc>
        <w:tc>
          <w:tcPr>
            <w:tcW w:w="2027" w:type="dxa"/>
            <w:gridSpan w:val="2"/>
            <w:vAlign w:val="center"/>
          </w:tcPr>
          <w:p>
            <w:pPr>
              <w:spacing w:line="360" w:lineRule="auto"/>
              <w:rPr>
                <w:rFonts w:ascii="宋体" w:hAnsi="宋体"/>
              </w:rPr>
            </w:pPr>
            <w:r>
              <w:rPr>
                <w:rFonts w:hint="eastAsia" w:ascii="宋体" w:hAnsi="宋体"/>
              </w:rPr>
              <w:t>投标人确认收到招标文件修改的时间</w:t>
            </w:r>
          </w:p>
        </w:tc>
        <w:tc>
          <w:tcPr>
            <w:tcW w:w="6315" w:type="dxa"/>
            <w:vAlign w:val="center"/>
          </w:tcPr>
          <w:p>
            <w:pPr>
              <w:spacing w:line="360" w:lineRule="auto"/>
              <w:rPr>
                <w:rFonts w:ascii="宋体" w:hAnsi="宋体"/>
                <w:color w:val="0D0D0D"/>
                <w:szCs w:val="21"/>
              </w:rPr>
            </w:pPr>
            <w:r>
              <w:rPr>
                <w:rFonts w:hint="eastAsia" w:ascii="宋体" w:hAnsi="宋体"/>
                <w:color w:val="0D0D0D"/>
                <w:szCs w:val="21"/>
              </w:rPr>
              <w:t>在收到相应修改文件后24小时内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3" w:type="dxa"/>
            <w:vAlign w:val="center"/>
          </w:tcPr>
          <w:p>
            <w:pPr>
              <w:spacing w:line="360" w:lineRule="auto"/>
              <w:rPr>
                <w:rFonts w:ascii="宋体" w:hAnsi="宋体"/>
              </w:rPr>
            </w:pPr>
            <w:r>
              <w:rPr>
                <w:rFonts w:hint="eastAsia" w:ascii="宋体" w:hAnsi="宋体"/>
              </w:rPr>
              <w:t>3.1.1</w:t>
            </w:r>
          </w:p>
        </w:tc>
        <w:tc>
          <w:tcPr>
            <w:tcW w:w="2027" w:type="dxa"/>
            <w:gridSpan w:val="2"/>
            <w:vAlign w:val="center"/>
          </w:tcPr>
          <w:p>
            <w:pPr>
              <w:spacing w:line="360" w:lineRule="auto"/>
              <w:rPr>
                <w:rFonts w:ascii="宋体" w:hAnsi="宋体"/>
              </w:rPr>
            </w:pPr>
            <w:r>
              <w:rPr>
                <w:rFonts w:hint="eastAsia" w:ascii="宋体" w:hAnsi="宋体"/>
              </w:rPr>
              <w:t>构成投标文件的其他材料</w:t>
            </w:r>
          </w:p>
        </w:tc>
        <w:tc>
          <w:tcPr>
            <w:tcW w:w="6315" w:type="dxa"/>
            <w:vAlign w:val="center"/>
          </w:tcPr>
          <w:p>
            <w:pPr>
              <w:spacing w:line="360" w:lineRule="auto"/>
              <w:rPr>
                <w:rFonts w:ascii="宋体" w:hAnsi="宋体"/>
              </w:rPr>
            </w:pPr>
            <w:r>
              <w:rPr>
                <w:rFonts w:hint="eastAsia" w:ascii="宋体" w:hAnsi="宋体"/>
                <w:color w:val="000000"/>
                <w:u w:val="single"/>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3" w:type="dxa"/>
            <w:vAlign w:val="center"/>
          </w:tcPr>
          <w:p>
            <w:pPr>
              <w:spacing w:line="360" w:lineRule="auto"/>
              <w:rPr>
                <w:rFonts w:ascii="宋体" w:hAnsi="宋体"/>
              </w:rPr>
            </w:pPr>
            <w:r>
              <w:rPr>
                <w:rFonts w:hint="eastAsia" w:ascii="宋体" w:hAnsi="宋体"/>
              </w:rPr>
              <w:t>3.3.1</w:t>
            </w:r>
          </w:p>
        </w:tc>
        <w:tc>
          <w:tcPr>
            <w:tcW w:w="2027" w:type="dxa"/>
            <w:gridSpan w:val="2"/>
            <w:vAlign w:val="center"/>
          </w:tcPr>
          <w:p>
            <w:pPr>
              <w:spacing w:line="360" w:lineRule="auto"/>
              <w:rPr>
                <w:rFonts w:ascii="宋体" w:hAnsi="宋体"/>
              </w:rPr>
            </w:pPr>
            <w:r>
              <w:rPr>
                <w:rFonts w:hint="eastAsia" w:ascii="宋体" w:hAnsi="宋体"/>
              </w:rPr>
              <w:t>投标有效期</w:t>
            </w:r>
          </w:p>
        </w:tc>
        <w:tc>
          <w:tcPr>
            <w:tcW w:w="6315" w:type="dxa"/>
            <w:vAlign w:val="center"/>
          </w:tcPr>
          <w:p>
            <w:pPr>
              <w:spacing w:line="360" w:lineRule="auto"/>
              <w:rPr>
                <w:rFonts w:ascii="宋体" w:hAnsi="宋体"/>
              </w:rPr>
            </w:pPr>
            <w:r>
              <w:rPr>
                <w:rFonts w:hint="eastAsia" w:ascii="宋体" w:hAnsi="宋体"/>
              </w:rPr>
              <w:t>自投标截止日起90个日历日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73" w:type="dxa"/>
            <w:vAlign w:val="center"/>
          </w:tcPr>
          <w:p>
            <w:pPr>
              <w:spacing w:line="360" w:lineRule="auto"/>
              <w:rPr>
                <w:rFonts w:ascii="宋体" w:hAnsi="宋体"/>
              </w:rPr>
            </w:pPr>
            <w:r>
              <w:rPr>
                <w:rFonts w:hint="eastAsia" w:ascii="宋体" w:hAnsi="宋体"/>
              </w:rPr>
              <w:t>3.4.1</w:t>
            </w:r>
          </w:p>
        </w:tc>
        <w:tc>
          <w:tcPr>
            <w:tcW w:w="2027" w:type="dxa"/>
            <w:gridSpan w:val="2"/>
            <w:vAlign w:val="center"/>
          </w:tcPr>
          <w:p>
            <w:pPr>
              <w:spacing w:line="360" w:lineRule="auto"/>
              <w:rPr>
                <w:rFonts w:ascii="宋体" w:hAnsi="宋体"/>
              </w:rPr>
            </w:pPr>
            <w:r>
              <w:rPr>
                <w:rFonts w:hint="eastAsia" w:ascii="宋体" w:hAnsi="宋体"/>
              </w:rPr>
              <w:t>投标保证金</w:t>
            </w:r>
          </w:p>
        </w:tc>
        <w:tc>
          <w:tcPr>
            <w:tcW w:w="6315" w:type="dxa"/>
            <w:vAlign w:val="center"/>
          </w:tcPr>
          <w:p>
            <w:pPr>
              <w:spacing w:line="360" w:lineRule="auto"/>
              <w:rPr>
                <w:rFonts w:ascii="宋体" w:hAnsi="宋体"/>
                <w:color w:val="000000"/>
              </w:rPr>
            </w:pPr>
            <w:r>
              <w:rPr>
                <w:rFonts w:hint="eastAsia" w:ascii="宋体" w:hAnsi="宋体"/>
                <w:color w:val="000000"/>
              </w:rPr>
              <w:t>投标保证金的形式：电汇、转账</w:t>
            </w:r>
          </w:p>
          <w:p>
            <w:pPr>
              <w:spacing w:line="360" w:lineRule="auto"/>
              <w:rPr>
                <w:rFonts w:ascii="宋体" w:hAnsi="宋体"/>
                <w:color w:val="000000"/>
              </w:rPr>
            </w:pPr>
            <w:r>
              <w:rPr>
                <w:rFonts w:hint="eastAsia" w:ascii="宋体" w:hAnsi="宋体"/>
                <w:color w:val="000000"/>
              </w:rPr>
              <w:t>投标保证金的金额：</w:t>
            </w:r>
            <w:r>
              <w:rPr>
                <w:rFonts w:hint="eastAsia" w:ascii="宋体" w:hAnsi="宋体"/>
                <w:color w:val="000000"/>
                <w:lang w:eastAsia="zh-CN"/>
              </w:rPr>
              <w:t>壹</w:t>
            </w:r>
            <w:r>
              <w:rPr>
                <w:rFonts w:hint="eastAsia" w:ascii="宋体" w:hAnsi="宋体"/>
                <w:color w:val="000000"/>
              </w:rPr>
              <w:t xml:space="preserve">万元 </w:t>
            </w:r>
          </w:p>
          <w:p>
            <w:pPr>
              <w:spacing w:line="360" w:lineRule="auto"/>
              <w:rPr>
                <w:rFonts w:ascii="宋体" w:hAnsi="宋体"/>
                <w:color w:val="000000"/>
              </w:rPr>
            </w:pPr>
            <w:r>
              <w:rPr>
                <w:rFonts w:hint="eastAsia" w:ascii="宋体" w:hAnsi="宋体"/>
                <w:color w:val="000000"/>
              </w:rPr>
              <w:t>投标保证金的有效期：与投标有效期一致</w:t>
            </w:r>
          </w:p>
          <w:p>
            <w:pPr>
              <w:spacing w:line="360" w:lineRule="auto"/>
              <w:rPr>
                <w:rFonts w:ascii="宋体" w:hAnsi="宋体"/>
                <w:b/>
                <w:color w:val="000000"/>
              </w:rPr>
            </w:pPr>
            <w:r>
              <w:rPr>
                <w:rFonts w:hint="eastAsia" w:ascii="宋体" w:hAnsi="宋体"/>
                <w:b/>
                <w:color w:val="000000"/>
              </w:rPr>
              <w:t>由个人帐户递交的投标保证金将被拒绝；请投标人在汇款时务必注明所投标项目的招标编号，否则，因款项用途不明导致投标无效等后果由投标人自行承担。</w:t>
            </w:r>
          </w:p>
          <w:p>
            <w:pPr>
              <w:spacing w:line="360" w:lineRule="auto"/>
              <w:rPr>
                <w:rFonts w:ascii="宋体" w:hAnsi="宋体"/>
                <w:color w:val="000000"/>
              </w:rPr>
            </w:pPr>
            <w:r>
              <w:rPr>
                <w:rFonts w:hint="eastAsia" w:ascii="宋体" w:hAnsi="宋体"/>
                <w:color w:val="000000"/>
              </w:rPr>
              <w:t>投标保证金银行及账号：</w:t>
            </w:r>
          </w:p>
          <w:p>
            <w:pPr>
              <w:spacing w:line="360" w:lineRule="auto"/>
              <w:rPr>
                <w:rFonts w:ascii="宋体" w:hAnsi="宋体"/>
                <w:b/>
                <w:color w:val="FF0000"/>
              </w:rPr>
            </w:pPr>
            <w:r>
              <w:rPr>
                <w:rFonts w:hint="eastAsia" w:ascii="宋体" w:hAnsi="宋体"/>
                <w:b/>
                <w:color w:val="FF0000"/>
              </w:rPr>
              <w:t>账户名称：中国机电工程招标有限公司</w:t>
            </w:r>
          </w:p>
          <w:p>
            <w:pPr>
              <w:spacing w:line="360" w:lineRule="auto"/>
              <w:rPr>
                <w:rFonts w:ascii="宋体" w:hAnsi="宋体"/>
                <w:b/>
                <w:color w:val="FF0000"/>
              </w:rPr>
            </w:pPr>
            <w:r>
              <w:rPr>
                <w:rFonts w:hint="eastAsia" w:ascii="宋体" w:hAnsi="宋体"/>
                <w:b/>
                <w:color w:val="FF0000"/>
              </w:rPr>
              <w:t>账  号：9558 8502 0000 0599 881</w:t>
            </w:r>
          </w:p>
          <w:p>
            <w:pPr>
              <w:spacing w:line="360" w:lineRule="auto"/>
              <w:rPr>
                <w:rFonts w:ascii="宋体" w:hAnsi="宋体"/>
                <w:b/>
                <w:color w:val="FF0000"/>
              </w:rPr>
            </w:pPr>
            <w:r>
              <w:rPr>
                <w:rFonts w:hint="eastAsia" w:ascii="宋体" w:hAnsi="宋体"/>
                <w:b/>
                <w:color w:val="FF0000"/>
              </w:rPr>
              <w:t>开 户 行：中国工商银行股份有限公司北京海淀支行</w:t>
            </w:r>
          </w:p>
          <w:p>
            <w:pPr>
              <w:spacing w:line="360" w:lineRule="auto"/>
              <w:rPr>
                <w:rFonts w:ascii="宋体" w:hAnsi="宋体"/>
                <w:b/>
                <w:color w:val="FF0000"/>
              </w:rPr>
            </w:pPr>
            <w:r>
              <w:rPr>
                <w:rFonts w:hint="eastAsia" w:ascii="宋体" w:hAnsi="宋体"/>
                <w:b/>
                <w:color w:val="FF0000"/>
              </w:rPr>
              <w:t>电汇备注栏填写：KK11</w:t>
            </w:r>
            <w:r>
              <w:rPr>
                <w:rFonts w:hint="eastAsia" w:ascii="宋体" w:hAnsi="宋体"/>
                <w:b/>
                <w:color w:val="FF0000"/>
                <w:lang w:val="en-US" w:eastAsia="zh-CN"/>
              </w:rPr>
              <w:t>5</w:t>
            </w:r>
            <w:r>
              <w:rPr>
                <w:rFonts w:hint="eastAsia" w:ascii="宋体" w:hAnsi="宋体"/>
                <w:b/>
                <w:color w:val="FF0000"/>
              </w:rPr>
              <w:t>项目保证金</w:t>
            </w:r>
          </w:p>
          <w:p>
            <w:pPr>
              <w:spacing w:line="360" w:lineRule="auto"/>
              <w:rPr>
                <w:rFonts w:ascii="宋体" w:hAnsi="宋体"/>
                <w:color w:val="000000"/>
              </w:rPr>
            </w:pPr>
            <w:r>
              <w:rPr>
                <w:rFonts w:hint="eastAsia" w:ascii="宋体" w:hAnsi="宋体"/>
                <w:b/>
                <w:color w:val="000000"/>
              </w:rPr>
              <w:t>建议各投标人至少在投标截止时间前3日，按招标文件的要求向招标代理机构递交投标保证金，并将汇款底单发送至项目经理电子邮箱jianglinlin@cmeetc.com，及时确认保证金及收据，投标截止时间之后递交的投标保证金将被拒绝。</w:t>
            </w:r>
          </w:p>
          <w:p>
            <w:pPr>
              <w:spacing w:line="360" w:lineRule="auto"/>
              <w:rPr>
                <w:rFonts w:ascii="宋体" w:hAnsi="宋体"/>
                <w:u w:val="single"/>
              </w:rPr>
            </w:pPr>
            <w:r>
              <w:rPr>
                <w:rFonts w:hint="eastAsia" w:ascii="宋体" w:hAnsi="宋体"/>
                <w:color w:val="000000"/>
              </w:rPr>
              <w:t>不接受本条款，投标将被拒绝。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173" w:type="dxa"/>
            <w:vAlign w:val="center"/>
          </w:tcPr>
          <w:p>
            <w:pPr>
              <w:spacing w:line="360" w:lineRule="auto"/>
              <w:rPr>
                <w:rFonts w:ascii="宋体" w:hAnsi="宋体"/>
              </w:rPr>
            </w:pPr>
            <w:r>
              <w:rPr>
                <w:rFonts w:hint="eastAsia" w:ascii="宋体" w:hAnsi="宋体"/>
              </w:rPr>
              <w:t>3.5.2</w:t>
            </w:r>
          </w:p>
        </w:tc>
        <w:tc>
          <w:tcPr>
            <w:tcW w:w="2027" w:type="dxa"/>
            <w:gridSpan w:val="2"/>
            <w:vAlign w:val="center"/>
          </w:tcPr>
          <w:p>
            <w:pPr>
              <w:spacing w:line="360" w:lineRule="auto"/>
              <w:rPr>
                <w:rFonts w:ascii="宋体" w:hAnsi="宋体"/>
              </w:rPr>
            </w:pPr>
            <w:r>
              <w:rPr>
                <w:rFonts w:hint="eastAsia" w:ascii="宋体" w:hAnsi="宋体"/>
              </w:rPr>
              <w:t>近年财务状况的年份要求</w:t>
            </w:r>
          </w:p>
        </w:tc>
        <w:tc>
          <w:tcPr>
            <w:tcW w:w="6315" w:type="dxa"/>
            <w:vAlign w:val="center"/>
          </w:tcPr>
          <w:p>
            <w:pPr>
              <w:spacing w:line="360" w:lineRule="auto"/>
              <w:rPr>
                <w:rFonts w:ascii="宋体" w:hAnsi="宋体"/>
                <w:color w:val="000000"/>
              </w:rPr>
            </w:pPr>
            <w:r>
              <w:rPr>
                <w:rFonts w:hint="eastAsia" w:ascii="宋体" w:hAnsi="宋体"/>
                <w:color w:val="000000"/>
              </w:rPr>
              <w:t>3年，2016年1月1日</w:t>
            </w:r>
            <w:r>
              <w:rPr>
                <w:rFonts w:ascii="宋体" w:hAnsi="宋体"/>
                <w:color w:val="000000"/>
              </w:rPr>
              <w:t>起至</w:t>
            </w:r>
            <w:r>
              <w:rPr>
                <w:rFonts w:hint="eastAsia" w:ascii="宋体" w:hAnsi="宋体"/>
                <w:color w:val="000000"/>
              </w:rPr>
              <w:t>2018年12月31日</w:t>
            </w:r>
            <w:r>
              <w:rPr>
                <w:rFonts w:ascii="宋体" w:hAnsi="宋体"/>
                <w:color w:val="000000"/>
              </w:rPr>
              <w:t>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173" w:type="dxa"/>
            <w:vAlign w:val="center"/>
          </w:tcPr>
          <w:p>
            <w:pPr>
              <w:spacing w:line="360" w:lineRule="auto"/>
              <w:rPr>
                <w:rFonts w:ascii="宋体" w:hAnsi="宋体"/>
              </w:rPr>
            </w:pPr>
            <w:r>
              <w:rPr>
                <w:rFonts w:hint="eastAsia" w:ascii="宋体" w:hAnsi="宋体"/>
              </w:rPr>
              <w:t>3.5.3</w:t>
            </w:r>
          </w:p>
        </w:tc>
        <w:tc>
          <w:tcPr>
            <w:tcW w:w="2027" w:type="dxa"/>
            <w:gridSpan w:val="2"/>
            <w:vAlign w:val="center"/>
          </w:tcPr>
          <w:p>
            <w:pPr>
              <w:spacing w:line="360" w:lineRule="auto"/>
              <w:rPr>
                <w:rFonts w:ascii="宋体" w:hAnsi="宋体"/>
              </w:rPr>
            </w:pPr>
            <w:r>
              <w:rPr>
                <w:rFonts w:hint="eastAsia" w:ascii="宋体" w:hAnsi="宋体"/>
              </w:rPr>
              <w:t>近年完成的类似项目的年份要求</w:t>
            </w:r>
          </w:p>
        </w:tc>
        <w:tc>
          <w:tcPr>
            <w:tcW w:w="6315" w:type="dxa"/>
            <w:vAlign w:val="center"/>
          </w:tcPr>
          <w:p>
            <w:pPr>
              <w:rPr>
                <w:rFonts w:ascii="宋体" w:hAnsi="宋体" w:cs="宋体"/>
              </w:rPr>
            </w:pPr>
            <w:r>
              <w:rPr>
                <w:rFonts w:hint="eastAsia" w:ascii="宋体" w:hAnsi="宋体" w:cs="宋体"/>
              </w:rPr>
              <w:t>3年，指2016年1月1日起</w:t>
            </w:r>
            <w:r>
              <w:rPr>
                <w:rFonts w:hint="eastAsia" w:ascii="宋体" w:hAnsi="宋体"/>
              </w:rPr>
              <w:t>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173" w:type="dxa"/>
            <w:vAlign w:val="center"/>
          </w:tcPr>
          <w:p>
            <w:pPr>
              <w:spacing w:line="360" w:lineRule="auto"/>
              <w:rPr>
                <w:rFonts w:ascii="宋体" w:hAnsi="宋体"/>
              </w:rPr>
            </w:pPr>
            <w:r>
              <w:rPr>
                <w:rFonts w:hint="eastAsia" w:ascii="宋体" w:hAnsi="宋体"/>
              </w:rPr>
              <w:t>3.5.5</w:t>
            </w:r>
          </w:p>
        </w:tc>
        <w:tc>
          <w:tcPr>
            <w:tcW w:w="2027" w:type="dxa"/>
            <w:gridSpan w:val="2"/>
            <w:vAlign w:val="center"/>
          </w:tcPr>
          <w:p>
            <w:pPr>
              <w:spacing w:line="360" w:lineRule="auto"/>
              <w:rPr>
                <w:rFonts w:ascii="宋体" w:hAnsi="宋体"/>
              </w:rPr>
            </w:pPr>
            <w:r>
              <w:rPr>
                <w:rFonts w:hint="eastAsia" w:ascii="宋体" w:hAnsi="宋体"/>
              </w:rPr>
              <w:t>近年发生的诉讼及仲裁情况的年份要求</w:t>
            </w:r>
          </w:p>
        </w:tc>
        <w:tc>
          <w:tcPr>
            <w:tcW w:w="6315" w:type="dxa"/>
            <w:vAlign w:val="center"/>
          </w:tcPr>
          <w:p>
            <w:pPr>
              <w:rPr>
                <w:rFonts w:ascii="宋体" w:hAnsi="宋体" w:cs="宋体"/>
              </w:rPr>
            </w:pPr>
            <w:r>
              <w:rPr>
                <w:rFonts w:hint="eastAsia" w:ascii="宋体" w:hAnsi="宋体" w:cs="宋体"/>
                <w:color w:val="000000"/>
              </w:rPr>
              <w:t>3年，</w:t>
            </w:r>
            <w:r>
              <w:rPr>
                <w:rFonts w:hint="eastAsia" w:ascii="宋体" w:hAnsi="宋体" w:cs="宋体"/>
              </w:rPr>
              <w:t>指2016年1月1日起</w:t>
            </w:r>
            <w:r>
              <w:rPr>
                <w:rFonts w:hint="eastAsia" w:ascii="宋体" w:hAnsi="宋体"/>
              </w:rPr>
              <w:t>至今</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173" w:type="dxa"/>
            <w:vAlign w:val="center"/>
          </w:tcPr>
          <w:p>
            <w:pPr>
              <w:spacing w:line="360" w:lineRule="auto"/>
              <w:rPr>
                <w:rFonts w:ascii="宋体" w:hAnsi="宋体"/>
              </w:rPr>
            </w:pPr>
            <w:r>
              <w:rPr>
                <w:rFonts w:hint="eastAsia" w:ascii="宋体" w:hAnsi="宋体"/>
              </w:rPr>
              <w:t>3.6</w:t>
            </w:r>
          </w:p>
        </w:tc>
        <w:tc>
          <w:tcPr>
            <w:tcW w:w="2027" w:type="dxa"/>
            <w:gridSpan w:val="2"/>
            <w:vAlign w:val="center"/>
          </w:tcPr>
          <w:p>
            <w:pPr>
              <w:spacing w:line="360" w:lineRule="auto"/>
              <w:rPr>
                <w:rFonts w:ascii="宋体" w:hAnsi="宋体"/>
              </w:rPr>
            </w:pPr>
            <w:r>
              <w:rPr>
                <w:rFonts w:hint="eastAsia" w:ascii="宋体" w:hAnsi="宋体"/>
              </w:rPr>
              <w:t>是否允许递交备选投标方案</w:t>
            </w:r>
          </w:p>
        </w:tc>
        <w:tc>
          <w:tcPr>
            <w:tcW w:w="6315" w:type="dxa"/>
            <w:vAlign w:val="center"/>
          </w:tcPr>
          <w:p>
            <w:pPr>
              <w:spacing w:line="360" w:lineRule="auto"/>
              <w:rPr>
                <w:rFonts w:ascii="宋体" w:hAnsi="宋体"/>
              </w:rPr>
            </w:pPr>
            <w:r>
              <w:rPr>
                <w:rFonts w:hint="eastAsia" w:ascii="宋体" w:hAnsi="宋体"/>
              </w:rPr>
              <w:t>√不允许</w:t>
            </w:r>
          </w:p>
          <w:p>
            <w:pPr>
              <w:spacing w:line="360" w:lineRule="auto"/>
              <w:rPr>
                <w:rFonts w:ascii="宋体" w:hAnsi="宋体"/>
              </w:rPr>
            </w:pPr>
            <w:r>
              <w:rPr>
                <w:rFonts w:hint="eastAsia" w:ascii="宋体" w:hAnsi="宋体"/>
              </w:rPr>
              <w:t>□允许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3" w:type="dxa"/>
            <w:vAlign w:val="center"/>
          </w:tcPr>
          <w:p>
            <w:pPr>
              <w:spacing w:line="360" w:lineRule="auto"/>
              <w:rPr>
                <w:rFonts w:ascii="宋体" w:hAnsi="宋体"/>
              </w:rPr>
            </w:pPr>
            <w:r>
              <w:rPr>
                <w:rFonts w:hint="eastAsia" w:ascii="宋体" w:hAnsi="宋体"/>
              </w:rPr>
              <w:t>3.7.4</w:t>
            </w:r>
          </w:p>
        </w:tc>
        <w:tc>
          <w:tcPr>
            <w:tcW w:w="2027" w:type="dxa"/>
            <w:gridSpan w:val="2"/>
            <w:vAlign w:val="center"/>
          </w:tcPr>
          <w:p>
            <w:pPr>
              <w:spacing w:line="360" w:lineRule="auto"/>
              <w:rPr>
                <w:rFonts w:ascii="宋体" w:hAnsi="宋体"/>
              </w:rPr>
            </w:pPr>
            <w:r>
              <w:rPr>
                <w:rFonts w:hint="eastAsia" w:ascii="宋体" w:hAnsi="宋体"/>
              </w:rPr>
              <w:t>签字和（或）盖章要求</w:t>
            </w:r>
          </w:p>
        </w:tc>
        <w:tc>
          <w:tcPr>
            <w:tcW w:w="6315" w:type="dxa"/>
            <w:vAlign w:val="center"/>
          </w:tcPr>
          <w:p>
            <w:pPr>
              <w:spacing w:line="360" w:lineRule="auto"/>
              <w:rPr>
                <w:rFonts w:ascii="宋体" w:hAnsi="宋体"/>
                <w:color w:val="0D0D0D"/>
                <w:szCs w:val="21"/>
              </w:rPr>
            </w:pPr>
            <w:r>
              <w:rPr>
                <w:rFonts w:hint="eastAsia" w:ascii="宋体" w:hAnsi="宋体"/>
                <w:color w:val="0D0D0D"/>
                <w:szCs w:val="21"/>
              </w:rPr>
              <w:t>投标单位公章及法人代表或其委托代理人亲笔签名或印章。</w:t>
            </w:r>
          </w:p>
          <w:p>
            <w:pPr>
              <w:spacing w:line="360" w:lineRule="auto"/>
              <w:rPr>
                <w:rFonts w:ascii="宋体" w:hAnsi="宋体"/>
                <w:b/>
              </w:rPr>
            </w:pPr>
            <w:r>
              <w:rPr>
                <w:rFonts w:hint="eastAsia" w:ascii="宋体" w:hAnsi="宋体"/>
                <w:color w:val="0D0D0D"/>
                <w:szCs w:val="21"/>
              </w:rPr>
              <w:t>投标人所盖的章必须是投标人的行政章，招标人不接受加盖其它印章（如：合同专用章、投标专用章、有序号的章等印章）的有关文件。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3" w:type="dxa"/>
            <w:vAlign w:val="center"/>
          </w:tcPr>
          <w:p>
            <w:pPr>
              <w:spacing w:line="360" w:lineRule="auto"/>
              <w:rPr>
                <w:rFonts w:ascii="宋体" w:hAnsi="宋体"/>
              </w:rPr>
            </w:pPr>
            <w:r>
              <w:rPr>
                <w:rFonts w:hint="eastAsia" w:ascii="宋体" w:hAnsi="宋体"/>
              </w:rPr>
              <w:t>3.7.5</w:t>
            </w:r>
          </w:p>
        </w:tc>
        <w:tc>
          <w:tcPr>
            <w:tcW w:w="2027" w:type="dxa"/>
            <w:gridSpan w:val="2"/>
            <w:vAlign w:val="center"/>
          </w:tcPr>
          <w:p>
            <w:pPr>
              <w:spacing w:line="360" w:lineRule="auto"/>
              <w:rPr>
                <w:rFonts w:ascii="宋体" w:hAnsi="宋体"/>
              </w:rPr>
            </w:pPr>
            <w:r>
              <w:rPr>
                <w:rFonts w:hint="eastAsia" w:ascii="宋体" w:hAnsi="宋体"/>
              </w:rPr>
              <w:t>投标文件正副本份数</w:t>
            </w:r>
          </w:p>
        </w:tc>
        <w:tc>
          <w:tcPr>
            <w:tcW w:w="6315" w:type="dxa"/>
            <w:vAlign w:val="center"/>
          </w:tcPr>
          <w:p>
            <w:pPr>
              <w:spacing w:line="360" w:lineRule="auto"/>
              <w:jc w:val="left"/>
              <w:rPr>
                <w:rFonts w:ascii="宋体" w:hAnsi="宋体"/>
              </w:rPr>
            </w:pPr>
            <w:r>
              <w:rPr>
                <w:rFonts w:hint="eastAsia" w:ascii="宋体" w:hAnsi="宋体"/>
              </w:rPr>
              <w:t>正本一份，副本四份。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06" w:hRule="atLeast"/>
        </w:trPr>
        <w:tc>
          <w:tcPr>
            <w:tcW w:w="1173" w:type="dxa"/>
            <w:vAlign w:val="center"/>
          </w:tcPr>
          <w:p>
            <w:pPr>
              <w:spacing w:line="360" w:lineRule="auto"/>
              <w:rPr>
                <w:rFonts w:ascii="宋体" w:hAnsi="宋体"/>
                <w:szCs w:val="21"/>
              </w:rPr>
            </w:pPr>
            <w:r>
              <w:rPr>
                <w:rFonts w:hint="eastAsia" w:ascii="宋体" w:hAnsi="宋体"/>
                <w:szCs w:val="21"/>
              </w:rPr>
              <w:t>3.7.6</w:t>
            </w:r>
          </w:p>
        </w:tc>
        <w:tc>
          <w:tcPr>
            <w:tcW w:w="2027" w:type="dxa"/>
            <w:gridSpan w:val="2"/>
            <w:vAlign w:val="center"/>
          </w:tcPr>
          <w:p>
            <w:pPr>
              <w:spacing w:line="360" w:lineRule="auto"/>
              <w:rPr>
                <w:rFonts w:ascii="宋体" w:hAnsi="宋体"/>
                <w:szCs w:val="21"/>
              </w:rPr>
            </w:pPr>
            <w:r>
              <w:rPr>
                <w:rFonts w:hint="eastAsia" w:ascii="宋体" w:hAnsi="宋体"/>
                <w:szCs w:val="21"/>
              </w:rPr>
              <w:t>装订要求</w:t>
            </w:r>
          </w:p>
        </w:tc>
        <w:tc>
          <w:tcPr>
            <w:tcW w:w="6315" w:type="dxa"/>
            <w:vAlign w:val="center"/>
          </w:tcPr>
          <w:p>
            <w:pPr>
              <w:spacing w:line="360" w:lineRule="auto"/>
              <w:rPr>
                <w:rFonts w:ascii="宋体" w:hAnsi="宋体"/>
                <w:szCs w:val="21"/>
                <w:u w:val="single"/>
              </w:rPr>
            </w:pPr>
            <w:r>
              <w:rPr>
                <w:rFonts w:hint="eastAsia" w:ascii="宋体" w:hAnsi="宋体"/>
                <w:szCs w:val="21"/>
              </w:rPr>
              <w:t>按照投标人须知第3.1.1项规定的投标文件组成内容，投标文件应按以下要求装订：</w:t>
            </w:r>
          </w:p>
          <w:p>
            <w:pPr>
              <w:spacing w:line="360" w:lineRule="auto"/>
              <w:rPr>
                <w:rFonts w:ascii="宋体" w:hAnsi="宋体"/>
                <w:szCs w:val="21"/>
              </w:rPr>
            </w:pPr>
            <w:r>
              <w:rPr>
                <w:rFonts w:hint="eastAsia" w:ascii="宋体" w:hAnsi="宋体"/>
                <w:szCs w:val="21"/>
              </w:rPr>
              <w:t>□不分册装订</w:t>
            </w:r>
          </w:p>
          <w:p>
            <w:pPr>
              <w:spacing w:line="360" w:lineRule="auto"/>
              <w:rPr>
                <w:rFonts w:ascii="宋体" w:hAnsi="宋体"/>
                <w:color w:val="FF0000"/>
                <w:szCs w:val="21"/>
              </w:rPr>
            </w:pPr>
            <w:r>
              <w:rPr>
                <w:rFonts w:hint="eastAsia" w:ascii="宋体" w:hAnsi="宋体"/>
                <w:color w:val="FF0000"/>
              </w:rPr>
              <w:t>√</w:t>
            </w:r>
            <w:r>
              <w:rPr>
                <w:rFonts w:hint="eastAsia" w:ascii="宋体" w:hAnsi="宋体"/>
                <w:color w:val="FF0000"/>
                <w:szCs w:val="21"/>
              </w:rPr>
              <w:t>分册装订，每个标包分</w:t>
            </w:r>
            <w:r>
              <w:rPr>
                <w:rFonts w:hint="eastAsia" w:ascii="宋体" w:hAnsi="宋体"/>
                <w:color w:val="FF0000"/>
                <w:szCs w:val="21"/>
                <w:u w:val="single"/>
              </w:rPr>
              <w:t>二</w:t>
            </w:r>
            <w:r>
              <w:rPr>
                <w:rFonts w:hint="eastAsia" w:ascii="宋体" w:hAnsi="宋体"/>
                <w:color w:val="FF0000"/>
                <w:szCs w:val="21"/>
              </w:rPr>
              <w:t>册，分别为：</w:t>
            </w:r>
          </w:p>
          <w:p>
            <w:pPr>
              <w:spacing w:line="360" w:lineRule="auto"/>
              <w:rPr>
                <w:rFonts w:ascii="宋体" w:hAnsi="宋体"/>
                <w:color w:val="FF0000"/>
                <w:szCs w:val="21"/>
              </w:rPr>
            </w:pPr>
            <w:r>
              <w:rPr>
                <w:rFonts w:hint="eastAsia" w:ascii="宋体" w:hAnsi="宋体"/>
                <w:color w:val="FF0000"/>
                <w:szCs w:val="21"/>
              </w:rPr>
              <w:t xml:space="preserve">  商务标，每个标包共一册商务标书（包含报价标）</w:t>
            </w:r>
          </w:p>
          <w:p>
            <w:pPr>
              <w:spacing w:line="360" w:lineRule="auto"/>
              <w:rPr>
                <w:rFonts w:ascii="宋体" w:hAnsi="宋体"/>
                <w:color w:val="FF0000"/>
                <w:szCs w:val="21"/>
              </w:rPr>
            </w:pPr>
            <w:r>
              <w:rPr>
                <w:rFonts w:hint="eastAsia" w:ascii="宋体" w:hAnsi="宋体"/>
                <w:color w:val="FF0000"/>
                <w:szCs w:val="21"/>
              </w:rPr>
              <w:t xml:space="preserve">  技术标，每个标包共一册技术标书</w:t>
            </w:r>
            <w:r>
              <w:rPr>
                <w:rFonts w:hint="eastAsia" w:ascii="宋体" w:hAnsi="宋体"/>
                <w:color w:val="FF0000"/>
              </w:rPr>
              <w:t>。</w:t>
            </w:r>
          </w:p>
          <w:p>
            <w:pPr>
              <w:spacing w:line="360" w:lineRule="auto"/>
              <w:rPr>
                <w:rFonts w:ascii="宋体" w:hAnsi="宋体"/>
                <w:color w:val="FF0000"/>
                <w:szCs w:val="21"/>
              </w:rPr>
            </w:pPr>
            <w:r>
              <w:rPr>
                <w:rFonts w:hint="eastAsia" w:ascii="宋体" w:hAnsi="宋体" w:cs="宋体"/>
                <w:color w:val="FF0000"/>
              </w:rPr>
              <w:t>按每包分别制作投标文件，每册采用</w:t>
            </w:r>
            <w:r>
              <w:rPr>
                <w:rFonts w:hint="eastAsia" w:ascii="宋体" w:hAnsi="宋体" w:cs="宋体"/>
                <w:color w:val="FF0000"/>
                <w:u w:val="single"/>
              </w:rPr>
              <w:t>胶装</w:t>
            </w:r>
            <w:r>
              <w:rPr>
                <w:rFonts w:hint="eastAsia" w:ascii="宋体" w:hAnsi="宋体" w:cs="宋体"/>
                <w:color w:val="FF0000"/>
              </w:rPr>
              <w:t>方式装订，装订应牢固、不易拆散和换页，不得采用活页装订，须编制连续页码，无连续页码的文件将可能作为无效文件处理。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173" w:type="dxa"/>
            <w:vAlign w:val="center"/>
          </w:tcPr>
          <w:p>
            <w:pPr>
              <w:spacing w:line="360" w:lineRule="auto"/>
              <w:rPr>
                <w:rFonts w:ascii="宋体" w:hAnsi="宋体"/>
                <w:szCs w:val="21"/>
              </w:rPr>
            </w:pPr>
            <w:r>
              <w:rPr>
                <w:rFonts w:hint="eastAsia" w:ascii="宋体" w:hAnsi="宋体"/>
                <w:szCs w:val="21"/>
              </w:rPr>
              <w:t>4.1.2</w:t>
            </w:r>
          </w:p>
        </w:tc>
        <w:tc>
          <w:tcPr>
            <w:tcW w:w="2027" w:type="dxa"/>
            <w:gridSpan w:val="2"/>
            <w:vAlign w:val="center"/>
          </w:tcPr>
          <w:p>
            <w:pPr>
              <w:spacing w:line="360" w:lineRule="auto"/>
              <w:rPr>
                <w:rFonts w:ascii="宋体" w:hAnsi="宋体"/>
                <w:szCs w:val="21"/>
              </w:rPr>
            </w:pPr>
            <w:r>
              <w:rPr>
                <w:rFonts w:hint="eastAsia" w:ascii="宋体" w:hAnsi="宋体"/>
                <w:szCs w:val="21"/>
              </w:rPr>
              <w:t>封套上写明</w:t>
            </w:r>
          </w:p>
        </w:tc>
        <w:tc>
          <w:tcPr>
            <w:tcW w:w="6315" w:type="dxa"/>
            <w:vAlign w:val="center"/>
          </w:tcPr>
          <w:p>
            <w:pPr>
              <w:spacing w:line="360" w:lineRule="auto"/>
              <w:rPr>
                <w:rFonts w:ascii="宋体" w:hAnsi="宋体"/>
                <w:szCs w:val="21"/>
                <w:u w:val="single"/>
              </w:rPr>
            </w:pPr>
            <w:r>
              <w:rPr>
                <w:rFonts w:hint="eastAsia" w:ascii="宋体" w:hAnsi="宋体"/>
                <w:color w:val="FF0000"/>
                <w:szCs w:val="21"/>
              </w:rPr>
              <w:t>投标文件外包装</w:t>
            </w:r>
            <w:r>
              <w:rPr>
                <w:rFonts w:ascii="宋体" w:hAnsi="宋体"/>
                <w:color w:val="FF0000"/>
                <w:szCs w:val="21"/>
              </w:rPr>
              <w:t>封皮须包括项目名称、</w:t>
            </w:r>
            <w:r>
              <w:rPr>
                <w:rFonts w:hint="eastAsia" w:ascii="宋体" w:hAnsi="宋体"/>
                <w:color w:val="FF0000"/>
                <w:szCs w:val="21"/>
              </w:rPr>
              <w:t>招标</w:t>
            </w:r>
            <w:r>
              <w:rPr>
                <w:rFonts w:ascii="宋体" w:hAnsi="宋体"/>
                <w:color w:val="FF0000"/>
                <w:szCs w:val="21"/>
              </w:rPr>
              <w:t>编号、</w:t>
            </w:r>
            <w:r>
              <w:rPr>
                <w:rFonts w:hint="eastAsia" w:ascii="宋体" w:hAnsi="宋体"/>
                <w:color w:val="FF0000"/>
                <w:szCs w:val="21"/>
              </w:rPr>
              <w:t>招标人、</w:t>
            </w:r>
            <w:r>
              <w:rPr>
                <w:rFonts w:ascii="宋体" w:hAnsi="宋体"/>
                <w:color w:val="FF0000"/>
                <w:szCs w:val="21"/>
              </w:rPr>
              <w:t>承办单位名称、投标人名称、地址、被授权人</w:t>
            </w:r>
            <w:r>
              <w:rPr>
                <w:rFonts w:hint="eastAsia" w:ascii="宋体" w:hAnsi="宋体"/>
                <w:color w:val="FF0000"/>
                <w:szCs w:val="21"/>
              </w:rPr>
              <w:t>及</w:t>
            </w:r>
            <w:r>
              <w:rPr>
                <w:rFonts w:ascii="宋体" w:hAnsi="宋体"/>
                <w:color w:val="FF0000"/>
                <w:szCs w:val="21"/>
              </w:rPr>
              <w:t>联系方式。</w:t>
            </w:r>
            <w:r>
              <w:rPr>
                <w:rFonts w:hint="eastAsia" w:ascii="宋体" w:hAnsi="宋体"/>
                <w:color w:val="FF0000"/>
                <w:szCs w:val="21"/>
              </w:rPr>
              <w:t>密封</w:t>
            </w:r>
            <w:r>
              <w:rPr>
                <w:rFonts w:ascii="宋体" w:hAnsi="宋体"/>
                <w:color w:val="FF0000"/>
                <w:szCs w:val="21"/>
              </w:rPr>
              <w:t>处须注明在</w:t>
            </w:r>
            <w:r>
              <w:rPr>
                <w:rFonts w:hint="eastAsia" w:ascii="宋体" w:hAnsi="宋体"/>
                <w:color w:val="FF0000"/>
                <w:szCs w:val="21"/>
              </w:rPr>
              <w:t>2019年</w:t>
            </w:r>
            <w:r>
              <w:rPr>
                <w:rFonts w:ascii="宋体" w:hAnsi="宋体"/>
                <w:color w:val="FF0000"/>
                <w:szCs w:val="21"/>
              </w:rPr>
              <w:t>***月***日***时***分不得提前</w:t>
            </w:r>
            <w:r>
              <w:rPr>
                <w:rFonts w:hint="eastAsia" w:ascii="宋体" w:hAnsi="宋体"/>
                <w:color w:val="FF0000"/>
                <w:szCs w:val="21"/>
              </w:rPr>
              <w:t>启封字样</w:t>
            </w:r>
            <w:r>
              <w:rPr>
                <w:rFonts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73" w:type="dxa"/>
            <w:vAlign w:val="center"/>
          </w:tcPr>
          <w:p>
            <w:pPr>
              <w:spacing w:line="360" w:lineRule="auto"/>
              <w:rPr>
                <w:rFonts w:ascii="宋体" w:hAnsi="宋体"/>
                <w:szCs w:val="21"/>
              </w:rPr>
            </w:pPr>
            <w:r>
              <w:rPr>
                <w:rFonts w:hint="eastAsia" w:ascii="宋体" w:hAnsi="宋体"/>
                <w:szCs w:val="21"/>
              </w:rPr>
              <w:t>4.2.1</w:t>
            </w:r>
          </w:p>
        </w:tc>
        <w:tc>
          <w:tcPr>
            <w:tcW w:w="2027" w:type="dxa"/>
            <w:gridSpan w:val="2"/>
            <w:vAlign w:val="center"/>
          </w:tcPr>
          <w:p>
            <w:pPr>
              <w:spacing w:line="360" w:lineRule="auto"/>
              <w:rPr>
                <w:rFonts w:ascii="宋体" w:hAnsi="宋体"/>
                <w:szCs w:val="21"/>
              </w:rPr>
            </w:pPr>
            <w:r>
              <w:rPr>
                <w:rFonts w:hint="eastAsia" w:ascii="宋体" w:hAnsi="宋体"/>
                <w:szCs w:val="21"/>
              </w:rPr>
              <w:t>投标截止时间</w:t>
            </w:r>
          </w:p>
        </w:tc>
        <w:tc>
          <w:tcPr>
            <w:tcW w:w="6315" w:type="dxa"/>
            <w:vAlign w:val="center"/>
          </w:tcPr>
          <w:p>
            <w:pPr>
              <w:spacing w:line="360" w:lineRule="auto"/>
              <w:rPr>
                <w:rFonts w:ascii="宋体" w:hAnsi="宋体"/>
                <w:szCs w:val="21"/>
                <w:u w:val="single"/>
              </w:rPr>
            </w:pPr>
            <w:r>
              <w:rPr>
                <w:rFonts w:ascii="宋体" w:hAnsi="宋体"/>
                <w:szCs w:val="21"/>
                <w:u w:val="single"/>
              </w:rPr>
              <w:t>201</w:t>
            </w:r>
            <w:r>
              <w:rPr>
                <w:rFonts w:hint="eastAsia" w:ascii="宋体" w:hAnsi="宋体"/>
                <w:szCs w:val="21"/>
                <w:u w:val="single"/>
              </w:rPr>
              <w:t>9</w:t>
            </w:r>
            <w:r>
              <w:rPr>
                <w:rFonts w:hint="eastAsia" w:ascii="宋体" w:hAnsi="宋体"/>
                <w:szCs w:val="21"/>
              </w:rPr>
              <w:t>年</w:t>
            </w:r>
            <w:r>
              <w:rPr>
                <w:rFonts w:hint="eastAsia" w:ascii="宋体" w:hAnsi="宋体"/>
                <w:szCs w:val="21"/>
                <w:u w:val="single"/>
              </w:rPr>
              <w:t>7</w:t>
            </w:r>
            <w:r>
              <w:rPr>
                <w:rFonts w:hint="eastAsia" w:ascii="宋体" w:hAnsi="宋体"/>
                <w:szCs w:val="21"/>
              </w:rPr>
              <w:t>月</w:t>
            </w:r>
            <w:r>
              <w:rPr>
                <w:rFonts w:hint="eastAsia" w:ascii="宋体" w:hAnsi="宋体"/>
                <w:szCs w:val="21"/>
                <w:u w:val="single"/>
              </w:rPr>
              <w:t>2</w:t>
            </w:r>
            <w:r>
              <w:rPr>
                <w:rFonts w:hint="eastAsia" w:ascii="宋体" w:hAnsi="宋体"/>
                <w:szCs w:val="21"/>
                <w:u w:val="single"/>
                <w:lang w:val="en-US" w:eastAsia="zh-CN"/>
              </w:rPr>
              <w:t>9</w:t>
            </w:r>
            <w:r>
              <w:rPr>
                <w:rFonts w:hint="eastAsia" w:ascii="宋体" w:hAnsi="宋体"/>
                <w:szCs w:val="21"/>
              </w:rPr>
              <w:t>日</w:t>
            </w:r>
            <w:r>
              <w:rPr>
                <w:rFonts w:hint="eastAsia" w:ascii="宋体" w:hAnsi="宋体"/>
                <w:szCs w:val="21"/>
                <w:u w:val="single"/>
              </w:rPr>
              <w:t>10</w:t>
            </w:r>
            <w:r>
              <w:rPr>
                <w:rFonts w:hint="eastAsia" w:ascii="宋体" w:hAnsi="宋体"/>
                <w:szCs w:val="21"/>
              </w:rPr>
              <w:t>时</w:t>
            </w:r>
            <w:r>
              <w:rPr>
                <w:rFonts w:hint="eastAsia" w:ascii="宋体" w:hAnsi="宋体"/>
                <w:szCs w:val="21"/>
                <w:u w:val="single"/>
                <w:lang w:val="en-US" w:eastAsia="zh-CN"/>
              </w:rPr>
              <w:t>3</w:t>
            </w:r>
            <w:r>
              <w:rPr>
                <w:rFonts w:ascii="宋体" w:hAnsi="宋体"/>
                <w:szCs w:val="21"/>
                <w:u w:val="single"/>
              </w:rPr>
              <w:t>0</w:t>
            </w:r>
            <w:r>
              <w:rPr>
                <w:rFonts w:hint="eastAsia" w:ascii="宋体" w:hAnsi="宋体"/>
                <w:szCs w:val="21"/>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73" w:type="dxa"/>
            <w:vAlign w:val="center"/>
          </w:tcPr>
          <w:p>
            <w:pPr>
              <w:spacing w:line="360" w:lineRule="auto"/>
              <w:rPr>
                <w:rFonts w:ascii="宋体" w:hAnsi="宋体"/>
                <w:szCs w:val="21"/>
              </w:rPr>
            </w:pPr>
            <w:r>
              <w:rPr>
                <w:rFonts w:hint="eastAsia" w:ascii="宋体" w:hAnsi="宋体"/>
                <w:szCs w:val="21"/>
              </w:rPr>
              <w:t>4.2.2</w:t>
            </w:r>
          </w:p>
        </w:tc>
        <w:tc>
          <w:tcPr>
            <w:tcW w:w="2027" w:type="dxa"/>
            <w:gridSpan w:val="2"/>
            <w:vAlign w:val="center"/>
          </w:tcPr>
          <w:p>
            <w:pPr>
              <w:spacing w:line="360" w:lineRule="auto"/>
              <w:rPr>
                <w:rFonts w:ascii="宋体" w:hAnsi="宋体"/>
                <w:szCs w:val="21"/>
              </w:rPr>
            </w:pPr>
            <w:r>
              <w:rPr>
                <w:rFonts w:hint="eastAsia" w:ascii="宋体" w:hAnsi="宋体"/>
                <w:szCs w:val="21"/>
              </w:rPr>
              <w:t>递交投标文件地点</w:t>
            </w:r>
          </w:p>
        </w:tc>
        <w:tc>
          <w:tcPr>
            <w:tcW w:w="6315" w:type="dxa"/>
            <w:vAlign w:val="center"/>
          </w:tcPr>
          <w:p>
            <w:pPr>
              <w:spacing w:beforeLines="50" w:line="360" w:lineRule="auto"/>
              <w:rPr>
                <w:rFonts w:ascii="宋体" w:hAnsi="宋体"/>
                <w:szCs w:val="21"/>
              </w:rPr>
            </w:pPr>
            <w:r>
              <w:rPr>
                <w:rFonts w:hint="eastAsia" w:ascii="宋体" w:hAnsi="宋体"/>
                <w:szCs w:val="21"/>
              </w:rPr>
              <w:t>北京海陆商品检验有限公司上海营运中心（上海市浦东新区浦东大道1868号东方城市大厦1007-1012室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1173" w:type="dxa"/>
            <w:vAlign w:val="center"/>
          </w:tcPr>
          <w:p>
            <w:pPr>
              <w:spacing w:line="360" w:lineRule="auto"/>
              <w:rPr>
                <w:rFonts w:ascii="宋体" w:hAnsi="宋体"/>
                <w:szCs w:val="21"/>
              </w:rPr>
            </w:pPr>
            <w:r>
              <w:rPr>
                <w:rFonts w:hint="eastAsia" w:ascii="宋体" w:hAnsi="宋体"/>
                <w:szCs w:val="21"/>
              </w:rPr>
              <w:t>4.2.3</w:t>
            </w:r>
          </w:p>
        </w:tc>
        <w:tc>
          <w:tcPr>
            <w:tcW w:w="2027" w:type="dxa"/>
            <w:gridSpan w:val="2"/>
            <w:vAlign w:val="center"/>
          </w:tcPr>
          <w:p>
            <w:pPr>
              <w:spacing w:line="360" w:lineRule="auto"/>
              <w:rPr>
                <w:rFonts w:ascii="宋体" w:hAnsi="宋体"/>
                <w:szCs w:val="21"/>
              </w:rPr>
            </w:pPr>
            <w:r>
              <w:rPr>
                <w:rFonts w:hint="eastAsia" w:ascii="宋体" w:hAnsi="宋体"/>
                <w:szCs w:val="21"/>
              </w:rPr>
              <w:t>是否退还投标文件</w:t>
            </w:r>
          </w:p>
        </w:tc>
        <w:tc>
          <w:tcPr>
            <w:tcW w:w="6315" w:type="dxa"/>
            <w:vAlign w:val="center"/>
          </w:tcPr>
          <w:p>
            <w:pPr>
              <w:spacing w:line="360" w:lineRule="auto"/>
              <w:rPr>
                <w:rFonts w:ascii="宋体" w:hAnsi="宋体"/>
                <w:szCs w:val="21"/>
              </w:rPr>
            </w:pPr>
            <w:r>
              <w:rPr>
                <w:rFonts w:hint="eastAsia" w:ascii="宋体" w:hAnsi="宋体"/>
              </w:rPr>
              <w:t>√</w:t>
            </w:r>
            <w:r>
              <w:rPr>
                <w:rFonts w:hint="eastAsia" w:ascii="宋体" w:hAnsi="宋体"/>
                <w:szCs w:val="21"/>
              </w:rPr>
              <w:t>否</w:t>
            </w:r>
          </w:p>
          <w:p>
            <w:pPr>
              <w:adjustRightInd w:val="0"/>
              <w:spacing w:line="360" w:lineRule="auto"/>
              <w:ind w:right="521" w:firstLine="376"/>
              <w:rPr>
                <w:rFonts w:ascii="宋体" w:hAnsi="宋体"/>
                <w:szCs w:val="21"/>
              </w:rPr>
            </w:pPr>
            <w:r>
              <w:rPr>
                <w:rFonts w:hint="eastAsia" w:ascii="宋体" w:hAnsi="宋体"/>
                <w:szCs w:val="21"/>
              </w:rPr>
              <w:t>□是，退还安排：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173" w:type="dxa"/>
            <w:vAlign w:val="center"/>
          </w:tcPr>
          <w:p>
            <w:pPr>
              <w:spacing w:line="360" w:lineRule="auto"/>
              <w:rPr>
                <w:rFonts w:ascii="宋体" w:hAnsi="宋体"/>
                <w:szCs w:val="21"/>
              </w:rPr>
            </w:pPr>
            <w:r>
              <w:rPr>
                <w:rFonts w:hint="eastAsia" w:ascii="宋体" w:hAnsi="宋体"/>
                <w:szCs w:val="21"/>
              </w:rPr>
              <w:t>5.1</w:t>
            </w:r>
          </w:p>
        </w:tc>
        <w:tc>
          <w:tcPr>
            <w:tcW w:w="2027" w:type="dxa"/>
            <w:gridSpan w:val="2"/>
            <w:vAlign w:val="center"/>
          </w:tcPr>
          <w:p>
            <w:pPr>
              <w:spacing w:line="360" w:lineRule="auto"/>
              <w:rPr>
                <w:rFonts w:ascii="宋体" w:hAnsi="宋体"/>
                <w:szCs w:val="21"/>
              </w:rPr>
            </w:pPr>
            <w:r>
              <w:rPr>
                <w:rFonts w:hint="eastAsia" w:ascii="宋体" w:hAnsi="宋体"/>
                <w:szCs w:val="21"/>
              </w:rPr>
              <w:t>开标时间和地点</w:t>
            </w:r>
          </w:p>
        </w:tc>
        <w:tc>
          <w:tcPr>
            <w:tcW w:w="6315" w:type="dxa"/>
            <w:vAlign w:val="center"/>
          </w:tcPr>
          <w:p>
            <w:pPr>
              <w:spacing w:line="360" w:lineRule="auto"/>
              <w:rPr>
                <w:rFonts w:ascii="宋体" w:hAnsi="宋体"/>
                <w:szCs w:val="21"/>
                <w:u w:val="single"/>
              </w:rPr>
            </w:pPr>
            <w:r>
              <w:rPr>
                <w:rFonts w:hint="eastAsia" w:ascii="宋体" w:hAnsi="宋体"/>
                <w:szCs w:val="21"/>
              </w:rPr>
              <w:t>开标时间：</w:t>
            </w:r>
            <w:r>
              <w:rPr>
                <w:rFonts w:ascii="宋体" w:hAnsi="宋体"/>
                <w:szCs w:val="21"/>
                <w:u w:val="single"/>
              </w:rPr>
              <w:t>201</w:t>
            </w:r>
            <w:r>
              <w:rPr>
                <w:rFonts w:hint="eastAsia" w:ascii="宋体" w:hAnsi="宋体"/>
                <w:szCs w:val="21"/>
                <w:u w:val="single"/>
              </w:rPr>
              <w:t>9</w:t>
            </w:r>
            <w:r>
              <w:rPr>
                <w:rFonts w:hint="eastAsia" w:ascii="宋体" w:hAnsi="宋体"/>
                <w:szCs w:val="21"/>
              </w:rPr>
              <w:t>年</w:t>
            </w:r>
            <w:r>
              <w:rPr>
                <w:rFonts w:hint="eastAsia" w:ascii="宋体" w:hAnsi="宋体"/>
                <w:szCs w:val="21"/>
                <w:u w:val="single"/>
              </w:rPr>
              <w:t>7</w:t>
            </w:r>
            <w:r>
              <w:rPr>
                <w:rFonts w:hint="eastAsia" w:ascii="宋体" w:hAnsi="宋体"/>
                <w:szCs w:val="21"/>
              </w:rPr>
              <w:t>月</w:t>
            </w:r>
            <w:r>
              <w:rPr>
                <w:rFonts w:hint="eastAsia" w:ascii="宋体" w:hAnsi="宋体"/>
                <w:szCs w:val="21"/>
                <w:u w:val="single"/>
              </w:rPr>
              <w:t>2</w:t>
            </w:r>
            <w:r>
              <w:rPr>
                <w:rFonts w:hint="eastAsia" w:ascii="宋体" w:hAnsi="宋体"/>
                <w:szCs w:val="21"/>
                <w:u w:val="single"/>
                <w:lang w:val="en-US" w:eastAsia="zh-CN"/>
              </w:rPr>
              <w:t>9</w:t>
            </w:r>
            <w:r>
              <w:rPr>
                <w:rFonts w:hint="eastAsia" w:ascii="宋体" w:hAnsi="宋体"/>
                <w:szCs w:val="21"/>
              </w:rPr>
              <w:t>日</w:t>
            </w:r>
            <w:r>
              <w:rPr>
                <w:rFonts w:hint="eastAsia" w:ascii="宋体" w:hAnsi="宋体"/>
                <w:szCs w:val="21"/>
                <w:u w:val="single"/>
              </w:rPr>
              <w:t>10</w:t>
            </w:r>
            <w:r>
              <w:rPr>
                <w:rFonts w:hint="eastAsia" w:ascii="宋体" w:hAnsi="宋体"/>
                <w:szCs w:val="21"/>
              </w:rPr>
              <w:t>时</w:t>
            </w:r>
            <w:r>
              <w:rPr>
                <w:rFonts w:hint="eastAsia" w:ascii="宋体" w:hAnsi="宋体"/>
                <w:szCs w:val="21"/>
                <w:u w:val="single"/>
                <w:lang w:val="en-US" w:eastAsia="zh-CN"/>
              </w:rPr>
              <w:t>3</w:t>
            </w:r>
            <w:r>
              <w:rPr>
                <w:rFonts w:ascii="宋体" w:hAnsi="宋体"/>
                <w:szCs w:val="21"/>
                <w:u w:val="single"/>
              </w:rPr>
              <w:t>0</w:t>
            </w:r>
            <w:r>
              <w:rPr>
                <w:rFonts w:hint="eastAsia" w:ascii="宋体" w:hAnsi="宋体"/>
                <w:szCs w:val="21"/>
              </w:rPr>
              <w:t>分</w:t>
            </w:r>
          </w:p>
          <w:p>
            <w:pPr>
              <w:adjustRightInd w:val="0"/>
              <w:spacing w:line="360" w:lineRule="auto"/>
              <w:ind w:right="521"/>
              <w:rPr>
                <w:rFonts w:ascii="宋体" w:hAnsi="宋体"/>
                <w:szCs w:val="21"/>
                <w:u w:val="single"/>
              </w:rPr>
            </w:pPr>
            <w:r>
              <w:rPr>
                <w:rFonts w:hint="eastAsia" w:ascii="宋体" w:hAnsi="宋体"/>
                <w:szCs w:val="21"/>
              </w:rPr>
              <w:t>开标地点：北京海陆商品检验有限公司上海营运中心（上海市浦东新区浦东大道1868号东方城市大厦1007-1012室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1173" w:type="dxa"/>
            <w:vAlign w:val="center"/>
          </w:tcPr>
          <w:p>
            <w:pPr>
              <w:spacing w:line="360" w:lineRule="auto"/>
              <w:rPr>
                <w:rFonts w:ascii="宋体" w:hAnsi="宋体"/>
                <w:szCs w:val="21"/>
              </w:rPr>
            </w:pPr>
            <w:r>
              <w:rPr>
                <w:rFonts w:hint="eastAsia" w:ascii="宋体" w:hAnsi="宋体"/>
                <w:szCs w:val="21"/>
              </w:rPr>
              <w:t>5.2</w:t>
            </w:r>
          </w:p>
        </w:tc>
        <w:tc>
          <w:tcPr>
            <w:tcW w:w="2027" w:type="dxa"/>
            <w:gridSpan w:val="2"/>
            <w:vAlign w:val="center"/>
          </w:tcPr>
          <w:p>
            <w:pPr>
              <w:spacing w:line="360" w:lineRule="auto"/>
              <w:rPr>
                <w:rFonts w:ascii="宋体" w:hAnsi="宋体"/>
                <w:szCs w:val="21"/>
              </w:rPr>
            </w:pPr>
            <w:r>
              <w:rPr>
                <w:rFonts w:hint="eastAsia" w:ascii="宋体" w:hAnsi="宋体"/>
                <w:szCs w:val="21"/>
              </w:rPr>
              <w:t>开标程序</w:t>
            </w:r>
          </w:p>
        </w:tc>
        <w:tc>
          <w:tcPr>
            <w:tcW w:w="6315" w:type="dxa"/>
            <w:vAlign w:val="center"/>
          </w:tcPr>
          <w:p>
            <w:pPr>
              <w:spacing w:line="360" w:lineRule="auto"/>
              <w:rPr>
                <w:rFonts w:ascii="宋体" w:hAnsi="宋体"/>
                <w:szCs w:val="21"/>
                <w:u w:val="single"/>
              </w:rPr>
            </w:pPr>
            <w:r>
              <w:rPr>
                <w:rFonts w:hint="eastAsia" w:ascii="宋体" w:hAnsi="宋体"/>
                <w:szCs w:val="21"/>
              </w:rPr>
              <w:t>（4）密封情况检查：</w:t>
            </w:r>
            <w:r>
              <w:rPr>
                <w:rFonts w:hint="eastAsia" w:ascii="宋体" w:hAnsi="宋体"/>
                <w:color w:val="0D0D0D"/>
                <w:szCs w:val="21"/>
                <w:u w:val="single"/>
              </w:rPr>
              <w:t xml:space="preserve">由投标人检查投标文件的密封情况，并由监标人宣布检查结果 </w:t>
            </w:r>
          </w:p>
          <w:p>
            <w:pPr>
              <w:spacing w:line="360" w:lineRule="auto"/>
              <w:rPr>
                <w:rFonts w:ascii="宋体" w:hAnsi="宋体"/>
                <w:szCs w:val="21"/>
                <w:u w:val="single"/>
              </w:rPr>
            </w:pPr>
            <w:r>
              <w:rPr>
                <w:rFonts w:hint="eastAsia" w:ascii="宋体" w:hAnsi="宋体"/>
                <w:szCs w:val="21"/>
              </w:rPr>
              <w:t>（5）开标顺序：</w:t>
            </w:r>
            <w:r>
              <w:rPr>
                <w:rFonts w:hint="eastAsia" w:ascii="宋体" w:hAnsi="宋体"/>
                <w:szCs w:val="21"/>
                <w:u w:val="single"/>
              </w:rPr>
              <w:t>依据投标人递交投标文件的顺序开标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173" w:type="dxa"/>
            <w:vAlign w:val="center"/>
          </w:tcPr>
          <w:p>
            <w:pPr>
              <w:spacing w:line="360" w:lineRule="auto"/>
              <w:rPr>
                <w:rFonts w:ascii="宋体" w:hAnsi="宋体"/>
                <w:szCs w:val="21"/>
              </w:rPr>
            </w:pPr>
            <w:r>
              <w:rPr>
                <w:rFonts w:hint="eastAsia" w:ascii="宋体" w:hAnsi="宋体"/>
                <w:szCs w:val="21"/>
              </w:rPr>
              <w:t>6.1.1</w:t>
            </w:r>
          </w:p>
        </w:tc>
        <w:tc>
          <w:tcPr>
            <w:tcW w:w="2027" w:type="dxa"/>
            <w:gridSpan w:val="2"/>
            <w:vAlign w:val="center"/>
          </w:tcPr>
          <w:p>
            <w:pPr>
              <w:spacing w:line="360" w:lineRule="auto"/>
              <w:rPr>
                <w:rFonts w:ascii="宋体" w:hAnsi="宋体"/>
                <w:szCs w:val="21"/>
              </w:rPr>
            </w:pPr>
            <w:r>
              <w:rPr>
                <w:rFonts w:hint="eastAsia" w:ascii="宋体" w:hAnsi="宋体"/>
                <w:szCs w:val="21"/>
              </w:rPr>
              <w:t>评标委员会的组建</w:t>
            </w:r>
          </w:p>
        </w:tc>
        <w:tc>
          <w:tcPr>
            <w:tcW w:w="6315" w:type="dxa"/>
            <w:vAlign w:val="center"/>
          </w:tcPr>
          <w:p>
            <w:pPr>
              <w:spacing w:line="360" w:lineRule="auto"/>
              <w:rPr>
                <w:rFonts w:ascii="宋体" w:hAnsi="宋体"/>
                <w:szCs w:val="21"/>
              </w:rPr>
            </w:pPr>
            <w:r>
              <w:rPr>
                <w:rFonts w:hint="eastAsia" w:ascii="宋体" w:hAnsi="宋体"/>
                <w:szCs w:val="21"/>
              </w:rPr>
              <w:t>本项目评标委员会共5人，由招标人派遣甲方代表1人、</w:t>
            </w:r>
            <w:r>
              <w:t>为</w:t>
            </w:r>
            <w:r>
              <w:rPr>
                <w:rFonts w:hint="eastAsia" w:ascii="宋体" w:hAnsi="宋体"/>
                <w:szCs w:val="21"/>
              </w:rPr>
              <w:t>通过</w:t>
            </w:r>
            <w:r>
              <w:rPr>
                <w:rFonts w:ascii="宋体" w:hAnsi="宋体"/>
                <w:szCs w:val="21"/>
              </w:rPr>
              <w:t>招标代理机构专家库随机抽取</w:t>
            </w:r>
            <w:r>
              <w:rPr>
                <w:rFonts w:hint="eastAsia" w:ascii="宋体" w:hAnsi="宋体"/>
                <w:szCs w:val="21"/>
              </w:rPr>
              <w:t>产生的专家4人组成。评标委员会组成，技术专家</w:t>
            </w:r>
            <w:r>
              <w:rPr>
                <w:rFonts w:ascii="宋体" w:hAnsi="宋体"/>
                <w:szCs w:val="21"/>
              </w:rPr>
              <w:t>3</w:t>
            </w:r>
            <w:r>
              <w:rPr>
                <w:rFonts w:hint="eastAsia" w:ascii="宋体" w:hAnsi="宋体"/>
                <w:szCs w:val="21"/>
              </w:rPr>
              <w:t>人，经济等方面专家</w:t>
            </w:r>
            <w:r>
              <w:rPr>
                <w:rFonts w:ascii="宋体" w:hAnsi="宋体"/>
                <w:szCs w:val="21"/>
              </w:rPr>
              <w:t>1</w:t>
            </w:r>
            <w:r>
              <w:rPr>
                <w:rFonts w:hint="eastAsia" w:ascii="宋体" w:hAnsi="宋体"/>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173" w:type="dxa"/>
            <w:vAlign w:val="center"/>
          </w:tcPr>
          <w:p>
            <w:pPr>
              <w:spacing w:line="360" w:lineRule="auto"/>
              <w:rPr>
                <w:rFonts w:ascii="宋体" w:hAnsi="宋体"/>
                <w:szCs w:val="21"/>
              </w:rPr>
            </w:pPr>
            <w:r>
              <w:rPr>
                <w:rFonts w:hint="eastAsia" w:ascii="宋体" w:hAnsi="宋体"/>
                <w:szCs w:val="21"/>
              </w:rPr>
              <w:t>6.4</w:t>
            </w:r>
          </w:p>
        </w:tc>
        <w:tc>
          <w:tcPr>
            <w:tcW w:w="2027" w:type="dxa"/>
            <w:gridSpan w:val="2"/>
            <w:vAlign w:val="center"/>
          </w:tcPr>
          <w:p>
            <w:pPr>
              <w:spacing w:line="360" w:lineRule="auto"/>
              <w:rPr>
                <w:rFonts w:ascii="宋体" w:hAnsi="宋体"/>
                <w:szCs w:val="21"/>
              </w:rPr>
            </w:pPr>
            <w:r>
              <w:rPr>
                <w:rFonts w:hint="eastAsia" w:ascii="宋体" w:hAnsi="宋体"/>
                <w:szCs w:val="21"/>
              </w:rPr>
              <w:t>废标条件</w:t>
            </w:r>
          </w:p>
        </w:tc>
        <w:tc>
          <w:tcPr>
            <w:tcW w:w="6315" w:type="dxa"/>
            <w:vAlign w:val="center"/>
          </w:tcPr>
          <w:p>
            <w:pPr>
              <w:spacing w:line="360" w:lineRule="auto"/>
              <w:rPr>
                <w:rFonts w:ascii="宋体" w:hAnsi="宋体"/>
                <w:szCs w:val="21"/>
                <w:u w:val="single"/>
              </w:rPr>
            </w:pPr>
            <w:r>
              <w:rPr>
                <w:rFonts w:hint="eastAsia" w:ascii="宋体" w:hAnsi="宋体"/>
                <w:szCs w:val="21"/>
              </w:rPr>
              <w:t>（10）招标人规定的其他废标条件的：</w:t>
            </w:r>
            <w:r>
              <w:rPr>
                <w:rFonts w:hint="eastAsia" w:ascii="宋体" w:hAnsi="宋体"/>
                <w:szCs w:val="21"/>
                <w:u w:val="single"/>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173" w:type="dxa"/>
            <w:vAlign w:val="center"/>
          </w:tcPr>
          <w:p>
            <w:pPr>
              <w:spacing w:line="360" w:lineRule="auto"/>
              <w:rPr>
                <w:rFonts w:ascii="宋体" w:hAnsi="宋体"/>
                <w:szCs w:val="21"/>
              </w:rPr>
            </w:pPr>
            <w:r>
              <w:rPr>
                <w:rFonts w:hint="eastAsia" w:ascii="宋体" w:hAnsi="宋体"/>
                <w:szCs w:val="21"/>
              </w:rPr>
              <w:t>7.1</w:t>
            </w:r>
          </w:p>
        </w:tc>
        <w:tc>
          <w:tcPr>
            <w:tcW w:w="2027" w:type="dxa"/>
            <w:gridSpan w:val="2"/>
            <w:vAlign w:val="center"/>
          </w:tcPr>
          <w:p>
            <w:pPr>
              <w:spacing w:line="360" w:lineRule="auto"/>
              <w:rPr>
                <w:rFonts w:ascii="宋体" w:hAnsi="宋体"/>
                <w:szCs w:val="21"/>
              </w:rPr>
            </w:pPr>
            <w:r>
              <w:rPr>
                <w:rFonts w:hint="eastAsia" w:ascii="宋体" w:hAnsi="宋体"/>
                <w:szCs w:val="21"/>
              </w:rPr>
              <w:t>是否授权评标委员会确定中标人</w:t>
            </w:r>
          </w:p>
        </w:tc>
        <w:tc>
          <w:tcPr>
            <w:tcW w:w="6315" w:type="dxa"/>
            <w:vAlign w:val="center"/>
          </w:tcPr>
          <w:p>
            <w:pPr>
              <w:spacing w:line="360" w:lineRule="auto"/>
              <w:rPr>
                <w:rFonts w:ascii="宋体" w:hAnsi="宋体"/>
                <w:szCs w:val="21"/>
              </w:rPr>
            </w:pPr>
            <w:r>
              <w:rPr>
                <w:rFonts w:hint="eastAsia" w:ascii="宋体" w:hAnsi="宋体"/>
                <w:szCs w:val="21"/>
              </w:rPr>
              <w:t>□是</w:t>
            </w:r>
          </w:p>
          <w:p>
            <w:pPr>
              <w:spacing w:line="360" w:lineRule="auto"/>
              <w:rPr>
                <w:rFonts w:ascii="宋体" w:hAnsi="宋体"/>
                <w:szCs w:val="21"/>
              </w:rPr>
            </w:pPr>
            <w:r>
              <w:rPr>
                <w:rFonts w:hint="eastAsia" w:ascii="宋体" w:hAnsi="宋体"/>
                <w:color w:val="0D0D0D"/>
                <w:szCs w:val="21"/>
              </w:rPr>
              <w:t>√</w:t>
            </w:r>
            <w:r>
              <w:rPr>
                <w:rFonts w:hint="eastAsia" w:ascii="宋体" w:hAnsi="宋体"/>
                <w:szCs w:val="21"/>
              </w:rPr>
              <w:t>否，推荐的中标候选人数：</w:t>
            </w:r>
            <w:r>
              <w:rPr>
                <w:rFonts w:hint="eastAsia" w:ascii="宋体" w:hAnsi="宋体"/>
                <w:szCs w:val="21"/>
                <w:u w:val="single"/>
              </w:rPr>
              <w:t xml:space="preserve">3位中标候选人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173" w:type="dxa"/>
            <w:vAlign w:val="center"/>
          </w:tcPr>
          <w:p>
            <w:pPr>
              <w:spacing w:line="360" w:lineRule="auto"/>
              <w:rPr>
                <w:rFonts w:ascii="宋体" w:hAnsi="宋体"/>
                <w:szCs w:val="21"/>
              </w:rPr>
            </w:pPr>
            <w:r>
              <w:rPr>
                <w:rFonts w:hint="eastAsia" w:ascii="宋体" w:hAnsi="宋体"/>
                <w:szCs w:val="21"/>
              </w:rPr>
              <w:t>7.3.1</w:t>
            </w:r>
          </w:p>
        </w:tc>
        <w:tc>
          <w:tcPr>
            <w:tcW w:w="2027" w:type="dxa"/>
            <w:gridSpan w:val="2"/>
            <w:vAlign w:val="center"/>
          </w:tcPr>
          <w:p>
            <w:pPr>
              <w:spacing w:line="360" w:lineRule="auto"/>
              <w:rPr>
                <w:rFonts w:ascii="宋体" w:hAnsi="宋体"/>
                <w:szCs w:val="21"/>
              </w:rPr>
            </w:pPr>
            <w:r>
              <w:rPr>
                <w:rFonts w:hint="eastAsia" w:ascii="宋体" w:hAnsi="宋体"/>
                <w:szCs w:val="21"/>
              </w:rPr>
              <w:t>履约担保</w:t>
            </w:r>
          </w:p>
        </w:tc>
        <w:tc>
          <w:tcPr>
            <w:tcW w:w="6315" w:type="dxa"/>
            <w:vAlign w:val="center"/>
          </w:tcPr>
          <w:p>
            <w:pPr>
              <w:spacing w:line="360" w:lineRule="auto"/>
              <w:rPr>
                <w:rFonts w:ascii="宋体" w:hAnsi="宋体"/>
                <w:szCs w:val="21"/>
              </w:rPr>
            </w:pPr>
            <w:r>
              <w:rPr>
                <w:rFonts w:hint="eastAsia" w:ascii="宋体" w:hAnsi="宋体"/>
                <w:szCs w:val="21"/>
              </w:rPr>
              <w:t>本项目不适用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9515" w:type="dxa"/>
            <w:gridSpan w:val="4"/>
            <w:vAlign w:val="center"/>
          </w:tcPr>
          <w:p>
            <w:pPr>
              <w:spacing w:line="360" w:lineRule="auto"/>
              <w:rPr>
                <w:rFonts w:ascii="宋体" w:hAnsi="宋体"/>
                <w:szCs w:val="21"/>
              </w:rPr>
            </w:pPr>
            <w:r>
              <w:rPr>
                <w:rFonts w:hint="eastAsia" w:ascii="宋体" w:hAnsi="宋体"/>
                <w:szCs w:val="21"/>
              </w:rPr>
              <w:t>10.  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515" w:type="dxa"/>
            <w:gridSpan w:val="4"/>
            <w:vAlign w:val="center"/>
          </w:tcPr>
          <w:p>
            <w:pPr>
              <w:spacing w:line="360" w:lineRule="auto"/>
              <w:rPr>
                <w:rFonts w:ascii="宋体" w:hAnsi="宋体"/>
                <w:szCs w:val="21"/>
              </w:rPr>
            </w:pPr>
            <w:r>
              <w:rPr>
                <w:rFonts w:hint="eastAsia" w:ascii="宋体" w:hAnsi="宋体"/>
                <w:szCs w:val="21"/>
              </w:rPr>
              <w:t>10.1 词语定义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173" w:type="dxa"/>
            <w:vAlign w:val="center"/>
          </w:tcPr>
          <w:p>
            <w:pPr>
              <w:spacing w:line="360" w:lineRule="auto"/>
              <w:rPr>
                <w:rFonts w:ascii="宋体" w:hAnsi="宋体"/>
                <w:szCs w:val="21"/>
              </w:rPr>
            </w:pPr>
            <w:r>
              <w:rPr>
                <w:rFonts w:hint="eastAsia" w:ascii="宋体" w:hAnsi="宋体"/>
                <w:szCs w:val="21"/>
              </w:rPr>
              <w:t>10.1.1</w:t>
            </w:r>
          </w:p>
        </w:tc>
        <w:tc>
          <w:tcPr>
            <w:tcW w:w="2027" w:type="dxa"/>
            <w:gridSpan w:val="2"/>
            <w:vAlign w:val="center"/>
          </w:tcPr>
          <w:p>
            <w:pPr>
              <w:spacing w:line="360" w:lineRule="auto"/>
              <w:rPr>
                <w:rFonts w:ascii="宋体" w:hAnsi="宋体"/>
                <w:szCs w:val="21"/>
              </w:rPr>
            </w:pPr>
            <w:r>
              <w:rPr>
                <w:rFonts w:hint="eastAsia" w:ascii="宋体" w:hAnsi="宋体"/>
                <w:szCs w:val="21"/>
              </w:rPr>
              <w:t>类似项目</w:t>
            </w:r>
          </w:p>
        </w:tc>
        <w:tc>
          <w:tcPr>
            <w:tcW w:w="6315" w:type="dxa"/>
            <w:vAlign w:val="center"/>
          </w:tcPr>
          <w:p>
            <w:pPr>
              <w:spacing w:line="360" w:lineRule="auto"/>
              <w:rPr>
                <w:rFonts w:ascii="宋体" w:hAnsi="宋体"/>
                <w:color w:val="000000"/>
                <w:u w:val="single"/>
              </w:rPr>
            </w:pPr>
            <w:r>
              <w:rPr>
                <w:rFonts w:hint="eastAsia" w:ascii="宋体" w:hAnsi="宋体"/>
                <w:szCs w:val="21"/>
              </w:rPr>
              <w:t>类似项目是指：</w:t>
            </w:r>
            <w:r>
              <w:rPr>
                <w:rFonts w:hint="eastAsia" w:ascii="宋体" w:hAnsi="宋体"/>
                <w:color w:val="000000"/>
                <w:u w:val="single"/>
              </w:rPr>
              <w:t>近三年类似实验室装修业绩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73" w:type="dxa"/>
            <w:vAlign w:val="center"/>
          </w:tcPr>
          <w:p>
            <w:pPr>
              <w:spacing w:line="360" w:lineRule="auto"/>
              <w:rPr>
                <w:rFonts w:ascii="宋体" w:hAnsi="宋体"/>
                <w:szCs w:val="21"/>
              </w:rPr>
            </w:pPr>
            <w:r>
              <w:rPr>
                <w:rFonts w:hint="eastAsia" w:ascii="宋体" w:hAnsi="宋体"/>
                <w:szCs w:val="21"/>
              </w:rPr>
              <w:t>10.1.2</w:t>
            </w:r>
          </w:p>
        </w:tc>
        <w:tc>
          <w:tcPr>
            <w:tcW w:w="2027" w:type="dxa"/>
            <w:gridSpan w:val="2"/>
            <w:vAlign w:val="center"/>
          </w:tcPr>
          <w:p>
            <w:pPr>
              <w:spacing w:line="360" w:lineRule="auto"/>
              <w:rPr>
                <w:rFonts w:ascii="宋体" w:hAnsi="宋体"/>
                <w:szCs w:val="21"/>
              </w:rPr>
            </w:pPr>
            <w:r>
              <w:rPr>
                <w:rFonts w:hint="eastAsia" w:ascii="宋体" w:hAnsi="宋体"/>
                <w:szCs w:val="21"/>
              </w:rPr>
              <w:t>不良行为记录</w:t>
            </w:r>
          </w:p>
        </w:tc>
        <w:tc>
          <w:tcPr>
            <w:tcW w:w="6315" w:type="dxa"/>
            <w:vAlign w:val="center"/>
          </w:tcPr>
          <w:p>
            <w:pPr>
              <w:spacing w:line="360" w:lineRule="auto"/>
              <w:rPr>
                <w:rFonts w:ascii="宋体" w:hAnsi="宋体"/>
                <w:szCs w:val="21"/>
                <w:u w:val="single"/>
              </w:rPr>
            </w:pPr>
            <w:r>
              <w:rPr>
                <w:rFonts w:hint="eastAsia" w:ascii="宋体" w:hAnsi="宋体"/>
                <w:szCs w:val="21"/>
              </w:rPr>
              <w:t>不良行为记录是指：</w:t>
            </w:r>
            <w:r>
              <w:rPr>
                <w:rFonts w:hint="eastAsia" w:ascii="宋体" w:hAnsi="宋体"/>
                <w:kern w:val="0"/>
                <w:u w:val="single"/>
              </w:rPr>
              <w:t>进入招标人或权威企业认定的承包商黑名单的。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173" w:type="dxa"/>
            <w:vAlign w:val="center"/>
          </w:tcPr>
          <w:p>
            <w:pPr>
              <w:spacing w:line="360" w:lineRule="auto"/>
              <w:rPr>
                <w:rFonts w:ascii="宋体" w:hAnsi="宋体"/>
                <w:szCs w:val="21"/>
              </w:rPr>
            </w:pPr>
            <w:r>
              <w:rPr>
                <w:rFonts w:hint="eastAsia" w:ascii="宋体" w:hAnsi="宋体"/>
                <w:szCs w:val="21"/>
              </w:rPr>
              <w:t>10.2</w:t>
            </w:r>
          </w:p>
        </w:tc>
        <w:tc>
          <w:tcPr>
            <w:tcW w:w="2027" w:type="dxa"/>
            <w:gridSpan w:val="2"/>
            <w:vAlign w:val="center"/>
          </w:tcPr>
          <w:p>
            <w:pPr>
              <w:spacing w:line="360" w:lineRule="auto"/>
              <w:rPr>
                <w:rFonts w:ascii="宋体" w:hAnsi="宋体"/>
                <w:szCs w:val="21"/>
              </w:rPr>
            </w:pPr>
            <w:r>
              <w:rPr>
                <w:rFonts w:hint="eastAsia" w:ascii="宋体" w:hAnsi="宋体"/>
                <w:szCs w:val="21"/>
              </w:rPr>
              <w:t>招标控制价</w:t>
            </w:r>
          </w:p>
        </w:tc>
        <w:tc>
          <w:tcPr>
            <w:tcW w:w="6315" w:type="dxa"/>
            <w:vAlign w:val="center"/>
          </w:tcPr>
          <w:p>
            <w:pPr>
              <w:spacing w:line="360" w:lineRule="auto"/>
              <w:rPr>
                <w:rFonts w:ascii="宋体" w:hAnsi="宋体" w:cs="宋体"/>
                <w:szCs w:val="21"/>
              </w:rPr>
            </w:pPr>
            <w:r>
              <w:rPr>
                <w:rFonts w:hint="eastAsia" w:ascii="宋体" w:hAnsi="宋体"/>
                <w:szCs w:val="21"/>
              </w:rPr>
              <w:t>□</w:t>
            </w:r>
            <w:r>
              <w:rPr>
                <w:rFonts w:hint="eastAsia" w:ascii="宋体" w:hAnsi="宋体" w:cs="宋体"/>
                <w:szCs w:val="21"/>
              </w:rPr>
              <w:t>不设招标控制价</w:t>
            </w:r>
          </w:p>
          <w:p>
            <w:pPr>
              <w:spacing w:line="360" w:lineRule="auto"/>
              <w:rPr>
                <w:rFonts w:ascii="宋体" w:hAnsi="宋体" w:cs="宋体"/>
                <w:szCs w:val="21"/>
              </w:rPr>
            </w:pPr>
            <w:r>
              <w:rPr>
                <w:rFonts w:hint="eastAsia" w:ascii="宋体" w:hAnsi="宋体" w:cs="宋体"/>
                <w:color w:val="0D0D0D"/>
                <w:szCs w:val="21"/>
              </w:rPr>
              <w:t>√</w:t>
            </w:r>
            <w:r>
              <w:rPr>
                <w:rFonts w:hint="eastAsia" w:ascii="宋体" w:hAnsi="宋体" w:cs="宋体"/>
                <w:szCs w:val="21"/>
              </w:rPr>
              <w:t>设招标控制价。</w:t>
            </w:r>
          </w:p>
          <w:p>
            <w:pPr>
              <w:spacing w:line="360" w:lineRule="auto"/>
              <w:rPr>
                <w:rFonts w:ascii="宋体" w:hAnsi="宋体" w:cs="宋体"/>
                <w:color w:val="FF0000"/>
                <w:szCs w:val="21"/>
              </w:rPr>
            </w:pPr>
            <w:r>
              <w:rPr>
                <w:rFonts w:hint="eastAsia" w:ascii="宋体" w:hAnsi="宋体" w:cs="宋体"/>
                <w:color w:val="FF0000"/>
                <w:szCs w:val="21"/>
              </w:rPr>
              <w:t>控制价金额共50万。</w:t>
            </w:r>
          </w:p>
          <w:p>
            <w:pPr>
              <w:spacing w:line="360" w:lineRule="auto"/>
              <w:rPr>
                <w:rFonts w:ascii="宋体" w:hAnsi="宋体" w:cs="宋体"/>
                <w:color w:val="FF0000"/>
                <w:szCs w:val="21"/>
              </w:rPr>
            </w:pPr>
            <w:r>
              <w:rPr>
                <w:rFonts w:ascii="宋体" w:hAnsi="宋体" w:cs="宋体"/>
                <w:color w:val="FF0000"/>
                <w:szCs w:val="21"/>
              </w:rPr>
              <w:t>报价不得超过控制价，超过控制价将</w:t>
            </w:r>
            <w:r>
              <w:rPr>
                <w:rFonts w:hint="eastAsia" w:ascii="宋体" w:hAnsi="宋体" w:cs="宋体"/>
                <w:color w:val="FF0000"/>
                <w:szCs w:val="21"/>
              </w:rPr>
              <w:t>作为</w:t>
            </w:r>
            <w:r>
              <w:rPr>
                <w:rFonts w:ascii="宋体" w:hAnsi="宋体" w:cs="宋体"/>
                <w:color w:val="FF0000"/>
                <w:szCs w:val="21"/>
              </w:rPr>
              <w:t>无效应答处理。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15" w:type="dxa"/>
            <w:gridSpan w:val="4"/>
            <w:vAlign w:val="center"/>
          </w:tcPr>
          <w:p>
            <w:pPr>
              <w:spacing w:line="360" w:lineRule="auto"/>
              <w:rPr>
                <w:rFonts w:ascii="宋体" w:hAnsi="宋体"/>
                <w:szCs w:val="21"/>
              </w:rPr>
            </w:pPr>
            <w:r>
              <w:rPr>
                <w:rFonts w:hint="eastAsia" w:ascii="宋体" w:hAnsi="宋体"/>
                <w:szCs w:val="21"/>
              </w:rPr>
              <w:t>10.3  “暗标”评审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1173" w:type="dxa"/>
            <w:vAlign w:val="center"/>
          </w:tcPr>
          <w:p>
            <w:pPr>
              <w:spacing w:line="360" w:lineRule="auto"/>
              <w:rPr>
                <w:rFonts w:ascii="宋体" w:hAnsi="宋体"/>
                <w:szCs w:val="21"/>
              </w:rPr>
            </w:pPr>
            <w:r>
              <w:rPr>
                <w:rFonts w:hint="eastAsia" w:ascii="宋体" w:hAnsi="宋体"/>
                <w:szCs w:val="21"/>
              </w:rPr>
              <w:t>10.3</w:t>
            </w:r>
          </w:p>
        </w:tc>
        <w:tc>
          <w:tcPr>
            <w:tcW w:w="2027" w:type="dxa"/>
            <w:gridSpan w:val="2"/>
            <w:vAlign w:val="center"/>
          </w:tcPr>
          <w:p>
            <w:pPr>
              <w:spacing w:line="360" w:lineRule="auto"/>
              <w:rPr>
                <w:rFonts w:ascii="宋体" w:hAnsi="宋体"/>
                <w:szCs w:val="21"/>
              </w:rPr>
            </w:pPr>
            <w:r>
              <w:rPr>
                <w:rFonts w:hint="eastAsia" w:ascii="宋体" w:hAnsi="宋体"/>
                <w:szCs w:val="21"/>
              </w:rPr>
              <w:t>技术服务方案是否采用“暗标”评审方式</w:t>
            </w:r>
          </w:p>
        </w:tc>
        <w:tc>
          <w:tcPr>
            <w:tcW w:w="6315" w:type="dxa"/>
            <w:vAlign w:val="center"/>
          </w:tcPr>
          <w:p>
            <w:pPr>
              <w:spacing w:line="360" w:lineRule="auto"/>
              <w:rPr>
                <w:rFonts w:ascii="宋体" w:hAnsi="宋体"/>
                <w:szCs w:val="21"/>
              </w:rPr>
            </w:pPr>
            <w:r>
              <w:rPr>
                <w:rFonts w:hint="eastAsia" w:ascii="宋体" w:hAnsi="宋体"/>
                <w:color w:val="0D0D0D"/>
                <w:szCs w:val="21"/>
              </w:rPr>
              <w:t>√</w:t>
            </w:r>
            <w:r>
              <w:rPr>
                <w:rFonts w:hint="eastAsia" w:ascii="宋体" w:hAnsi="宋体"/>
                <w:szCs w:val="21"/>
              </w:rPr>
              <w:t>不采用</w:t>
            </w:r>
          </w:p>
          <w:p>
            <w:pPr>
              <w:spacing w:line="360" w:lineRule="auto"/>
              <w:rPr>
                <w:rFonts w:ascii="宋体" w:hAnsi="宋体"/>
                <w:szCs w:val="21"/>
              </w:rPr>
            </w:pPr>
            <w:r>
              <w:rPr>
                <w:rFonts w:hint="eastAsia" w:ascii="宋体" w:hAnsi="宋体"/>
                <w:szCs w:val="21"/>
              </w:rPr>
              <w:t>□采用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15" w:type="dxa"/>
            <w:gridSpan w:val="4"/>
            <w:vAlign w:val="center"/>
          </w:tcPr>
          <w:p>
            <w:pPr>
              <w:spacing w:line="360" w:lineRule="auto"/>
              <w:rPr>
                <w:rFonts w:ascii="宋体" w:hAnsi="宋体"/>
                <w:szCs w:val="21"/>
              </w:rPr>
            </w:pPr>
            <w:r>
              <w:rPr>
                <w:rFonts w:hint="eastAsia" w:ascii="宋体" w:hAnsi="宋体"/>
                <w:szCs w:val="21"/>
              </w:rPr>
              <w:t>10.4  投标文件电子版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61" w:hRule="atLeast"/>
        </w:trPr>
        <w:tc>
          <w:tcPr>
            <w:tcW w:w="1242" w:type="dxa"/>
            <w:gridSpan w:val="2"/>
            <w:vAlign w:val="center"/>
          </w:tcPr>
          <w:p>
            <w:pPr>
              <w:spacing w:line="360" w:lineRule="auto"/>
              <w:rPr>
                <w:rFonts w:ascii="宋体" w:hAnsi="宋体"/>
                <w:szCs w:val="21"/>
              </w:rPr>
            </w:pPr>
            <w:r>
              <w:rPr>
                <w:rFonts w:hint="eastAsia" w:ascii="宋体" w:hAnsi="宋体"/>
                <w:szCs w:val="21"/>
              </w:rPr>
              <w:t>10.4</w:t>
            </w:r>
          </w:p>
        </w:tc>
        <w:tc>
          <w:tcPr>
            <w:tcW w:w="1958" w:type="dxa"/>
            <w:vAlign w:val="center"/>
          </w:tcPr>
          <w:p>
            <w:pPr>
              <w:spacing w:line="360" w:lineRule="auto"/>
              <w:rPr>
                <w:rFonts w:ascii="宋体" w:hAnsi="宋体"/>
                <w:szCs w:val="21"/>
              </w:rPr>
            </w:pPr>
            <w:r>
              <w:rPr>
                <w:rFonts w:hint="eastAsia" w:ascii="宋体" w:hAnsi="宋体"/>
                <w:szCs w:val="21"/>
              </w:rPr>
              <w:t>是否要求投标人在递交投标文件时，同时递交投标文件电子版，应确保纸质文本与电子文本一致。</w:t>
            </w:r>
          </w:p>
        </w:tc>
        <w:tc>
          <w:tcPr>
            <w:tcW w:w="6315" w:type="dxa"/>
            <w:vAlign w:val="center"/>
          </w:tcPr>
          <w:p>
            <w:pPr>
              <w:spacing w:line="360" w:lineRule="auto"/>
              <w:rPr>
                <w:rFonts w:ascii="宋体" w:hAnsi="宋体"/>
                <w:szCs w:val="21"/>
              </w:rPr>
            </w:pPr>
            <w:r>
              <w:rPr>
                <w:rFonts w:hint="eastAsia" w:ascii="宋体" w:hAnsi="宋体"/>
                <w:szCs w:val="21"/>
              </w:rPr>
              <w:t>□不要求</w:t>
            </w:r>
          </w:p>
          <w:p>
            <w:pPr>
              <w:spacing w:line="360" w:lineRule="auto"/>
              <w:rPr>
                <w:rFonts w:ascii="宋体" w:hAnsi="宋体"/>
                <w:szCs w:val="21"/>
              </w:rPr>
            </w:pPr>
            <w:r>
              <w:rPr>
                <w:rFonts w:hint="eastAsia" w:ascii="宋体" w:hAnsi="宋体"/>
                <w:color w:val="0D0D0D"/>
                <w:szCs w:val="21"/>
              </w:rPr>
              <w:t>√</w:t>
            </w:r>
            <w:r>
              <w:rPr>
                <w:rFonts w:hint="eastAsia" w:ascii="宋体" w:hAnsi="宋体"/>
                <w:szCs w:val="21"/>
              </w:rPr>
              <w:t>要求</w:t>
            </w:r>
          </w:p>
          <w:p>
            <w:pPr>
              <w:spacing w:line="360" w:lineRule="auto"/>
              <w:rPr>
                <w:rFonts w:ascii="宋体" w:hAnsi="宋体"/>
                <w:color w:val="0D0D0D"/>
                <w:szCs w:val="21"/>
                <w:u w:val="single"/>
              </w:rPr>
            </w:pPr>
            <w:r>
              <w:rPr>
                <w:rFonts w:hint="eastAsia" w:ascii="宋体" w:hAnsi="宋体"/>
                <w:color w:val="000000"/>
              </w:rPr>
              <w:t>投标文件电子版内容：</w:t>
            </w:r>
            <w:r>
              <w:rPr>
                <w:rFonts w:hint="eastAsia" w:ascii="宋体" w:hAnsi="宋体"/>
                <w:color w:val="0D0D0D"/>
                <w:szCs w:val="21"/>
                <w:u w:val="single"/>
              </w:rPr>
              <w:t>备份全套电子版标书</w:t>
            </w:r>
          </w:p>
          <w:p>
            <w:pPr>
              <w:spacing w:line="360" w:lineRule="auto"/>
              <w:rPr>
                <w:rFonts w:ascii="宋体" w:hAnsi="宋体"/>
                <w:b/>
                <w:color w:val="0D0D0D"/>
                <w:u w:val="single"/>
              </w:rPr>
            </w:pPr>
            <w:r>
              <w:rPr>
                <w:rFonts w:hint="eastAsia" w:ascii="宋体" w:hAnsi="宋体"/>
                <w:color w:val="000000"/>
              </w:rPr>
              <w:t>投标文件电子版份数：</w:t>
            </w:r>
            <w:r>
              <w:rPr>
                <w:rFonts w:hint="eastAsia" w:ascii="宋体" w:hAnsi="宋体"/>
                <w:b/>
                <w:color w:val="0D0D0D"/>
                <w:u w:val="single"/>
              </w:rPr>
              <w:t>U盘：2份</w:t>
            </w:r>
          </w:p>
          <w:p>
            <w:pPr>
              <w:spacing w:line="360" w:lineRule="auto"/>
              <w:rPr>
                <w:rFonts w:ascii="宋体" w:hAnsi="宋体"/>
                <w:b/>
                <w:color w:val="0D0D0D"/>
                <w:u w:val="single"/>
              </w:rPr>
            </w:pPr>
            <w:r>
              <w:rPr>
                <w:rFonts w:hint="eastAsia" w:ascii="宋体" w:hAnsi="宋体"/>
                <w:b/>
                <w:color w:val="0D0D0D"/>
                <w:u w:val="single"/>
              </w:rPr>
              <w:t>投标文件电子版形式：（每个U盘）投标文件相应内容的电子版本为</w:t>
            </w:r>
            <w:r>
              <w:rPr>
                <w:rFonts w:ascii="宋体" w:hAnsi="宋体"/>
                <w:b/>
                <w:color w:val="0D0D0D"/>
                <w:u w:val="single"/>
              </w:rPr>
              <w:t>word</w:t>
            </w:r>
            <w:r>
              <w:rPr>
                <w:rFonts w:hint="eastAsia" w:ascii="宋体" w:hAnsi="宋体"/>
                <w:b/>
                <w:color w:val="0D0D0D"/>
                <w:u w:val="single"/>
              </w:rPr>
              <w:t>或</w:t>
            </w:r>
            <w:r>
              <w:rPr>
                <w:rFonts w:ascii="宋体" w:hAnsi="宋体"/>
                <w:b/>
                <w:color w:val="0D0D0D"/>
                <w:u w:val="single"/>
              </w:rPr>
              <w:t>excel</w:t>
            </w:r>
            <w:r>
              <w:rPr>
                <w:rFonts w:hint="eastAsia" w:ascii="宋体" w:hAnsi="宋体"/>
                <w:b/>
                <w:color w:val="0D0D0D"/>
                <w:u w:val="single"/>
              </w:rPr>
              <w:t>源文件一份、及PDF扫描格式文件一份，2份U盘</w:t>
            </w:r>
            <w:r>
              <w:rPr>
                <w:rFonts w:ascii="宋体" w:hAnsi="宋体"/>
                <w:b/>
                <w:color w:val="0D0D0D"/>
                <w:u w:val="single"/>
              </w:rPr>
              <w:t>内容</w:t>
            </w:r>
            <w:r>
              <w:rPr>
                <w:rFonts w:hint="eastAsia" w:ascii="宋体" w:hAnsi="宋体"/>
                <w:b/>
                <w:color w:val="0D0D0D"/>
                <w:u w:val="single"/>
              </w:rPr>
              <w:t>须</w:t>
            </w:r>
            <w:r>
              <w:rPr>
                <w:rFonts w:ascii="宋体" w:hAnsi="宋体"/>
                <w:b/>
                <w:color w:val="0D0D0D"/>
                <w:u w:val="single"/>
              </w:rPr>
              <w:t>一致</w:t>
            </w:r>
            <w:r>
              <w:rPr>
                <w:rFonts w:hint="eastAsia" w:ascii="宋体" w:hAnsi="宋体"/>
                <w:b/>
                <w:color w:val="0D0D0D"/>
                <w:u w:val="single"/>
              </w:rPr>
              <w:t>。</w:t>
            </w:r>
          </w:p>
          <w:p>
            <w:pPr>
              <w:spacing w:line="360" w:lineRule="auto"/>
              <w:rPr>
                <w:rFonts w:ascii="宋体" w:hAnsi="宋体"/>
                <w:color w:val="0D0D0D"/>
                <w:szCs w:val="21"/>
                <w:u w:val="single"/>
              </w:rPr>
            </w:pPr>
            <w:r>
              <w:rPr>
                <w:rFonts w:hint="eastAsia" w:ascii="宋体" w:hAnsi="宋体"/>
                <w:color w:val="000000"/>
              </w:rPr>
              <w:t>投标文件电子版密封方式：</w:t>
            </w:r>
            <w:r>
              <w:rPr>
                <w:rFonts w:hint="eastAsia" w:ascii="宋体" w:hAnsi="宋体"/>
                <w:color w:val="0D0D0D"/>
                <w:szCs w:val="21"/>
                <w:u w:val="single"/>
              </w:rPr>
              <w:t>单独放入一个密封袋中，加贴封条，并在封套封口处加盖投标人单位章，在封套上标记“投标文件电子版”字样。</w:t>
            </w:r>
          </w:p>
          <w:p>
            <w:pPr>
              <w:spacing w:line="360" w:lineRule="auto"/>
              <w:rPr>
                <w:rFonts w:ascii="宋体" w:hAnsi="宋体"/>
                <w:color w:val="0D0D0D"/>
                <w:szCs w:val="21"/>
              </w:rPr>
            </w:pPr>
            <w:r>
              <w:rPr>
                <w:rFonts w:hint="eastAsia" w:ascii="宋体" w:hAnsi="宋体"/>
                <w:color w:val="0D0D0D"/>
                <w:szCs w:val="21"/>
              </w:rPr>
              <w:t>注意：U盘一律不予退还，作为资料移交招标人存档。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515" w:type="dxa"/>
            <w:gridSpan w:val="4"/>
            <w:vAlign w:val="center"/>
          </w:tcPr>
          <w:p>
            <w:pPr>
              <w:spacing w:line="360" w:lineRule="auto"/>
              <w:rPr>
                <w:rFonts w:ascii="宋体" w:hAnsi="宋体"/>
                <w:szCs w:val="21"/>
              </w:rPr>
            </w:pPr>
            <w:r>
              <w:rPr>
                <w:rFonts w:hint="eastAsia" w:ascii="宋体" w:hAnsi="宋体"/>
                <w:szCs w:val="21"/>
              </w:rPr>
              <w:t>10.5  计算机辅助评标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173" w:type="dxa"/>
            <w:vAlign w:val="center"/>
          </w:tcPr>
          <w:p>
            <w:pPr>
              <w:spacing w:line="360" w:lineRule="auto"/>
              <w:rPr>
                <w:rFonts w:ascii="宋体" w:hAnsi="宋体"/>
                <w:szCs w:val="21"/>
              </w:rPr>
            </w:pPr>
            <w:r>
              <w:rPr>
                <w:rFonts w:hint="eastAsia" w:ascii="宋体" w:hAnsi="宋体"/>
                <w:szCs w:val="21"/>
              </w:rPr>
              <w:t>10.5</w:t>
            </w:r>
          </w:p>
        </w:tc>
        <w:tc>
          <w:tcPr>
            <w:tcW w:w="2027" w:type="dxa"/>
            <w:gridSpan w:val="2"/>
            <w:vAlign w:val="center"/>
          </w:tcPr>
          <w:p>
            <w:pPr>
              <w:spacing w:line="360" w:lineRule="auto"/>
              <w:rPr>
                <w:rFonts w:ascii="宋体" w:hAnsi="宋体"/>
                <w:szCs w:val="21"/>
              </w:rPr>
            </w:pPr>
            <w:r>
              <w:rPr>
                <w:rFonts w:hint="eastAsia" w:ascii="宋体" w:hAnsi="宋体"/>
                <w:szCs w:val="21"/>
              </w:rPr>
              <w:t>是否实行计算机辅助评标</w:t>
            </w:r>
          </w:p>
        </w:tc>
        <w:tc>
          <w:tcPr>
            <w:tcW w:w="6315" w:type="dxa"/>
            <w:vAlign w:val="center"/>
          </w:tcPr>
          <w:p>
            <w:pPr>
              <w:spacing w:line="360" w:lineRule="auto"/>
              <w:rPr>
                <w:rFonts w:ascii="宋体" w:hAnsi="宋体"/>
                <w:szCs w:val="21"/>
              </w:rPr>
            </w:pPr>
            <w:r>
              <w:rPr>
                <w:rFonts w:hint="eastAsia" w:ascii="宋体" w:hAnsi="宋体"/>
                <w:color w:val="0D0D0D"/>
                <w:szCs w:val="21"/>
              </w:rPr>
              <w:t>√</w:t>
            </w:r>
            <w:r>
              <w:rPr>
                <w:rFonts w:hint="eastAsia" w:ascii="宋体" w:hAnsi="宋体"/>
                <w:szCs w:val="21"/>
              </w:rPr>
              <w:t>否</w:t>
            </w:r>
          </w:p>
          <w:p>
            <w:pPr>
              <w:spacing w:line="360" w:lineRule="auto"/>
              <w:rPr>
                <w:rFonts w:ascii="宋体" w:hAnsi="宋体"/>
                <w:szCs w:val="21"/>
              </w:rPr>
            </w:pPr>
            <w:r>
              <w:rPr>
                <w:rFonts w:hint="eastAsia" w:ascii="宋体" w:hAnsi="宋体"/>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515" w:type="dxa"/>
            <w:gridSpan w:val="4"/>
            <w:vAlign w:val="center"/>
          </w:tcPr>
          <w:p>
            <w:pPr>
              <w:spacing w:line="360" w:lineRule="auto"/>
              <w:rPr>
                <w:rFonts w:ascii="宋体" w:hAnsi="宋体"/>
                <w:szCs w:val="21"/>
              </w:rPr>
            </w:pPr>
            <w:r>
              <w:rPr>
                <w:rFonts w:hint="eastAsia" w:ascii="宋体" w:hAnsi="宋体"/>
                <w:szCs w:val="21"/>
              </w:rPr>
              <w:t>10.13 招标人补充的共他内容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173" w:type="dxa"/>
            <w:vAlign w:val="center"/>
          </w:tcPr>
          <w:p>
            <w:pPr>
              <w:spacing w:line="360" w:lineRule="auto"/>
              <w:ind w:right="-105" w:rightChars="-50"/>
              <w:rPr>
                <w:rFonts w:ascii="宋体" w:hAnsi="宋体"/>
              </w:rPr>
            </w:pPr>
            <w:r>
              <w:rPr>
                <w:rFonts w:hint="eastAsia" w:ascii="宋体" w:hAnsi="宋体"/>
              </w:rPr>
              <w:t>10.13</w:t>
            </w:r>
          </w:p>
        </w:tc>
        <w:tc>
          <w:tcPr>
            <w:tcW w:w="2027" w:type="dxa"/>
            <w:gridSpan w:val="2"/>
            <w:vAlign w:val="center"/>
          </w:tcPr>
          <w:p>
            <w:pPr>
              <w:spacing w:line="360" w:lineRule="auto"/>
              <w:ind w:right="-105" w:rightChars="-50"/>
              <w:rPr>
                <w:rFonts w:ascii="宋体" w:hAnsi="宋体"/>
                <w:b/>
              </w:rPr>
            </w:pPr>
            <w:r>
              <w:rPr>
                <w:rFonts w:hint="eastAsia" w:ascii="宋体" w:hAnsi="宋体"/>
                <w:b/>
              </w:rPr>
              <w:t>确认参加投标</w:t>
            </w:r>
          </w:p>
        </w:tc>
        <w:tc>
          <w:tcPr>
            <w:tcW w:w="6315" w:type="dxa"/>
            <w:vAlign w:val="center"/>
          </w:tcPr>
          <w:p>
            <w:pPr>
              <w:spacing w:line="360" w:lineRule="auto"/>
              <w:rPr>
                <w:rFonts w:hAnsi="宋体" w:cs="宋体"/>
                <w:b/>
                <w:color w:val="FF0000"/>
              </w:rPr>
            </w:pPr>
            <w:r>
              <w:rPr>
                <w:rFonts w:hint="eastAsia" w:hAnsi="宋体" w:cs="宋体"/>
                <w:b/>
                <w:color w:val="FF0000"/>
              </w:rPr>
              <w:t>投标人在收到招标文件后，需在购买招标文件报名截止后5个工作日内，按照招标文件的投标确认函格式以书面形式向招标人或招标机构进行确认是否参与本次招标。并将确认函发送到招标机构邮箱中，并电话进行确认，</w:t>
            </w:r>
            <w:r>
              <w:rPr>
                <w:rFonts w:hint="eastAsia" w:hAnsi="宋体" w:cs="宋体"/>
                <w:b/>
                <w:color w:val="0070C0"/>
              </w:rPr>
              <w:t>未在规定时间内确认，视为放弃此次投标。</w:t>
            </w:r>
          </w:p>
          <w:p>
            <w:pPr>
              <w:spacing w:line="360" w:lineRule="auto"/>
              <w:rPr>
                <w:rFonts w:hAnsi="宋体" w:cs="宋体"/>
                <w:b/>
                <w:color w:val="FF0000"/>
              </w:rPr>
            </w:pPr>
            <w:r>
              <w:rPr>
                <w:rFonts w:hint="eastAsia" w:hAnsi="宋体" w:cs="宋体"/>
                <w:b/>
                <w:color w:val="FF0000"/>
              </w:rPr>
              <w:t>格式详见附表一《投标确认函格式》</w:t>
            </w:r>
          </w:p>
          <w:p>
            <w:pPr>
              <w:spacing w:line="360" w:lineRule="auto"/>
              <w:rPr>
                <w:rFonts w:hAnsi="宋体" w:cs="宋体"/>
                <w:b/>
                <w:color w:val="FF0000"/>
              </w:rPr>
            </w:pPr>
          </w:p>
          <w:p>
            <w:pPr>
              <w:spacing w:line="360" w:lineRule="auto"/>
              <w:rPr>
                <w:rFonts w:hAnsi="宋体" w:cs="宋体"/>
                <w:b/>
                <w:color w:val="0070C0"/>
              </w:rPr>
            </w:pPr>
            <w:r>
              <w:rPr>
                <w:rFonts w:hint="eastAsia" w:hAnsi="宋体" w:cs="宋体"/>
                <w:b/>
                <w:color w:val="FF0000"/>
              </w:rPr>
              <w:t>投标人已发投标确认函，但在开标前放弃本项目投标，请在开标前5个工作日按格式发放弃标函，</w:t>
            </w:r>
            <w:r>
              <w:rPr>
                <w:rFonts w:hint="eastAsia" w:hAnsi="宋体" w:cs="宋体"/>
                <w:b/>
                <w:color w:val="0070C0"/>
              </w:rPr>
              <w:t>如因贵公司未及时发布弃标函，导致项目无法正常开标，投标人将自行承担后期纳入黑名单或扣除投标保证金的风险。</w:t>
            </w:r>
          </w:p>
          <w:p>
            <w:pPr>
              <w:spacing w:line="360" w:lineRule="auto"/>
              <w:rPr>
                <w:rFonts w:hAnsi="宋体" w:cs="宋体"/>
                <w:b/>
                <w:color w:val="FF0000"/>
              </w:rPr>
            </w:pPr>
            <w:r>
              <w:rPr>
                <w:rFonts w:hint="eastAsia" w:hAnsi="宋体" w:cs="宋体"/>
                <w:b/>
                <w:color w:val="FF0000"/>
              </w:rPr>
              <w:t>格式详见附件二《弃标函》</w:t>
            </w:r>
          </w:p>
        </w:tc>
      </w:tr>
    </w:tbl>
    <w:p>
      <w:pPr>
        <w:jc w:val="left"/>
        <w:rPr>
          <w:b/>
          <w:sz w:val="32"/>
          <w:szCs w:val="32"/>
        </w:rPr>
      </w:pPr>
      <w:r>
        <w:rPr>
          <w:rFonts w:ascii="宋体" w:hAnsi="宋体"/>
          <w:color w:val="000000"/>
          <w:sz w:val="32"/>
          <w:szCs w:val="32"/>
        </w:rPr>
        <w:br w:type="page"/>
      </w:r>
      <w:r>
        <w:rPr>
          <w:rFonts w:hint="eastAsia"/>
          <w:b/>
          <w:sz w:val="32"/>
          <w:szCs w:val="32"/>
        </w:rPr>
        <w:t>附表一：</w:t>
      </w:r>
    </w:p>
    <w:p>
      <w:pPr>
        <w:pStyle w:val="255"/>
        <w:spacing w:before="0" w:beforeAutospacing="0" w:after="0" w:afterAutospacing="0" w:line="360" w:lineRule="auto"/>
        <w:ind w:firstLine="667"/>
        <w:jc w:val="center"/>
        <w:rPr>
          <w:b/>
          <w:bCs/>
          <w:color w:val="000000"/>
          <w:spacing w:val="6"/>
          <w:sz w:val="32"/>
          <w:szCs w:val="32"/>
        </w:rPr>
      </w:pPr>
    </w:p>
    <w:p>
      <w:pPr>
        <w:pStyle w:val="255"/>
        <w:spacing w:before="0" w:beforeAutospacing="0" w:after="0" w:afterAutospacing="0" w:line="360" w:lineRule="auto"/>
        <w:ind w:firstLine="667"/>
        <w:jc w:val="center"/>
        <w:rPr>
          <w:b/>
          <w:bCs/>
          <w:color w:val="000000"/>
          <w:spacing w:val="6"/>
          <w:sz w:val="32"/>
          <w:szCs w:val="32"/>
        </w:rPr>
      </w:pPr>
      <w:r>
        <w:rPr>
          <w:rFonts w:hint="eastAsia"/>
          <w:b/>
          <w:bCs/>
          <w:color w:val="000000"/>
          <w:spacing w:val="6"/>
          <w:sz w:val="32"/>
          <w:szCs w:val="32"/>
        </w:rPr>
        <w:t>投标确认函格式</w:t>
      </w:r>
    </w:p>
    <w:p>
      <w:pPr>
        <w:pStyle w:val="255"/>
        <w:spacing w:before="0" w:beforeAutospacing="0" w:after="0" w:afterAutospacing="0" w:line="360" w:lineRule="auto"/>
        <w:rPr>
          <w:b/>
          <w:bCs/>
          <w:color w:val="000000"/>
        </w:rPr>
      </w:pPr>
    </w:p>
    <w:p>
      <w:pPr>
        <w:pStyle w:val="255"/>
        <w:spacing w:before="0" w:beforeAutospacing="0" w:after="0" w:afterAutospacing="0" w:line="360" w:lineRule="auto"/>
        <w:rPr>
          <w:b/>
          <w:bCs/>
          <w:color w:val="000000"/>
        </w:rPr>
      </w:pPr>
      <w:r>
        <w:rPr>
          <w:b/>
          <w:bCs/>
          <w:color w:val="000000"/>
        </w:rPr>
        <w:t> </w:t>
      </w:r>
    </w:p>
    <w:p>
      <w:pPr>
        <w:pStyle w:val="255"/>
        <w:spacing w:before="0" w:beforeAutospacing="0" w:after="0" w:afterAutospacing="0" w:line="360" w:lineRule="auto"/>
        <w:rPr>
          <w:color w:val="000000"/>
          <w:sz w:val="21"/>
          <w:szCs w:val="21"/>
        </w:rPr>
      </w:pPr>
      <w:r>
        <w:rPr>
          <w:rFonts w:hint="eastAsia"/>
          <w:color w:val="000000"/>
          <w:sz w:val="21"/>
          <w:szCs w:val="21"/>
        </w:rPr>
        <w:t>招标人：</w:t>
      </w:r>
    </w:p>
    <w:p>
      <w:pPr>
        <w:pStyle w:val="255"/>
        <w:spacing w:before="0" w:beforeAutospacing="0" w:after="0" w:afterAutospacing="0" w:line="360" w:lineRule="auto"/>
        <w:rPr>
          <w:color w:val="000000"/>
          <w:spacing w:val="-5"/>
          <w:sz w:val="21"/>
          <w:szCs w:val="21"/>
        </w:rPr>
      </w:pPr>
      <w:r>
        <w:rPr>
          <w:rFonts w:hint="eastAsia"/>
          <w:color w:val="000000"/>
          <w:spacing w:val="-5"/>
          <w:sz w:val="21"/>
          <w:szCs w:val="21"/>
        </w:rPr>
        <w:t>招标代理公司：中国机电工程招标有限公司</w:t>
      </w:r>
    </w:p>
    <w:p>
      <w:pPr>
        <w:pStyle w:val="255"/>
        <w:spacing w:before="0" w:beforeAutospacing="0" w:after="0" w:afterAutospacing="0" w:line="360" w:lineRule="auto"/>
        <w:rPr>
          <w:color w:val="000000"/>
          <w:spacing w:val="-5"/>
          <w:sz w:val="21"/>
          <w:szCs w:val="21"/>
        </w:rPr>
      </w:pPr>
    </w:p>
    <w:p>
      <w:pPr>
        <w:pStyle w:val="255"/>
        <w:spacing w:before="0" w:beforeAutospacing="0" w:after="0" w:afterAutospacing="0" w:line="360" w:lineRule="auto"/>
        <w:ind w:firstLine="417" w:firstLineChars="199"/>
        <w:rPr>
          <w:color w:val="000000"/>
          <w:sz w:val="21"/>
          <w:szCs w:val="21"/>
        </w:rPr>
      </w:pPr>
      <w:r>
        <w:rPr>
          <w:rFonts w:hint="eastAsia"/>
          <w:color w:val="000000"/>
          <w:sz w:val="21"/>
          <w:szCs w:val="21"/>
        </w:rPr>
        <w:t>我公司已于年 月日收到贵方发来的关于 （项目名称）招标文件，并已认真阅读和全面理解招标文件所有内容，愿意按照有关法律，法规规定，以及招标人和招标代理公司的要求，将于年 月日时 分准时参加此次项目投标活动，现予以确认。</w:t>
      </w:r>
    </w:p>
    <w:p>
      <w:pPr>
        <w:pStyle w:val="255"/>
        <w:spacing w:line="360" w:lineRule="auto"/>
        <w:ind w:firstLine="417" w:firstLineChars="199"/>
        <w:rPr>
          <w:color w:val="000000"/>
          <w:sz w:val="21"/>
          <w:szCs w:val="21"/>
        </w:rPr>
      </w:pPr>
    </w:p>
    <w:p>
      <w:pPr>
        <w:pStyle w:val="255"/>
        <w:spacing w:line="360" w:lineRule="auto"/>
        <w:ind w:firstLine="417" w:firstLineChars="199"/>
        <w:rPr>
          <w:color w:val="000000"/>
          <w:sz w:val="21"/>
          <w:szCs w:val="21"/>
        </w:rPr>
      </w:pPr>
    </w:p>
    <w:p>
      <w:pPr>
        <w:pStyle w:val="255"/>
        <w:spacing w:line="360" w:lineRule="auto"/>
        <w:ind w:firstLine="417" w:firstLineChars="199"/>
        <w:rPr>
          <w:color w:val="000000"/>
          <w:sz w:val="21"/>
          <w:szCs w:val="21"/>
        </w:rPr>
      </w:pPr>
    </w:p>
    <w:p>
      <w:pPr>
        <w:pStyle w:val="255"/>
        <w:spacing w:line="360" w:lineRule="auto"/>
        <w:ind w:firstLine="417" w:firstLineChars="199"/>
        <w:rPr>
          <w:color w:val="000000"/>
          <w:sz w:val="21"/>
          <w:szCs w:val="21"/>
        </w:rPr>
      </w:pPr>
    </w:p>
    <w:p>
      <w:pPr>
        <w:pStyle w:val="255"/>
        <w:spacing w:line="360" w:lineRule="auto"/>
        <w:ind w:firstLine="417" w:firstLineChars="199"/>
        <w:rPr>
          <w:color w:val="000000"/>
          <w:sz w:val="21"/>
          <w:szCs w:val="21"/>
        </w:rPr>
      </w:pPr>
      <w:r>
        <w:rPr>
          <w:rFonts w:hint="eastAsia"/>
          <w:color w:val="000000"/>
          <w:sz w:val="21"/>
          <w:szCs w:val="21"/>
        </w:rPr>
        <w:t xml:space="preserve">投标单位名称（盖章）：                   </w:t>
      </w:r>
    </w:p>
    <w:p>
      <w:pPr>
        <w:pStyle w:val="255"/>
        <w:spacing w:line="360" w:lineRule="auto"/>
        <w:ind w:firstLine="417" w:firstLineChars="199"/>
        <w:rPr>
          <w:color w:val="000000"/>
          <w:sz w:val="21"/>
          <w:szCs w:val="21"/>
        </w:rPr>
      </w:pPr>
      <w:r>
        <w:rPr>
          <w:rFonts w:hint="eastAsia"/>
          <w:color w:val="000000"/>
          <w:sz w:val="21"/>
          <w:szCs w:val="21"/>
        </w:rPr>
        <w:t xml:space="preserve">法定代表人（盖章或签字）：                </w:t>
      </w:r>
    </w:p>
    <w:p>
      <w:pPr>
        <w:pStyle w:val="255"/>
        <w:spacing w:line="360" w:lineRule="auto"/>
        <w:ind w:firstLine="417" w:firstLineChars="199"/>
        <w:rPr>
          <w:color w:val="000000"/>
          <w:sz w:val="21"/>
          <w:szCs w:val="21"/>
        </w:rPr>
      </w:pPr>
      <w:r>
        <w:rPr>
          <w:rFonts w:hint="eastAsia"/>
          <w:color w:val="000000"/>
          <w:sz w:val="21"/>
          <w:szCs w:val="21"/>
        </w:rPr>
        <w:t xml:space="preserve">被授权代表签字：                     </w:t>
      </w:r>
    </w:p>
    <w:p>
      <w:pPr>
        <w:pStyle w:val="255"/>
        <w:spacing w:line="360" w:lineRule="auto"/>
        <w:ind w:firstLine="417" w:firstLineChars="199"/>
        <w:rPr>
          <w:color w:val="000000"/>
          <w:sz w:val="21"/>
          <w:szCs w:val="21"/>
        </w:rPr>
      </w:pPr>
      <w:r>
        <w:rPr>
          <w:rFonts w:hint="eastAsia"/>
          <w:color w:val="000000"/>
          <w:sz w:val="21"/>
          <w:szCs w:val="21"/>
        </w:rPr>
        <w:t xml:space="preserve">联系电话：              </w:t>
      </w:r>
    </w:p>
    <w:p>
      <w:pPr>
        <w:pStyle w:val="255"/>
        <w:spacing w:before="0" w:beforeAutospacing="0" w:after="0" w:afterAutospacing="0" w:line="360" w:lineRule="auto"/>
        <w:ind w:firstLine="417" w:firstLineChars="199"/>
        <w:rPr>
          <w:color w:val="000000"/>
          <w:sz w:val="21"/>
          <w:szCs w:val="21"/>
        </w:rPr>
      </w:pPr>
      <w:r>
        <w:rPr>
          <w:rFonts w:hint="eastAsia"/>
          <w:color w:val="000000"/>
          <w:sz w:val="21"/>
          <w:szCs w:val="21"/>
        </w:rPr>
        <w:t xml:space="preserve">日    期：              </w:t>
      </w:r>
    </w:p>
    <w:p>
      <w:pPr>
        <w:widowControl/>
        <w:jc w:val="left"/>
        <w:rPr>
          <w:szCs w:val="21"/>
        </w:rPr>
      </w:pPr>
      <w:r>
        <w:rPr>
          <w:szCs w:val="21"/>
        </w:rPr>
        <w:br w:type="page"/>
      </w:r>
    </w:p>
    <w:p>
      <w:pPr>
        <w:rPr>
          <w:b/>
          <w:sz w:val="32"/>
          <w:szCs w:val="32"/>
        </w:rPr>
      </w:pPr>
      <w:r>
        <w:rPr>
          <w:rFonts w:hint="eastAsia"/>
          <w:b/>
          <w:sz w:val="32"/>
          <w:szCs w:val="32"/>
        </w:rPr>
        <w:t>附表二：</w:t>
      </w:r>
    </w:p>
    <w:p/>
    <w:p>
      <w:pPr>
        <w:jc w:val="center"/>
        <w:rPr>
          <w:b/>
          <w:sz w:val="32"/>
          <w:szCs w:val="32"/>
        </w:rPr>
      </w:pPr>
      <w:r>
        <w:rPr>
          <w:rFonts w:hint="eastAsia"/>
          <w:b/>
          <w:sz w:val="32"/>
          <w:szCs w:val="32"/>
        </w:rPr>
        <w:t>弃标函格式</w:t>
      </w:r>
    </w:p>
    <w:p>
      <w:pPr>
        <w:jc w:val="center"/>
        <w:rPr>
          <w:b/>
          <w:sz w:val="32"/>
          <w:szCs w:val="32"/>
        </w:rPr>
      </w:pPr>
    </w:p>
    <w:p/>
    <w:p>
      <w:pPr>
        <w:spacing w:line="360" w:lineRule="auto"/>
        <w:rPr>
          <w:sz w:val="24"/>
        </w:rPr>
      </w:pPr>
      <w:r>
        <w:rPr>
          <w:rFonts w:hint="eastAsia"/>
          <w:sz w:val="24"/>
        </w:rPr>
        <w:t>招标人：</w:t>
      </w:r>
    </w:p>
    <w:p>
      <w:pPr>
        <w:spacing w:line="360" w:lineRule="auto"/>
        <w:rPr>
          <w:sz w:val="24"/>
        </w:rPr>
      </w:pPr>
      <w:r>
        <w:rPr>
          <w:rFonts w:hint="eastAsia"/>
          <w:sz w:val="24"/>
        </w:rPr>
        <w:t>招标代理公司：中国机电工程招标有限公司</w:t>
      </w:r>
    </w:p>
    <w:p>
      <w:pPr>
        <w:spacing w:line="360" w:lineRule="auto"/>
        <w:rPr>
          <w:sz w:val="24"/>
        </w:rPr>
      </w:pPr>
    </w:p>
    <w:p>
      <w:pPr>
        <w:spacing w:line="360" w:lineRule="auto"/>
        <w:ind w:firstLine="600" w:firstLineChars="250"/>
        <w:rPr>
          <w:sz w:val="24"/>
        </w:rPr>
      </w:pPr>
      <w:r>
        <w:rPr>
          <w:rFonts w:hint="eastAsia"/>
          <w:sz w:val="24"/>
        </w:rPr>
        <w:t>经我公司商议，贵公司于年月日组织的（项目名称）因（原因），故此放弃本项目投标机会，特此通知。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投标单位名称（盖章）：</w:t>
      </w:r>
    </w:p>
    <w:p>
      <w:pPr>
        <w:spacing w:line="360" w:lineRule="auto"/>
        <w:rPr>
          <w:sz w:val="24"/>
        </w:rPr>
      </w:pPr>
      <w:r>
        <w:rPr>
          <w:rFonts w:hint="eastAsia"/>
          <w:sz w:val="24"/>
        </w:rPr>
        <w:t>法定代表人（盖章或签字）：</w:t>
      </w:r>
    </w:p>
    <w:p>
      <w:pPr>
        <w:spacing w:line="360" w:lineRule="auto"/>
        <w:rPr>
          <w:sz w:val="24"/>
        </w:rPr>
      </w:pPr>
      <w:r>
        <w:rPr>
          <w:rFonts w:hint="eastAsia"/>
          <w:sz w:val="24"/>
        </w:rPr>
        <w:t>被授权代表签字：</w:t>
      </w:r>
    </w:p>
    <w:p>
      <w:pPr>
        <w:spacing w:line="360" w:lineRule="auto"/>
        <w:rPr>
          <w:sz w:val="24"/>
        </w:rPr>
      </w:pPr>
      <w:r>
        <w:rPr>
          <w:rFonts w:hint="eastAsia"/>
          <w:sz w:val="24"/>
        </w:rPr>
        <w:t>联系电话：</w:t>
      </w:r>
    </w:p>
    <w:p>
      <w:pPr>
        <w:spacing w:line="360" w:lineRule="auto"/>
        <w:rPr>
          <w:sz w:val="24"/>
        </w:rPr>
      </w:pPr>
      <w:r>
        <w:rPr>
          <w:rFonts w:hint="eastAsia"/>
          <w:sz w:val="24"/>
        </w:rPr>
        <w:t>日期：</w:t>
      </w:r>
    </w:p>
    <w:p>
      <w:pPr>
        <w:spacing w:line="360" w:lineRule="auto"/>
        <w:rPr>
          <w:szCs w:val="21"/>
        </w:rPr>
      </w:pPr>
    </w:p>
    <w:p>
      <w:pPr>
        <w:spacing w:line="360" w:lineRule="auto"/>
        <w:rPr>
          <w:szCs w:val="21"/>
        </w:rPr>
      </w:pPr>
    </w:p>
    <w:p>
      <w:pPr>
        <w:spacing w:beforeLines="100" w:line="360" w:lineRule="auto"/>
        <w:jc w:val="center"/>
        <w:rPr>
          <w:rFonts w:ascii="宋体" w:hAnsi="宋体"/>
          <w:color w:val="000000"/>
          <w:sz w:val="32"/>
          <w:szCs w:val="32"/>
        </w:rPr>
      </w:pPr>
      <w:r>
        <w:rPr>
          <w:rFonts w:ascii="宋体" w:hAnsi="宋体"/>
          <w:color w:val="000000"/>
          <w:sz w:val="32"/>
          <w:szCs w:val="32"/>
        </w:rPr>
        <w:br w:type="page"/>
      </w:r>
      <w:r>
        <w:rPr>
          <w:rFonts w:hint="eastAsia" w:ascii="宋体" w:hAnsi="宋体"/>
          <w:color w:val="000000"/>
          <w:sz w:val="32"/>
          <w:szCs w:val="32"/>
        </w:rPr>
        <w:t>投标人须知正文部分</w:t>
      </w:r>
    </w:p>
    <w:p>
      <w:pPr>
        <w:pStyle w:val="254"/>
        <w:ind w:firstLine="422"/>
        <w:outlineLvl w:val="9"/>
        <w:rPr>
          <w:kern w:val="0"/>
        </w:rPr>
      </w:pPr>
      <w:bookmarkStart w:id="32" w:name="_Toc475633972"/>
      <w:bookmarkStart w:id="33" w:name="_Toc419383234"/>
      <w:bookmarkStart w:id="34" w:name="_Toc378166533"/>
      <w:bookmarkStart w:id="35" w:name="_Toc309246667"/>
      <w:bookmarkStart w:id="36" w:name="_Toc275437765"/>
      <w:r>
        <w:rPr>
          <w:rFonts w:hint="eastAsia"/>
          <w:kern w:val="0"/>
        </w:rPr>
        <w:t>1．总则</w:t>
      </w:r>
      <w:bookmarkEnd w:id="32"/>
      <w:bookmarkEnd w:id="33"/>
      <w:bookmarkEnd w:id="34"/>
      <w:bookmarkEnd w:id="35"/>
      <w:bookmarkEnd w:id="36"/>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37" w:name="_Toc378166534"/>
      <w:bookmarkStart w:id="38" w:name="_Toc309305513"/>
      <w:bookmarkStart w:id="39" w:name="_Toc309246800"/>
      <w:bookmarkStart w:id="40" w:name="_Toc309246668"/>
      <w:bookmarkStart w:id="41" w:name="_Toc309244641"/>
      <w:r>
        <w:rPr>
          <w:rFonts w:hint="eastAsia" w:ascii="宋体" w:hAnsi="宋体" w:cs="黑体"/>
          <w:b/>
          <w:kern w:val="0"/>
          <w:szCs w:val="21"/>
        </w:rPr>
        <w:t>1.1 项目概况</w:t>
      </w:r>
      <w:bookmarkEnd w:id="37"/>
      <w:bookmarkEnd w:id="38"/>
      <w:bookmarkEnd w:id="39"/>
      <w:bookmarkEnd w:id="40"/>
      <w:bookmarkEnd w:id="41"/>
    </w:p>
    <w:p>
      <w:pPr>
        <w:pStyle w:val="253"/>
        <w:rPr>
          <w:rFonts w:ascii="宋体" w:hAnsi="宋体"/>
        </w:rPr>
      </w:pPr>
      <w:r>
        <w:rPr>
          <w:rFonts w:hint="eastAsia" w:ascii="宋体" w:hAnsi="宋体"/>
        </w:rPr>
        <w:t>1.1.1 根据《中华人民共和国招标投标法》等有关法律、法规和规章的规定，本招标项目己具备招标条件，现对本标段技术服务进行招标。</w:t>
      </w:r>
    </w:p>
    <w:p>
      <w:pPr>
        <w:pStyle w:val="253"/>
        <w:rPr>
          <w:rFonts w:ascii="宋体" w:hAnsi="宋体"/>
        </w:rPr>
      </w:pPr>
      <w:r>
        <w:rPr>
          <w:rFonts w:hint="eastAsia" w:ascii="宋体" w:hAnsi="宋体"/>
        </w:rPr>
        <w:t>1.1.2 本招标项目招标人：见投标人须知前附表。</w:t>
      </w:r>
    </w:p>
    <w:p>
      <w:pPr>
        <w:pStyle w:val="253"/>
        <w:rPr>
          <w:rFonts w:ascii="宋体" w:hAnsi="宋体"/>
        </w:rPr>
      </w:pPr>
      <w:r>
        <w:rPr>
          <w:rFonts w:hint="eastAsia" w:ascii="宋体" w:hAnsi="宋体"/>
        </w:rPr>
        <w:t>1.1.3 本项目招标代理机构：见投标人须知前附表。</w:t>
      </w:r>
    </w:p>
    <w:p>
      <w:pPr>
        <w:pStyle w:val="253"/>
        <w:rPr>
          <w:rFonts w:ascii="宋体" w:hAnsi="宋体"/>
        </w:rPr>
      </w:pPr>
      <w:r>
        <w:rPr>
          <w:rFonts w:hint="eastAsia" w:ascii="宋体" w:hAnsi="宋体"/>
        </w:rPr>
        <w:t>1.1.4 本招标项目名称：见投标人须知前附表。</w:t>
      </w:r>
    </w:p>
    <w:p>
      <w:pPr>
        <w:pStyle w:val="253"/>
        <w:rPr>
          <w:rFonts w:ascii="宋体" w:hAnsi="宋体"/>
        </w:rPr>
      </w:pPr>
      <w:r>
        <w:rPr>
          <w:rFonts w:hint="eastAsia" w:ascii="宋体" w:hAnsi="宋体"/>
        </w:rPr>
        <w:t>1.1.5 本项目地点：见投标人须知前附表。</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42" w:name="_Toc378166535"/>
      <w:bookmarkStart w:id="43" w:name="_Toc309305514"/>
      <w:bookmarkStart w:id="44" w:name="_Toc309246801"/>
      <w:bookmarkStart w:id="45" w:name="_Toc309246669"/>
      <w:bookmarkStart w:id="46" w:name="_Toc309244642"/>
      <w:r>
        <w:rPr>
          <w:rFonts w:hint="eastAsia" w:ascii="宋体" w:hAnsi="宋体" w:cs="黑体"/>
          <w:b/>
          <w:kern w:val="0"/>
          <w:szCs w:val="21"/>
        </w:rPr>
        <w:t>1.2 资金来源和落实情况</w:t>
      </w:r>
      <w:bookmarkEnd w:id="42"/>
      <w:bookmarkEnd w:id="43"/>
      <w:bookmarkEnd w:id="44"/>
      <w:bookmarkEnd w:id="45"/>
      <w:bookmarkEnd w:id="46"/>
    </w:p>
    <w:p>
      <w:pPr>
        <w:pStyle w:val="253"/>
        <w:rPr>
          <w:rFonts w:ascii="宋体" w:hAnsi="宋体"/>
        </w:rPr>
      </w:pPr>
      <w:r>
        <w:rPr>
          <w:rFonts w:hint="eastAsia" w:ascii="宋体" w:hAnsi="宋体"/>
        </w:rPr>
        <w:t>1.2.1 本招标项目的资金来源：见投标人须知前附表。</w:t>
      </w:r>
    </w:p>
    <w:p>
      <w:pPr>
        <w:pStyle w:val="253"/>
        <w:rPr>
          <w:rFonts w:ascii="宋体" w:hAnsi="宋体"/>
        </w:rPr>
      </w:pPr>
      <w:r>
        <w:rPr>
          <w:rFonts w:hint="eastAsia" w:ascii="宋体" w:hAnsi="宋体"/>
        </w:rPr>
        <w:t>1.2.2 本招标项目的出资比例：见投标人须知前附表。</w:t>
      </w:r>
    </w:p>
    <w:p>
      <w:pPr>
        <w:pStyle w:val="253"/>
        <w:rPr>
          <w:rFonts w:ascii="宋体" w:hAnsi="宋体"/>
          <w:kern w:val="0"/>
        </w:rPr>
      </w:pPr>
      <w:r>
        <w:rPr>
          <w:rFonts w:hint="eastAsia" w:ascii="宋体" w:hAnsi="宋体"/>
          <w:kern w:val="0"/>
        </w:rPr>
        <w:t>1.2.3 本招标项目的资金落实情况：见投标人须知前附表。</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47" w:name="_Toc309244643"/>
      <w:bookmarkStart w:id="48" w:name="_Toc309246670"/>
      <w:bookmarkStart w:id="49" w:name="_Toc309246802"/>
      <w:bookmarkStart w:id="50" w:name="_Toc309305515"/>
      <w:bookmarkStart w:id="51" w:name="_Toc378166536"/>
      <w:r>
        <w:rPr>
          <w:rFonts w:hint="eastAsia" w:ascii="宋体" w:hAnsi="宋体" w:cs="黑体"/>
          <w:b/>
          <w:kern w:val="0"/>
          <w:szCs w:val="21"/>
        </w:rPr>
        <w:t>1.3 招标范围、工期、质量要求和工程总要求</w:t>
      </w:r>
      <w:bookmarkEnd w:id="47"/>
      <w:bookmarkEnd w:id="48"/>
      <w:bookmarkEnd w:id="49"/>
      <w:bookmarkEnd w:id="50"/>
      <w:bookmarkEnd w:id="51"/>
    </w:p>
    <w:p>
      <w:pPr>
        <w:pStyle w:val="253"/>
        <w:rPr>
          <w:rFonts w:ascii="宋体" w:hAnsi="宋体"/>
        </w:rPr>
      </w:pPr>
      <w:r>
        <w:rPr>
          <w:rFonts w:hint="eastAsia" w:ascii="宋体" w:hAnsi="宋体"/>
        </w:rPr>
        <w:t>1.3.1 本次招标范围：见投标人须知前附表。</w:t>
      </w:r>
    </w:p>
    <w:p>
      <w:pPr>
        <w:pStyle w:val="253"/>
        <w:rPr>
          <w:rFonts w:ascii="宋体" w:hAnsi="宋体"/>
        </w:rPr>
      </w:pPr>
      <w:r>
        <w:rPr>
          <w:rFonts w:hint="eastAsia" w:ascii="宋体" w:hAnsi="宋体"/>
        </w:rPr>
        <w:t>1.3.2 本项目的工期要求：见投标人须知前附表。</w:t>
      </w:r>
    </w:p>
    <w:p>
      <w:pPr>
        <w:pStyle w:val="253"/>
        <w:rPr>
          <w:rFonts w:ascii="宋体" w:hAnsi="宋体"/>
        </w:rPr>
      </w:pPr>
      <w:r>
        <w:rPr>
          <w:rFonts w:hint="eastAsia" w:ascii="宋体" w:hAnsi="宋体"/>
        </w:rPr>
        <w:t>1.3.3 本项目的质量要求：见投标人须知前附表。</w:t>
      </w:r>
    </w:p>
    <w:p>
      <w:pPr>
        <w:pStyle w:val="253"/>
        <w:rPr>
          <w:rFonts w:ascii="宋体" w:hAnsi="宋体"/>
        </w:rPr>
      </w:pPr>
      <w:r>
        <w:rPr>
          <w:rFonts w:hint="eastAsia" w:ascii="宋体" w:hAnsi="宋体"/>
        </w:rPr>
        <w:t>1.3.4 承包方式：见投标人须知前附表。</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52" w:name="_Toc309244645"/>
      <w:bookmarkStart w:id="53" w:name="_Toc309246672"/>
      <w:bookmarkStart w:id="54" w:name="_Toc309246804"/>
      <w:bookmarkStart w:id="55" w:name="_Toc309305517"/>
      <w:bookmarkStart w:id="56" w:name="_Toc378166537"/>
      <w:r>
        <w:rPr>
          <w:rFonts w:hint="eastAsia" w:ascii="宋体" w:hAnsi="宋体" w:cs="黑体"/>
          <w:b/>
          <w:kern w:val="0"/>
          <w:szCs w:val="21"/>
        </w:rPr>
        <w:t>1.4 投标人资格要求</w:t>
      </w:r>
      <w:bookmarkEnd w:id="52"/>
      <w:bookmarkEnd w:id="53"/>
      <w:bookmarkEnd w:id="54"/>
      <w:bookmarkEnd w:id="55"/>
      <w:bookmarkEnd w:id="56"/>
    </w:p>
    <w:p>
      <w:pPr>
        <w:pStyle w:val="253"/>
        <w:rPr>
          <w:rFonts w:ascii="宋体" w:hAnsi="宋体"/>
        </w:rPr>
      </w:pPr>
      <w:r>
        <w:rPr>
          <w:rFonts w:hint="eastAsia" w:ascii="宋体" w:hAnsi="宋体"/>
        </w:rPr>
        <w:t>1.4.1投标人应具备承担本项目的资质条件、能力和信誉。</w:t>
      </w:r>
    </w:p>
    <w:p>
      <w:pPr>
        <w:pStyle w:val="253"/>
        <w:rPr>
          <w:rFonts w:ascii="宋体" w:hAnsi="宋体"/>
        </w:rPr>
      </w:pPr>
      <w:r>
        <w:rPr>
          <w:rFonts w:hint="eastAsia" w:ascii="宋体" w:hAnsi="宋体"/>
        </w:rPr>
        <w:t>(l)资质条件：见投标人须知前附表；</w:t>
      </w:r>
    </w:p>
    <w:p>
      <w:pPr>
        <w:pStyle w:val="253"/>
        <w:rPr>
          <w:rFonts w:ascii="宋体" w:hAnsi="宋体"/>
        </w:rPr>
      </w:pPr>
      <w:r>
        <w:rPr>
          <w:rFonts w:hint="eastAsia" w:ascii="宋体" w:hAnsi="宋体"/>
        </w:rPr>
        <w:t>(2)业绩要求：见投标人须知前附表；</w:t>
      </w:r>
    </w:p>
    <w:p>
      <w:pPr>
        <w:pStyle w:val="253"/>
        <w:rPr>
          <w:rFonts w:ascii="宋体" w:hAnsi="宋体"/>
        </w:rPr>
      </w:pPr>
      <w:r>
        <w:rPr>
          <w:rFonts w:hint="eastAsia" w:ascii="宋体" w:hAnsi="宋体"/>
        </w:rPr>
        <w:t>(3)信誉要求：见投标人须知前附表；</w:t>
      </w:r>
    </w:p>
    <w:p>
      <w:pPr>
        <w:pStyle w:val="253"/>
        <w:rPr>
          <w:rFonts w:ascii="宋体" w:hAnsi="宋体"/>
        </w:rPr>
      </w:pPr>
      <w:r>
        <w:rPr>
          <w:rFonts w:hint="eastAsia" w:ascii="宋体" w:hAnsi="宋体"/>
        </w:rPr>
        <w:t>1.4.2 投标人须知前附表规定接受联合体投标的，除应符合本章第1.4.1项和投标人须知前附表的要求外，还应遵守以下规定：</w:t>
      </w:r>
    </w:p>
    <w:p>
      <w:pPr>
        <w:pStyle w:val="253"/>
        <w:rPr>
          <w:rFonts w:ascii="宋体" w:hAnsi="宋体"/>
        </w:rPr>
      </w:pPr>
      <w:r>
        <w:rPr>
          <w:rFonts w:hint="eastAsia" w:ascii="宋体" w:hAnsi="宋体"/>
        </w:rPr>
        <w:t>（1）联合体各方应按招标文件提供的格式签订联合体协议书，明确联合体牵头人和各方权利义务；</w:t>
      </w:r>
    </w:p>
    <w:p>
      <w:pPr>
        <w:pStyle w:val="253"/>
        <w:rPr>
          <w:rFonts w:ascii="宋体" w:hAnsi="宋体"/>
        </w:rPr>
      </w:pPr>
      <w:r>
        <w:rPr>
          <w:rFonts w:hint="eastAsia" w:ascii="宋体" w:hAnsi="宋体"/>
        </w:rPr>
        <w:t>（2）由同一专业的单位组成的联合体，按照资质等级较低的单位确定资质等级；</w:t>
      </w:r>
    </w:p>
    <w:p>
      <w:pPr>
        <w:pStyle w:val="253"/>
        <w:rPr>
          <w:rFonts w:ascii="宋体" w:hAnsi="宋体"/>
        </w:rPr>
      </w:pPr>
      <w:r>
        <w:rPr>
          <w:rFonts w:hint="eastAsia" w:ascii="宋体" w:hAnsi="宋体"/>
        </w:rPr>
        <w:t>（3）联合体各方不得再以自己名义单独或参加其他联合体在同一工程中投标。</w:t>
      </w:r>
    </w:p>
    <w:p>
      <w:pPr>
        <w:pStyle w:val="253"/>
        <w:rPr>
          <w:rFonts w:ascii="宋体" w:hAnsi="宋体"/>
        </w:rPr>
      </w:pPr>
      <w:r>
        <w:rPr>
          <w:rFonts w:hint="eastAsia" w:ascii="宋体" w:hAnsi="宋体"/>
        </w:rPr>
        <w:t>1.4.3投标人不得存在下列情形之一：</w:t>
      </w:r>
    </w:p>
    <w:p>
      <w:pPr>
        <w:spacing w:line="360" w:lineRule="auto"/>
        <w:ind w:firstLine="359" w:firstLineChars="171"/>
        <w:rPr>
          <w:rFonts w:ascii="宋体" w:hAnsi="宋体" w:cs="宋体"/>
          <w:szCs w:val="21"/>
        </w:rPr>
      </w:pPr>
      <w:bookmarkStart w:id="57" w:name="_Toc378166538"/>
      <w:bookmarkStart w:id="58" w:name="_Toc309305518"/>
      <w:bookmarkStart w:id="59" w:name="_Toc309246805"/>
      <w:bookmarkStart w:id="60" w:name="_Toc309246673"/>
      <w:bookmarkStart w:id="61" w:name="_Toc309244646"/>
      <w:r>
        <w:rPr>
          <w:rFonts w:hint="eastAsia" w:ascii="宋体" w:hAnsi="宋体" w:cs="宋体"/>
          <w:szCs w:val="21"/>
        </w:rPr>
        <w:t>（1）为招标人不具有独立法人资格的附属机构（单位）；</w:t>
      </w:r>
    </w:p>
    <w:p>
      <w:pPr>
        <w:spacing w:line="360" w:lineRule="auto"/>
        <w:ind w:firstLine="359" w:firstLineChars="171"/>
        <w:rPr>
          <w:rFonts w:ascii="宋体" w:hAnsi="宋体" w:cs="宋体"/>
          <w:szCs w:val="21"/>
        </w:rPr>
      </w:pPr>
      <w:r>
        <w:rPr>
          <w:rFonts w:hint="eastAsia" w:ascii="宋体" w:hAnsi="宋体" w:cs="宋体"/>
          <w:szCs w:val="21"/>
        </w:rPr>
        <w:t>（2）为本标段前期准备提供设计或咨询服务的，但设计施工总承包的除外；</w:t>
      </w:r>
    </w:p>
    <w:p>
      <w:pPr>
        <w:spacing w:line="360" w:lineRule="auto"/>
        <w:ind w:firstLine="359" w:firstLineChars="171"/>
        <w:rPr>
          <w:rFonts w:ascii="宋体" w:hAnsi="宋体" w:cs="宋体"/>
          <w:szCs w:val="21"/>
        </w:rPr>
      </w:pPr>
      <w:r>
        <w:rPr>
          <w:rFonts w:hint="eastAsia" w:ascii="宋体" w:hAnsi="宋体" w:cs="宋体"/>
          <w:szCs w:val="21"/>
        </w:rPr>
        <w:t>（3）为本标段的监理人；</w:t>
      </w:r>
    </w:p>
    <w:p>
      <w:pPr>
        <w:spacing w:line="360" w:lineRule="auto"/>
        <w:ind w:firstLine="359" w:firstLineChars="171"/>
        <w:rPr>
          <w:rFonts w:ascii="宋体" w:hAnsi="宋体" w:cs="宋体"/>
          <w:szCs w:val="21"/>
        </w:rPr>
      </w:pPr>
      <w:r>
        <w:rPr>
          <w:rFonts w:hint="eastAsia" w:ascii="宋体" w:hAnsi="宋体" w:cs="宋体"/>
          <w:szCs w:val="21"/>
        </w:rPr>
        <w:t>（4）为本标段的代建人；</w:t>
      </w:r>
    </w:p>
    <w:p>
      <w:pPr>
        <w:spacing w:line="360" w:lineRule="auto"/>
        <w:ind w:firstLine="359" w:firstLineChars="171"/>
        <w:rPr>
          <w:rFonts w:ascii="宋体" w:hAnsi="宋体" w:cs="宋体"/>
          <w:szCs w:val="21"/>
        </w:rPr>
      </w:pPr>
      <w:r>
        <w:rPr>
          <w:rFonts w:hint="eastAsia" w:ascii="宋体" w:hAnsi="宋体" w:cs="宋体"/>
          <w:szCs w:val="21"/>
        </w:rPr>
        <w:t>（5）为本标段提供招标代理服务的；</w:t>
      </w:r>
    </w:p>
    <w:p>
      <w:pPr>
        <w:spacing w:line="360" w:lineRule="auto"/>
        <w:ind w:firstLine="359" w:firstLineChars="171"/>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ind w:firstLine="359" w:firstLineChars="171"/>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ind w:firstLine="359" w:firstLineChars="171"/>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ind w:firstLine="359" w:firstLineChars="171"/>
        <w:rPr>
          <w:rFonts w:ascii="宋体" w:hAnsi="宋体" w:cs="宋体"/>
          <w:szCs w:val="21"/>
        </w:rPr>
      </w:pPr>
      <w:r>
        <w:rPr>
          <w:rFonts w:hint="eastAsia" w:ascii="宋体" w:hAnsi="宋体" w:cs="宋体"/>
          <w:szCs w:val="21"/>
        </w:rPr>
        <w:t>（9）被责令停业的；</w:t>
      </w:r>
    </w:p>
    <w:p>
      <w:pPr>
        <w:spacing w:line="360" w:lineRule="auto"/>
        <w:ind w:firstLine="359" w:firstLineChars="171"/>
        <w:rPr>
          <w:rFonts w:ascii="宋体" w:hAnsi="宋体" w:cs="宋体"/>
          <w:szCs w:val="21"/>
        </w:rPr>
      </w:pPr>
      <w:r>
        <w:rPr>
          <w:rFonts w:hint="eastAsia" w:ascii="宋体" w:hAnsi="宋体" w:cs="宋体"/>
          <w:szCs w:val="21"/>
        </w:rPr>
        <w:t>（10）被暂停或取消投标资格的；</w:t>
      </w:r>
    </w:p>
    <w:p>
      <w:pPr>
        <w:spacing w:line="360" w:lineRule="auto"/>
        <w:ind w:firstLine="359" w:firstLineChars="171"/>
        <w:rPr>
          <w:rFonts w:ascii="宋体" w:hAnsi="宋体" w:cs="宋体"/>
          <w:szCs w:val="21"/>
        </w:rPr>
      </w:pPr>
      <w:r>
        <w:rPr>
          <w:rFonts w:hint="eastAsia" w:ascii="宋体" w:hAnsi="宋体" w:cs="宋体"/>
          <w:szCs w:val="21"/>
        </w:rPr>
        <w:t>（11）财产被接管或冻结的；</w:t>
      </w:r>
    </w:p>
    <w:p>
      <w:pPr>
        <w:spacing w:line="360" w:lineRule="auto"/>
        <w:ind w:firstLine="359" w:firstLineChars="171"/>
        <w:rPr>
          <w:rFonts w:ascii="宋体" w:hAnsi="宋体" w:cs="宋体"/>
          <w:szCs w:val="21"/>
        </w:rPr>
      </w:pPr>
      <w:r>
        <w:rPr>
          <w:rFonts w:hint="eastAsia" w:ascii="宋体" w:hAnsi="宋体" w:cs="宋体"/>
          <w:szCs w:val="21"/>
        </w:rPr>
        <w:t>（12）在最近三年内有骗取中标或严重违约或重大工程质量问题的。</w:t>
      </w:r>
    </w:p>
    <w:p>
      <w:pPr>
        <w:spacing w:line="360" w:lineRule="auto"/>
        <w:ind w:firstLine="359" w:firstLineChars="171"/>
        <w:rPr>
          <w:rFonts w:ascii="宋体" w:hAnsi="宋体" w:cs="宋体"/>
          <w:szCs w:val="21"/>
        </w:rPr>
      </w:pPr>
      <w:r>
        <w:rPr>
          <w:rFonts w:hint="eastAsia" w:ascii="宋体" w:hAnsi="宋体" w:cs="宋体"/>
          <w:szCs w:val="21"/>
        </w:rPr>
        <w:t>（13）被列入招标人承包商黑名单的。</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r>
        <w:rPr>
          <w:rFonts w:hint="eastAsia" w:ascii="宋体" w:hAnsi="宋体" w:cs="黑体"/>
          <w:b/>
          <w:kern w:val="0"/>
          <w:szCs w:val="21"/>
        </w:rPr>
        <w:t>1.5 费用承担</w:t>
      </w:r>
      <w:bookmarkEnd w:id="57"/>
      <w:bookmarkEnd w:id="58"/>
      <w:bookmarkEnd w:id="59"/>
      <w:bookmarkEnd w:id="60"/>
      <w:bookmarkEnd w:id="61"/>
    </w:p>
    <w:p>
      <w:pPr>
        <w:spacing w:line="360" w:lineRule="auto"/>
        <w:ind w:firstLine="359" w:firstLineChars="171"/>
        <w:rPr>
          <w:rFonts w:ascii="宋体" w:hAnsi="宋体"/>
          <w:szCs w:val="21"/>
        </w:rPr>
      </w:pPr>
      <w:bookmarkStart w:id="62" w:name="_Toc309244647"/>
      <w:bookmarkStart w:id="63" w:name="_Toc309246674"/>
      <w:bookmarkStart w:id="64" w:name="_Toc309246806"/>
      <w:bookmarkStart w:id="65" w:name="_Toc309305519"/>
      <w:r>
        <w:rPr>
          <w:rFonts w:hint="eastAsia" w:ascii="宋体" w:hAnsi="宋体"/>
          <w:szCs w:val="21"/>
        </w:rPr>
        <w:t>1.5.1投标人参与本次招标及与本次招标相关的费用均由投标人自理。</w:t>
      </w:r>
    </w:p>
    <w:p>
      <w:pPr>
        <w:spacing w:line="360" w:lineRule="auto"/>
        <w:ind w:firstLine="359" w:firstLineChars="171"/>
        <w:rPr>
          <w:rFonts w:ascii="宋体" w:hAnsi="宋体" w:cs="宋体"/>
        </w:rPr>
      </w:pPr>
      <w:r>
        <w:rPr>
          <w:rFonts w:hint="eastAsia" w:ascii="宋体" w:hAnsi="宋体"/>
          <w:szCs w:val="21"/>
        </w:rPr>
        <w:t>1.5.2</w:t>
      </w:r>
      <w:r>
        <w:rPr>
          <w:rFonts w:hint="eastAsia" w:ascii="宋体" w:hAnsi="宋体" w:cs="宋体"/>
        </w:rPr>
        <w:t xml:space="preserve"> 投标人应承担所有与准备和参加投标有关的费用。不论投标的结果如何，投标人须知所述的招标机构和招标人均无义务和责任承担这些费用。</w:t>
      </w:r>
    </w:p>
    <w:p>
      <w:pPr>
        <w:spacing w:line="360" w:lineRule="auto"/>
        <w:ind w:firstLine="359" w:firstLineChars="171"/>
        <w:rPr>
          <w:rFonts w:ascii="宋体" w:hAnsi="宋体" w:cs="宋体"/>
        </w:rPr>
      </w:pPr>
      <w:r>
        <w:rPr>
          <w:rFonts w:hint="eastAsia" w:ascii="宋体" w:hAnsi="宋体" w:cs="宋体"/>
        </w:rPr>
        <w:t>1.5.3</w:t>
      </w:r>
      <w:r>
        <w:rPr>
          <w:rFonts w:hint="eastAsia" w:hAnsi="宋体" w:cs="宋体"/>
          <w:szCs w:val="21"/>
        </w:rPr>
        <w:t>本项目由中标人承担招标代理服务费，中标人中标后须向招标代理机构缴纳柒仟元招标代理服务费。</w:t>
      </w:r>
    </w:p>
    <w:p>
      <w:pPr>
        <w:tabs>
          <w:tab w:val="left" w:pos="1480"/>
        </w:tabs>
        <w:autoSpaceDE w:val="0"/>
        <w:autoSpaceDN w:val="0"/>
        <w:adjustRightInd w:val="0"/>
        <w:spacing w:line="360" w:lineRule="auto"/>
        <w:ind w:firstLine="422" w:firstLineChars="200"/>
        <w:jc w:val="left"/>
        <w:rPr>
          <w:rFonts w:ascii="宋体" w:hAnsi="宋体" w:cs="黑体"/>
          <w:b/>
          <w:bCs/>
          <w:kern w:val="0"/>
          <w:szCs w:val="21"/>
        </w:rPr>
      </w:pPr>
      <w:bookmarkStart w:id="66" w:name="_Toc378166539"/>
      <w:r>
        <w:rPr>
          <w:rFonts w:hint="eastAsia" w:ascii="宋体" w:hAnsi="宋体" w:cs="黑体"/>
          <w:b/>
          <w:bCs/>
          <w:kern w:val="0"/>
          <w:szCs w:val="21"/>
        </w:rPr>
        <w:t>1.6 保密</w:t>
      </w:r>
      <w:bookmarkEnd w:id="62"/>
      <w:bookmarkEnd w:id="63"/>
      <w:bookmarkEnd w:id="64"/>
      <w:bookmarkEnd w:id="65"/>
      <w:bookmarkEnd w:id="66"/>
    </w:p>
    <w:p>
      <w:pPr>
        <w:pStyle w:val="253"/>
        <w:rPr>
          <w:rFonts w:ascii="宋体" w:hAnsi="宋体"/>
        </w:rPr>
      </w:pPr>
      <w:r>
        <w:rPr>
          <w:rFonts w:hint="eastAsia" w:ascii="宋体" w:hAnsi="宋体"/>
        </w:rPr>
        <w:t>参与招标投标活动的各方应对招标文件和投标文件中的商业和技术等秘密保密，违者应对由此造成的后果承担法律责任。</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67" w:name="_Toc378166540"/>
      <w:bookmarkStart w:id="68" w:name="_Toc309305520"/>
      <w:bookmarkStart w:id="69" w:name="_Toc309246807"/>
      <w:bookmarkStart w:id="70" w:name="_Toc309246675"/>
      <w:bookmarkStart w:id="71" w:name="_Toc309244648"/>
      <w:r>
        <w:rPr>
          <w:rFonts w:hint="eastAsia" w:ascii="宋体" w:hAnsi="宋体" w:cs="黑体"/>
          <w:b/>
          <w:kern w:val="0"/>
          <w:szCs w:val="21"/>
        </w:rPr>
        <w:t>1.7 语言文字</w:t>
      </w:r>
      <w:bookmarkEnd w:id="67"/>
      <w:bookmarkEnd w:id="68"/>
      <w:bookmarkEnd w:id="69"/>
      <w:bookmarkEnd w:id="70"/>
      <w:bookmarkEnd w:id="71"/>
    </w:p>
    <w:p>
      <w:pPr>
        <w:pStyle w:val="253"/>
        <w:rPr>
          <w:rFonts w:ascii="宋体" w:hAnsi="宋体"/>
        </w:rPr>
      </w:pPr>
      <w:r>
        <w:rPr>
          <w:rFonts w:hint="eastAsia" w:ascii="宋体" w:hAnsi="宋体"/>
        </w:rPr>
        <w:t>除专用术语外，与招标投标有关的语言均使用中文。必要时专用术语应附有中文注释。</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72" w:name="_Toc378166541"/>
      <w:bookmarkStart w:id="73" w:name="_Toc309246808"/>
      <w:bookmarkStart w:id="74" w:name="_Toc309305521"/>
      <w:bookmarkStart w:id="75" w:name="_Toc309246676"/>
      <w:bookmarkStart w:id="76" w:name="_Toc309244649"/>
      <w:r>
        <w:rPr>
          <w:rFonts w:hint="eastAsia" w:ascii="宋体" w:hAnsi="宋体" w:cs="黑体"/>
          <w:b/>
          <w:kern w:val="0"/>
          <w:szCs w:val="21"/>
        </w:rPr>
        <w:t>1.8 计量单位</w:t>
      </w:r>
      <w:bookmarkEnd w:id="72"/>
      <w:bookmarkEnd w:id="73"/>
      <w:bookmarkEnd w:id="74"/>
      <w:bookmarkEnd w:id="75"/>
      <w:bookmarkEnd w:id="76"/>
    </w:p>
    <w:p>
      <w:pPr>
        <w:pStyle w:val="253"/>
        <w:rPr>
          <w:rFonts w:ascii="宋体" w:hAnsi="宋体"/>
        </w:rPr>
      </w:pPr>
      <w:r>
        <w:rPr>
          <w:rFonts w:hint="eastAsia" w:ascii="宋体" w:hAnsi="宋体"/>
        </w:rPr>
        <w:t>所有计量均采用中华人民共和国法定计量单位。</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77" w:name="_Toc378166542"/>
      <w:bookmarkStart w:id="78" w:name="_Toc309305522"/>
      <w:bookmarkStart w:id="79" w:name="_Toc309246809"/>
      <w:bookmarkStart w:id="80" w:name="_Toc309246677"/>
      <w:bookmarkStart w:id="81" w:name="_Toc309244650"/>
      <w:r>
        <w:rPr>
          <w:rFonts w:hint="eastAsia" w:ascii="宋体" w:hAnsi="宋体" w:cs="黑体"/>
          <w:b/>
          <w:kern w:val="0"/>
          <w:szCs w:val="21"/>
        </w:rPr>
        <w:t>1.9 踏勘现场</w:t>
      </w:r>
      <w:bookmarkEnd w:id="77"/>
      <w:bookmarkEnd w:id="78"/>
      <w:bookmarkEnd w:id="79"/>
      <w:bookmarkEnd w:id="80"/>
      <w:bookmarkEnd w:id="81"/>
    </w:p>
    <w:p>
      <w:pPr>
        <w:pStyle w:val="253"/>
        <w:rPr>
          <w:rFonts w:ascii="宋体" w:hAnsi="宋体"/>
        </w:rPr>
      </w:pPr>
      <w:r>
        <w:rPr>
          <w:rFonts w:hint="eastAsia" w:ascii="宋体" w:hAnsi="宋体"/>
        </w:rPr>
        <w:t>1.9.1 投标人须知前附表规定组织踏勘现场的，招标人按投标人须知前附表规定的时间、地点组织投标人踏勘项目现场。</w:t>
      </w:r>
    </w:p>
    <w:p>
      <w:pPr>
        <w:pStyle w:val="253"/>
        <w:rPr>
          <w:rFonts w:ascii="宋体" w:hAnsi="宋体"/>
        </w:rPr>
      </w:pPr>
      <w:r>
        <w:rPr>
          <w:rFonts w:hint="eastAsia" w:ascii="宋体" w:hAnsi="宋体"/>
        </w:rPr>
        <w:t>1.9.2 投标人踏勘现场发生的费用自理。</w:t>
      </w:r>
    </w:p>
    <w:p>
      <w:pPr>
        <w:pStyle w:val="253"/>
        <w:rPr>
          <w:rFonts w:ascii="宋体" w:hAnsi="宋体"/>
        </w:rPr>
      </w:pPr>
      <w:r>
        <w:rPr>
          <w:rFonts w:hint="eastAsia" w:ascii="宋体" w:hAnsi="宋体"/>
        </w:rPr>
        <w:t>1.9.3 除招标人的原因外，投标人自行负责在踏勘现场中所发生的人员伤亡和财产损失。</w:t>
      </w:r>
    </w:p>
    <w:p>
      <w:pPr>
        <w:pStyle w:val="253"/>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82" w:name="_Toc378166543"/>
      <w:bookmarkStart w:id="83" w:name="_Toc309305523"/>
      <w:bookmarkStart w:id="84" w:name="_Toc309246810"/>
      <w:bookmarkStart w:id="85" w:name="_Toc309246678"/>
      <w:bookmarkStart w:id="86" w:name="_Toc309244651"/>
      <w:r>
        <w:rPr>
          <w:rFonts w:hint="eastAsia" w:ascii="宋体" w:hAnsi="宋体" w:cs="黑体"/>
          <w:b/>
          <w:kern w:val="0"/>
          <w:szCs w:val="21"/>
        </w:rPr>
        <w:t>1.10 投标预备会</w:t>
      </w:r>
      <w:bookmarkEnd w:id="82"/>
      <w:bookmarkEnd w:id="83"/>
      <w:bookmarkEnd w:id="84"/>
      <w:bookmarkEnd w:id="85"/>
      <w:bookmarkEnd w:id="86"/>
    </w:p>
    <w:p>
      <w:pPr>
        <w:pStyle w:val="253"/>
        <w:rPr>
          <w:rFonts w:ascii="宋体" w:hAnsi="宋体"/>
        </w:rPr>
      </w:pPr>
      <w:r>
        <w:rPr>
          <w:rFonts w:hint="eastAsia" w:ascii="宋体" w:hAnsi="宋体"/>
        </w:rPr>
        <w:t>1.10.1 投标人须知前附表规定召开投标预备会的，招标人按投标人须知前附表规定的时间和地点召开投标预备会，澄清投标人提出的问题。</w:t>
      </w:r>
    </w:p>
    <w:p>
      <w:pPr>
        <w:pStyle w:val="253"/>
        <w:rPr>
          <w:rFonts w:ascii="宋体" w:hAnsi="宋体"/>
        </w:rPr>
      </w:pPr>
      <w:r>
        <w:rPr>
          <w:rFonts w:hint="eastAsia" w:ascii="宋体" w:hAnsi="宋体"/>
        </w:rPr>
        <w:t>1.10.2 投标人应在投标人须知前附表规定的时间前，以书面形式将提出的问题送达招标人，以便招标人在会议期间澄清。</w:t>
      </w:r>
    </w:p>
    <w:p>
      <w:pPr>
        <w:pStyle w:val="253"/>
        <w:rPr>
          <w:rFonts w:ascii="宋体" w:hAnsi="宋体"/>
        </w:rPr>
      </w:pPr>
      <w:r>
        <w:rPr>
          <w:rFonts w:hint="eastAsia" w:ascii="宋体" w:hAnsi="宋体"/>
        </w:rPr>
        <w:t>1.10.3 投标预备会后，招标人在投标人须知前附表规定的时间内，将对投标人所提问题的澄清，以书面方式通知所有购买招标文件的投标人，但不包括问题的来源。该澄清内容为招标文件的组成部分。</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87" w:name="_Toc378166544"/>
      <w:bookmarkStart w:id="88" w:name="_Toc309305524"/>
      <w:bookmarkStart w:id="89" w:name="_Toc309246811"/>
      <w:bookmarkStart w:id="90" w:name="_Toc309246679"/>
      <w:bookmarkStart w:id="91" w:name="_Toc309244652"/>
      <w:r>
        <w:rPr>
          <w:rFonts w:hint="eastAsia" w:ascii="宋体" w:hAnsi="宋体" w:cs="黑体"/>
          <w:b/>
          <w:kern w:val="0"/>
          <w:szCs w:val="21"/>
        </w:rPr>
        <w:t>1.11 分包</w:t>
      </w:r>
      <w:bookmarkEnd w:id="87"/>
      <w:bookmarkEnd w:id="88"/>
      <w:bookmarkEnd w:id="89"/>
      <w:bookmarkEnd w:id="90"/>
      <w:bookmarkEnd w:id="91"/>
    </w:p>
    <w:p>
      <w:pPr>
        <w:pStyle w:val="253"/>
        <w:rPr>
          <w:rFonts w:ascii="宋体" w:hAnsi="宋体"/>
        </w:rPr>
      </w:pPr>
      <w:r>
        <w:rPr>
          <w:rFonts w:hint="eastAsia" w:ascii="宋体" w:hAnsi="宋体"/>
        </w:rPr>
        <w:t>详见第二章投标人须知。</w:t>
      </w:r>
    </w:p>
    <w:p>
      <w:pPr>
        <w:pStyle w:val="253"/>
        <w:ind w:firstLine="422"/>
        <w:rPr>
          <w:rFonts w:ascii="宋体" w:hAnsi="宋体" w:cs="黑体"/>
          <w:b/>
          <w:kern w:val="0"/>
        </w:rPr>
      </w:pPr>
      <w:r>
        <w:rPr>
          <w:rFonts w:hint="eastAsia" w:ascii="宋体" w:hAnsi="宋体" w:cs="黑体"/>
          <w:b/>
          <w:kern w:val="0"/>
        </w:rPr>
        <w:t>1.12 偏离</w:t>
      </w:r>
    </w:p>
    <w:p>
      <w:pPr>
        <w:pStyle w:val="253"/>
        <w:rPr>
          <w:rFonts w:ascii="宋体" w:hAnsi="宋体"/>
        </w:rPr>
      </w:pPr>
      <w:r>
        <w:rPr>
          <w:rFonts w:hint="eastAsia" w:ascii="宋体" w:hAnsi="宋体"/>
        </w:rPr>
        <w:t>投标人须知前附表允许投标文件偏离招标文件某些要求的，偏离应当符合招标文件规定的偏离范围和幅度。</w:t>
      </w:r>
    </w:p>
    <w:p>
      <w:pPr>
        <w:pStyle w:val="254"/>
        <w:ind w:firstLine="422"/>
        <w:outlineLvl w:val="9"/>
        <w:rPr>
          <w:kern w:val="0"/>
        </w:rPr>
      </w:pPr>
      <w:bookmarkStart w:id="92" w:name="_Toc475633973"/>
      <w:bookmarkStart w:id="93" w:name="_Toc419383235"/>
      <w:bookmarkStart w:id="94" w:name="_Toc378166545"/>
      <w:bookmarkStart w:id="95" w:name="_Toc309246680"/>
      <w:r>
        <w:rPr>
          <w:kern w:val="0"/>
        </w:rPr>
        <w:t xml:space="preserve">2. </w:t>
      </w:r>
      <w:r>
        <w:rPr>
          <w:rFonts w:hint="eastAsia"/>
          <w:kern w:val="0"/>
        </w:rPr>
        <w:t>招标文件</w:t>
      </w:r>
      <w:bookmarkEnd w:id="92"/>
      <w:bookmarkEnd w:id="93"/>
      <w:bookmarkEnd w:id="94"/>
      <w:bookmarkEnd w:id="95"/>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96" w:name="_Toc309244654"/>
      <w:bookmarkStart w:id="97" w:name="_Toc309246681"/>
      <w:bookmarkStart w:id="98" w:name="_Toc309246813"/>
      <w:bookmarkStart w:id="99" w:name="_Toc309305526"/>
      <w:bookmarkStart w:id="100" w:name="_Toc378166546"/>
      <w:r>
        <w:rPr>
          <w:rFonts w:ascii="宋体" w:hAnsi="宋体" w:cs="黑体"/>
          <w:b/>
          <w:kern w:val="0"/>
          <w:szCs w:val="21"/>
        </w:rPr>
        <w:t xml:space="preserve">2.1 </w:t>
      </w:r>
      <w:r>
        <w:rPr>
          <w:rFonts w:hint="eastAsia" w:ascii="宋体" w:hAnsi="宋体" w:cs="黑体"/>
          <w:b/>
          <w:kern w:val="0"/>
          <w:szCs w:val="21"/>
        </w:rPr>
        <w:t>招标文件的组成</w:t>
      </w:r>
      <w:bookmarkEnd w:id="96"/>
      <w:bookmarkEnd w:id="97"/>
      <w:bookmarkEnd w:id="98"/>
      <w:bookmarkEnd w:id="99"/>
      <w:bookmarkEnd w:id="100"/>
    </w:p>
    <w:p>
      <w:pPr>
        <w:pStyle w:val="253"/>
        <w:rPr>
          <w:rFonts w:ascii="宋体" w:hAnsi="宋体"/>
          <w:kern w:val="0"/>
        </w:rPr>
      </w:pPr>
      <w:r>
        <w:rPr>
          <w:rFonts w:hint="eastAsia" w:ascii="宋体" w:hAnsi="宋体"/>
          <w:kern w:val="0"/>
        </w:rPr>
        <w:t>本招标文件包括：</w:t>
      </w:r>
    </w:p>
    <w:p>
      <w:pPr>
        <w:pStyle w:val="253"/>
        <w:rPr>
          <w:rFonts w:ascii="宋体" w:hAnsi="宋体"/>
          <w:bCs/>
        </w:rPr>
      </w:pPr>
      <w:r>
        <w:rPr>
          <w:rFonts w:hint="eastAsia" w:ascii="宋体" w:hAnsi="宋体"/>
          <w:bCs/>
        </w:rPr>
        <w:t>（</w:t>
      </w:r>
      <w:r>
        <w:rPr>
          <w:rFonts w:ascii="宋体" w:hAnsi="宋体"/>
          <w:bCs/>
        </w:rPr>
        <w:t>1</w:t>
      </w:r>
      <w:r>
        <w:rPr>
          <w:rFonts w:hint="eastAsia" w:ascii="宋体" w:hAnsi="宋体"/>
          <w:bCs/>
        </w:rPr>
        <w:t>）</w:t>
      </w:r>
      <w:r>
        <w:rPr>
          <w:rFonts w:hint="eastAsia" w:ascii="宋体" w:hAnsi="宋体"/>
        </w:rPr>
        <w:t>招标公告</w:t>
      </w:r>
      <w:r>
        <w:rPr>
          <w:rFonts w:hint="eastAsia" w:ascii="宋体" w:hAnsi="宋体"/>
          <w:bCs/>
        </w:rPr>
        <w:t>；</w:t>
      </w:r>
    </w:p>
    <w:p>
      <w:pPr>
        <w:pStyle w:val="253"/>
        <w:rPr>
          <w:rFonts w:ascii="宋体" w:hAnsi="宋体"/>
          <w:bCs/>
        </w:rPr>
      </w:pPr>
      <w:r>
        <w:rPr>
          <w:rFonts w:hint="eastAsia" w:ascii="宋体" w:hAnsi="宋体"/>
          <w:bCs/>
        </w:rPr>
        <w:t>（</w:t>
      </w:r>
      <w:r>
        <w:rPr>
          <w:rFonts w:ascii="宋体" w:hAnsi="宋体"/>
          <w:bCs/>
        </w:rPr>
        <w:t>2</w:t>
      </w:r>
      <w:r>
        <w:rPr>
          <w:rFonts w:hint="eastAsia" w:ascii="宋体" w:hAnsi="宋体"/>
          <w:bCs/>
        </w:rPr>
        <w:t>）投标人须知；</w:t>
      </w:r>
    </w:p>
    <w:p>
      <w:pPr>
        <w:pStyle w:val="253"/>
        <w:rPr>
          <w:rFonts w:ascii="宋体" w:hAnsi="宋体"/>
          <w:bCs/>
        </w:rPr>
      </w:pPr>
      <w:r>
        <w:rPr>
          <w:rFonts w:hint="eastAsia" w:ascii="宋体" w:hAnsi="宋体"/>
          <w:bCs/>
        </w:rPr>
        <w:t>（</w:t>
      </w:r>
      <w:r>
        <w:rPr>
          <w:rFonts w:ascii="宋体" w:hAnsi="宋体"/>
          <w:bCs/>
        </w:rPr>
        <w:t>3</w:t>
      </w:r>
      <w:r>
        <w:rPr>
          <w:rFonts w:hint="eastAsia" w:ascii="宋体" w:hAnsi="宋体"/>
          <w:bCs/>
        </w:rPr>
        <w:t>）评标办法；</w:t>
      </w:r>
    </w:p>
    <w:p>
      <w:pPr>
        <w:pStyle w:val="253"/>
        <w:rPr>
          <w:rFonts w:ascii="宋体" w:hAnsi="宋体"/>
          <w:bCs/>
        </w:rPr>
      </w:pPr>
      <w:r>
        <w:rPr>
          <w:rFonts w:hint="eastAsia" w:ascii="宋体" w:hAnsi="宋体"/>
          <w:bCs/>
        </w:rPr>
        <w:t>（</w:t>
      </w:r>
      <w:r>
        <w:rPr>
          <w:rFonts w:ascii="宋体" w:hAnsi="宋体"/>
          <w:bCs/>
        </w:rPr>
        <w:t>4</w:t>
      </w:r>
      <w:r>
        <w:rPr>
          <w:rFonts w:hint="eastAsia" w:ascii="宋体" w:hAnsi="宋体"/>
          <w:bCs/>
        </w:rPr>
        <w:t xml:space="preserve">）设计文件及资料； </w:t>
      </w:r>
    </w:p>
    <w:p>
      <w:pPr>
        <w:pStyle w:val="253"/>
        <w:rPr>
          <w:rFonts w:ascii="宋体" w:hAnsi="宋体"/>
          <w:bCs/>
        </w:rPr>
      </w:pPr>
      <w:r>
        <w:rPr>
          <w:rFonts w:hint="eastAsia" w:ascii="宋体" w:hAnsi="宋体"/>
          <w:bCs/>
        </w:rPr>
        <w:t>（</w:t>
      </w:r>
      <w:r>
        <w:rPr>
          <w:rFonts w:ascii="宋体" w:hAnsi="宋体"/>
          <w:bCs/>
        </w:rPr>
        <w:t>5</w:t>
      </w:r>
      <w:r>
        <w:rPr>
          <w:rFonts w:hint="eastAsia" w:ascii="宋体" w:hAnsi="宋体"/>
          <w:bCs/>
        </w:rPr>
        <w:t>）技术标准和要求；</w:t>
      </w:r>
    </w:p>
    <w:p>
      <w:pPr>
        <w:pStyle w:val="253"/>
        <w:rPr>
          <w:rFonts w:ascii="宋体" w:hAnsi="宋体"/>
          <w:bCs/>
        </w:rPr>
      </w:pPr>
      <w:r>
        <w:rPr>
          <w:rFonts w:hint="eastAsia" w:ascii="宋体" w:hAnsi="宋体"/>
          <w:bCs/>
        </w:rPr>
        <w:t>（6）报价要求及其他关键性要求；</w:t>
      </w:r>
    </w:p>
    <w:p>
      <w:pPr>
        <w:pStyle w:val="253"/>
        <w:rPr>
          <w:rFonts w:ascii="宋体" w:hAnsi="宋体"/>
          <w:bCs/>
        </w:rPr>
      </w:pPr>
      <w:r>
        <w:rPr>
          <w:rFonts w:hint="eastAsia" w:ascii="宋体" w:hAnsi="宋体"/>
          <w:bCs/>
        </w:rPr>
        <w:t>（7）合同条款及格式；</w:t>
      </w:r>
    </w:p>
    <w:p>
      <w:pPr>
        <w:pStyle w:val="253"/>
        <w:rPr>
          <w:rFonts w:ascii="宋体" w:hAnsi="宋体"/>
          <w:bCs/>
        </w:rPr>
      </w:pPr>
      <w:r>
        <w:rPr>
          <w:rFonts w:hint="eastAsia" w:ascii="宋体" w:hAnsi="宋体"/>
          <w:bCs/>
        </w:rPr>
        <w:t>（8）投标文件格式</w:t>
      </w:r>
    </w:p>
    <w:p>
      <w:pPr>
        <w:pStyle w:val="253"/>
        <w:rPr>
          <w:rFonts w:ascii="宋体" w:hAnsi="宋体"/>
          <w:kern w:val="0"/>
        </w:rPr>
      </w:pPr>
      <w:r>
        <w:rPr>
          <w:rFonts w:hint="eastAsia" w:ascii="宋体" w:hAnsi="宋体"/>
          <w:kern w:val="0"/>
        </w:rPr>
        <w:t>根据本章第</w:t>
      </w:r>
      <w:r>
        <w:rPr>
          <w:rFonts w:ascii="宋体" w:hAnsi="宋体" w:cs="TimesNewRomanPSMT"/>
          <w:kern w:val="0"/>
        </w:rPr>
        <w:t xml:space="preserve">1.10 </w:t>
      </w:r>
      <w:r>
        <w:rPr>
          <w:rFonts w:hint="eastAsia" w:ascii="宋体" w:hAnsi="宋体"/>
          <w:kern w:val="0"/>
        </w:rPr>
        <w:t>款、第</w:t>
      </w:r>
      <w:r>
        <w:rPr>
          <w:rFonts w:ascii="宋体" w:hAnsi="宋体" w:cs="TimesNewRomanPSMT"/>
          <w:kern w:val="0"/>
        </w:rPr>
        <w:t xml:space="preserve">2.2 </w:t>
      </w:r>
      <w:r>
        <w:rPr>
          <w:rFonts w:hint="eastAsia" w:ascii="宋体" w:hAnsi="宋体"/>
          <w:kern w:val="0"/>
        </w:rPr>
        <w:t>款和第</w:t>
      </w:r>
      <w:r>
        <w:rPr>
          <w:rFonts w:ascii="宋体" w:hAnsi="宋体" w:cs="TimesNewRomanPSMT"/>
          <w:kern w:val="0"/>
        </w:rPr>
        <w:t xml:space="preserve">2.3 </w:t>
      </w:r>
      <w:r>
        <w:rPr>
          <w:rFonts w:hint="eastAsia" w:ascii="宋体" w:hAnsi="宋体"/>
          <w:kern w:val="0"/>
        </w:rPr>
        <w:t>款对招标文件所作的澄清、修改，构成招标文件的组成部分。</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01" w:name="_Toc309244655"/>
      <w:bookmarkStart w:id="102" w:name="_Toc309246682"/>
      <w:bookmarkStart w:id="103" w:name="_Toc309246814"/>
      <w:bookmarkStart w:id="104" w:name="_Toc309305527"/>
      <w:bookmarkStart w:id="105" w:name="_Toc378166547"/>
      <w:r>
        <w:rPr>
          <w:rFonts w:ascii="宋体" w:hAnsi="宋体" w:cs="黑体"/>
          <w:b/>
          <w:kern w:val="0"/>
          <w:szCs w:val="21"/>
        </w:rPr>
        <w:t xml:space="preserve">2.2 </w:t>
      </w:r>
      <w:r>
        <w:rPr>
          <w:rFonts w:hint="eastAsia" w:ascii="宋体" w:hAnsi="宋体" w:cs="黑体"/>
          <w:b/>
          <w:kern w:val="0"/>
          <w:szCs w:val="21"/>
        </w:rPr>
        <w:t>招标文件的澄清</w:t>
      </w:r>
      <w:bookmarkEnd w:id="101"/>
      <w:bookmarkEnd w:id="102"/>
      <w:bookmarkEnd w:id="103"/>
      <w:bookmarkEnd w:id="104"/>
      <w:bookmarkEnd w:id="105"/>
    </w:p>
    <w:p>
      <w:pPr>
        <w:tabs>
          <w:tab w:val="left" w:pos="1480"/>
        </w:tabs>
        <w:autoSpaceDE w:val="0"/>
        <w:autoSpaceDN w:val="0"/>
        <w:adjustRightInd w:val="0"/>
        <w:spacing w:line="360" w:lineRule="auto"/>
        <w:ind w:firstLine="420" w:firstLineChars="200"/>
        <w:jc w:val="left"/>
        <w:rPr>
          <w:rFonts w:ascii="宋体" w:hAnsi="宋体" w:cs="TimesNewRomanPSMT"/>
          <w:kern w:val="0"/>
          <w:szCs w:val="21"/>
        </w:rPr>
      </w:pPr>
      <w:bookmarkStart w:id="106" w:name="_Toc378166548"/>
      <w:r>
        <w:rPr>
          <w:rFonts w:hint="eastAsia" w:ascii="宋体" w:hAnsi="宋体" w:cs="TimesNewRomanPSMT"/>
          <w:kern w:val="0"/>
          <w:szCs w:val="21"/>
        </w:rPr>
        <w:t>2.2.1 投标截止日前，招标人或招标代理机构可以对招标文件进行必要的澄清。澄清应以书面形式作出并通知所有购买招标文件的投标人。澄清构成招标文件的组成部分。</w:t>
      </w:r>
      <w:bookmarkEnd w:id="106"/>
    </w:p>
    <w:p>
      <w:pPr>
        <w:tabs>
          <w:tab w:val="left" w:pos="1480"/>
        </w:tabs>
        <w:autoSpaceDE w:val="0"/>
        <w:autoSpaceDN w:val="0"/>
        <w:adjustRightInd w:val="0"/>
        <w:spacing w:line="360" w:lineRule="auto"/>
        <w:ind w:firstLine="420" w:firstLineChars="200"/>
        <w:jc w:val="left"/>
        <w:rPr>
          <w:rFonts w:ascii="宋体" w:hAnsi="宋体" w:cs="TimesNewRomanPSMT"/>
          <w:kern w:val="0"/>
          <w:szCs w:val="21"/>
        </w:rPr>
      </w:pPr>
      <w:bookmarkStart w:id="107" w:name="_Toc378166549"/>
      <w:r>
        <w:rPr>
          <w:rFonts w:hint="eastAsia" w:ascii="宋体" w:hAnsi="宋体" w:cs="TimesNewRomanPSMT"/>
          <w:kern w:val="0"/>
          <w:szCs w:val="21"/>
        </w:rPr>
        <w:t>2.2.2 投标人在收到招标人澄清通知后，应在招标文件规定的时间内以书面形式向招标人或招标机构进行确认。</w:t>
      </w:r>
      <w:bookmarkEnd w:id="107"/>
    </w:p>
    <w:p>
      <w:pPr>
        <w:tabs>
          <w:tab w:val="left" w:pos="1480"/>
        </w:tabs>
        <w:autoSpaceDE w:val="0"/>
        <w:autoSpaceDN w:val="0"/>
        <w:adjustRightInd w:val="0"/>
        <w:spacing w:line="360" w:lineRule="auto"/>
        <w:ind w:firstLine="420" w:firstLineChars="200"/>
        <w:jc w:val="left"/>
        <w:rPr>
          <w:rFonts w:ascii="宋体" w:hAnsi="宋体"/>
          <w:kern w:val="0"/>
        </w:rPr>
      </w:pPr>
      <w:bookmarkStart w:id="108" w:name="_Toc378166550"/>
      <w:r>
        <w:rPr>
          <w:rFonts w:hint="eastAsia" w:ascii="宋体" w:hAnsi="宋体" w:cs="TimesNewRomanPSMT"/>
          <w:kern w:val="0"/>
          <w:szCs w:val="21"/>
        </w:rPr>
        <w:t>2.2.3 招标人认为澄清内容有可能影响投标文件编制的，应至少在投标截止日15日前发出澄清通知，不足15日的，招标人相应顺延提交投标文件的截止时间。</w:t>
      </w:r>
      <w:bookmarkEnd w:id="108"/>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09" w:name="_Toc378166551"/>
      <w:bookmarkStart w:id="110" w:name="_Toc309305528"/>
      <w:bookmarkStart w:id="111" w:name="_Toc309246815"/>
      <w:bookmarkStart w:id="112" w:name="_Toc309246683"/>
      <w:bookmarkStart w:id="113" w:name="_Toc309244656"/>
      <w:r>
        <w:rPr>
          <w:rFonts w:ascii="宋体" w:hAnsi="宋体" w:cs="黑体"/>
          <w:b/>
          <w:kern w:val="0"/>
          <w:szCs w:val="21"/>
        </w:rPr>
        <w:t xml:space="preserve">2.3 </w:t>
      </w:r>
      <w:r>
        <w:rPr>
          <w:rFonts w:hint="eastAsia" w:ascii="宋体" w:hAnsi="宋体" w:cs="黑体"/>
          <w:b/>
          <w:kern w:val="0"/>
          <w:szCs w:val="21"/>
        </w:rPr>
        <w:t>招标文件的修改</w:t>
      </w:r>
      <w:bookmarkEnd w:id="109"/>
      <w:bookmarkEnd w:id="110"/>
      <w:bookmarkEnd w:id="111"/>
      <w:bookmarkEnd w:id="112"/>
      <w:bookmarkEnd w:id="113"/>
    </w:p>
    <w:p>
      <w:pPr>
        <w:pStyle w:val="253"/>
        <w:rPr>
          <w:rFonts w:ascii="宋体" w:hAnsi="宋体"/>
        </w:rPr>
      </w:pPr>
      <w:r>
        <w:rPr>
          <w:rFonts w:hint="eastAsia" w:ascii="宋体" w:hAnsi="宋体"/>
        </w:rPr>
        <w:t>2.3.1投标截止日前，招标人或招标代理机构可以对招标文件进行必要的修改。修改应以书面形式作出并通知所有购买招标文件的投标人。修改构成招标文件的组成部分。</w:t>
      </w:r>
    </w:p>
    <w:p>
      <w:pPr>
        <w:pStyle w:val="253"/>
        <w:rPr>
          <w:rFonts w:ascii="宋体" w:hAnsi="宋体"/>
        </w:rPr>
      </w:pPr>
      <w:r>
        <w:rPr>
          <w:rFonts w:hint="eastAsia" w:ascii="宋体" w:hAnsi="宋体"/>
        </w:rPr>
        <w:t>2.3.2投标人在收到招标人修改通知后，应在招标文件规定的时间内以书面形式向招标人或招标机构进行确认。</w:t>
      </w:r>
    </w:p>
    <w:p>
      <w:pPr>
        <w:pStyle w:val="253"/>
        <w:rPr>
          <w:rFonts w:ascii="宋体" w:hAnsi="宋体"/>
          <w:kern w:val="0"/>
        </w:rPr>
      </w:pPr>
      <w:r>
        <w:rPr>
          <w:rFonts w:hint="eastAsia" w:ascii="宋体" w:hAnsi="宋体"/>
        </w:rPr>
        <w:t>2.3.3招标人认为招标文件修改内容有可能影响投标文件编制的，应至少在投标截止日15日前发出修改通知，不足15日的，招标人相应顺延提交投标文件的截止时间。</w:t>
      </w:r>
    </w:p>
    <w:p>
      <w:pPr>
        <w:pStyle w:val="254"/>
        <w:ind w:firstLine="422"/>
        <w:outlineLvl w:val="9"/>
        <w:rPr>
          <w:kern w:val="0"/>
        </w:rPr>
      </w:pPr>
      <w:bookmarkStart w:id="114" w:name="_Toc475633974"/>
      <w:bookmarkStart w:id="115" w:name="_Toc419383236"/>
      <w:bookmarkStart w:id="116" w:name="_Toc378166552"/>
      <w:bookmarkStart w:id="117" w:name="_Toc309246684"/>
      <w:r>
        <w:rPr>
          <w:kern w:val="0"/>
        </w:rPr>
        <w:t xml:space="preserve">3. </w:t>
      </w:r>
      <w:r>
        <w:rPr>
          <w:rFonts w:hint="eastAsia"/>
          <w:kern w:val="0"/>
        </w:rPr>
        <w:t>投标文件</w:t>
      </w:r>
      <w:bookmarkEnd w:id="114"/>
      <w:bookmarkEnd w:id="115"/>
      <w:bookmarkEnd w:id="116"/>
      <w:bookmarkEnd w:id="117"/>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18" w:name="_Toc378166553"/>
      <w:bookmarkStart w:id="119" w:name="_Toc309305530"/>
      <w:bookmarkStart w:id="120" w:name="_Toc309246817"/>
      <w:bookmarkStart w:id="121" w:name="_Toc309246685"/>
      <w:r>
        <w:rPr>
          <w:rFonts w:ascii="宋体" w:hAnsi="宋体" w:cs="黑体"/>
          <w:b/>
          <w:kern w:val="0"/>
          <w:szCs w:val="21"/>
        </w:rPr>
        <w:t xml:space="preserve">3.1 </w:t>
      </w:r>
      <w:r>
        <w:rPr>
          <w:rFonts w:hint="eastAsia" w:ascii="宋体" w:hAnsi="宋体" w:cs="黑体"/>
          <w:b/>
          <w:kern w:val="0"/>
          <w:szCs w:val="21"/>
        </w:rPr>
        <w:t>投标文件的组成</w:t>
      </w:r>
      <w:bookmarkEnd w:id="118"/>
      <w:bookmarkEnd w:id="119"/>
      <w:bookmarkEnd w:id="120"/>
      <w:bookmarkEnd w:id="121"/>
    </w:p>
    <w:p>
      <w:pPr>
        <w:pStyle w:val="253"/>
        <w:rPr>
          <w:rFonts w:ascii="宋体" w:hAnsi="宋体"/>
          <w:kern w:val="0"/>
        </w:rPr>
      </w:pPr>
      <w:r>
        <w:rPr>
          <w:rFonts w:ascii="宋体" w:hAnsi="宋体" w:cs="TimesNewRomanPSMT"/>
          <w:kern w:val="0"/>
        </w:rPr>
        <w:t xml:space="preserve">3.1.1 </w:t>
      </w:r>
      <w:r>
        <w:rPr>
          <w:rFonts w:hint="eastAsia" w:ascii="宋体" w:hAnsi="宋体"/>
          <w:kern w:val="0"/>
        </w:rPr>
        <w:t>投标文件应包括下列内容：报价部分、商务部分和技术部分</w:t>
      </w:r>
    </w:p>
    <w:p>
      <w:pPr>
        <w:pStyle w:val="253"/>
        <w:rPr>
          <w:rFonts w:ascii="宋体" w:hAnsi="宋体"/>
          <w:kern w:val="0"/>
        </w:rPr>
      </w:pPr>
      <w:r>
        <w:rPr>
          <w:rFonts w:ascii="宋体" w:hAnsi="宋体" w:cs="TimesNewRomanPSMT"/>
          <w:kern w:val="0"/>
        </w:rPr>
        <w:t xml:space="preserve">3.1.2 </w:t>
      </w:r>
      <w:r>
        <w:rPr>
          <w:rFonts w:hint="eastAsia" w:ascii="宋体" w:hAnsi="宋体"/>
          <w:kern w:val="0"/>
        </w:rPr>
        <w:t>投标人须知前附表规定不接受联合体投标的，或投标人没有组成联合体的，投标文件不包括联合体协议书。</w:t>
      </w:r>
    </w:p>
    <w:p>
      <w:pPr>
        <w:pStyle w:val="253"/>
        <w:rPr>
          <w:rFonts w:ascii="宋体" w:hAnsi="宋体"/>
          <w:kern w:val="0"/>
        </w:rPr>
      </w:pPr>
      <w:r>
        <w:rPr>
          <w:rFonts w:hint="eastAsia" w:ascii="宋体" w:hAnsi="宋体"/>
          <w:kern w:val="0"/>
        </w:rPr>
        <w:t xml:space="preserve">3.1.3组成联合体投标时，应符合下列要求：                                 </w:t>
      </w:r>
    </w:p>
    <w:p>
      <w:pPr>
        <w:pStyle w:val="253"/>
        <w:rPr>
          <w:rFonts w:ascii="宋体" w:hAnsi="宋体"/>
          <w:kern w:val="0"/>
        </w:rPr>
      </w:pPr>
      <w:r>
        <w:rPr>
          <w:rFonts w:hint="eastAsia" w:ascii="宋体" w:hAnsi="宋体"/>
          <w:kern w:val="0"/>
        </w:rPr>
        <w:t>3.1.3.1 联合体参加投标，各方必须签订联合体协议，在协议中应明确各方在联合体中的责任、承担任务量，联合体协议书应随投标文件提交。</w:t>
      </w:r>
    </w:p>
    <w:p>
      <w:pPr>
        <w:pStyle w:val="253"/>
        <w:rPr>
          <w:rFonts w:ascii="宋体" w:hAnsi="宋体"/>
          <w:kern w:val="0"/>
        </w:rPr>
      </w:pPr>
      <w:r>
        <w:rPr>
          <w:rFonts w:hint="eastAsia" w:ascii="宋体" w:hAnsi="宋体"/>
          <w:kern w:val="0"/>
        </w:rPr>
        <w:t>3.1.3.2 联合体各方签订联合体协议后，不得再以自己名义单独投标，也不得组成新的联合体或参加其他联合体投标。</w:t>
      </w:r>
    </w:p>
    <w:p>
      <w:pPr>
        <w:pStyle w:val="253"/>
        <w:rPr>
          <w:rFonts w:ascii="宋体" w:hAnsi="宋体"/>
          <w:kern w:val="0"/>
        </w:rPr>
      </w:pPr>
      <w:r>
        <w:rPr>
          <w:rFonts w:hint="eastAsia" w:ascii="宋体" w:hAnsi="宋体"/>
          <w:kern w:val="0"/>
        </w:rPr>
        <w:t>3.1.3.3 联合体牵头人为投标邀请函中的被邀请人，联合体授权牵头人代表所有联合体成员负责投标和合同实施阶段的主办、协调工作，并应当向招标人提交由所有联合体成员法定代表人签署的授权书。</w:t>
      </w:r>
    </w:p>
    <w:p>
      <w:pPr>
        <w:pStyle w:val="253"/>
        <w:rPr>
          <w:rFonts w:ascii="宋体" w:hAnsi="宋体"/>
          <w:kern w:val="0"/>
        </w:rPr>
      </w:pPr>
      <w:r>
        <w:rPr>
          <w:rFonts w:hint="eastAsia" w:ascii="宋体" w:hAnsi="宋体"/>
          <w:kern w:val="0"/>
        </w:rPr>
        <w:t>3.1.3.4 联合体中标的，联合体各方应共同与招标人签订合同，就中标项目向招标人承担连带责任。</w:t>
      </w:r>
    </w:p>
    <w:p>
      <w:pPr>
        <w:pStyle w:val="253"/>
        <w:rPr>
          <w:rFonts w:ascii="宋体" w:hAnsi="宋体"/>
          <w:kern w:val="0"/>
        </w:rPr>
      </w:pPr>
      <w:r>
        <w:rPr>
          <w:rFonts w:hint="eastAsia" w:ascii="宋体" w:hAnsi="宋体"/>
          <w:kern w:val="0"/>
        </w:rPr>
        <w:t>3.1.3.5 投标人组成联合体的，投标文件不包括本章第3.1.1（3）目所指的授权委托书。</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22" w:name="_Toc309246686"/>
      <w:bookmarkStart w:id="123" w:name="_Toc309246818"/>
      <w:bookmarkStart w:id="124" w:name="_Toc309305531"/>
      <w:bookmarkStart w:id="125" w:name="_Toc378166554"/>
      <w:r>
        <w:rPr>
          <w:rFonts w:ascii="宋体" w:hAnsi="宋体" w:cs="黑体"/>
          <w:b/>
          <w:kern w:val="0"/>
          <w:szCs w:val="21"/>
        </w:rPr>
        <w:t xml:space="preserve">3.2 </w:t>
      </w:r>
      <w:r>
        <w:rPr>
          <w:rFonts w:hint="eastAsia" w:ascii="宋体" w:hAnsi="宋体" w:cs="黑体"/>
          <w:b/>
          <w:kern w:val="0"/>
          <w:szCs w:val="21"/>
        </w:rPr>
        <w:t>投标报价</w:t>
      </w:r>
      <w:bookmarkEnd w:id="122"/>
      <w:bookmarkEnd w:id="123"/>
      <w:bookmarkEnd w:id="124"/>
      <w:bookmarkEnd w:id="125"/>
    </w:p>
    <w:p>
      <w:pPr>
        <w:pStyle w:val="253"/>
        <w:rPr>
          <w:rFonts w:ascii="宋体" w:hAnsi="宋体"/>
          <w:kern w:val="0"/>
        </w:rPr>
      </w:pPr>
      <w:r>
        <w:rPr>
          <w:rFonts w:hint="eastAsia" w:ascii="宋体" w:hAnsi="宋体"/>
          <w:kern w:val="0"/>
        </w:rPr>
        <w:t>投标人应按第六章“报价要求及其他关键性要求”的要求报价</w:t>
      </w:r>
      <w:r>
        <w:rPr>
          <w:rFonts w:hint="eastAsia" w:ascii="宋体" w:hAnsi="宋体" w:cs="TimesNewRomanPSMT"/>
          <w:kern w:val="0"/>
        </w:rPr>
        <w:t>。</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26" w:name="_Toc309246687"/>
      <w:bookmarkStart w:id="127" w:name="_Toc309246819"/>
      <w:bookmarkStart w:id="128" w:name="_Toc309305532"/>
      <w:bookmarkStart w:id="129" w:name="_Toc378166555"/>
      <w:r>
        <w:rPr>
          <w:rFonts w:ascii="宋体" w:hAnsi="宋体" w:cs="黑体"/>
          <w:b/>
          <w:kern w:val="0"/>
          <w:szCs w:val="21"/>
        </w:rPr>
        <w:t xml:space="preserve">3.3 </w:t>
      </w:r>
      <w:r>
        <w:rPr>
          <w:rFonts w:hint="eastAsia" w:ascii="宋体" w:hAnsi="宋体" w:cs="黑体"/>
          <w:b/>
          <w:kern w:val="0"/>
          <w:szCs w:val="21"/>
        </w:rPr>
        <w:t>投标有效期</w:t>
      </w:r>
      <w:bookmarkEnd w:id="126"/>
      <w:bookmarkEnd w:id="127"/>
      <w:bookmarkEnd w:id="128"/>
      <w:bookmarkEnd w:id="129"/>
    </w:p>
    <w:p>
      <w:pPr>
        <w:tabs>
          <w:tab w:val="left" w:pos="1480"/>
        </w:tabs>
        <w:autoSpaceDE w:val="0"/>
        <w:autoSpaceDN w:val="0"/>
        <w:adjustRightInd w:val="0"/>
        <w:spacing w:line="360" w:lineRule="auto"/>
        <w:ind w:firstLine="420" w:firstLineChars="200"/>
        <w:jc w:val="left"/>
        <w:rPr>
          <w:rFonts w:ascii="宋体" w:hAnsi="宋体" w:cs="TimesNewRomanPSMT"/>
          <w:kern w:val="0"/>
          <w:szCs w:val="21"/>
        </w:rPr>
      </w:pPr>
      <w:bookmarkStart w:id="130" w:name="_Toc378166556"/>
      <w:r>
        <w:rPr>
          <w:rFonts w:hint="eastAsia" w:ascii="宋体" w:hAnsi="宋体" w:cs="TimesNewRomanPSMT"/>
          <w:kern w:val="0"/>
          <w:szCs w:val="21"/>
        </w:rPr>
        <w:t>3.3.1 所投的标应从投标截止日起，在“投标人须知前附表”第7项所规定的以日历天计算投标有效期内有效。投标有效期不足的投标将被视为非响应性投标而予以拒绝。</w:t>
      </w:r>
      <w:bookmarkEnd w:id="130"/>
    </w:p>
    <w:p>
      <w:pPr>
        <w:tabs>
          <w:tab w:val="left" w:pos="1480"/>
        </w:tabs>
        <w:autoSpaceDE w:val="0"/>
        <w:autoSpaceDN w:val="0"/>
        <w:adjustRightInd w:val="0"/>
        <w:spacing w:line="360" w:lineRule="auto"/>
        <w:ind w:firstLine="420" w:firstLineChars="200"/>
        <w:jc w:val="left"/>
        <w:rPr>
          <w:rFonts w:ascii="宋体" w:hAnsi="宋体"/>
          <w:kern w:val="0"/>
        </w:rPr>
      </w:pPr>
      <w:bookmarkStart w:id="131" w:name="_Toc378166557"/>
      <w:r>
        <w:rPr>
          <w:rFonts w:hint="eastAsia" w:ascii="宋体" w:hAnsi="宋体" w:cs="TimesNewRomanPSMT"/>
          <w:kern w:val="0"/>
          <w:szCs w:val="21"/>
        </w:rPr>
        <w:t>3.3.2 在特殊情况下，招标人可于投标有效期期满之前要求投标人同意延长有效期。要求与答复均应为书面形式提交。投标人可以拒绝上述要求，其投标保证金不被没收；对于同意该要求的投标人，既不要求也不允许其修改投标文件，但将要求其相应延长投标保证金的有效期。第3.4条中有关退还和没收投标保证金的规定在投标有效期的延长期内继续有效。</w:t>
      </w:r>
      <w:bookmarkEnd w:id="131"/>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32" w:name="_Toc309246688"/>
      <w:bookmarkStart w:id="133" w:name="_Toc309246820"/>
      <w:bookmarkStart w:id="134" w:name="_Toc309305533"/>
      <w:bookmarkStart w:id="135" w:name="_Toc378166558"/>
      <w:r>
        <w:rPr>
          <w:rFonts w:ascii="宋体" w:hAnsi="宋体" w:cs="黑体"/>
          <w:b/>
          <w:kern w:val="0"/>
          <w:szCs w:val="21"/>
        </w:rPr>
        <w:t xml:space="preserve">3.4 </w:t>
      </w:r>
      <w:r>
        <w:rPr>
          <w:rFonts w:hint="eastAsia" w:ascii="宋体" w:hAnsi="宋体" w:cs="黑体"/>
          <w:b/>
          <w:kern w:val="0"/>
          <w:szCs w:val="21"/>
        </w:rPr>
        <w:t>投标保证金</w:t>
      </w:r>
      <w:bookmarkEnd w:id="132"/>
      <w:bookmarkEnd w:id="133"/>
      <w:bookmarkEnd w:id="134"/>
      <w:bookmarkEnd w:id="135"/>
    </w:p>
    <w:p>
      <w:pPr>
        <w:pStyle w:val="253"/>
        <w:rPr>
          <w:rFonts w:ascii="宋体" w:hAnsi="宋体"/>
          <w:kern w:val="0"/>
        </w:rPr>
      </w:pPr>
      <w:r>
        <w:rPr>
          <w:rFonts w:hint="eastAsia" w:ascii="宋体" w:hAnsi="宋体"/>
          <w:kern w:val="0"/>
        </w:rPr>
        <w:t>3.4.1 投标人应以投标货币提交一笔相当于“投标人须知前附表”规定金额的投标保证金作为其投标的一部分。</w:t>
      </w:r>
    </w:p>
    <w:p>
      <w:pPr>
        <w:pStyle w:val="253"/>
        <w:rPr>
          <w:rFonts w:ascii="宋体" w:hAnsi="宋体"/>
          <w:kern w:val="0"/>
        </w:rPr>
      </w:pPr>
      <w:r>
        <w:rPr>
          <w:rFonts w:hint="eastAsia" w:ascii="宋体" w:hAnsi="宋体"/>
          <w:kern w:val="0"/>
        </w:rPr>
        <w:t>3.4.2 当发生本章第3.4.7款规定的任一情形时，投标保证金将被没收。</w:t>
      </w:r>
    </w:p>
    <w:p>
      <w:pPr>
        <w:pStyle w:val="253"/>
        <w:rPr>
          <w:rFonts w:ascii="宋体" w:hAnsi="宋体"/>
          <w:kern w:val="0"/>
        </w:rPr>
      </w:pPr>
      <w:r>
        <w:rPr>
          <w:rFonts w:hint="eastAsia" w:ascii="宋体" w:hAnsi="宋体"/>
          <w:kern w:val="0"/>
        </w:rPr>
        <w:t>3.4.3 投标保证金应以投标货币，并以下列任何一种方式开出：</w:t>
      </w:r>
    </w:p>
    <w:p>
      <w:pPr>
        <w:pStyle w:val="253"/>
        <w:rPr>
          <w:rFonts w:ascii="宋体" w:hAnsi="宋体"/>
          <w:kern w:val="0"/>
        </w:rPr>
      </w:pPr>
      <w:r>
        <w:rPr>
          <w:rFonts w:hint="eastAsia" w:ascii="宋体" w:hAnsi="宋体"/>
          <w:kern w:val="0"/>
        </w:rPr>
        <w:t>（1）由一家在中华人民共和国国内或国外信誉</w:t>
      </w:r>
      <w:r>
        <w:rPr>
          <w:rFonts w:hint="eastAsia" w:ascii="宋体" w:hAnsi="宋体"/>
        </w:rPr>
        <w:t>良好并经招标人认可</w:t>
      </w:r>
      <w:r>
        <w:rPr>
          <w:rFonts w:hint="eastAsia" w:ascii="宋体" w:hAnsi="宋体"/>
          <w:kern w:val="0"/>
        </w:rPr>
        <w:t>的银行用招标文件提供的格式或招标人接受的其它格式出具的银行保函，其有效期与投标有效期一致；（不适用）</w:t>
      </w:r>
    </w:p>
    <w:p>
      <w:pPr>
        <w:pStyle w:val="253"/>
        <w:rPr>
          <w:rFonts w:ascii="宋体" w:hAnsi="宋体"/>
          <w:kern w:val="0"/>
        </w:rPr>
      </w:pPr>
      <w:r>
        <w:rPr>
          <w:rFonts w:hint="eastAsia" w:ascii="宋体" w:hAnsi="宋体"/>
          <w:kern w:val="0"/>
        </w:rPr>
        <w:t>（2）电汇、转账投标保证金应按招标文件中所附格式提供。</w:t>
      </w:r>
    </w:p>
    <w:p>
      <w:pPr>
        <w:pStyle w:val="253"/>
        <w:rPr>
          <w:rFonts w:ascii="宋体" w:hAnsi="宋体"/>
          <w:kern w:val="0"/>
        </w:rPr>
      </w:pPr>
      <w:r>
        <w:rPr>
          <w:rFonts w:hint="eastAsia" w:ascii="宋体" w:hAnsi="宋体"/>
          <w:kern w:val="0"/>
        </w:rPr>
        <w:t>3.4.4 任何未按本章第3.4.1和本章3.4.3款规定提交投标保证金的投标，将被视为非响应性投标而按本章第6.1.4款予以拒绝。</w:t>
      </w:r>
    </w:p>
    <w:p>
      <w:pPr>
        <w:pStyle w:val="253"/>
        <w:rPr>
          <w:rFonts w:ascii="宋体" w:hAnsi="宋体"/>
          <w:kern w:val="0"/>
        </w:rPr>
      </w:pPr>
      <w:r>
        <w:rPr>
          <w:rFonts w:hint="eastAsia" w:ascii="宋体" w:hAnsi="宋体"/>
          <w:kern w:val="0"/>
        </w:rPr>
        <w:t>3.4.5 未中标的投标人的投标保证金，招标人将最迟在与中标人签订书面合同后5日内予以退还。</w:t>
      </w:r>
    </w:p>
    <w:p>
      <w:pPr>
        <w:pStyle w:val="253"/>
        <w:rPr>
          <w:rFonts w:ascii="宋体" w:hAnsi="宋体"/>
          <w:kern w:val="0"/>
        </w:rPr>
      </w:pPr>
      <w:r>
        <w:rPr>
          <w:rFonts w:hint="eastAsia" w:ascii="宋体" w:hAnsi="宋体"/>
          <w:kern w:val="0"/>
        </w:rPr>
        <w:t>3.4.6 中标的投标人的投标保证金，在投标人按本章第7.6款签订合同后予以退回。</w:t>
      </w:r>
    </w:p>
    <w:p>
      <w:pPr>
        <w:pStyle w:val="253"/>
        <w:rPr>
          <w:rFonts w:ascii="宋体" w:hAnsi="宋体"/>
          <w:kern w:val="0"/>
        </w:rPr>
      </w:pPr>
      <w:r>
        <w:rPr>
          <w:rFonts w:hint="eastAsia" w:ascii="宋体" w:hAnsi="宋体"/>
          <w:kern w:val="0"/>
        </w:rPr>
        <w:t>3.4.7 发生以下情况投标保证金均将被没收：</w:t>
      </w:r>
    </w:p>
    <w:p>
      <w:pPr>
        <w:pStyle w:val="253"/>
        <w:rPr>
          <w:rFonts w:ascii="宋体" w:hAnsi="宋体"/>
          <w:kern w:val="0"/>
        </w:rPr>
      </w:pPr>
      <w:r>
        <w:rPr>
          <w:rFonts w:hint="eastAsia" w:ascii="宋体" w:hAnsi="宋体"/>
          <w:kern w:val="0"/>
        </w:rPr>
        <w:t xml:space="preserve">（1）如果投标人在本章第3.3款规定的投标有效期内撤回投标； </w:t>
      </w:r>
    </w:p>
    <w:p>
      <w:pPr>
        <w:pStyle w:val="253"/>
        <w:rPr>
          <w:rFonts w:ascii="宋体" w:hAnsi="宋体"/>
          <w:kern w:val="0"/>
        </w:rPr>
      </w:pPr>
      <w:bookmarkStart w:id="136" w:name="_Toc309246822"/>
      <w:bookmarkStart w:id="137" w:name="_Toc309305535"/>
      <w:bookmarkStart w:id="138" w:name="_Toc309246690"/>
      <w:r>
        <w:rPr>
          <w:rFonts w:hint="eastAsia" w:ascii="宋体" w:hAnsi="宋体"/>
          <w:kern w:val="0"/>
        </w:rPr>
        <w:t>（2）如果中标人在中标通知发出之日起30日内未按本章第7.6款规定签订合同。</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39" w:name="_Toc378166559"/>
      <w:r>
        <w:rPr>
          <w:rFonts w:ascii="宋体" w:hAnsi="宋体" w:cs="黑体"/>
          <w:b/>
          <w:kern w:val="0"/>
          <w:szCs w:val="21"/>
        </w:rPr>
        <w:t xml:space="preserve">3.5 </w:t>
      </w:r>
      <w:r>
        <w:rPr>
          <w:rFonts w:hint="eastAsia" w:ascii="宋体" w:hAnsi="宋体" w:cs="黑体"/>
          <w:b/>
          <w:kern w:val="0"/>
          <w:szCs w:val="21"/>
        </w:rPr>
        <w:t>资格审查资料</w:t>
      </w:r>
      <w:bookmarkEnd w:id="136"/>
      <w:bookmarkEnd w:id="137"/>
      <w:bookmarkEnd w:id="138"/>
      <w:bookmarkEnd w:id="139"/>
    </w:p>
    <w:p>
      <w:pPr>
        <w:pStyle w:val="253"/>
        <w:rPr>
          <w:rFonts w:ascii="宋体" w:hAnsi="宋体"/>
          <w:kern w:val="0"/>
        </w:rPr>
      </w:pPr>
      <w:r>
        <w:rPr>
          <w:rFonts w:ascii="宋体" w:hAnsi="宋体" w:cs="TimesNewRomanPSMT"/>
          <w:kern w:val="0"/>
        </w:rPr>
        <w:t xml:space="preserve">3.5.1 </w:t>
      </w:r>
      <w:r>
        <w:rPr>
          <w:rFonts w:hint="eastAsia" w:ascii="宋体" w:hAnsi="宋体"/>
          <w:kern w:val="0"/>
        </w:rPr>
        <w:t>“投标人基本情况表”应附投标人营业执照副本及其年检合格的证明材料、资质证书副本和安全生产许可证等材料的复印件，及其分子公司名单和相关资质文件。</w:t>
      </w:r>
    </w:p>
    <w:p>
      <w:pPr>
        <w:pStyle w:val="253"/>
        <w:rPr>
          <w:rFonts w:ascii="宋体" w:hAnsi="宋体"/>
          <w:kern w:val="0"/>
        </w:rPr>
      </w:pPr>
      <w:r>
        <w:rPr>
          <w:rFonts w:ascii="宋体" w:hAnsi="宋体" w:cs="TimesNewRomanPSMT"/>
          <w:kern w:val="0"/>
        </w:rPr>
        <w:t xml:space="preserve">3.5.2 </w:t>
      </w:r>
      <w:r>
        <w:rPr>
          <w:rFonts w:hint="eastAsia" w:ascii="宋体" w:hAnsi="宋体"/>
          <w:kern w:val="0"/>
        </w:rPr>
        <w:t>“近年财务状况表”具体要求见投标人须知前附表。</w:t>
      </w:r>
    </w:p>
    <w:p>
      <w:pPr>
        <w:pStyle w:val="253"/>
        <w:rPr>
          <w:rFonts w:ascii="宋体" w:hAnsi="宋体"/>
          <w:kern w:val="0"/>
        </w:rPr>
      </w:pPr>
      <w:r>
        <w:rPr>
          <w:rFonts w:ascii="宋体" w:hAnsi="宋体" w:cs="TimesNewRomanPSMT"/>
          <w:kern w:val="0"/>
        </w:rPr>
        <w:t xml:space="preserve">3.5.3 </w:t>
      </w:r>
      <w:r>
        <w:rPr>
          <w:rFonts w:hint="eastAsia" w:ascii="宋体" w:hAnsi="宋体"/>
          <w:kern w:val="0"/>
        </w:rPr>
        <w:t>“近年完成的类似项目情况表”具体要求见投标人须知前附表。每张表格只填写一个项目，并标明序号。</w:t>
      </w:r>
    </w:p>
    <w:p>
      <w:pPr>
        <w:pStyle w:val="253"/>
        <w:rPr>
          <w:rFonts w:ascii="宋体" w:hAnsi="宋体"/>
          <w:kern w:val="0"/>
        </w:rPr>
      </w:pPr>
      <w:r>
        <w:rPr>
          <w:rFonts w:ascii="宋体" w:hAnsi="宋体" w:cs="TimesNewRomanPSMT"/>
          <w:kern w:val="0"/>
        </w:rPr>
        <w:t xml:space="preserve">3.5.4 </w:t>
      </w:r>
      <w:r>
        <w:rPr>
          <w:rFonts w:hint="eastAsia" w:ascii="宋体" w:hAnsi="宋体"/>
          <w:kern w:val="0"/>
        </w:rPr>
        <w:t>“进行中和新承接的项目情况表”应附中标通知书或合同首页及签字页复印件。每张表格只填写一个项目，并标明序号。</w:t>
      </w:r>
    </w:p>
    <w:p>
      <w:pPr>
        <w:pStyle w:val="253"/>
        <w:rPr>
          <w:rFonts w:ascii="宋体" w:hAnsi="宋体"/>
          <w:kern w:val="0"/>
        </w:rPr>
      </w:pPr>
      <w:r>
        <w:rPr>
          <w:rFonts w:ascii="宋体" w:hAnsi="宋体" w:cs="TimesNewRomanPSMT"/>
          <w:kern w:val="0"/>
        </w:rPr>
        <w:t xml:space="preserve">3.5.5 </w:t>
      </w:r>
      <w:r>
        <w:rPr>
          <w:rFonts w:hint="eastAsia" w:ascii="宋体" w:hAnsi="宋体"/>
          <w:kern w:val="0"/>
        </w:rPr>
        <w:t>“信誉情况”应说明相关情况，具体要求见投标人须知前附表。</w:t>
      </w:r>
    </w:p>
    <w:p>
      <w:pPr>
        <w:pStyle w:val="253"/>
        <w:rPr>
          <w:rFonts w:ascii="宋体" w:hAnsi="宋体"/>
          <w:kern w:val="0"/>
        </w:rPr>
      </w:pPr>
      <w:r>
        <w:rPr>
          <w:rFonts w:ascii="宋体" w:hAnsi="宋体" w:cs="TimesNewRomanPSMT"/>
          <w:kern w:val="0"/>
        </w:rPr>
        <w:t xml:space="preserve">3.5.6 </w:t>
      </w:r>
      <w:r>
        <w:rPr>
          <w:rFonts w:hint="eastAsia" w:ascii="宋体" w:hAnsi="宋体"/>
          <w:kern w:val="0"/>
        </w:rPr>
        <w:t>投标人须知前附表规定接受联合体投标的，本章第</w:t>
      </w:r>
      <w:r>
        <w:rPr>
          <w:rFonts w:ascii="宋体" w:hAnsi="宋体" w:cs="TimesNewRomanPSMT"/>
          <w:kern w:val="0"/>
        </w:rPr>
        <w:t>3.5.1</w:t>
      </w:r>
      <w:r>
        <w:rPr>
          <w:rFonts w:hint="eastAsia" w:ascii="宋体" w:hAnsi="宋体"/>
          <w:kern w:val="0"/>
        </w:rPr>
        <w:t>项至第</w:t>
      </w:r>
      <w:r>
        <w:rPr>
          <w:rFonts w:ascii="宋体" w:hAnsi="宋体" w:cs="TimesNewRomanPSMT"/>
          <w:kern w:val="0"/>
        </w:rPr>
        <w:t>3.5.5</w:t>
      </w:r>
      <w:r>
        <w:rPr>
          <w:rFonts w:hint="eastAsia" w:ascii="宋体" w:hAnsi="宋体"/>
          <w:kern w:val="0"/>
        </w:rPr>
        <w:t>项规定的表格和资料应包括联合体各方相关情况。</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40" w:name="_Toc309246691"/>
      <w:bookmarkStart w:id="141" w:name="_Toc309246823"/>
      <w:bookmarkStart w:id="142" w:name="_Toc309305536"/>
      <w:bookmarkStart w:id="143" w:name="_Toc378166560"/>
      <w:r>
        <w:rPr>
          <w:rFonts w:ascii="宋体" w:hAnsi="宋体" w:cs="黑体"/>
          <w:b/>
          <w:kern w:val="0"/>
          <w:szCs w:val="21"/>
        </w:rPr>
        <w:t xml:space="preserve">3.6 </w:t>
      </w:r>
      <w:r>
        <w:rPr>
          <w:rFonts w:hint="eastAsia" w:ascii="宋体" w:hAnsi="宋体" w:cs="黑体"/>
          <w:b/>
          <w:kern w:val="0"/>
          <w:szCs w:val="21"/>
        </w:rPr>
        <w:t>备选投标方案</w:t>
      </w:r>
      <w:bookmarkEnd w:id="140"/>
      <w:bookmarkEnd w:id="141"/>
      <w:bookmarkEnd w:id="142"/>
      <w:bookmarkEnd w:id="143"/>
    </w:p>
    <w:p>
      <w:pPr>
        <w:pStyle w:val="253"/>
        <w:rPr>
          <w:rFonts w:ascii="宋体" w:hAnsi="宋体"/>
          <w:kern w:val="0"/>
        </w:rPr>
      </w:pPr>
      <w:r>
        <w:rPr>
          <w:rFonts w:hint="eastAsia" w:ascii="宋体" w:hAnsi="宋体"/>
          <w:kern w:val="0"/>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44" w:name="_Toc309246692"/>
      <w:bookmarkStart w:id="145" w:name="_Toc309246824"/>
      <w:bookmarkStart w:id="146" w:name="_Toc309305537"/>
      <w:bookmarkStart w:id="147" w:name="_Toc378166561"/>
      <w:r>
        <w:rPr>
          <w:rFonts w:ascii="宋体" w:hAnsi="宋体" w:cs="黑体"/>
          <w:b/>
          <w:kern w:val="0"/>
          <w:szCs w:val="21"/>
        </w:rPr>
        <w:t xml:space="preserve">3.7 </w:t>
      </w:r>
      <w:r>
        <w:rPr>
          <w:rFonts w:hint="eastAsia" w:ascii="宋体" w:hAnsi="宋体" w:cs="黑体"/>
          <w:b/>
          <w:kern w:val="0"/>
          <w:szCs w:val="21"/>
        </w:rPr>
        <w:t>投标文件的编制</w:t>
      </w:r>
      <w:bookmarkEnd w:id="144"/>
      <w:bookmarkEnd w:id="145"/>
      <w:bookmarkEnd w:id="146"/>
      <w:bookmarkEnd w:id="147"/>
    </w:p>
    <w:p>
      <w:pPr>
        <w:pStyle w:val="253"/>
        <w:rPr>
          <w:rFonts w:ascii="宋体" w:hAnsi="宋体"/>
          <w:kern w:val="0"/>
        </w:rPr>
      </w:pPr>
      <w:r>
        <w:rPr>
          <w:rFonts w:ascii="宋体" w:hAnsi="宋体" w:cs="TimesNewRomanPSMT"/>
          <w:kern w:val="0"/>
        </w:rPr>
        <w:t xml:space="preserve">3.7.1 </w:t>
      </w:r>
      <w:r>
        <w:rPr>
          <w:rFonts w:hint="eastAsia" w:ascii="宋体" w:hAnsi="宋体"/>
          <w:kern w:val="0"/>
        </w:rPr>
        <w:t>投标文件应按第八章“投标文件格式”进行编写，如有必要，可以增加附页，作为投标文件的组成部分。</w:t>
      </w:r>
    </w:p>
    <w:p>
      <w:pPr>
        <w:pStyle w:val="253"/>
        <w:rPr>
          <w:rFonts w:ascii="宋体" w:hAnsi="宋体"/>
          <w:kern w:val="0"/>
        </w:rPr>
      </w:pPr>
      <w:r>
        <w:rPr>
          <w:rFonts w:ascii="宋体" w:hAnsi="宋体" w:cs="TimesNewRomanPSMT"/>
          <w:kern w:val="0"/>
        </w:rPr>
        <w:t xml:space="preserve">3.7.2 </w:t>
      </w:r>
      <w:r>
        <w:rPr>
          <w:rFonts w:hint="eastAsia" w:ascii="宋体" w:hAnsi="宋体"/>
          <w:kern w:val="0"/>
        </w:rPr>
        <w:t>投标文件应当对招标文件有关工期、投标有效期、质量要求、技术标准和要求、招标范围等实质性内容作出响应。</w:t>
      </w:r>
    </w:p>
    <w:p>
      <w:pPr>
        <w:pStyle w:val="253"/>
        <w:rPr>
          <w:rFonts w:ascii="宋体" w:hAnsi="宋体"/>
          <w:kern w:val="0"/>
        </w:rPr>
      </w:pPr>
      <w:r>
        <w:rPr>
          <w:rFonts w:ascii="宋体" w:hAnsi="宋体"/>
          <w:kern w:val="0"/>
        </w:rPr>
        <w:t xml:space="preserve">3.7.3 </w:t>
      </w:r>
      <w:r>
        <w:rPr>
          <w:rFonts w:hint="eastAsia" w:ascii="宋体" w:hAnsi="宋体"/>
          <w:kern w:val="0"/>
        </w:rPr>
        <w:t>投标文件应用不褪色的、</w:t>
      </w:r>
      <w:r>
        <w:rPr>
          <w:rFonts w:ascii="宋体" w:hAnsi="宋体"/>
          <w:kern w:val="0"/>
        </w:rPr>
        <w:t>定量为70g/m</w:t>
      </w:r>
      <w:r>
        <w:rPr>
          <w:rFonts w:ascii="宋体" w:hAnsi="宋体"/>
          <w:kern w:val="0"/>
          <w:vertAlign w:val="superscript"/>
        </w:rPr>
        <w:t>2</w:t>
      </w:r>
      <w:r>
        <w:rPr>
          <w:rFonts w:ascii="宋体" w:hAnsi="宋体"/>
          <w:kern w:val="0"/>
        </w:rPr>
        <w:t>的A4（个别图表可采用A3幅面，但必须折为A4幅面</w:t>
      </w:r>
      <w:r>
        <w:rPr>
          <w:rFonts w:hint="eastAsia" w:ascii="宋体" w:hAnsi="宋体"/>
          <w:kern w:val="0"/>
        </w:rPr>
        <w:t>）</w:t>
      </w:r>
      <w:r>
        <w:rPr>
          <w:rFonts w:ascii="宋体" w:hAnsi="宋体"/>
          <w:kern w:val="0"/>
        </w:rPr>
        <w:t>胶版印刷纸或复印纸</w:t>
      </w:r>
      <w:r>
        <w:rPr>
          <w:rFonts w:hint="eastAsia" w:ascii="宋体" w:hAnsi="宋体"/>
          <w:kern w:val="0"/>
        </w:rPr>
        <w:t>打印或复印。</w:t>
      </w:r>
      <w:r>
        <w:rPr>
          <w:rFonts w:hint="eastAsia" w:ascii="宋体" w:hAnsi="宋体"/>
          <w:b/>
          <w:color w:val="FF0000"/>
          <w:kern w:val="0"/>
        </w:rPr>
        <w:t>并注明</w:t>
      </w:r>
      <w:r>
        <w:rPr>
          <w:rFonts w:ascii="宋体" w:hAnsi="宋体"/>
          <w:b/>
          <w:color w:val="FF0000"/>
          <w:kern w:val="0"/>
        </w:rPr>
        <w:t>连续页码。</w:t>
      </w:r>
    </w:p>
    <w:p>
      <w:pPr>
        <w:pStyle w:val="253"/>
        <w:rPr>
          <w:rFonts w:ascii="宋体" w:hAnsi="宋体"/>
          <w:kern w:val="0"/>
        </w:rPr>
      </w:pPr>
      <w:r>
        <w:rPr>
          <w:rFonts w:ascii="宋体" w:hAnsi="宋体"/>
          <w:kern w:val="0"/>
        </w:rPr>
        <w:t>3.7.</w:t>
      </w:r>
      <w:r>
        <w:rPr>
          <w:rFonts w:hint="eastAsia" w:ascii="宋体" w:hAnsi="宋体"/>
          <w:kern w:val="0"/>
        </w:rPr>
        <w:t>4 投标文件由投标人的法定代表人或其委托代理人签字，并加盖投标人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pStyle w:val="253"/>
        <w:rPr>
          <w:rFonts w:ascii="宋体" w:hAnsi="宋体"/>
          <w:kern w:val="0"/>
        </w:rPr>
      </w:pPr>
      <w:r>
        <w:rPr>
          <w:rFonts w:ascii="宋体" w:hAnsi="宋体" w:cs="TimesNewRomanPSMT"/>
          <w:kern w:val="0"/>
        </w:rPr>
        <w:t>3.7.</w:t>
      </w:r>
      <w:r>
        <w:rPr>
          <w:rFonts w:hint="eastAsia" w:ascii="宋体" w:hAnsi="宋体" w:cs="TimesNewRomanPSMT"/>
          <w:kern w:val="0"/>
        </w:rPr>
        <w:t xml:space="preserve">5 </w:t>
      </w:r>
      <w:r>
        <w:rPr>
          <w:rFonts w:hint="eastAsia" w:ascii="宋体" w:hAnsi="宋体"/>
          <w:kern w:val="0"/>
        </w:rPr>
        <w:t>投标文件正本一份</w:t>
      </w:r>
      <w:r>
        <w:rPr>
          <w:rFonts w:ascii="宋体" w:hAnsi="宋体" w:cs="TimesNewRomanPSMT"/>
          <w:kern w:val="0"/>
        </w:rPr>
        <w:t xml:space="preserve">, </w:t>
      </w:r>
      <w:r>
        <w:rPr>
          <w:rFonts w:hint="eastAsia" w:ascii="宋体" w:hAnsi="宋体"/>
          <w:kern w:val="0"/>
        </w:rPr>
        <w:t>副本份数见投标人须知前附表。正本和副本的封面上应清楚地标记“正本”或“副本”的字样。当副本和正本不一致时，以正本为准。</w:t>
      </w:r>
    </w:p>
    <w:p>
      <w:pPr>
        <w:pStyle w:val="253"/>
        <w:rPr>
          <w:rFonts w:ascii="宋体" w:hAnsi="宋体"/>
          <w:kern w:val="0"/>
        </w:rPr>
      </w:pPr>
      <w:r>
        <w:rPr>
          <w:rFonts w:ascii="宋体" w:hAnsi="宋体" w:cs="TimesNewRomanPSMT"/>
          <w:kern w:val="0"/>
        </w:rPr>
        <w:t>3.7.</w:t>
      </w:r>
      <w:r>
        <w:rPr>
          <w:rFonts w:hint="eastAsia" w:ascii="宋体" w:hAnsi="宋体" w:cs="TimesNewRomanPSMT"/>
          <w:kern w:val="0"/>
        </w:rPr>
        <w:t>6</w:t>
      </w:r>
      <w:r>
        <w:rPr>
          <w:rFonts w:hint="eastAsia" w:ascii="宋体" w:hAnsi="宋体"/>
          <w:kern w:val="0"/>
        </w:rPr>
        <w:t>投标文件的正本与副本应分别装订成册，并编制目录，报价部分、技术部分和商务部分等具体装订要求见投标人须知前附表规定，装订后不得含有塑料和金属材料。</w:t>
      </w:r>
    </w:p>
    <w:p>
      <w:pPr>
        <w:pStyle w:val="254"/>
        <w:ind w:firstLine="422"/>
        <w:outlineLvl w:val="9"/>
        <w:rPr>
          <w:kern w:val="0"/>
        </w:rPr>
      </w:pPr>
      <w:bookmarkStart w:id="148" w:name="_Toc378166562"/>
      <w:bookmarkStart w:id="149" w:name="_Toc419383237"/>
      <w:bookmarkStart w:id="150" w:name="_Toc475633975"/>
      <w:bookmarkStart w:id="151" w:name="_Toc309246693"/>
      <w:r>
        <w:rPr>
          <w:kern w:val="0"/>
        </w:rPr>
        <w:t xml:space="preserve">4. </w:t>
      </w:r>
      <w:r>
        <w:rPr>
          <w:rFonts w:hint="eastAsia"/>
          <w:kern w:val="0"/>
        </w:rPr>
        <w:t>投标</w:t>
      </w:r>
      <w:bookmarkEnd w:id="148"/>
      <w:bookmarkEnd w:id="149"/>
      <w:bookmarkEnd w:id="150"/>
      <w:bookmarkEnd w:id="151"/>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52" w:name="_Toc378166563"/>
      <w:bookmarkStart w:id="153" w:name="_Toc309305539"/>
      <w:bookmarkStart w:id="154" w:name="_Toc309246826"/>
      <w:bookmarkStart w:id="155" w:name="_Toc309246694"/>
      <w:r>
        <w:rPr>
          <w:rFonts w:ascii="宋体" w:hAnsi="宋体" w:cs="黑体"/>
          <w:b/>
          <w:kern w:val="0"/>
          <w:szCs w:val="21"/>
        </w:rPr>
        <w:t xml:space="preserve">4.1 </w:t>
      </w:r>
      <w:r>
        <w:rPr>
          <w:rFonts w:hint="eastAsia" w:ascii="宋体" w:hAnsi="宋体" w:cs="黑体"/>
          <w:b/>
          <w:kern w:val="0"/>
          <w:szCs w:val="21"/>
        </w:rPr>
        <w:t>投标文件的密封和标记</w:t>
      </w:r>
      <w:bookmarkEnd w:id="152"/>
      <w:bookmarkEnd w:id="153"/>
      <w:bookmarkEnd w:id="154"/>
      <w:bookmarkEnd w:id="155"/>
    </w:p>
    <w:p>
      <w:pPr>
        <w:pStyle w:val="253"/>
        <w:rPr>
          <w:rFonts w:ascii="宋体" w:hAnsi="宋体"/>
          <w:kern w:val="0"/>
        </w:rPr>
      </w:pPr>
      <w:r>
        <w:rPr>
          <w:rFonts w:ascii="宋体" w:hAnsi="宋体" w:cs="TimesNewRomanPSMT"/>
          <w:kern w:val="0"/>
        </w:rPr>
        <w:t xml:space="preserve">4.1.1 </w:t>
      </w:r>
      <w:r>
        <w:rPr>
          <w:rFonts w:hint="eastAsia" w:ascii="宋体" w:hAnsi="宋体"/>
          <w:kern w:val="0"/>
        </w:rPr>
        <w:t>投标文件的正本与副本应分开包装，加贴封条，并在封套的封口处加盖投标人单位章。</w:t>
      </w:r>
    </w:p>
    <w:p>
      <w:pPr>
        <w:pStyle w:val="253"/>
        <w:rPr>
          <w:rFonts w:ascii="宋体" w:hAnsi="宋体"/>
          <w:kern w:val="0"/>
        </w:rPr>
      </w:pPr>
      <w:r>
        <w:rPr>
          <w:rFonts w:ascii="宋体" w:hAnsi="宋体" w:cs="TimesNewRomanPSMT"/>
          <w:kern w:val="0"/>
        </w:rPr>
        <w:t xml:space="preserve">4.1.2 </w:t>
      </w:r>
      <w:r>
        <w:rPr>
          <w:rFonts w:hint="eastAsia" w:ascii="宋体" w:hAnsi="宋体"/>
          <w:kern w:val="0"/>
        </w:rPr>
        <w:t>投标文件的封套上应清楚地标记“正本”或“副本”字样，封套上应写明的其他内容见投标人须知前附表。</w:t>
      </w:r>
    </w:p>
    <w:p>
      <w:pPr>
        <w:pStyle w:val="253"/>
        <w:rPr>
          <w:rFonts w:ascii="宋体" w:hAnsi="宋体"/>
          <w:kern w:val="0"/>
        </w:rPr>
      </w:pPr>
      <w:r>
        <w:rPr>
          <w:rFonts w:ascii="宋体" w:hAnsi="宋体" w:cs="TimesNewRomanPSMT"/>
          <w:kern w:val="0"/>
        </w:rPr>
        <w:t xml:space="preserve">4.1.3 </w:t>
      </w:r>
      <w:r>
        <w:rPr>
          <w:rFonts w:hint="eastAsia" w:ascii="宋体" w:hAnsi="宋体"/>
          <w:kern w:val="0"/>
        </w:rPr>
        <w:t>未按本章第</w:t>
      </w:r>
      <w:r>
        <w:rPr>
          <w:rFonts w:ascii="宋体" w:hAnsi="宋体" w:cs="TimesNewRomanPSMT"/>
          <w:kern w:val="0"/>
        </w:rPr>
        <w:t>4.1.1</w:t>
      </w:r>
      <w:r>
        <w:rPr>
          <w:rFonts w:hint="eastAsia" w:ascii="宋体" w:hAnsi="宋体"/>
          <w:kern w:val="0"/>
        </w:rPr>
        <w:t>项或第</w:t>
      </w:r>
      <w:r>
        <w:rPr>
          <w:rFonts w:ascii="宋体" w:hAnsi="宋体" w:cs="TimesNewRomanPSMT"/>
          <w:kern w:val="0"/>
        </w:rPr>
        <w:t>4.1.2</w:t>
      </w:r>
      <w:r>
        <w:rPr>
          <w:rFonts w:hint="eastAsia" w:ascii="宋体" w:hAnsi="宋体"/>
          <w:kern w:val="0"/>
        </w:rPr>
        <w:t>项要求密封和加写标记的投标文件，招标人不予受理。</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56" w:name="_Toc309305540"/>
      <w:bookmarkStart w:id="157" w:name="_Toc378166564"/>
      <w:bookmarkStart w:id="158" w:name="_Toc309246827"/>
      <w:bookmarkStart w:id="159" w:name="_Toc309246695"/>
      <w:r>
        <w:rPr>
          <w:rFonts w:ascii="宋体" w:hAnsi="宋体" w:cs="黑体"/>
          <w:b/>
          <w:kern w:val="0"/>
          <w:szCs w:val="21"/>
        </w:rPr>
        <w:t xml:space="preserve">4.2 </w:t>
      </w:r>
      <w:r>
        <w:rPr>
          <w:rFonts w:hint="eastAsia" w:ascii="宋体" w:hAnsi="宋体" w:cs="黑体"/>
          <w:b/>
          <w:kern w:val="0"/>
          <w:szCs w:val="21"/>
        </w:rPr>
        <w:t>投标文件的递交</w:t>
      </w:r>
      <w:bookmarkEnd w:id="156"/>
      <w:bookmarkEnd w:id="157"/>
      <w:bookmarkEnd w:id="158"/>
      <w:bookmarkEnd w:id="159"/>
    </w:p>
    <w:p>
      <w:pPr>
        <w:pStyle w:val="253"/>
        <w:rPr>
          <w:rFonts w:ascii="宋体" w:hAnsi="宋体"/>
          <w:kern w:val="0"/>
        </w:rPr>
      </w:pPr>
      <w:r>
        <w:rPr>
          <w:rFonts w:hint="eastAsia" w:ascii="宋体" w:hAnsi="宋体"/>
          <w:kern w:val="0"/>
        </w:rPr>
        <w:t>4.2.1 投标人应按前附表规定的投标截止时间递交合格的投标文件。</w:t>
      </w:r>
    </w:p>
    <w:p>
      <w:pPr>
        <w:pStyle w:val="253"/>
        <w:rPr>
          <w:rFonts w:ascii="宋体" w:hAnsi="宋体" w:cs="仿宋_GB2312"/>
          <w:kern w:val="0"/>
        </w:rPr>
      </w:pPr>
      <w:r>
        <w:rPr>
          <w:rFonts w:ascii="宋体" w:hAnsi="宋体"/>
          <w:kern w:val="0"/>
        </w:rPr>
        <w:t xml:space="preserve">4.2.2 </w:t>
      </w:r>
      <w:r>
        <w:rPr>
          <w:rFonts w:hint="eastAsia" w:ascii="宋体" w:hAnsi="宋体" w:cs="仿宋_GB2312"/>
          <w:kern w:val="0"/>
        </w:rPr>
        <w:t>投标人递交投标文件的地点：见投标人须知前附表。</w:t>
      </w:r>
    </w:p>
    <w:p>
      <w:pPr>
        <w:pStyle w:val="253"/>
        <w:rPr>
          <w:rFonts w:ascii="宋体" w:hAnsi="宋体" w:cs="仿宋_GB2312"/>
          <w:kern w:val="0"/>
        </w:rPr>
      </w:pPr>
      <w:r>
        <w:rPr>
          <w:rFonts w:ascii="宋体" w:hAnsi="宋体"/>
          <w:kern w:val="0"/>
        </w:rPr>
        <w:t xml:space="preserve">4.2.3 </w:t>
      </w:r>
      <w:r>
        <w:rPr>
          <w:rFonts w:hint="eastAsia" w:ascii="宋体" w:hAnsi="宋体" w:cs="仿宋_GB2312"/>
          <w:kern w:val="0"/>
        </w:rPr>
        <w:t>除投标人须知前附表另有规定外，投标人所递交的投标文件不予退还。</w:t>
      </w:r>
    </w:p>
    <w:p>
      <w:pPr>
        <w:pStyle w:val="253"/>
        <w:rPr>
          <w:rFonts w:ascii="宋体" w:hAnsi="宋体" w:cs="仿宋_GB2312"/>
          <w:kern w:val="0"/>
        </w:rPr>
      </w:pPr>
      <w:r>
        <w:rPr>
          <w:rFonts w:ascii="宋体" w:hAnsi="宋体"/>
          <w:kern w:val="0"/>
        </w:rPr>
        <w:t xml:space="preserve">4.2.4 </w:t>
      </w:r>
      <w:r>
        <w:rPr>
          <w:rFonts w:hint="eastAsia" w:ascii="宋体" w:hAnsi="宋体" w:cs="仿宋_GB2312"/>
          <w:kern w:val="0"/>
        </w:rPr>
        <w:t>招标人收到投标文件后，向投标人出具签收凭证。</w:t>
      </w:r>
    </w:p>
    <w:p>
      <w:pPr>
        <w:pStyle w:val="253"/>
        <w:rPr>
          <w:rFonts w:ascii="宋体" w:hAnsi="宋体" w:cs="仿宋_GB2312"/>
          <w:kern w:val="0"/>
        </w:rPr>
      </w:pPr>
      <w:r>
        <w:rPr>
          <w:rFonts w:ascii="宋体" w:hAnsi="宋体"/>
          <w:kern w:val="0"/>
        </w:rPr>
        <w:t xml:space="preserve">4.2.5 </w:t>
      </w:r>
      <w:r>
        <w:rPr>
          <w:rFonts w:hint="eastAsia" w:ascii="宋体" w:hAnsi="宋体" w:cs="仿宋_GB2312"/>
          <w:kern w:val="0"/>
        </w:rPr>
        <w:t>逾期送达的或者未送达指定地点的投标文件，招标人不予受理。</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60" w:name="_Toc309246828"/>
      <w:bookmarkStart w:id="161" w:name="_Toc309246696"/>
      <w:bookmarkStart w:id="162" w:name="_Toc378166565"/>
      <w:bookmarkStart w:id="163" w:name="_Toc309305541"/>
      <w:r>
        <w:rPr>
          <w:rFonts w:ascii="宋体" w:hAnsi="宋体" w:cs="黑体"/>
          <w:b/>
          <w:kern w:val="0"/>
          <w:szCs w:val="21"/>
        </w:rPr>
        <w:t xml:space="preserve">4.3 </w:t>
      </w:r>
      <w:r>
        <w:rPr>
          <w:rFonts w:hint="eastAsia" w:ascii="宋体" w:hAnsi="宋体" w:cs="黑体"/>
          <w:b/>
          <w:kern w:val="0"/>
          <w:szCs w:val="21"/>
        </w:rPr>
        <w:t>投标文件的修改与撤回</w:t>
      </w:r>
      <w:bookmarkEnd w:id="160"/>
      <w:bookmarkEnd w:id="161"/>
      <w:bookmarkEnd w:id="162"/>
      <w:bookmarkEnd w:id="163"/>
    </w:p>
    <w:p>
      <w:pPr>
        <w:pStyle w:val="253"/>
        <w:rPr>
          <w:rFonts w:ascii="宋体" w:hAnsi="宋体"/>
          <w:kern w:val="0"/>
        </w:rPr>
      </w:pPr>
      <w:r>
        <w:rPr>
          <w:rFonts w:ascii="宋体" w:hAnsi="宋体" w:cs="TimesNewRomanPSMT"/>
          <w:kern w:val="0"/>
        </w:rPr>
        <w:t xml:space="preserve">4.3.1 </w:t>
      </w:r>
      <w:r>
        <w:rPr>
          <w:rFonts w:hint="eastAsia" w:ascii="宋体" w:hAnsi="宋体"/>
          <w:kern w:val="0"/>
        </w:rPr>
        <w:t>在本章第</w:t>
      </w:r>
      <w:r>
        <w:rPr>
          <w:rFonts w:hint="eastAsia" w:ascii="宋体" w:hAnsi="宋体" w:cs="TimesNewRomanPSMT"/>
          <w:kern w:val="0"/>
        </w:rPr>
        <w:t>4</w:t>
      </w:r>
      <w:r>
        <w:rPr>
          <w:rFonts w:ascii="宋体" w:hAnsi="宋体" w:cs="TimesNewRomanPSMT"/>
          <w:kern w:val="0"/>
        </w:rPr>
        <w:t>.2.</w:t>
      </w:r>
      <w:r>
        <w:rPr>
          <w:rFonts w:hint="eastAsia" w:ascii="宋体" w:hAnsi="宋体" w:cs="TimesNewRomanPSMT"/>
          <w:kern w:val="0"/>
        </w:rPr>
        <w:t>1</w:t>
      </w:r>
      <w:r>
        <w:rPr>
          <w:rFonts w:hint="eastAsia" w:ascii="宋体" w:hAnsi="宋体"/>
          <w:kern w:val="0"/>
        </w:rPr>
        <w:t>项规定的投标截止时间前，投标人可以修改或撤回已递交的投标文件，但应以书面形式通知招标人。</w:t>
      </w:r>
    </w:p>
    <w:p>
      <w:pPr>
        <w:pStyle w:val="253"/>
        <w:rPr>
          <w:rFonts w:ascii="宋体" w:hAnsi="宋体"/>
          <w:kern w:val="0"/>
        </w:rPr>
      </w:pPr>
      <w:r>
        <w:rPr>
          <w:rFonts w:ascii="宋体" w:hAnsi="宋体" w:cs="TimesNewRomanPSMT"/>
          <w:kern w:val="0"/>
        </w:rPr>
        <w:t xml:space="preserve">4.3.2 </w:t>
      </w:r>
      <w:r>
        <w:rPr>
          <w:rFonts w:hint="eastAsia" w:ascii="宋体" w:hAnsi="宋体"/>
          <w:kern w:val="0"/>
        </w:rPr>
        <w:t>投标人修改或撤回已递交投标文件的书面通知应按照本章第</w:t>
      </w:r>
      <w:r>
        <w:rPr>
          <w:rFonts w:ascii="宋体" w:hAnsi="宋体" w:cs="TimesNewRomanPSMT"/>
          <w:kern w:val="0"/>
        </w:rPr>
        <w:t>3.7.</w:t>
      </w:r>
      <w:r>
        <w:rPr>
          <w:rFonts w:hint="eastAsia" w:ascii="宋体" w:hAnsi="宋体" w:cs="TimesNewRomanPSMT"/>
          <w:kern w:val="0"/>
        </w:rPr>
        <w:t>4</w:t>
      </w:r>
      <w:r>
        <w:rPr>
          <w:rFonts w:hint="eastAsia" w:ascii="宋体" w:hAnsi="宋体"/>
          <w:kern w:val="0"/>
        </w:rPr>
        <w:t>项的要求签字或盖章。招标人收到书面通知后，向投标人出具签收凭证。</w:t>
      </w:r>
    </w:p>
    <w:p>
      <w:pPr>
        <w:pStyle w:val="253"/>
        <w:rPr>
          <w:rFonts w:ascii="宋体" w:hAnsi="宋体"/>
          <w:kern w:val="0"/>
        </w:rPr>
      </w:pPr>
      <w:r>
        <w:rPr>
          <w:rFonts w:ascii="宋体" w:hAnsi="宋体" w:cs="TimesNewRomanPSMT"/>
          <w:kern w:val="0"/>
        </w:rPr>
        <w:t xml:space="preserve">4.3.3 </w:t>
      </w:r>
      <w:r>
        <w:rPr>
          <w:rFonts w:hint="eastAsia" w:ascii="宋体" w:hAnsi="宋体"/>
          <w:kern w:val="0"/>
        </w:rPr>
        <w:t>修改的内容为投标文件的组成部分。修改的投标文件应按照本章第</w:t>
      </w:r>
      <w:r>
        <w:rPr>
          <w:rFonts w:ascii="宋体" w:hAnsi="宋体" w:cs="TimesNewRomanPSMT"/>
          <w:kern w:val="0"/>
        </w:rPr>
        <w:t>3</w:t>
      </w:r>
      <w:r>
        <w:rPr>
          <w:rFonts w:hint="eastAsia" w:ascii="宋体" w:hAnsi="宋体"/>
          <w:kern w:val="0"/>
        </w:rPr>
        <w:t>条、第</w:t>
      </w:r>
      <w:r>
        <w:rPr>
          <w:rFonts w:ascii="宋体" w:hAnsi="宋体" w:cs="TimesNewRomanPSMT"/>
          <w:kern w:val="0"/>
        </w:rPr>
        <w:t>4</w:t>
      </w:r>
      <w:r>
        <w:rPr>
          <w:rFonts w:hint="eastAsia" w:ascii="宋体" w:hAnsi="宋体"/>
          <w:kern w:val="0"/>
        </w:rPr>
        <w:t>条规定进行编制、密封、标记和递交，并标明“修改”字样。</w:t>
      </w:r>
    </w:p>
    <w:p>
      <w:pPr>
        <w:pStyle w:val="253"/>
        <w:rPr>
          <w:rFonts w:ascii="宋体" w:hAnsi="宋体"/>
          <w:kern w:val="0"/>
        </w:rPr>
      </w:pPr>
      <w:r>
        <w:rPr>
          <w:rFonts w:hint="eastAsia" w:ascii="宋体" w:hAnsi="宋体"/>
          <w:kern w:val="0"/>
        </w:rPr>
        <w:t>4.3.4 投标人若在投标截止时起至第本章3.3款规定的投标有效期期满前撤销投标文件，则其投标保证金将被没收。</w:t>
      </w:r>
    </w:p>
    <w:p>
      <w:pPr>
        <w:pStyle w:val="254"/>
        <w:ind w:firstLine="422"/>
        <w:outlineLvl w:val="9"/>
        <w:rPr>
          <w:kern w:val="0"/>
        </w:rPr>
      </w:pPr>
      <w:bookmarkStart w:id="164" w:name="_Toc309246697"/>
      <w:bookmarkStart w:id="165" w:name="_Toc378166566"/>
      <w:bookmarkStart w:id="166" w:name="_Toc419383238"/>
      <w:bookmarkStart w:id="167" w:name="_Toc475633976"/>
      <w:r>
        <w:rPr>
          <w:kern w:val="0"/>
        </w:rPr>
        <w:t xml:space="preserve">5. </w:t>
      </w:r>
      <w:r>
        <w:rPr>
          <w:rFonts w:hint="eastAsia"/>
          <w:kern w:val="0"/>
        </w:rPr>
        <w:t>开标</w:t>
      </w:r>
      <w:bookmarkEnd w:id="164"/>
      <w:bookmarkEnd w:id="165"/>
      <w:bookmarkEnd w:id="166"/>
      <w:bookmarkEnd w:id="167"/>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68" w:name="_Toc309246698"/>
      <w:bookmarkStart w:id="169" w:name="_Toc309246830"/>
      <w:bookmarkStart w:id="170" w:name="_Toc309305543"/>
      <w:bookmarkStart w:id="171" w:name="_Toc378166567"/>
      <w:r>
        <w:rPr>
          <w:rFonts w:ascii="宋体" w:hAnsi="宋体" w:cs="黑体"/>
          <w:b/>
          <w:kern w:val="0"/>
          <w:szCs w:val="21"/>
        </w:rPr>
        <w:t xml:space="preserve">5.1 </w:t>
      </w:r>
      <w:r>
        <w:rPr>
          <w:rFonts w:hint="eastAsia" w:ascii="宋体" w:hAnsi="宋体" w:cs="黑体"/>
          <w:b/>
          <w:kern w:val="0"/>
          <w:szCs w:val="21"/>
        </w:rPr>
        <w:t>开标时间和地点</w:t>
      </w:r>
      <w:bookmarkEnd w:id="168"/>
      <w:bookmarkEnd w:id="169"/>
      <w:bookmarkEnd w:id="170"/>
      <w:bookmarkEnd w:id="171"/>
    </w:p>
    <w:p>
      <w:pPr>
        <w:pStyle w:val="253"/>
        <w:rPr>
          <w:rFonts w:ascii="宋体" w:hAnsi="宋体" w:cs="TimesNewRomanPSMT"/>
          <w:kern w:val="0"/>
        </w:rPr>
      </w:pPr>
      <w:r>
        <w:rPr>
          <w:rFonts w:hint="eastAsia" w:ascii="宋体" w:hAnsi="宋体"/>
          <w:kern w:val="0"/>
        </w:rPr>
        <w:t>招标人应按投标人须知前附表规定的时间、地点公开开标，并邀请所有投标人的法定代表人或其委托代理人准时参加。</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72" w:name="_Toc309246699"/>
      <w:bookmarkStart w:id="173" w:name="_Toc309246831"/>
      <w:bookmarkStart w:id="174" w:name="_Toc309305544"/>
      <w:bookmarkStart w:id="175" w:name="_Toc378166568"/>
      <w:r>
        <w:rPr>
          <w:rFonts w:ascii="宋体" w:hAnsi="宋体" w:cs="黑体"/>
          <w:b/>
          <w:kern w:val="0"/>
          <w:szCs w:val="21"/>
        </w:rPr>
        <w:t xml:space="preserve">5.2 </w:t>
      </w:r>
      <w:r>
        <w:rPr>
          <w:rFonts w:hint="eastAsia" w:ascii="宋体" w:hAnsi="宋体" w:cs="黑体"/>
          <w:b/>
          <w:kern w:val="0"/>
          <w:szCs w:val="21"/>
        </w:rPr>
        <w:t>开标程序</w:t>
      </w:r>
      <w:bookmarkEnd w:id="172"/>
      <w:bookmarkEnd w:id="173"/>
      <w:bookmarkEnd w:id="174"/>
      <w:bookmarkEnd w:id="175"/>
    </w:p>
    <w:p>
      <w:pPr>
        <w:pStyle w:val="253"/>
        <w:rPr>
          <w:rFonts w:ascii="宋体" w:hAnsi="宋体"/>
          <w:kern w:val="0"/>
        </w:rPr>
      </w:pPr>
      <w:r>
        <w:rPr>
          <w:rFonts w:hint="eastAsia" w:ascii="宋体" w:hAnsi="宋体"/>
          <w:kern w:val="0"/>
        </w:rPr>
        <w:t>主持人按下列程序进行开标：</w:t>
      </w:r>
    </w:p>
    <w:p>
      <w:pPr>
        <w:pStyle w:val="253"/>
        <w:rPr>
          <w:rFonts w:ascii="宋体" w:hAnsi="宋体"/>
          <w:kern w:val="0"/>
        </w:rPr>
      </w:pPr>
      <w:r>
        <w:rPr>
          <w:rFonts w:hint="eastAsia" w:ascii="宋体" w:hAnsi="宋体"/>
          <w:kern w:val="0"/>
        </w:rPr>
        <w:t>（</w:t>
      </w:r>
      <w:r>
        <w:rPr>
          <w:rFonts w:ascii="宋体" w:hAnsi="宋体" w:cs="TimesNewRomanPSMT"/>
          <w:kern w:val="0"/>
        </w:rPr>
        <w:t>1</w:t>
      </w:r>
      <w:r>
        <w:rPr>
          <w:rFonts w:hint="eastAsia" w:ascii="宋体" w:hAnsi="宋体"/>
          <w:kern w:val="0"/>
        </w:rPr>
        <w:t>）宣布开标纪律；</w:t>
      </w:r>
    </w:p>
    <w:p>
      <w:pPr>
        <w:pStyle w:val="253"/>
        <w:rPr>
          <w:rFonts w:ascii="宋体" w:hAnsi="宋体"/>
          <w:kern w:val="0"/>
        </w:rPr>
      </w:pPr>
      <w:r>
        <w:rPr>
          <w:rFonts w:hint="eastAsia" w:ascii="宋体" w:hAnsi="宋体"/>
          <w:kern w:val="0"/>
        </w:rPr>
        <w:t>（</w:t>
      </w:r>
      <w:r>
        <w:rPr>
          <w:rFonts w:ascii="宋体" w:hAnsi="宋体" w:cs="TimesNewRomanPSMT"/>
          <w:kern w:val="0"/>
        </w:rPr>
        <w:t>2</w:t>
      </w:r>
      <w:r>
        <w:rPr>
          <w:rFonts w:hint="eastAsia" w:ascii="宋体" w:hAnsi="宋体"/>
          <w:kern w:val="0"/>
        </w:rPr>
        <w:t>）公布在投标截止时间前递交投标文件的投标人名称；</w:t>
      </w:r>
    </w:p>
    <w:p>
      <w:pPr>
        <w:pStyle w:val="253"/>
        <w:rPr>
          <w:rFonts w:ascii="宋体" w:hAnsi="宋体"/>
          <w:kern w:val="0"/>
        </w:rPr>
      </w:pPr>
      <w:r>
        <w:rPr>
          <w:rFonts w:hint="eastAsia" w:ascii="宋体" w:hAnsi="宋体"/>
          <w:kern w:val="0"/>
        </w:rPr>
        <w:t>（</w:t>
      </w:r>
      <w:r>
        <w:rPr>
          <w:rFonts w:ascii="宋体" w:hAnsi="宋体" w:cs="TimesNewRomanPSMT"/>
          <w:kern w:val="0"/>
        </w:rPr>
        <w:t>3</w:t>
      </w:r>
      <w:r>
        <w:rPr>
          <w:rFonts w:hint="eastAsia" w:ascii="宋体" w:hAnsi="宋体"/>
          <w:kern w:val="0"/>
        </w:rPr>
        <w:t>）宣布开标人、唱标人、记录人、监标人等有关人员姓名；</w:t>
      </w:r>
    </w:p>
    <w:p>
      <w:pPr>
        <w:pStyle w:val="253"/>
        <w:rPr>
          <w:rFonts w:ascii="宋体" w:hAnsi="宋体"/>
          <w:kern w:val="0"/>
        </w:rPr>
      </w:pPr>
      <w:r>
        <w:rPr>
          <w:rFonts w:hint="eastAsia" w:ascii="宋体" w:hAnsi="宋体"/>
          <w:kern w:val="0"/>
        </w:rPr>
        <w:t>（</w:t>
      </w:r>
      <w:r>
        <w:rPr>
          <w:rFonts w:ascii="宋体" w:hAnsi="宋体" w:cs="TimesNewRomanPSMT"/>
          <w:kern w:val="0"/>
        </w:rPr>
        <w:t>4</w:t>
      </w:r>
      <w:r>
        <w:rPr>
          <w:rFonts w:hint="eastAsia" w:ascii="宋体" w:hAnsi="宋体"/>
          <w:kern w:val="0"/>
        </w:rPr>
        <w:t>）按照投标人须知前附表规定检查投标文件的密封情况；</w:t>
      </w:r>
    </w:p>
    <w:p>
      <w:pPr>
        <w:pStyle w:val="253"/>
        <w:rPr>
          <w:rFonts w:ascii="宋体" w:hAnsi="宋体"/>
          <w:kern w:val="0"/>
        </w:rPr>
      </w:pPr>
      <w:r>
        <w:rPr>
          <w:rFonts w:hint="eastAsia" w:ascii="宋体" w:hAnsi="宋体"/>
          <w:kern w:val="0"/>
        </w:rPr>
        <w:t>（</w:t>
      </w:r>
      <w:r>
        <w:rPr>
          <w:rFonts w:ascii="宋体" w:hAnsi="宋体" w:cs="TimesNewRomanPSMT"/>
          <w:kern w:val="0"/>
        </w:rPr>
        <w:t>5</w:t>
      </w:r>
      <w:r>
        <w:rPr>
          <w:rFonts w:hint="eastAsia" w:ascii="宋体" w:hAnsi="宋体"/>
          <w:kern w:val="0"/>
        </w:rPr>
        <w:t>）按照投标人须知前附表的规定确定并宣布投标文件开标顺序；</w:t>
      </w:r>
    </w:p>
    <w:p>
      <w:pPr>
        <w:pStyle w:val="253"/>
        <w:rPr>
          <w:rFonts w:ascii="宋体" w:hAnsi="宋体"/>
          <w:kern w:val="0"/>
        </w:rPr>
      </w:pPr>
      <w:r>
        <w:rPr>
          <w:rFonts w:hint="eastAsia" w:ascii="宋体" w:hAnsi="宋体"/>
          <w:kern w:val="0"/>
        </w:rPr>
        <w:t>（</w:t>
      </w:r>
      <w:r>
        <w:rPr>
          <w:rFonts w:hint="eastAsia" w:ascii="宋体" w:hAnsi="宋体" w:cs="TimesNewRomanPSMT"/>
          <w:kern w:val="0"/>
        </w:rPr>
        <w:t>6</w:t>
      </w:r>
      <w:r>
        <w:rPr>
          <w:rFonts w:hint="eastAsia" w:ascii="宋体" w:hAnsi="宋体"/>
          <w:kern w:val="0"/>
        </w:rPr>
        <w:t>）按照宣布的开标顺序当众开标，公布投标人名称、工程名称、投标保证金的递交情况、投标报价、质量目标、工期及其他内容，并记录在案；</w:t>
      </w:r>
    </w:p>
    <w:p>
      <w:pPr>
        <w:pStyle w:val="253"/>
        <w:rPr>
          <w:rFonts w:ascii="宋体" w:hAnsi="宋体"/>
          <w:kern w:val="0"/>
        </w:rPr>
      </w:pPr>
      <w:r>
        <w:rPr>
          <w:rFonts w:hint="eastAsia" w:ascii="宋体" w:hAnsi="宋体"/>
          <w:kern w:val="0"/>
        </w:rPr>
        <w:t>（</w:t>
      </w:r>
      <w:r>
        <w:rPr>
          <w:rFonts w:hint="eastAsia" w:ascii="宋体" w:hAnsi="宋体" w:cs="TimesNewRomanPSMT"/>
          <w:kern w:val="0"/>
        </w:rPr>
        <w:t>7</w:t>
      </w:r>
      <w:r>
        <w:rPr>
          <w:rFonts w:hint="eastAsia" w:ascii="宋体" w:hAnsi="宋体"/>
          <w:kern w:val="0"/>
        </w:rPr>
        <w:t>）投标人代表、招标人代表、监标人、记录人等有关人员在开标记录上签字确认；</w:t>
      </w:r>
    </w:p>
    <w:p>
      <w:pPr>
        <w:pStyle w:val="253"/>
        <w:rPr>
          <w:rFonts w:ascii="宋体" w:hAnsi="宋体"/>
          <w:kern w:val="0"/>
        </w:rPr>
      </w:pPr>
      <w:r>
        <w:rPr>
          <w:rFonts w:hint="eastAsia" w:ascii="宋体" w:hAnsi="宋体"/>
          <w:kern w:val="0"/>
        </w:rPr>
        <w:t>（</w:t>
      </w:r>
      <w:r>
        <w:rPr>
          <w:rFonts w:hint="eastAsia" w:ascii="宋体" w:hAnsi="宋体" w:cs="TimesNewRomanPSMT"/>
          <w:kern w:val="0"/>
        </w:rPr>
        <w:t>8</w:t>
      </w:r>
      <w:r>
        <w:rPr>
          <w:rFonts w:hint="eastAsia" w:ascii="宋体" w:hAnsi="宋体"/>
          <w:kern w:val="0"/>
        </w:rPr>
        <w:t>）开标结束。</w:t>
      </w:r>
    </w:p>
    <w:p>
      <w:pPr>
        <w:pStyle w:val="254"/>
        <w:ind w:firstLine="422"/>
        <w:outlineLvl w:val="9"/>
        <w:rPr>
          <w:kern w:val="0"/>
        </w:rPr>
      </w:pPr>
      <w:bookmarkStart w:id="176" w:name="_Toc378166569"/>
      <w:bookmarkStart w:id="177" w:name="_Toc419383239"/>
      <w:bookmarkStart w:id="178" w:name="_Toc475633977"/>
      <w:r>
        <w:rPr>
          <w:kern w:val="0"/>
        </w:rPr>
        <w:t xml:space="preserve">6. </w:t>
      </w:r>
      <w:r>
        <w:rPr>
          <w:rFonts w:hint="eastAsia"/>
          <w:kern w:val="0"/>
        </w:rPr>
        <w:t>评标</w:t>
      </w:r>
      <w:bookmarkEnd w:id="176"/>
      <w:bookmarkEnd w:id="177"/>
      <w:bookmarkEnd w:id="178"/>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79" w:name="_Toc309246700"/>
      <w:bookmarkStart w:id="180" w:name="_Toc309246833"/>
      <w:bookmarkStart w:id="181" w:name="_Toc309305546"/>
      <w:bookmarkStart w:id="182" w:name="_Toc378166570"/>
      <w:r>
        <w:rPr>
          <w:rFonts w:ascii="宋体" w:hAnsi="宋体" w:cs="黑体"/>
          <w:b/>
          <w:kern w:val="0"/>
          <w:szCs w:val="21"/>
        </w:rPr>
        <w:t xml:space="preserve">6.1 </w:t>
      </w:r>
      <w:r>
        <w:rPr>
          <w:rFonts w:hint="eastAsia" w:ascii="宋体" w:hAnsi="宋体" w:cs="黑体"/>
          <w:b/>
          <w:kern w:val="0"/>
          <w:szCs w:val="21"/>
        </w:rPr>
        <w:t>评标委员会</w:t>
      </w:r>
      <w:bookmarkEnd w:id="179"/>
      <w:bookmarkEnd w:id="180"/>
      <w:bookmarkEnd w:id="181"/>
      <w:bookmarkEnd w:id="182"/>
    </w:p>
    <w:p>
      <w:pPr>
        <w:pStyle w:val="253"/>
        <w:rPr>
          <w:rFonts w:ascii="宋体" w:hAnsi="宋体"/>
          <w:kern w:val="0"/>
        </w:rPr>
      </w:pPr>
      <w:r>
        <w:rPr>
          <w:rFonts w:ascii="宋体" w:hAnsi="宋体" w:cs="TimesNewRomanPSMT"/>
          <w:kern w:val="0"/>
        </w:rPr>
        <w:t xml:space="preserve">6.1.1 </w:t>
      </w:r>
      <w:r>
        <w:rPr>
          <w:rFonts w:hint="eastAsia" w:ascii="宋体" w:hAnsi="宋体"/>
          <w:kern w:val="0"/>
        </w:rPr>
        <w:t>评标由招标人依法组建的评标委员会负责。评标委员会由招标人或其委托的招标代理机构熟悉相关业务的代表，从专家库中随机抽取的技术、经济等方面的专家组成。评标委员会成员人数以及技术、经济等方面专家的确定方式见投标人须知前附表。</w:t>
      </w:r>
    </w:p>
    <w:p>
      <w:pPr>
        <w:pStyle w:val="253"/>
        <w:rPr>
          <w:rFonts w:ascii="宋体" w:hAnsi="宋体"/>
          <w:kern w:val="0"/>
        </w:rPr>
      </w:pPr>
      <w:r>
        <w:rPr>
          <w:rFonts w:ascii="宋体" w:hAnsi="宋体"/>
          <w:kern w:val="0"/>
        </w:rPr>
        <w:t xml:space="preserve">6.1.2 </w:t>
      </w:r>
      <w:r>
        <w:rPr>
          <w:rFonts w:hint="eastAsia" w:ascii="宋体" w:hAnsi="宋体"/>
          <w:kern w:val="0"/>
        </w:rPr>
        <w:t>评标委员会成员有下列情形之一的，应当回避：</w:t>
      </w:r>
    </w:p>
    <w:p>
      <w:pPr>
        <w:pStyle w:val="253"/>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）招标人或投标人的主要负责人的近亲属；</w:t>
      </w:r>
    </w:p>
    <w:p>
      <w:pPr>
        <w:pStyle w:val="253"/>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）项目主管部门或者集团公司招标监督部门的人员；</w:t>
      </w:r>
    </w:p>
    <w:p>
      <w:pPr>
        <w:pStyle w:val="253"/>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）与投标人有经济利益关系，可能影响对投标公正评审的；</w:t>
      </w:r>
    </w:p>
    <w:p>
      <w:pPr>
        <w:pStyle w:val="253"/>
        <w:rPr>
          <w:rFonts w:ascii="宋体" w:hAnsi="宋体"/>
          <w:kern w:val="0"/>
        </w:rPr>
      </w:pPr>
      <w:r>
        <w:rPr>
          <w:rFonts w:hint="eastAsia" w:ascii="宋体" w:hAnsi="宋体"/>
          <w:kern w:val="0"/>
        </w:rPr>
        <w:t>（</w:t>
      </w:r>
      <w:r>
        <w:rPr>
          <w:rFonts w:ascii="宋体" w:hAnsi="宋体"/>
          <w:kern w:val="0"/>
        </w:rPr>
        <w:t>4</w:t>
      </w:r>
      <w:r>
        <w:rPr>
          <w:rFonts w:hint="eastAsia" w:ascii="宋体" w:hAnsi="宋体"/>
          <w:kern w:val="0"/>
        </w:rPr>
        <w:t>）曾因在招标、评标以及其他与招标投标有关活动中从事违法行为而受过行政处罚或刑事处罚的。</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83" w:name="_Toc309246701"/>
      <w:bookmarkStart w:id="184" w:name="_Toc309246834"/>
      <w:bookmarkStart w:id="185" w:name="_Toc309305547"/>
      <w:bookmarkStart w:id="186" w:name="_Toc378166571"/>
      <w:r>
        <w:rPr>
          <w:rFonts w:ascii="宋体" w:hAnsi="宋体" w:cs="黑体"/>
          <w:b/>
          <w:kern w:val="0"/>
          <w:szCs w:val="21"/>
        </w:rPr>
        <w:t xml:space="preserve">6.2 </w:t>
      </w:r>
      <w:r>
        <w:rPr>
          <w:rFonts w:hint="eastAsia" w:ascii="宋体" w:hAnsi="宋体" w:cs="黑体"/>
          <w:b/>
          <w:kern w:val="0"/>
          <w:szCs w:val="21"/>
        </w:rPr>
        <w:t>评标原则</w:t>
      </w:r>
      <w:bookmarkEnd w:id="183"/>
      <w:bookmarkEnd w:id="184"/>
      <w:bookmarkEnd w:id="185"/>
      <w:bookmarkEnd w:id="186"/>
    </w:p>
    <w:p>
      <w:pPr>
        <w:pStyle w:val="253"/>
        <w:rPr>
          <w:rFonts w:ascii="宋体" w:hAnsi="宋体"/>
          <w:kern w:val="0"/>
        </w:rPr>
      </w:pPr>
      <w:r>
        <w:rPr>
          <w:rFonts w:hint="eastAsia" w:ascii="宋体" w:hAnsi="宋体"/>
          <w:kern w:val="0"/>
        </w:rPr>
        <w:t>评标活动遵循公平、公正、科学和择优的原则。</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87" w:name="_Toc378166572"/>
      <w:r>
        <w:rPr>
          <w:rFonts w:ascii="宋体" w:hAnsi="宋体" w:cs="黑体"/>
          <w:b/>
          <w:kern w:val="0"/>
          <w:szCs w:val="21"/>
        </w:rPr>
        <w:t xml:space="preserve">6.3 </w:t>
      </w:r>
      <w:r>
        <w:rPr>
          <w:rFonts w:hint="eastAsia" w:ascii="宋体" w:hAnsi="宋体" w:cs="黑体"/>
          <w:b/>
          <w:kern w:val="0"/>
          <w:szCs w:val="21"/>
        </w:rPr>
        <w:t>评标</w:t>
      </w:r>
      <w:bookmarkEnd w:id="187"/>
    </w:p>
    <w:p>
      <w:pPr>
        <w:pStyle w:val="253"/>
        <w:rPr>
          <w:rFonts w:ascii="宋体" w:hAnsi="宋体"/>
          <w:kern w:val="0"/>
        </w:rPr>
      </w:pPr>
      <w:r>
        <w:rPr>
          <w:rFonts w:hint="eastAsia" w:ascii="宋体" w:hAnsi="宋体"/>
          <w:kern w:val="0"/>
        </w:rPr>
        <w:t>评标委员会按照第三章“评标办法”规定的方法、评审因素、标准和程序对投标文件进行评审。第三章“评标办法”没有规定的方法、评审因素和标准，不作为评标依据。</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88" w:name="_Toc378166573"/>
      <w:r>
        <w:rPr>
          <w:rFonts w:hint="eastAsia" w:ascii="宋体" w:hAnsi="宋体" w:cs="黑体"/>
          <w:b/>
          <w:kern w:val="0"/>
          <w:szCs w:val="21"/>
        </w:rPr>
        <w:t>6.4 对投标文件的初审和响应性的确定</w:t>
      </w:r>
      <w:bookmarkEnd w:id="188"/>
    </w:p>
    <w:p>
      <w:pPr>
        <w:pStyle w:val="253"/>
        <w:rPr>
          <w:rFonts w:ascii="宋体" w:hAnsi="宋体"/>
          <w:kern w:val="0"/>
        </w:rPr>
      </w:pPr>
      <w:r>
        <w:rPr>
          <w:rFonts w:hint="eastAsia" w:ascii="宋体" w:hAnsi="宋体"/>
          <w:kern w:val="0"/>
        </w:rPr>
        <w:t>6.4.1 评标委员会将审查投标文件是否完整、总体编排是否有序、有无计算错误、文件签署是否合格、投标人是否提交了投标保证金及投标保证金的金额、有效期是否符合规定等事项。</w:t>
      </w:r>
    </w:p>
    <w:p>
      <w:pPr>
        <w:pStyle w:val="253"/>
        <w:rPr>
          <w:rFonts w:ascii="宋体" w:hAnsi="宋体"/>
          <w:kern w:val="0"/>
        </w:rPr>
      </w:pPr>
      <w:r>
        <w:rPr>
          <w:rFonts w:hint="eastAsia" w:ascii="宋体" w:hAnsi="宋体"/>
          <w:kern w:val="0"/>
        </w:rPr>
        <w:t>6.4.2 投标文件中的大写金额和小写金额不一致的，以大写金额为准；算术错误将按以下方法更正：总价金额与单价金额不一致的，则招标人将对单价进行计算，计算出的总价与投标文件中的总价相比二者中的较低额将作为投标总报价并经投标人书面确认。如果投标人拒绝接受对其错误的更正，其投标将被拒绝。</w:t>
      </w:r>
    </w:p>
    <w:p>
      <w:pPr>
        <w:pStyle w:val="253"/>
        <w:rPr>
          <w:rFonts w:ascii="宋体" w:hAnsi="宋体"/>
          <w:kern w:val="0"/>
        </w:rPr>
      </w:pPr>
      <w:r>
        <w:rPr>
          <w:rFonts w:hint="eastAsia" w:ascii="宋体" w:hAnsi="宋体"/>
          <w:kern w:val="0"/>
        </w:rPr>
        <w:t>6.4.3 在对投标文件进行详细评估之前，评标委员会将确定每一标书是否对招标文件的要求做出了实质性响应。实质性响应的投标应该是与招标文件要求的关键条款、条件和规格、技术要求相符，没有重大偏离和保留的投标。招标人决定投标文件的响应性是基于投标文件内容本身而不依赖外部的证据。</w:t>
      </w:r>
    </w:p>
    <w:p>
      <w:pPr>
        <w:pStyle w:val="253"/>
        <w:rPr>
          <w:rFonts w:ascii="宋体" w:hAnsi="宋体"/>
          <w:kern w:val="0"/>
        </w:rPr>
      </w:pPr>
      <w:r>
        <w:rPr>
          <w:rFonts w:hint="eastAsia" w:ascii="宋体" w:hAnsi="宋体"/>
          <w:kern w:val="0"/>
        </w:rPr>
        <w:t>6.4.4 投标文件不响应招标文件的实质性要求和条件的，经评标委员会评审后作废标处理。投标人不得通过修正或撤销不合要求的偏离或保留从而使其投标成为实质上响应的投标。下列情况属于没有实质性响应招标文件要求：</w:t>
      </w:r>
    </w:p>
    <w:p>
      <w:pPr>
        <w:pStyle w:val="253"/>
        <w:rPr>
          <w:rFonts w:ascii="宋体" w:hAnsi="宋体"/>
          <w:kern w:val="0"/>
        </w:rPr>
      </w:pPr>
      <w:r>
        <w:rPr>
          <w:rFonts w:hint="eastAsia" w:ascii="宋体" w:hAnsi="宋体"/>
          <w:kern w:val="0"/>
        </w:rPr>
        <w:t>（1）投标文件未按要求密封，或未经法定代表人或者授权代理人签字并加盖投标人公章，或未按招标文件要求提供投标书正、副本；</w:t>
      </w:r>
    </w:p>
    <w:p>
      <w:pPr>
        <w:pStyle w:val="253"/>
        <w:rPr>
          <w:rFonts w:ascii="宋体" w:hAnsi="宋体"/>
          <w:kern w:val="0"/>
        </w:rPr>
      </w:pPr>
      <w:r>
        <w:rPr>
          <w:rFonts w:hint="eastAsia" w:ascii="宋体" w:hAnsi="宋体"/>
          <w:kern w:val="0"/>
        </w:rPr>
        <w:t>（2）投标文件字迹潦草、模糊、导致无法确认关键技术方案、工期、质量保证措施、投标价格等重要信息。投标人递交两份以上内容不同的投标文件。（法律规定递交两份以上内容不同的投标文件直接废标，不能再声明哪个有效）</w:t>
      </w:r>
    </w:p>
    <w:p>
      <w:pPr>
        <w:pStyle w:val="253"/>
        <w:rPr>
          <w:rFonts w:ascii="宋体" w:hAnsi="宋体"/>
          <w:kern w:val="0"/>
        </w:rPr>
      </w:pPr>
      <w:r>
        <w:rPr>
          <w:rFonts w:hint="eastAsia" w:ascii="宋体" w:hAnsi="宋体"/>
          <w:kern w:val="0"/>
        </w:rPr>
        <w:t>（3）投标人未提交投标保证金或金额不足、有效期不足、投标保证金形式或投标保函出证银行不符合招标文件要求。未承诺同意招标文件规定的履约保函格式或未签署保密协议；</w:t>
      </w:r>
    </w:p>
    <w:p>
      <w:pPr>
        <w:pStyle w:val="253"/>
        <w:rPr>
          <w:rFonts w:ascii="宋体" w:hAnsi="宋体"/>
          <w:kern w:val="0"/>
        </w:rPr>
      </w:pPr>
      <w:r>
        <w:rPr>
          <w:rFonts w:hint="eastAsia" w:ascii="宋体" w:hAnsi="宋体"/>
          <w:kern w:val="0"/>
        </w:rPr>
        <w:t>（4）投标人超出经营范围投标、资质证明文件不全、业绩不满足招标文件要求；</w:t>
      </w:r>
    </w:p>
    <w:p>
      <w:pPr>
        <w:pStyle w:val="253"/>
        <w:rPr>
          <w:rFonts w:ascii="宋体" w:hAnsi="宋体"/>
          <w:kern w:val="0"/>
        </w:rPr>
      </w:pPr>
      <w:r>
        <w:rPr>
          <w:rFonts w:hint="eastAsia" w:ascii="宋体" w:hAnsi="宋体"/>
          <w:kern w:val="0"/>
        </w:rPr>
        <w:t>（5）投标文件所提供服务的范围、数量、价格术语（如有）、服务期不能满足招标文件要求；</w:t>
      </w:r>
    </w:p>
    <w:p>
      <w:pPr>
        <w:pStyle w:val="253"/>
        <w:rPr>
          <w:rFonts w:ascii="宋体" w:hAnsi="宋体"/>
          <w:kern w:val="0"/>
        </w:rPr>
      </w:pPr>
      <w:r>
        <w:rPr>
          <w:rFonts w:hint="eastAsia" w:ascii="宋体" w:hAnsi="宋体"/>
          <w:kern w:val="0"/>
        </w:rPr>
        <w:t>（6）投标文件所提供服务的性能、技术参数与公开发布指标不符或不能满足招标文件要求；</w:t>
      </w:r>
    </w:p>
    <w:p>
      <w:pPr>
        <w:pStyle w:val="253"/>
        <w:rPr>
          <w:rFonts w:ascii="宋体" w:hAnsi="宋体"/>
          <w:kern w:val="0"/>
        </w:rPr>
      </w:pPr>
      <w:r>
        <w:rPr>
          <w:rFonts w:hint="eastAsia" w:ascii="宋体" w:hAnsi="宋体"/>
          <w:kern w:val="0"/>
        </w:rPr>
        <w:t>（7）商务报价表没填单价、折扣率或报价虚报折扣，隐含单价并拒绝明确；</w:t>
      </w:r>
    </w:p>
    <w:p>
      <w:pPr>
        <w:pStyle w:val="253"/>
        <w:rPr>
          <w:rFonts w:ascii="宋体" w:hAnsi="宋体"/>
          <w:kern w:val="0"/>
        </w:rPr>
      </w:pPr>
      <w:r>
        <w:rPr>
          <w:rFonts w:hint="eastAsia" w:ascii="宋体" w:hAnsi="宋体"/>
          <w:kern w:val="0"/>
        </w:rPr>
        <w:t>（8）对招标文件所附合同中的法律适用、争议解决、知识产权等关键条件提出任何偏离、保留或反对，或提出合同赔偿限额等招标人无法接受的其他额外合同条件；</w:t>
      </w:r>
    </w:p>
    <w:p>
      <w:pPr>
        <w:pStyle w:val="253"/>
        <w:rPr>
          <w:rFonts w:ascii="宋体" w:hAnsi="宋体"/>
          <w:kern w:val="0"/>
        </w:rPr>
      </w:pPr>
      <w:r>
        <w:rPr>
          <w:rFonts w:hint="eastAsia" w:ascii="宋体" w:hAnsi="宋体"/>
          <w:kern w:val="0"/>
        </w:rPr>
        <w:t>（9）本招标文件中列出的其它构成实质性偏离的情形（招标人可根据项目具体情况明确构成实质性偏离的事项）。</w:t>
      </w:r>
    </w:p>
    <w:p>
      <w:pPr>
        <w:pStyle w:val="253"/>
        <w:rPr>
          <w:rFonts w:ascii="宋体" w:hAnsi="宋体"/>
          <w:kern w:val="0"/>
        </w:rPr>
      </w:pPr>
      <w:r>
        <w:rPr>
          <w:rFonts w:hint="eastAsia" w:ascii="宋体" w:hAnsi="宋体"/>
          <w:kern w:val="0"/>
        </w:rPr>
        <w:t>6.4.5 一旦评标委员会将某一投标人的投标文件确定为非响应性的投标，投标人不能通过修正或撤销不符之处而使其投标成为响应性投标。</w:t>
      </w:r>
    </w:p>
    <w:p>
      <w:pPr>
        <w:pStyle w:val="253"/>
        <w:rPr>
          <w:rFonts w:ascii="宋体" w:hAnsi="宋体"/>
          <w:kern w:val="0"/>
        </w:rPr>
      </w:pPr>
      <w:r>
        <w:rPr>
          <w:rFonts w:hint="eastAsia" w:ascii="宋体" w:hAnsi="宋体"/>
          <w:kern w:val="0"/>
        </w:rPr>
        <w:t>6.4.6 评标委员会将允许投标中有微小的不正规，不一致或不规则，而该微小之处不构成重大偏离。</w:t>
      </w:r>
    </w:p>
    <w:p>
      <w:pPr>
        <w:pStyle w:val="253"/>
        <w:rPr>
          <w:rFonts w:ascii="宋体" w:hAnsi="宋体"/>
          <w:kern w:val="0"/>
        </w:rPr>
      </w:pPr>
      <w:r>
        <w:rPr>
          <w:rFonts w:hint="eastAsia" w:ascii="宋体" w:hAnsi="宋体"/>
          <w:kern w:val="0"/>
        </w:rPr>
        <w:t>6.4.7 在评标委员会评标过程中，对于投标文件中存在的可能影响评标委员会评标正确性的问题，评标委员会有权要求投标人做进一步的澄清。</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189" w:name="_Toc309246702"/>
      <w:bookmarkStart w:id="190" w:name="_Toc309246835"/>
      <w:bookmarkStart w:id="191" w:name="_Toc309305548"/>
      <w:bookmarkStart w:id="192" w:name="_Toc378166574"/>
      <w:r>
        <w:rPr>
          <w:rFonts w:hint="eastAsia" w:ascii="宋体" w:hAnsi="宋体" w:cs="黑体"/>
          <w:b/>
          <w:kern w:val="0"/>
          <w:szCs w:val="21"/>
        </w:rPr>
        <w:t>6.5 废标条件</w:t>
      </w:r>
      <w:bookmarkEnd w:id="189"/>
      <w:bookmarkEnd w:id="190"/>
      <w:bookmarkEnd w:id="191"/>
      <w:bookmarkEnd w:id="192"/>
    </w:p>
    <w:p>
      <w:pPr>
        <w:pStyle w:val="253"/>
        <w:rPr>
          <w:rFonts w:ascii="宋体" w:hAnsi="宋体"/>
        </w:rPr>
      </w:pPr>
      <w:r>
        <w:rPr>
          <w:rFonts w:hint="eastAsia" w:ascii="宋体" w:hAnsi="宋体"/>
        </w:rPr>
        <w:t>投标人或其投标文件有下列情形之一的，其投标作废标处理：</w:t>
      </w:r>
    </w:p>
    <w:p>
      <w:pPr>
        <w:pStyle w:val="253"/>
        <w:rPr>
          <w:rFonts w:ascii="宋体" w:hAnsi="宋体"/>
          <w:kern w:val="0"/>
        </w:rPr>
      </w:pPr>
      <w:r>
        <w:rPr>
          <w:rFonts w:hint="eastAsia" w:ascii="宋体" w:hAnsi="宋体"/>
          <w:kern w:val="0"/>
        </w:rPr>
        <w:t>（1）投标文件内容违反国家法律法规；</w:t>
      </w:r>
    </w:p>
    <w:p>
      <w:pPr>
        <w:pStyle w:val="253"/>
        <w:rPr>
          <w:rFonts w:ascii="宋体" w:hAnsi="宋体"/>
          <w:kern w:val="0"/>
        </w:rPr>
      </w:pPr>
      <w:r>
        <w:rPr>
          <w:rFonts w:hint="eastAsia" w:ascii="宋体" w:hAnsi="宋体"/>
          <w:kern w:val="0"/>
        </w:rPr>
        <w:t>（2）投标函无单位盖章且无单位负责人或者其授权代理人签字或者盖章的，或者虽有代理人签字但无单位负责人出具的授权委托书的；</w:t>
      </w:r>
    </w:p>
    <w:p>
      <w:pPr>
        <w:pStyle w:val="253"/>
        <w:rPr>
          <w:rFonts w:ascii="宋体" w:hAnsi="宋体"/>
          <w:kern w:val="0"/>
        </w:rPr>
      </w:pPr>
      <w:r>
        <w:rPr>
          <w:rFonts w:hint="eastAsia" w:ascii="宋体" w:hAnsi="宋体"/>
          <w:kern w:val="0"/>
        </w:rPr>
        <w:t>（3）联合体投标未附联合体各方共同投标协议的；</w:t>
      </w:r>
    </w:p>
    <w:p>
      <w:pPr>
        <w:pStyle w:val="253"/>
        <w:rPr>
          <w:rFonts w:ascii="宋体" w:hAnsi="宋体"/>
          <w:kern w:val="0"/>
        </w:rPr>
      </w:pPr>
      <w:r>
        <w:rPr>
          <w:rFonts w:hint="eastAsia" w:ascii="宋体" w:hAnsi="宋体"/>
          <w:kern w:val="0"/>
        </w:rPr>
        <w:t>（4）没有按照招标文件要求提交投标保证金的；</w:t>
      </w:r>
    </w:p>
    <w:p>
      <w:pPr>
        <w:pStyle w:val="253"/>
        <w:rPr>
          <w:rFonts w:ascii="宋体" w:hAnsi="宋体"/>
          <w:kern w:val="0"/>
        </w:rPr>
      </w:pPr>
      <w:r>
        <w:rPr>
          <w:rFonts w:hint="eastAsia" w:ascii="宋体" w:hAnsi="宋体"/>
          <w:kern w:val="0"/>
        </w:rPr>
        <w:t>（5）投标函未按招标文件规定的格式填写，内容不全或者关键字迹模糊无法辨认的；</w:t>
      </w:r>
    </w:p>
    <w:p>
      <w:pPr>
        <w:pStyle w:val="253"/>
        <w:rPr>
          <w:rFonts w:ascii="宋体" w:hAnsi="宋体"/>
          <w:kern w:val="0"/>
        </w:rPr>
      </w:pPr>
      <w:r>
        <w:rPr>
          <w:rFonts w:hint="eastAsia" w:ascii="宋体" w:hAnsi="宋体"/>
          <w:kern w:val="0"/>
        </w:rPr>
        <w:t>（6）投标人不符合国家或者招标文件规定的资格条件的；</w:t>
      </w:r>
    </w:p>
    <w:p>
      <w:pPr>
        <w:pStyle w:val="253"/>
        <w:rPr>
          <w:rFonts w:ascii="宋体" w:hAnsi="宋体"/>
          <w:kern w:val="0"/>
        </w:rPr>
      </w:pPr>
      <w:r>
        <w:rPr>
          <w:rFonts w:hint="eastAsia" w:ascii="宋体" w:hAnsi="宋体"/>
          <w:kern w:val="0"/>
        </w:rPr>
        <w:t>（7）投标人名称或者组织机构与资格预审时不一致且未提供有效证明的；</w:t>
      </w:r>
    </w:p>
    <w:p>
      <w:pPr>
        <w:pStyle w:val="253"/>
        <w:rPr>
          <w:rFonts w:ascii="宋体" w:hAnsi="宋体"/>
          <w:kern w:val="0"/>
        </w:rPr>
      </w:pPr>
      <w:r>
        <w:rPr>
          <w:rFonts w:hint="eastAsia" w:ascii="宋体" w:hAnsi="宋体"/>
          <w:kern w:val="0"/>
        </w:rPr>
        <w:t>（8）投标人提交两份或者多份内容不同的投标文件，或者在同一份投标文件中对同一招标项目有两个或者多个报价，且未声明哪一个为最终报价的，但按招标文件要求提交备选投标的除外；</w:t>
      </w:r>
    </w:p>
    <w:p>
      <w:pPr>
        <w:pStyle w:val="253"/>
        <w:rPr>
          <w:rFonts w:ascii="宋体" w:hAnsi="宋体"/>
          <w:kern w:val="0"/>
        </w:rPr>
      </w:pPr>
      <w:r>
        <w:rPr>
          <w:rFonts w:hint="eastAsia" w:ascii="宋体" w:hAnsi="宋体"/>
          <w:kern w:val="0"/>
        </w:rPr>
        <w:t>（9）串通投标、以行贿手段谋取中标、以他人名义或者其他弄虚作假方式投标的；</w:t>
      </w:r>
    </w:p>
    <w:p>
      <w:pPr>
        <w:pStyle w:val="253"/>
        <w:rPr>
          <w:rFonts w:ascii="宋体" w:hAnsi="宋体"/>
          <w:kern w:val="0"/>
        </w:rPr>
      </w:pPr>
      <w:r>
        <w:rPr>
          <w:rFonts w:hint="eastAsia" w:ascii="宋体" w:hAnsi="宋体"/>
          <w:kern w:val="0"/>
        </w:rPr>
        <w:t>（10）投标报价高于招标控制价的；</w:t>
      </w:r>
    </w:p>
    <w:p>
      <w:pPr>
        <w:pStyle w:val="253"/>
        <w:rPr>
          <w:rFonts w:ascii="宋体" w:hAnsi="宋体"/>
          <w:kern w:val="0"/>
        </w:rPr>
      </w:pPr>
      <w:r>
        <w:rPr>
          <w:rFonts w:hint="eastAsia" w:ascii="宋体" w:hAnsi="宋体"/>
          <w:kern w:val="0"/>
        </w:rPr>
        <w:t>（11）投标报价明显低于其他投标报价，且投标人不能合理说明或者提供相关证明材料，评标委员会认定该投标人以低于成本报价竞标的；</w:t>
      </w:r>
    </w:p>
    <w:p>
      <w:pPr>
        <w:pStyle w:val="253"/>
        <w:rPr>
          <w:rFonts w:ascii="宋体" w:hAnsi="宋体"/>
          <w:kern w:val="0"/>
        </w:rPr>
      </w:pPr>
      <w:r>
        <w:rPr>
          <w:rFonts w:hint="eastAsia" w:ascii="宋体" w:hAnsi="宋体"/>
          <w:kern w:val="0"/>
        </w:rPr>
        <w:t>（12）无正当理由不按照要求对投标文件进行澄清、说明或者补正的；</w:t>
      </w:r>
    </w:p>
    <w:p>
      <w:pPr>
        <w:pStyle w:val="253"/>
        <w:rPr>
          <w:rFonts w:ascii="宋体" w:hAnsi="宋体"/>
          <w:kern w:val="0"/>
        </w:rPr>
      </w:pPr>
      <w:r>
        <w:rPr>
          <w:rFonts w:hint="eastAsia" w:ascii="宋体" w:hAnsi="宋体"/>
          <w:kern w:val="0"/>
        </w:rPr>
        <w:t>（13）没有对招标文件提出的实质性要求和条件作出响应的；</w:t>
      </w:r>
    </w:p>
    <w:p>
      <w:pPr>
        <w:pStyle w:val="253"/>
        <w:rPr>
          <w:rFonts w:ascii="宋体" w:hAnsi="宋体"/>
          <w:kern w:val="0"/>
        </w:rPr>
      </w:pPr>
      <w:r>
        <w:rPr>
          <w:rFonts w:hint="eastAsia" w:ascii="宋体" w:hAnsi="宋体"/>
          <w:kern w:val="0"/>
        </w:rPr>
        <w:t>（14）进入招标人或权威企业认定的承包商黑名单的。</w:t>
      </w:r>
    </w:p>
    <w:p>
      <w:pPr>
        <w:pStyle w:val="253"/>
        <w:rPr>
          <w:rFonts w:ascii="宋体" w:hAnsi="宋体"/>
          <w:kern w:val="0"/>
        </w:rPr>
      </w:pPr>
      <w:r>
        <w:rPr>
          <w:rFonts w:hint="eastAsia" w:ascii="宋体" w:hAnsi="宋体"/>
          <w:kern w:val="0"/>
        </w:rPr>
        <w:t>（15）招标文件明确规定可以废标的其他情形。</w:t>
      </w:r>
    </w:p>
    <w:p>
      <w:pPr>
        <w:pStyle w:val="254"/>
        <w:ind w:firstLine="422"/>
        <w:outlineLvl w:val="9"/>
        <w:rPr>
          <w:kern w:val="0"/>
        </w:rPr>
      </w:pPr>
      <w:bookmarkStart w:id="193" w:name="_Toc309246703"/>
      <w:bookmarkStart w:id="194" w:name="_Toc378166575"/>
      <w:bookmarkStart w:id="195" w:name="_Toc419383240"/>
      <w:bookmarkStart w:id="196" w:name="_Toc475633978"/>
      <w:r>
        <w:rPr>
          <w:kern w:val="0"/>
        </w:rPr>
        <w:t xml:space="preserve">7. </w:t>
      </w:r>
      <w:r>
        <w:rPr>
          <w:rFonts w:hint="eastAsia"/>
          <w:kern w:val="0"/>
        </w:rPr>
        <w:t>合同授予</w:t>
      </w:r>
      <w:bookmarkEnd w:id="193"/>
      <w:bookmarkEnd w:id="194"/>
      <w:bookmarkEnd w:id="195"/>
      <w:bookmarkEnd w:id="196"/>
    </w:p>
    <w:p>
      <w:pPr>
        <w:pStyle w:val="253"/>
        <w:ind w:firstLine="422"/>
        <w:rPr>
          <w:rFonts w:ascii="宋体" w:hAnsi="宋体"/>
          <w:b/>
          <w:kern w:val="0"/>
        </w:rPr>
      </w:pPr>
      <w:bookmarkStart w:id="197" w:name="_Toc309246704"/>
      <w:bookmarkStart w:id="198" w:name="_Toc309246837"/>
      <w:bookmarkStart w:id="199" w:name="_Toc309305550"/>
      <w:r>
        <w:rPr>
          <w:rFonts w:hint="eastAsia" w:ascii="宋体" w:hAnsi="宋体"/>
          <w:b/>
          <w:kern w:val="0"/>
        </w:rPr>
        <w:t>7.1 授标前审查</w:t>
      </w:r>
    </w:p>
    <w:p>
      <w:pPr>
        <w:pStyle w:val="253"/>
        <w:rPr>
          <w:rFonts w:ascii="宋体" w:hAnsi="宋体"/>
          <w:kern w:val="0"/>
        </w:rPr>
      </w:pPr>
      <w:r>
        <w:rPr>
          <w:rFonts w:hint="eastAsia" w:ascii="宋体" w:hAnsi="宋体"/>
          <w:kern w:val="0"/>
        </w:rPr>
        <w:t>7.1.1 在授予合同前，招标人发现经评标委员会推荐的中标候选人的经营、财务状况发生较大变化或存在违法行为，招标人认为可能影响其履约能力的，招标人有权在发出中标通知书前由原评标委员会按照招标文件规定的标准和方法审查确认。</w:t>
      </w:r>
    </w:p>
    <w:p>
      <w:pPr>
        <w:pStyle w:val="253"/>
        <w:rPr>
          <w:rFonts w:ascii="宋体" w:hAnsi="宋体"/>
          <w:kern w:val="0"/>
        </w:rPr>
      </w:pPr>
      <w:r>
        <w:rPr>
          <w:rFonts w:hint="eastAsia" w:ascii="宋体" w:hAnsi="宋体"/>
          <w:kern w:val="0"/>
        </w:rPr>
        <w:t>7.1.2 如果投标人被确定为无能力履行合同，其投标将被拒绝。在该情况下，招标人将对按综合评标分由高到低排序的下一个投标人作出同样的审查，最终确定中标人。</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00" w:name="_Toc378166576"/>
      <w:r>
        <w:rPr>
          <w:rFonts w:ascii="宋体" w:hAnsi="宋体" w:cs="黑体"/>
          <w:b/>
          <w:kern w:val="0"/>
          <w:szCs w:val="21"/>
        </w:rPr>
        <w:t>7.</w:t>
      </w:r>
      <w:r>
        <w:rPr>
          <w:rFonts w:hint="eastAsia" w:ascii="宋体" w:hAnsi="宋体" w:cs="黑体"/>
          <w:b/>
          <w:kern w:val="0"/>
          <w:szCs w:val="21"/>
        </w:rPr>
        <w:t>2定标方式</w:t>
      </w:r>
      <w:bookmarkEnd w:id="197"/>
      <w:bookmarkEnd w:id="198"/>
      <w:bookmarkEnd w:id="199"/>
      <w:bookmarkEnd w:id="200"/>
    </w:p>
    <w:p>
      <w:pPr>
        <w:pStyle w:val="253"/>
        <w:rPr>
          <w:rFonts w:ascii="宋体" w:hAnsi="宋体" w:cs="TimesNewRomanPSMT"/>
          <w:kern w:val="0"/>
        </w:rPr>
      </w:pPr>
      <w:r>
        <w:rPr>
          <w:rFonts w:hint="eastAsia" w:ascii="宋体" w:hAnsi="宋体"/>
          <w:kern w:val="0"/>
        </w:rPr>
        <w:t>招标人依据评标委员会推荐的中标候选人确定中标人，评标委员会推荐中标候选人的人数见投标人须知前附表。</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01" w:name="_Toc309246705"/>
      <w:bookmarkStart w:id="202" w:name="_Toc309246838"/>
      <w:bookmarkStart w:id="203" w:name="_Toc309305551"/>
      <w:bookmarkStart w:id="204" w:name="_Toc378166577"/>
      <w:r>
        <w:rPr>
          <w:rFonts w:ascii="宋体" w:hAnsi="宋体" w:cs="黑体"/>
          <w:b/>
          <w:kern w:val="0"/>
          <w:szCs w:val="21"/>
        </w:rPr>
        <w:t>7.</w:t>
      </w:r>
      <w:r>
        <w:rPr>
          <w:rFonts w:hint="eastAsia" w:ascii="宋体" w:hAnsi="宋体" w:cs="黑体"/>
          <w:b/>
          <w:kern w:val="0"/>
          <w:szCs w:val="21"/>
        </w:rPr>
        <w:t>3中标通知</w:t>
      </w:r>
      <w:bookmarkEnd w:id="201"/>
      <w:bookmarkEnd w:id="202"/>
      <w:bookmarkEnd w:id="203"/>
      <w:bookmarkEnd w:id="204"/>
    </w:p>
    <w:p>
      <w:pPr>
        <w:tabs>
          <w:tab w:val="left" w:pos="1480"/>
        </w:tabs>
        <w:autoSpaceDE w:val="0"/>
        <w:autoSpaceDN w:val="0"/>
        <w:adjustRightInd w:val="0"/>
        <w:spacing w:line="360" w:lineRule="auto"/>
        <w:ind w:firstLine="420" w:firstLineChars="200"/>
        <w:jc w:val="left"/>
        <w:rPr>
          <w:rFonts w:ascii="宋体" w:hAnsi="宋体"/>
          <w:kern w:val="0"/>
          <w:szCs w:val="21"/>
        </w:rPr>
      </w:pPr>
      <w:bookmarkStart w:id="205" w:name="_Toc378166578"/>
      <w:r>
        <w:rPr>
          <w:rFonts w:hint="eastAsia" w:ascii="宋体" w:hAnsi="宋体"/>
          <w:kern w:val="0"/>
          <w:szCs w:val="21"/>
        </w:rPr>
        <w:t>在招标人最终接受此招标过程及结果的情况下：</w:t>
      </w:r>
      <w:bookmarkEnd w:id="205"/>
    </w:p>
    <w:p>
      <w:pPr>
        <w:tabs>
          <w:tab w:val="left" w:pos="1480"/>
        </w:tabs>
        <w:autoSpaceDE w:val="0"/>
        <w:autoSpaceDN w:val="0"/>
        <w:adjustRightInd w:val="0"/>
        <w:spacing w:line="360" w:lineRule="auto"/>
        <w:ind w:firstLine="420" w:firstLineChars="200"/>
        <w:jc w:val="left"/>
        <w:rPr>
          <w:rFonts w:ascii="宋体" w:hAnsi="宋体"/>
          <w:kern w:val="0"/>
          <w:szCs w:val="21"/>
        </w:rPr>
      </w:pPr>
      <w:bookmarkStart w:id="206" w:name="_Toc378166579"/>
      <w:r>
        <w:rPr>
          <w:rFonts w:hint="eastAsia" w:ascii="宋体" w:hAnsi="宋体"/>
          <w:kern w:val="0"/>
          <w:szCs w:val="21"/>
        </w:rPr>
        <w:t>7.3.1 投标文件有效期期满前，将以书面形式通知中标人其投标被接受。</w:t>
      </w:r>
      <w:bookmarkEnd w:id="206"/>
    </w:p>
    <w:p>
      <w:pPr>
        <w:tabs>
          <w:tab w:val="left" w:pos="1480"/>
        </w:tabs>
        <w:autoSpaceDE w:val="0"/>
        <w:autoSpaceDN w:val="0"/>
        <w:adjustRightInd w:val="0"/>
        <w:spacing w:line="360" w:lineRule="auto"/>
        <w:ind w:firstLine="420" w:firstLineChars="200"/>
        <w:jc w:val="left"/>
        <w:rPr>
          <w:rFonts w:ascii="宋体" w:hAnsi="宋体"/>
          <w:kern w:val="0"/>
          <w:szCs w:val="21"/>
        </w:rPr>
      </w:pPr>
      <w:bookmarkStart w:id="207" w:name="_Toc378166580"/>
      <w:r>
        <w:rPr>
          <w:rFonts w:hint="eastAsia" w:ascii="宋体" w:hAnsi="宋体"/>
          <w:kern w:val="0"/>
          <w:szCs w:val="21"/>
        </w:rPr>
        <w:t>7.3.2 中标通知书将作为招标人采购中标人所提供的产品及服务的协议的一部分。</w:t>
      </w:r>
      <w:bookmarkEnd w:id="207"/>
    </w:p>
    <w:p>
      <w:pPr>
        <w:tabs>
          <w:tab w:val="left" w:pos="1480"/>
        </w:tabs>
        <w:autoSpaceDE w:val="0"/>
        <w:autoSpaceDN w:val="0"/>
        <w:adjustRightInd w:val="0"/>
        <w:spacing w:line="360" w:lineRule="auto"/>
        <w:ind w:firstLine="420" w:firstLineChars="200"/>
        <w:jc w:val="left"/>
        <w:rPr>
          <w:rFonts w:ascii="宋体" w:hAnsi="宋体"/>
          <w:kern w:val="0"/>
          <w:szCs w:val="21"/>
        </w:rPr>
      </w:pPr>
      <w:bookmarkStart w:id="208" w:name="_Toc378166581"/>
      <w:r>
        <w:rPr>
          <w:rFonts w:hint="eastAsia" w:ascii="宋体" w:hAnsi="宋体"/>
          <w:kern w:val="0"/>
          <w:szCs w:val="21"/>
        </w:rPr>
        <w:t>7.3.3 若中标人未能满足本章第7.4或7.6款的要求，招标人有充分的理由取消该中标决定，并没收其投标保证金。在此情况下，招标人可将合同授予按综合评标分由高到低排序的下一个投标人，或重新招标。</w:t>
      </w:r>
      <w:bookmarkEnd w:id="208"/>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09" w:name="_Toc309246706"/>
      <w:bookmarkStart w:id="210" w:name="_Toc309246839"/>
      <w:bookmarkStart w:id="211" w:name="_Toc309305552"/>
      <w:bookmarkStart w:id="212" w:name="_Toc378166582"/>
      <w:r>
        <w:rPr>
          <w:rFonts w:ascii="宋体" w:hAnsi="宋体" w:cs="黑体"/>
          <w:b/>
          <w:kern w:val="0"/>
          <w:szCs w:val="21"/>
        </w:rPr>
        <w:t>7.</w:t>
      </w:r>
      <w:r>
        <w:rPr>
          <w:rFonts w:hint="eastAsia" w:ascii="宋体" w:hAnsi="宋体" w:cs="黑体"/>
          <w:b/>
          <w:kern w:val="0"/>
          <w:szCs w:val="21"/>
        </w:rPr>
        <w:t>4履约担保</w:t>
      </w:r>
      <w:bookmarkEnd w:id="209"/>
      <w:bookmarkEnd w:id="210"/>
      <w:bookmarkEnd w:id="211"/>
      <w:bookmarkEnd w:id="212"/>
    </w:p>
    <w:p>
      <w:pPr>
        <w:pStyle w:val="253"/>
        <w:rPr>
          <w:rFonts w:ascii="宋体" w:hAnsi="宋体" w:cs="TimesNewRomanPSMT"/>
          <w:kern w:val="0"/>
        </w:rPr>
      </w:pPr>
      <w:r>
        <w:rPr>
          <w:rFonts w:hint="eastAsia" w:ascii="宋体" w:hAnsi="宋体" w:cs="TimesNewRomanPSMT"/>
          <w:kern w:val="0"/>
        </w:rPr>
        <w:t>7.4.1 在签订合同前，中标人应按投标人须知前附表规定的金额、担保形式规定的履约担保格式向招标人提交履约担保。</w:t>
      </w:r>
    </w:p>
    <w:p>
      <w:pPr>
        <w:pStyle w:val="253"/>
        <w:rPr>
          <w:rFonts w:ascii="宋体" w:hAnsi="宋体"/>
          <w:kern w:val="0"/>
        </w:rPr>
      </w:pPr>
      <w:r>
        <w:rPr>
          <w:rFonts w:ascii="宋体" w:hAnsi="宋体" w:cs="TimesNewRomanPSMT"/>
          <w:kern w:val="0"/>
        </w:rPr>
        <w:t>7.</w:t>
      </w:r>
      <w:r>
        <w:rPr>
          <w:rFonts w:hint="eastAsia" w:ascii="宋体" w:hAnsi="宋体" w:cs="TimesNewRomanPSMT"/>
          <w:kern w:val="0"/>
        </w:rPr>
        <w:t>4</w:t>
      </w:r>
      <w:r>
        <w:rPr>
          <w:rFonts w:ascii="宋体" w:hAnsi="宋体" w:cs="TimesNewRomanPSMT"/>
          <w:kern w:val="0"/>
        </w:rPr>
        <w:t xml:space="preserve">.2 </w:t>
      </w:r>
      <w:r>
        <w:rPr>
          <w:rFonts w:hint="eastAsia" w:ascii="宋体" w:hAnsi="宋体"/>
          <w:kern w:val="0"/>
        </w:rPr>
        <w:t>中标人不能按本章第</w:t>
      </w:r>
      <w:r>
        <w:rPr>
          <w:rFonts w:ascii="宋体" w:hAnsi="宋体" w:cs="TimesNewRomanPSMT"/>
          <w:kern w:val="0"/>
        </w:rPr>
        <w:t>7.</w:t>
      </w:r>
      <w:r>
        <w:rPr>
          <w:rFonts w:hint="eastAsia" w:ascii="宋体" w:hAnsi="宋体" w:cs="TimesNewRomanPSMT"/>
          <w:kern w:val="0"/>
        </w:rPr>
        <w:t>4</w:t>
      </w:r>
      <w:r>
        <w:rPr>
          <w:rFonts w:ascii="宋体" w:hAnsi="宋体" w:cs="TimesNewRomanPSMT"/>
          <w:kern w:val="0"/>
        </w:rPr>
        <w:t>.1</w:t>
      </w:r>
      <w:r>
        <w:rPr>
          <w:rFonts w:hint="eastAsia" w:ascii="宋体" w:hAnsi="宋体"/>
          <w:kern w:val="0"/>
        </w:rPr>
        <w:t>项要求提交履约担保的，视为放弃中标，其投标保证金不予退还，给招标人造成的损失超过投标保证金数额的，中标人还应当对超过部分予以赔偿。</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13" w:name="_Toc378166583"/>
      <w:r>
        <w:rPr>
          <w:rFonts w:hint="eastAsia" w:ascii="宋体" w:hAnsi="宋体" w:cs="黑体"/>
          <w:b/>
          <w:kern w:val="0"/>
          <w:szCs w:val="21"/>
        </w:rPr>
        <w:t>7.5 知识产权</w:t>
      </w:r>
      <w:bookmarkEnd w:id="213"/>
    </w:p>
    <w:p>
      <w:pPr>
        <w:pStyle w:val="253"/>
        <w:rPr>
          <w:rFonts w:ascii="宋体" w:hAnsi="宋体"/>
          <w:kern w:val="0"/>
        </w:rPr>
      </w:pPr>
      <w:r>
        <w:rPr>
          <w:rFonts w:hint="eastAsia" w:ascii="宋体" w:hAnsi="宋体"/>
          <w:kern w:val="0"/>
        </w:rPr>
        <w:t>7.5.1投标方应保证，因承包本标段的需要，投标方提供的与本标段有关的设备、材料、工序工艺、软件及其他知识产权，应保障招标方在使用时不存在权利上的瑕疵，不会发生侵犯第三方知识产权等情况。第三方提出异议或赔偿的，投标方应负责与第三方交涉，并承担由此产生的全部法律和经济责任；因侵权给招标方造成损失的，投标方应给予赔偿。</w:t>
      </w:r>
    </w:p>
    <w:p>
      <w:pPr>
        <w:pStyle w:val="253"/>
        <w:rPr>
          <w:rFonts w:ascii="宋体" w:hAnsi="宋体"/>
          <w:kern w:val="0"/>
        </w:rPr>
      </w:pPr>
      <w:r>
        <w:rPr>
          <w:rFonts w:hint="eastAsia" w:ascii="宋体" w:hAnsi="宋体"/>
          <w:kern w:val="0"/>
        </w:rPr>
        <w:t>7.5.2 投标价应包括所有应支付的对专利权、非专利技术、版权、设计或其他知识产权而需要向其他方支付的版税和费用。</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14" w:name="_Toc309246707"/>
      <w:bookmarkStart w:id="215" w:name="_Toc309246840"/>
      <w:bookmarkStart w:id="216" w:name="_Toc309305553"/>
      <w:bookmarkStart w:id="217" w:name="_Toc378166584"/>
      <w:r>
        <w:rPr>
          <w:rFonts w:ascii="宋体" w:hAnsi="宋体" w:cs="黑体"/>
          <w:b/>
          <w:kern w:val="0"/>
          <w:szCs w:val="21"/>
        </w:rPr>
        <w:t>7.</w:t>
      </w:r>
      <w:r>
        <w:rPr>
          <w:rFonts w:hint="eastAsia" w:ascii="宋体" w:hAnsi="宋体" w:cs="黑体"/>
          <w:b/>
          <w:kern w:val="0"/>
          <w:szCs w:val="21"/>
        </w:rPr>
        <w:t>6签订合同</w:t>
      </w:r>
      <w:bookmarkEnd w:id="214"/>
      <w:bookmarkEnd w:id="215"/>
      <w:bookmarkEnd w:id="216"/>
      <w:bookmarkEnd w:id="217"/>
    </w:p>
    <w:p>
      <w:pPr>
        <w:pStyle w:val="253"/>
        <w:rPr>
          <w:rFonts w:ascii="宋体" w:hAnsi="宋体"/>
          <w:kern w:val="0"/>
        </w:rPr>
      </w:pPr>
      <w:r>
        <w:rPr>
          <w:rFonts w:hint="eastAsia" w:ascii="宋体" w:hAnsi="宋体" w:cs="TimesNewRomanPSMT"/>
          <w:kern w:val="0"/>
        </w:rPr>
        <w:t>中标人在收到中标通知后，应按通知规定与招标人签订合同。若中标人未对招标文件提出过偏离、保留或反对，则被视为中标人已完全接受了招标文件，中标人无权在合同签订前要求修改合同条款。若中标人已对招标文件提出了偏离、保留或反对，则中标人仅可就其已提出的偏离、保留或反对与招标人进行磋商。如经磋商最终达不成一致意见，招标人有权不与中标人签约、取消其中标资格而不承担任何责任。在此情况下，招标人有权按照评标委员会提出的中标候选人排序依次确定其他中标候选人为中标人，也可以重新招标。</w:t>
      </w:r>
    </w:p>
    <w:p>
      <w:pPr>
        <w:pStyle w:val="254"/>
        <w:ind w:firstLine="422"/>
        <w:outlineLvl w:val="9"/>
        <w:rPr>
          <w:kern w:val="0"/>
        </w:rPr>
      </w:pPr>
      <w:bookmarkStart w:id="218" w:name="_Toc309246708"/>
      <w:bookmarkStart w:id="219" w:name="_Toc378166585"/>
      <w:bookmarkStart w:id="220" w:name="_Toc419383241"/>
      <w:bookmarkStart w:id="221" w:name="_Toc475633979"/>
      <w:r>
        <w:rPr>
          <w:kern w:val="0"/>
        </w:rPr>
        <w:t xml:space="preserve">8. </w:t>
      </w:r>
      <w:r>
        <w:rPr>
          <w:rFonts w:hint="eastAsia"/>
          <w:kern w:val="0"/>
        </w:rPr>
        <w:t>重新招标和不再招标</w:t>
      </w:r>
      <w:bookmarkEnd w:id="218"/>
      <w:bookmarkEnd w:id="219"/>
      <w:bookmarkEnd w:id="220"/>
      <w:bookmarkEnd w:id="221"/>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22" w:name="_Toc309246709"/>
      <w:bookmarkStart w:id="223" w:name="_Toc309246842"/>
      <w:bookmarkStart w:id="224" w:name="_Toc309305555"/>
      <w:bookmarkStart w:id="225" w:name="_Toc378166586"/>
      <w:r>
        <w:rPr>
          <w:rFonts w:ascii="宋体" w:hAnsi="宋体" w:cs="黑体"/>
          <w:b/>
          <w:kern w:val="0"/>
          <w:szCs w:val="21"/>
        </w:rPr>
        <w:t xml:space="preserve">8.1 </w:t>
      </w:r>
      <w:r>
        <w:rPr>
          <w:rFonts w:hint="eastAsia" w:ascii="宋体" w:hAnsi="宋体" w:cs="黑体"/>
          <w:b/>
          <w:kern w:val="0"/>
          <w:szCs w:val="21"/>
        </w:rPr>
        <w:t>重新招标</w:t>
      </w:r>
      <w:bookmarkEnd w:id="222"/>
      <w:bookmarkEnd w:id="223"/>
      <w:bookmarkEnd w:id="224"/>
      <w:bookmarkEnd w:id="225"/>
    </w:p>
    <w:p>
      <w:pPr>
        <w:pStyle w:val="253"/>
        <w:rPr>
          <w:rFonts w:ascii="宋体" w:hAnsi="宋体"/>
          <w:kern w:val="0"/>
        </w:rPr>
      </w:pPr>
      <w:r>
        <w:rPr>
          <w:rFonts w:hint="eastAsia" w:ascii="宋体" w:hAnsi="宋体"/>
          <w:kern w:val="0"/>
        </w:rPr>
        <w:t>有下列情形之一的，招标人将重新招标：</w:t>
      </w:r>
    </w:p>
    <w:p>
      <w:pPr>
        <w:pStyle w:val="253"/>
        <w:rPr>
          <w:rFonts w:ascii="宋体" w:hAnsi="宋体"/>
          <w:kern w:val="0"/>
        </w:rPr>
      </w:pPr>
      <w:r>
        <w:rPr>
          <w:rFonts w:hint="eastAsia" w:ascii="宋体" w:hAnsi="宋体"/>
          <w:kern w:val="0"/>
        </w:rPr>
        <w:t>（</w:t>
      </w:r>
      <w:r>
        <w:rPr>
          <w:rFonts w:ascii="宋体" w:hAnsi="宋体" w:cs="TimesNewRomanPSMT"/>
          <w:kern w:val="0"/>
        </w:rPr>
        <w:t>1</w:t>
      </w:r>
      <w:r>
        <w:rPr>
          <w:rFonts w:hint="eastAsia" w:ascii="宋体" w:hAnsi="宋体"/>
          <w:kern w:val="0"/>
        </w:rPr>
        <w:t>）投标截止时间止，投标人少于</w:t>
      </w:r>
      <w:r>
        <w:rPr>
          <w:rFonts w:hint="eastAsia" w:ascii="宋体" w:hAnsi="宋体" w:cs="TimesNewRomanPSMT"/>
          <w:kern w:val="0"/>
        </w:rPr>
        <w:t>3</w:t>
      </w:r>
      <w:r>
        <w:rPr>
          <w:rFonts w:hint="eastAsia" w:ascii="宋体" w:hAnsi="宋体"/>
          <w:kern w:val="0"/>
        </w:rPr>
        <w:t>个的；</w:t>
      </w:r>
    </w:p>
    <w:p>
      <w:pPr>
        <w:pStyle w:val="253"/>
        <w:rPr>
          <w:rFonts w:ascii="宋体" w:hAnsi="宋体"/>
          <w:kern w:val="0"/>
        </w:rPr>
      </w:pPr>
      <w:r>
        <w:rPr>
          <w:rFonts w:hint="eastAsia" w:ascii="宋体" w:hAnsi="宋体"/>
          <w:kern w:val="0"/>
        </w:rPr>
        <w:t>（</w:t>
      </w:r>
      <w:r>
        <w:rPr>
          <w:rFonts w:ascii="宋体" w:hAnsi="宋体" w:cs="TimesNewRomanPSMT"/>
          <w:kern w:val="0"/>
        </w:rPr>
        <w:t>2</w:t>
      </w:r>
      <w:r>
        <w:rPr>
          <w:rFonts w:hint="eastAsia" w:ascii="宋体" w:hAnsi="宋体"/>
          <w:kern w:val="0"/>
        </w:rPr>
        <w:t>）经评标委员会评审后否决所有投标的。</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26" w:name="_Toc309246710"/>
      <w:bookmarkStart w:id="227" w:name="_Toc309246843"/>
      <w:bookmarkStart w:id="228" w:name="_Toc309305556"/>
      <w:bookmarkStart w:id="229" w:name="_Toc378166587"/>
      <w:r>
        <w:rPr>
          <w:rFonts w:ascii="宋体" w:hAnsi="宋体" w:cs="黑体"/>
          <w:b/>
          <w:kern w:val="0"/>
          <w:szCs w:val="21"/>
        </w:rPr>
        <w:t xml:space="preserve">8.2 </w:t>
      </w:r>
      <w:r>
        <w:rPr>
          <w:rFonts w:hint="eastAsia" w:ascii="宋体" w:hAnsi="宋体" w:cs="黑体"/>
          <w:b/>
          <w:kern w:val="0"/>
          <w:szCs w:val="21"/>
        </w:rPr>
        <w:t>不再招标</w:t>
      </w:r>
      <w:bookmarkEnd w:id="226"/>
      <w:bookmarkEnd w:id="227"/>
      <w:bookmarkEnd w:id="228"/>
      <w:bookmarkEnd w:id="229"/>
    </w:p>
    <w:p>
      <w:pPr>
        <w:pStyle w:val="253"/>
        <w:rPr>
          <w:rFonts w:ascii="宋体" w:hAnsi="宋体"/>
          <w:kern w:val="0"/>
        </w:rPr>
      </w:pPr>
      <w:r>
        <w:rPr>
          <w:rFonts w:hint="eastAsia" w:ascii="宋体" w:hAnsi="宋体"/>
          <w:kern w:val="0"/>
        </w:rPr>
        <w:t>重新招标后投标人仍少于</w:t>
      </w:r>
      <w:r>
        <w:rPr>
          <w:rFonts w:ascii="宋体" w:hAnsi="宋体" w:cs="TimesNewRomanPSMT"/>
          <w:kern w:val="0"/>
        </w:rPr>
        <w:t>3</w:t>
      </w:r>
      <w:r>
        <w:rPr>
          <w:rFonts w:hint="eastAsia" w:ascii="宋体" w:hAnsi="宋体"/>
          <w:kern w:val="0"/>
        </w:rPr>
        <w:t>个或者所有投标被否决的，属于必须审批或核准的工程技术服务项目，经原审批或核准部门批准后不再进行招标。</w:t>
      </w:r>
    </w:p>
    <w:p>
      <w:pPr>
        <w:pStyle w:val="254"/>
        <w:ind w:firstLine="422"/>
        <w:outlineLvl w:val="9"/>
        <w:rPr>
          <w:kern w:val="0"/>
        </w:rPr>
      </w:pPr>
      <w:bookmarkStart w:id="230" w:name="_Toc309246711"/>
      <w:bookmarkStart w:id="231" w:name="_Toc378166588"/>
      <w:bookmarkStart w:id="232" w:name="_Toc419383242"/>
      <w:bookmarkStart w:id="233" w:name="_Toc475633980"/>
      <w:r>
        <w:rPr>
          <w:kern w:val="0"/>
        </w:rPr>
        <w:t xml:space="preserve">9. </w:t>
      </w:r>
      <w:r>
        <w:rPr>
          <w:rFonts w:hint="eastAsia"/>
          <w:kern w:val="0"/>
        </w:rPr>
        <w:t>纪律和监督</w:t>
      </w:r>
      <w:bookmarkEnd w:id="230"/>
      <w:bookmarkEnd w:id="231"/>
      <w:bookmarkEnd w:id="232"/>
      <w:bookmarkEnd w:id="233"/>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34" w:name="_Toc309246712"/>
      <w:bookmarkStart w:id="235" w:name="_Toc309246845"/>
      <w:bookmarkStart w:id="236" w:name="_Toc309305558"/>
      <w:bookmarkStart w:id="237" w:name="_Toc378166589"/>
      <w:r>
        <w:rPr>
          <w:rFonts w:ascii="宋体" w:hAnsi="宋体" w:cs="黑体"/>
          <w:b/>
          <w:kern w:val="0"/>
          <w:szCs w:val="21"/>
        </w:rPr>
        <w:t xml:space="preserve">9.1 </w:t>
      </w:r>
      <w:r>
        <w:rPr>
          <w:rFonts w:hint="eastAsia" w:ascii="宋体" w:hAnsi="宋体" w:cs="黑体"/>
          <w:b/>
          <w:kern w:val="0"/>
          <w:szCs w:val="21"/>
        </w:rPr>
        <w:t>对招标人的纪律要求</w:t>
      </w:r>
      <w:bookmarkEnd w:id="234"/>
      <w:bookmarkEnd w:id="235"/>
      <w:bookmarkEnd w:id="236"/>
      <w:bookmarkEnd w:id="237"/>
    </w:p>
    <w:p>
      <w:pPr>
        <w:pStyle w:val="253"/>
        <w:rPr>
          <w:rFonts w:ascii="宋体" w:hAnsi="宋体"/>
          <w:kern w:val="0"/>
        </w:rPr>
      </w:pPr>
      <w:r>
        <w:rPr>
          <w:rFonts w:hint="eastAsia" w:ascii="宋体" w:hAnsi="宋体"/>
          <w:kern w:val="0"/>
        </w:rPr>
        <w:t>招标人不得泄漏招标投标活动中应当保密的情况和资料，不得与投标人串通损害国家利益、社会公共利益或者他人合法权益。</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38" w:name="_Toc309246713"/>
      <w:bookmarkStart w:id="239" w:name="_Toc309246846"/>
      <w:bookmarkStart w:id="240" w:name="_Toc309305559"/>
      <w:bookmarkStart w:id="241" w:name="_Toc378166590"/>
      <w:r>
        <w:rPr>
          <w:rFonts w:ascii="宋体" w:hAnsi="宋体" w:cs="黑体"/>
          <w:b/>
          <w:kern w:val="0"/>
          <w:szCs w:val="21"/>
        </w:rPr>
        <w:t xml:space="preserve">9.2 </w:t>
      </w:r>
      <w:r>
        <w:rPr>
          <w:rFonts w:hint="eastAsia" w:ascii="宋体" w:hAnsi="宋体" w:cs="黑体"/>
          <w:b/>
          <w:kern w:val="0"/>
          <w:szCs w:val="21"/>
        </w:rPr>
        <w:t>对投标人的纪律要求</w:t>
      </w:r>
      <w:bookmarkEnd w:id="238"/>
      <w:bookmarkEnd w:id="239"/>
      <w:bookmarkEnd w:id="240"/>
      <w:bookmarkEnd w:id="241"/>
    </w:p>
    <w:p>
      <w:pPr>
        <w:pStyle w:val="253"/>
        <w:rPr>
          <w:rFonts w:ascii="宋体" w:hAnsi="宋体" w:cs="TimesNewRomanPSMT"/>
          <w:kern w:val="0"/>
        </w:rPr>
      </w:pPr>
      <w:r>
        <w:rPr>
          <w:rFonts w:hint="eastAsia" w:ascii="宋体" w:hAnsi="宋体"/>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42" w:name="_Toc309246714"/>
      <w:bookmarkStart w:id="243" w:name="_Toc309246847"/>
      <w:bookmarkStart w:id="244" w:name="_Toc309305560"/>
      <w:bookmarkStart w:id="245" w:name="_Toc378166591"/>
      <w:r>
        <w:rPr>
          <w:rFonts w:ascii="宋体" w:hAnsi="宋体" w:cs="黑体"/>
          <w:b/>
          <w:kern w:val="0"/>
          <w:szCs w:val="21"/>
        </w:rPr>
        <w:t xml:space="preserve">9.3 </w:t>
      </w:r>
      <w:r>
        <w:rPr>
          <w:rFonts w:hint="eastAsia" w:ascii="宋体" w:hAnsi="宋体" w:cs="黑体"/>
          <w:b/>
          <w:kern w:val="0"/>
          <w:szCs w:val="21"/>
        </w:rPr>
        <w:t>对评标委员会成员的纪律要求</w:t>
      </w:r>
      <w:bookmarkEnd w:id="242"/>
      <w:bookmarkEnd w:id="243"/>
      <w:bookmarkEnd w:id="244"/>
      <w:bookmarkEnd w:id="245"/>
    </w:p>
    <w:p>
      <w:pPr>
        <w:pStyle w:val="253"/>
        <w:rPr>
          <w:rFonts w:ascii="宋体" w:hAnsi="宋体"/>
          <w:kern w:val="0"/>
        </w:rPr>
      </w:pPr>
      <w:r>
        <w:rPr>
          <w:rFonts w:hint="eastAsia" w:ascii="宋体" w:hAnsi="宋体"/>
          <w:kern w:val="0"/>
        </w:rPr>
        <w:t>评标委员会成员不得收受他人的财物或者其他好处，不得向他人透漏对投标文件的评审比较、中标候选人的推荐情况以及评标有关的其他情况。在评标活动中，评标委员会成员不得擅离职守，影响评标程序正常进行，不得使用第三章“评标办法”没有规定的评审因素和标准进行评标。</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46" w:name="_Toc309246715"/>
      <w:bookmarkStart w:id="247" w:name="_Toc309246848"/>
      <w:bookmarkStart w:id="248" w:name="_Toc309305561"/>
      <w:bookmarkStart w:id="249" w:name="_Toc378166592"/>
      <w:r>
        <w:rPr>
          <w:rFonts w:ascii="宋体" w:hAnsi="宋体" w:cs="黑体"/>
          <w:b/>
          <w:kern w:val="0"/>
          <w:szCs w:val="21"/>
        </w:rPr>
        <w:t xml:space="preserve">9.4 </w:t>
      </w:r>
      <w:r>
        <w:rPr>
          <w:rFonts w:hint="eastAsia" w:ascii="宋体" w:hAnsi="宋体" w:cs="黑体"/>
          <w:b/>
          <w:kern w:val="0"/>
          <w:szCs w:val="21"/>
        </w:rPr>
        <w:t>对与评标活动有关的工作人员的纪律要求</w:t>
      </w:r>
      <w:bookmarkEnd w:id="246"/>
      <w:bookmarkEnd w:id="247"/>
      <w:bookmarkEnd w:id="248"/>
      <w:bookmarkEnd w:id="249"/>
    </w:p>
    <w:p>
      <w:pPr>
        <w:pStyle w:val="253"/>
        <w:rPr>
          <w:rFonts w:ascii="宋体" w:hAnsi="宋体"/>
          <w:kern w:val="0"/>
        </w:rPr>
      </w:pPr>
      <w:r>
        <w:rPr>
          <w:rFonts w:hint="eastAsia" w:ascii="宋体" w:hAnsi="宋体"/>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tabs>
          <w:tab w:val="left" w:pos="1480"/>
        </w:tabs>
        <w:autoSpaceDE w:val="0"/>
        <w:autoSpaceDN w:val="0"/>
        <w:adjustRightInd w:val="0"/>
        <w:spacing w:line="360" w:lineRule="auto"/>
        <w:ind w:firstLine="422" w:firstLineChars="200"/>
        <w:jc w:val="left"/>
        <w:rPr>
          <w:rFonts w:ascii="宋体" w:hAnsi="宋体" w:cs="黑体"/>
          <w:b/>
          <w:kern w:val="0"/>
          <w:szCs w:val="21"/>
        </w:rPr>
      </w:pPr>
      <w:bookmarkStart w:id="250" w:name="_Toc309246716"/>
      <w:bookmarkStart w:id="251" w:name="_Toc309246849"/>
      <w:bookmarkStart w:id="252" w:name="_Toc309305562"/>
      <w:bookmarkStart w:id="253" w:name="_Toc378166593"/>
      <w:r>
        <w:rPr>
          <w:rFonts w:ascii="宋体" w:hAnsi="宋体" w:cs="黑体"/>
          <w:b/>
          <w:kern w:val="0"/>
          <w:szCs w:val="21"/>
        </w:rPr>
        <w:t xml:space="preserve">9.5 </w:t>
      </w:r>
      <w:r>
        <w:rPr>
          <w:rFonts w:hint="eastAsia" w:ascii="宋体" w:hAnsi="宋体" w:cs="黑体"/>
          <w:b/>
          <w:kern w:val="0"/>
          <w:szCs w:val="21"/>
        </w:rPr>
        <w:t>投诉</w:t>
      </w:r>
      <w:bookmarkEnd w:id="250"/>
      <w:bookmarkEnd w:id="251"/>
      <w:bookmarkEnd w:id="252"/>
      <w:bookmarkEnd w:id="253"/>
    </w:p>
    <w:p>
      <w:pPr>
        <w:pStyle w:val="253"/>
        <w:rPr>
          <w:rFonts w:ascii="宋体" w:hAnsi="宋体"/>
          <w:kern w:val="0"/>
        </w:rPr>
      </w:pPr>
      <w:r>
        <w:rPr>
          <w:rFonts w:hint="eastAsia" w:ascii="宋体" w:hAnsi="宋体"/>
          <w:kern w:val="0"/>
        </w:rPr>
        <w:t>投标人和其他利害关系人认为本次招标活动违反法律、法规和规章规定的，有权向招标管理办公室和纪检监察部门投诉。</w:t>
      </w:r>
    </w:p>
    <w:p>
      <w:pPr>
        <w:pStyle w:val="254"/>
        <w:ind w:firstLine="422"/>
        <w:outlineLvl w:val="9"/>
        <w:rPr>
          <w:kern w:val="0"/>
        </w:rPr>
      </w:pPr>
      <w:bookmarkStart w:id="254" w:name="_Toc309246717"/>
      <w:bookmarkStart w:id="255" w:name="_Toc378166594"/>
      <w:bookmarkStart w:id="256" w:name="_Toc419383243"/>
      <w:bookmarkStart w:id="257" w:name="_Toc475633981"/>
      <w:r>
        <w:rPr>
          <w:kern w:val="0"/>
        </w:rPr>
        <w:t xml:space="preserve">10. </w:t>
      </w:r>
      <w:r>
        <w:rPr>
          <w:rFonts w:hint="eastAsia"/>
          <w:kern w:val="0"/>
        </w:rPr>
        <w:t>需要补充的其他内容</w:t>
      </w:r>
      <w:bookmarkEnd w:id="254"/>
      <w:bookmarkEnd w:id="255"/>
      <w:bookmarkEnd w:id="256"/>
      <w:bookmarkEnd w:id="257"/>
    </w:p>
    <w:p>
      <w:pPr>
        <w:pStyle w:val="253"/>
        <w:rPr>
          <w:rFonts w:ascii="宋体" w:hAnsi="宋体"/>
          <w:kern w:val="0"/>
        </w:rPr>
      </w:pPr>
      <w:r>
        <w:rPr>
          <w:rFonts w:hint="eastAsia" w:ascii="宋体" w:hAnsi="宋体"/>
          <w:kern w:val="0"/>
        </w:rPr>
        <w:t>10.1 词语定义：见投标人须知前附表。</w:t>
      </w:r>
    </w:p>
    <w:p>
      <w:pPr>
        <w:pStyle w:val="253"/>
        <w:rPr>
          <w:rFonts w:ascii="宋体" w:hAnsi="宋体" w:cs="仿宋_GB2312"/>
          <w:kern w:val="0"/>
        </w:rPr>
      </w:pPr>
      <w:r>
        <w:rPr>
          <w:rFonts w:hint="eastAsia" w:ascii="宋体" w:hAnsi="宋体"/>
        </w:rPr>
        <w:t>10.2 招标控制价：见投标人须知前附表。</w:t>
      </w:r>
    </w:p>
    <w:p>
      <w:pPr>
        <w:pStyle w:val="253"/>
        <w:rPr>
          <w:rFonts w:ascii="宋体" w:hAnsi="宋体"/>
        </w:rPr>
      </w:pPr>
      <w:r>
        <w:rPr>
          <w:rFonts w:hint="eastAsia" w:ascii="宋体" w:hAnsi="宋体"/>
        </w:rPr>
        <w:t>10.3“暗标”评审：见投标人须知前附表。</w:t>
      </w:r>
    </w:p>
    <w:p>
      <w:pPr>
        <w:pStyle w:val="253"/>
        <w:rPr>
          <w:rFonts w:ascii="宋体" w:hAnsi="宋体"/>
        </w:rPr>
      </w:pPr>
      <w:r>
        <w:rPr>
          <w:rFonts w:hint="eastAsia" w:ascii="宋体" w:hAnsi="宋体"/>
        </w:rPr>
        <w:t>10.4投标文件电子版：见投标人须知前附表。</w:t>
      </w:r>
    </w:p>
    <w:p>
      <w:pPr>
        <w:pStyle w:val="253"/>
        <w:rPr>
          <w:rFonts w:ascii="宋体" w:hAnsi="宋体"/>
        </w:rPr>
      </w:pPr>
      <w:r>
        <w:rPr>
          <w:rFonts w:hint="eastAsia" w:ascii="宋体" w:hAnsi="宋体"/>
        </w:rPr>
        <w:t>10.5计算机辅助评标：见投标人须知前附表。</w:t>
      </w:r>
    </w:p>
    <w:p>
      <w:pPr>
        <w:pStyle w:val="253"/>
        <w:rPr>
          <w:rFonts w:ascii="宋体" w:hAnsi="宋体"/>
        </w:rPr>
      </w:pPr>
      <w:r>
        <w:rPr>
          <w:rFonts w:hint="eastAsia" w:ascii="宋体" w:hAnsi="宋体"/>
        </w:rPr>
        <w:t>10.6</w:t>
      </w:r>
      <w:r>
        <w:rPr>
          <w:rFonts w:hint="eastAsia" w:ascii="宋体" w:hAnsi="宋体"/>
          <w:kern w:val="0"/>
        </w:rPr>
        <w:t>投标人代表出席开标会：</w:t>
      </w:r>
      <w:r>
        <w:rPr>
          <w:rFonts w:hint="eastAsia" w:ascii="宋体" w:hAnsi="宋体"/>
        </w:rPr>
        <w:t>招标人邀请所有投标人的法定代表人或其委托代理人参加开标会的，投标人代表应按照本须知第5.1款的规定出席开标会。投标人的法定代表人或其委托代理人应当按时参加开标会，并在招标人按开标程序进行点名时，向招标人提交法定代表人身份证明文件或法定代表人授权委托书，出示本人身份证，以证明其出席，否则，其投标文件按废标处理。</w:t>
      </w:r>
    </w:p>
    <w:p>
      <w:pPr>
        <w:pStyle w:val="253"/>
        <w:rPr>
          <w:rFonts w:ascii="宋体" w:hAnsi="宋体"/>
        </w:rPr>
      </w:pPr>
      <w:r>
        <w:rPr>
          <w:rFonts w:hint="eastAsia" w:ascii="宋体" w:hAnsi="宋体"/>
        </w:rPr>
        <w:t>10.7中标公示：在中标通知书发出前，招标人将中标候选人的情况在本招标项目招标公告发布的同一媒介上予以公示，公示期不少于3个日历日。</w:t>
      </w:r>
    </w:p>
    <w:p>
      <w:pPr>
        <w:pStyle w:val="253"/>
        <w:rPr>
          <w:rFonts w:ascii="宋体" w:hAnsi="宋体"/>
        </w:rPr>
      </w:pPr>
      <w:r>
        <w:rPr>
          <w:rFonts w:hint="eastAsia" w:ascii="宋体" w:hAnsi="宋体"/>
        </w:rPr>
        <w:t>10.8知识产权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pStyle w:val="253"/>
        <w:rPr>
          <w:rFonts w:ascii="宋体" w:hAnsi="宋体"/>
        </w:rPr>
      </w:pPr>
      <w:r>
        <w:rPr>
          <w:rFonts w:hint="eastAsia" w:ascii="宋体" w:hAnsi="宋体"/>
        </w:rPr>
        <w:t>10.9重新招标的其他情形</w:t>
      </w:r>
    </w:p>
    <w:p>
      <w:pPr>
        <w:pStyle w:val="253"/>
        <w:rPr>
          <w:rFonts w:ascii="宋体" w:hAnsi="宋体"/>
        </w:rPr>
      </w:pPr>
      <w:r>
        <w:rPr>
          <w:rFonts w:hint="eastAsia" w:ascii="宋体" w:hAnsi="宋体"/>
        </w:rPr>
        <w:t>除投标人须知正文第8条规定的情形外，除非已经产生中标候选人，在投标有效期内同意延长投标有效期的投标人少于三个的，招标人应当依法重新招标。</w:t>
      </w:r>
    </w:p>
    <w:p>
      <w:pPr>
        <w:pStyle w:val="253"/>
        <w:rPr>
          <w:rFonts w:ascii="宋体" w:hAnsi="宋体"/>
        </w:rPr>
      </w:pPr>
      <w:r>
        <w:rPr>
          <w:rFonts w:hint="eastAsia" w:ascii="宋体" w:hAnsi="宋体"/>
        </w:rPr>
        <w:t>10.10同义词语</w:t>
      </w:r>
    </w:p>
    <w:p>
      <w:pPr>
        <w:pStyle w:val="253"/>
        <w:rPr>
          <w:rFonts w:ascii="宋体" w:hAnsi="宋体"/>
        </w:rPr>
      </w:pPr>
      <w:r>
        <w:rPr>
          <w:rFonts w:hint="eastAsia" w:ascii="宋体" w:hAnsi="宋体"/>
        </w:rPr>
        <w:t>构成招标文件组成部分的“通用合同条款”、“专用合同条款”、“技术标准和要求”和“工程量清单”等章节中出现的措辞“发包人”和“承包人”，在招标投标阶段应当分别按“招标人”和“投标人”进行理解。</w:t>
      </w:r>
    </w:p>
    <w:p>
      <w:pPr>
        <w:pStyle w:val="253"/>
        <w:rPr>
          <w:rFonts w:ascii="宋体" w:hAnsi="宋体"/>
        </w:rPr>
      </w:pPr>
      <w:r>
        <w:rPr>
          <w:rFonts w:hint="eastAsia" w:ascii="宋体" w:hAnsi="宋体"/>
        </w:rPr>
        <w:t>10.11监  督</w:t>
      </w:r>
    </w:p>
    <w:p>
      <w:pPr>
        <w:pStyle w:val="253"/>
        <w:rPr>
          <w:rFonts w:ascii="宋体" w:hAnsi="宋体"/>
        </w:rPr>
      </w:pPr>
      <w:r>
        <w:rPr>
          <w:rFonts w:hint="eastAsia" w:ascii="宋体" w:hAnsi="宋体"/>
        </w:rPr>
        <w:t>本项目的招标投标活动及其相关当事人应当接受</w:t>
      </w:r>
      <w:r>
        <w:rPr>
          <w:rFonts w:hint="eastAsia" w:ascii="宋体" w:hAnsi="宋体"/>
          <w:kern w:val="0"/>
        </w:rPr>
        <w:t>相关行政监管机构</w:t>
      </w:r>
      <w:r>
        <w:rPr>
          <w:rFonts w:hint="eastAsia" w:ascii="宋体" w:hAnsi="宋体"/>
        </w:rPr>
        <w:t>依法实施的监督。</w:t>
      </w:r>
    </w:p>
    <w:p>
      <w:pPr>
        <w:pStyle w:val="253"/>
        <w:rPr>
          <w:rFonts w:ascii="宋体" w:hAnsi="宋体"/>
        </w:rPr>
      </w:pPr>
      <w:r>
        <w:rPr>
          <w:rFonts w:hint="eastAsia" w:ascii="宋体" w:hAnsi="宋体"/>
        </w:rPr>
        <w:t>10.12解释权</w:t>
      </w:r>
    </w:p>
    <w:p>
      <w:pPr>
        <w:pStyle w:val="253"/>
        <w:rPr>
          <w:rFonts w:ascii="宋体" w:hAnsi="宋体"/>
        </w:rPr>
      </w:pPr>
      <w:r>
        <w:rPr>
          <w:rFonts w:hint="eastAsia" w:ascii="宋体" w:hAnsi="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53"/>
        <w:rPr>
          <w:rFonts w:ascii="宋体" w:hAnsi="宋体"/>
        </w:rPr>
      </w:pPr>
      <w:r>
        <w:rPr>
          <w:rFonts w:hint="eastAsia" w:ascii="宋体" w:hAnsi="宋体"/>
        </w:rPr>
        <w:t>10.13 招标人补充的其他内容。</w:t>
      </w:r>
    </w:p>
    <w:p>
      <w:pPr>
        <w:spacing w:line="360" w:lineRule="auto"/>
        <w:rPr>
          <w:rFonts w:ascii="宋体" w:hAnsi="宋体"/>
          <w:szCs w:val="21"/>
        </w:rPr>
      </w:pPr>
      <w:r>
        <w:rPr>
          <w:rFonts w:hint="eastAsia" w:ascii="宋体" w:hAnsi="宋体"/>
          <w:color w:val="000000"/>
          <w:szCs w:val="21"/>
        </w:rPr>
        <w:t xml:space="preserve">    10.13.1详见投标人须知前附表。</w:t>
      </w:r>
    </w:p>
    <w:p>
      <w:pPr>
        <w:spacing w:line="360" w:lineRule="auto"/>
        <w:rPr>
          <w:rFonts w:ascii="宋体" w:hAnsi="宋体"/>
        </w:rPr>
        <w:sectPr>
          <w:headerReference r:id="rId13" w:type="first"/>
          <w:headerReference r:id="rId11" w:type="default"/>
          <w:footerReference r:id="rId14" w:type="default"/>
          <w:headerReference r:id="rId12" w:type="even"/>
          <w:footerReference r:id="rId15" w:type="even"/>
          <w:pgSz w:w="11906" w:h="16838"/>
          <w:pgMar w:top="1418" w:right="1474" w:bottom="1418" w:left="1474" w:header="851" w:footer="851" w:gutter="397"/>
          <w:cols w:space="425" w:num="1"/>
          <w:docGrid w:linePitch="312" w:charSpace="0"/>
        </w:sectPr>
      </w:pPr>
    </w:p>
    <w:p>
      <w:pPr>
        <w:spacing w:beforeLines="50" w:afterLines="50" w:line="360" w:lineRule="auto"/>
        <w:jc w:val="center"/>
        <w:outlineLvl w:val="0"/>
        <w:rPr>
          <w:rFonts w:ascii="宋体" w:hAnsi="宋体"/>
          <w:sz w:val="32"/>
          <w:szCs w:val="32"/>
        </w:rPr>
      </w:pPr>
      <w:bookmarkStart w:id="258" w:name="_Toc490062124"/>
      <w:r>
        <w:rPr>
          <w:rFonts w:hint="eastAsia" w:ascii="宋体" w:hAnsi="宋体"/>
          <w:sz w:val="32"/>
          <w:szCs w:val="32"/>
        </w:rPr>
        <w:t>第三章评标办法</w:t>
      </w:r>
      <w:bookmarkEnd w:id="258"/>
    </w:p>
    <w:p>
      <w:pPr>
        <w:autoSpaceDE w:val="0"/>
        <w:autoSpaceDN w:val="0"/>
        <w:adjustRightInd w:val="0"/>
        <w:spacing w:line="360" w:lineRule="auto"/>
        <w:jc w:val="left"/>
        <w:rPr>
          <w:rFonts w:ascii="宋体" w:hAnsi="宋体" w:cs="TimesNewRomanPSMT"/>
          <w:b/>
          <w:kern w:val="0"/>
          <w:szCs w:val="21"/>
        </w:rPr>
      </w:pPr>
    </w:p>
    <w:p>
      <w:pPr>
        <w:pStyle w:val="253"/>
        <w:ind w:firstLine="422"/>
        <w:rPr>
          <w:rFonts w:ascii="宋体" w:hAnsi="宋体" w:cs="TimesNewRomanPSMT"/>
          <w:b/>
          <w:kern w:val="0"/>
        </w:rPr>
      </w:pPr>
      <w:bookmarkStart w:id="259" w:name="_Toc309246860"/>
      <w:bookmarkStart w:id="260" w:name="_Toc309246727"/>
      <w:bookmarkStart w:id="261" w:name="_Toc475633983"/>
      <w:bookmarkStart w:id="262" w:name="_Toc309305573"/>
      <w:bookmarkStart w:id="263" w:name="_Toc419383245"/>
      <w:r>
        <w:rPr>
          <w:rFonts w:hint="eastAsia" w:ascii="宋体" w:hAnsi="宋体" w:cs="TimesNewRomanPSMT"/>
          <w:b/>
          <w:kern w:val="0"/>
        </w:rPr>
        <w:t>1. 评标方法</w:t>
      </w:r>
      <w:bookmarkEnd w:id="259"/>
      <w:bookmarkEnd w:id="260"/>
      <w:bookmarkEnd w:id="261"/>
      <w:bookmarkEnd w:id="262"/>
      <w:bookmarkEnd w:id="263"/>
    </w:p>
    <w:p>
      <w:pPr>
        <w:pStyle w:val="253"/>
        <w:rPr>
          <w:rFonts w:ascii="宋体" w:hAnsi="宋体" w:cs="TimesNewRomanPSMT"/>
          <w:kern w:val="0"/>
        </w:rPr>
      </w:pPr>
      <w:r>
        <w:rPr>
          <w:rFonts w:hint="eastAsia" w:ascii="宋体" w:hAnsi="宋体" w:cs="TimesNewRomanPSMT"/>
          <w:kern w:val="0"/>
        </w:rPr>
        <w:t>1.1 本次评标采用综合评估法。评标委员会对满足招标文件实质性要求的投标文件，按照规定的评分标准进行打分，并按得分由高到低顺序推荐中标候选人，但投标报价低于其成本的除外。综合评分相等时，以投标报价低的优先；投标报价也相等的，由招标人自行确定。</w:t>
      </w:r>
    </w:p>
    <w:p>
      <w:pPr>
        <w:pStyle w:val="253"/>
        <w:rPr>
          <w:rFonts w:ascii="宋体" w:hAnsi="宋体" w:cs="TimesNewRomanPSMT"/>
          <w:kern w:val="0"/>
        </w:rPr>
      </w:pPr>
      <w:r>
        <w:rPr>
          <w:rFonts w:hint="eastAsia" w:ascii="宋体" w:hAnsi="宋体" w:cs="TimesNewRomanPSMT"/>
          <w:kern w:val="0"/>
        </w:rPr>
        <w:t>1.2授标原则，此次招标分为壹个标包，根据评审情况综合得分排序情况以公告形式授标。综合得分相同的，按照价格得分高者优先推荐。根据评审情况综合得分排名第一的中标候选人为中标人，但若某包排名第一的中标候选人放弃中标、因不可抗力提出不能履行合同，或者招标文件规定应当提交履约保证金而在规定的期限内未能提交的，招标人可以确定该包排名第二的中标候选人为中标人。该包排名第二的中标候选人因相同原因不能签订合同的，招标人可以确定该包排名第三的中标候选人为中标人，直至该包授标完毕。</w:t>
      </w:r>
    </w:p>
    <w:p>
      <w:pPr>
        <w:pStyle w:val="253"/>
        <w:rPr>
          <w:rFonts w:ascii="宋体" w:hAnsi="宋体" w:cs="TimesNewRomanPSMT"/>
          <w:kern w:val="0"/>
        </w:rPr>
      </w:pPr>
      <w:r>
        <w:rPr>
          <w:rFonts w:hint="eastAsia" w:ascii="宋体" w:hAnsi="宋体" w:cs="TimesNewRomanPSMT"/>
          <w:kern w:val="0"/>
        </w:rPr>
        <w:t>1.3 评标委员会有权拒绝被确定为非实质性响应的投标，投标人不能通过修正或撤回不符之处而使其投标成为实质性响应的投标。</w:t>
      </w:r>
    </w:p>
    <w:p>
      <w:pPr>
        <w:pStyle w:val="253"/>
        <w:ind w:firstLine="422"/>
        <w:rPr>
          <w:rFonts w:ascii="宋体" w:hAnsi="宋体" w:cs="TimesNewRomanPSMT"/>
          <w:b/>
          <w:kern w:val="0"/>
        </w:rPr>
      </w:pPr>
      <w:bookmarkStart w:id="264" w:name="_Toc282808127"/>
      <w:bookmarkStart w:id="265" w:name="_Toc309305574"/>
      <w:bookmarkStart w:id="266" w:name="_Toc309246861"/>
      <w:bookmarkStart w:id="267" w:name="_Toc282790387"/>
      <w:bookmarkStart w:id="268" w:name="_Toc419383246"/>
      <w:bookmarkStart w:id="269" w:name="_Toc309246728"/>
      <w:bookmarkStart w:id="270" w:name="_Toc475633984"/>
      <w:r>
        <w:rPr>
          <w:rFonts w:hint="eastAsia" w:ascii="宋体" w:hAnsi="宋体" w:cs="TimesNewRomanPSMT"/>
          <w:b/>
          <w:kern w:val="0"/>
        </w:rPr>
        <w:t>2. 评审标准</w:t>
      </w:r>
      <w:bookmarkEnd w:id="264"/>
      <w:bookmarkEnd w:id="265"/>
      <w:bookmarkEnd w:id="266"/>
      <w:bookmarkEnd w:id="267"/>
      <w:bookmarkEnd w:id="268"/>
      <w:bookmarkEnd w:id="269"/>
      <w:bookmarkEnd w:id="270"/>
    </w:p>
    <w:p>
      <w:pPr>
        <w:pStyle w:val="253"/>
        <w:rPr>
          <w:rFonts w:ascii="宋体" w:hAnsi="宋体" w:cs="TimesNewRomanPSMT"/>
          <w:kern w:val="0"/>
        </w:rPr>
      </w:pPr>
      <w:r>
        <w:rPr>
          <w:rFonts w:hint="eastAsia" w:ascii="宋体" w:hAnsi="宋体" w:cs="TimesNewRomanPSMT"/>
          <w:kern w:val="0"/>
        </w:rPr>
        <w:t>2.1</w:t>
      </w:r>
      <w:r>
        <w:rPr>
          <w:rFonts w:hint="eastAsia" w:ascii="宋体" w:hAnsi="宋体" w:cs="TimesNewRomanPSMT"/>
          <w:kern w:val="0"/>
        </w:rPr>
        <w:tab/>
      </w:r>
      <w:r>
        <w:rPr>
          <w:rFonts w:hint="eastAsia" w:ascii="宋体" w:hAnsi="宋体" w:cs="TimesNewRomanPSMT"/>
          <w:kern w:val="0"/>
        </w:rPr>
        <w:t>初步评审标准</w:t>
      </w:r>
    </w:p>
    <w:p>
      <w:pPr>
        <w:pStyle w:val="253"/>
        <w:rPr>
          <w:rFonts w:ascii="宋体" w:hAnsi="宋体" w:cs="TimesNewRomanPSMT"/>
          <w:kern w:val="0"/>
        </w:rPr>
      </w:pPr>
      <w:r>
        <w:rPr>
          <w:rFonts w:hint="eastAsia" w:ascii="宋体" w:hAnsi="宋体" w:cs="TimesNewRomanPSMT"/>
          <w:kern w:val="0"/>
        </w:rPr>
        <w:t>评标委员会根据评标办法评标标准中规定的评审因素和评审标准，对投标文件进行形式评审、资格评审、响应性评审，判断投标是否为废标。</w:t>
      </w:r>
    </w:p>
    <w:p>
      <w:pPr>
        <w:pStyle w:val="253"/>
        <w:rPr>
          <w:rFonts w:ascii="宋体" w:hAnsi="宋体" w:cs="TimesNewRomanPSMT"/>
          <w:kern w:val="0"/>
        </w:rPr>
      </w:pPr>
      <w:r>
        <w:rPr>
          <w:rFonts w:hint="eastAsia" w:ascii="宋体" w:hAnsi="宋体" w:cs="TimesNewRomanPSMT"/>
          <w:kern w:val="0"/>
        </w:rPr>
        <w:t>2.2</w:t>
      </w:r>
      <w:r>
        <w:rPr>
          <w:rFonts w:hint="eastAsia" w:ascii="宋体" w:hAnsi="宋体" w:cs="TimesNewRomanPSMT"/>
          <w:kern w:val="0"/>
        </w:rPr>
        <w:tab/>
      </w:r>
      <w:r>
        <w:rPr>
          <w:rFonts w:hint="eastAsia" w:ascii="宋体" w:hAnsi="宋体" w:cs="TimesNewRomanPSMT"/>
          <w:kern w:val="0"/>
        </w:rPr>
        <w:t>详细评审标准</w:t>
      </w:r>
    </w:p>
    <w:p>
      <w:pPr>
        <w:pStyle w:val="253"/>
        <w:rPr>
          <w:rFonts w:ascii="宋体" w:hAnsi="宋体" w:cs="TimesNewRomanPSMT"/>
          <w:kern w:val="0"/>
        </w:rPr>
      </w:pPr>
      <w:r>
        <w:rPr>
          <w:rFonts w:hint="eastAsia" w:ascii="宋体" w:hAnsi="宋体" w:cs="TimesNewRomanPSMT"/>
          <w:kern w:val="0"/>
        </w:rPr>
        <w:t>2.2.1评标委员会对通过了初步评审、被判定为有效的投标人进行详细评审。评标采用百分制评标，对投标人递交的投标文件按照技术、商务评分细则，由技术、商务评标专家分别进行打分，按照投标报价占30%、商务占25%、技术占45%的权重进行计算，得出投标文件的综合得分。</w:t>
      </w:r>
    </w:p>
    <w:p>
      <w:pPr>
        <w:pStyle w:val="253"/>
        <w:rPr>
          <w:rFonts w:ascii="宋体" w:hAnsi="宋体" w:cs="TimesNewRomanPSMT"/>
          <w:kern w:val="0"/>
        </w:rPr>
      </w:pPr>
      <w:r>
        <w:rPr>
          <w:rFonts w:hint="eastAsia" w:ascii="宋体" w:hAnsi="宋体" w:cs="TimesNewRomanPSMT"/>
          <w:kern w:val="0"/>
        </w:rPr>
        <w:t>具体报价依据及要求，详见第六章报价要求及其他关键性要求。</w:t>
      </w:r>
    </w:p>
    <w:p>
      <w:pPr>
        <w:pStyle w:val="253"/>
        <w:ind w:firstLine="422"/>
        <w:rPr>
          <w:rFonts w:ascii="宋体" w:hAnsi="宋体" w:cs="TimesNewRomanPSMT"/>
          <w:b/>
          <w:kern w:val="0"/>
        </w:rPr>
      </w:pPr>
      <w:r>
        <w:rPr>
          <w:rFonts w:hint="eastAsia" w:ascii="宋体" w:hAnsi="宋体" w:cs="TimesNewRomanPSMT"/>
          <w:b/>
          <w:kern w:val="0"/>
        </w:rPr>
        <w:t>3. 评标结果</w:t>
      </w:r>
    </w:p>
    <w:p>
      <w:pPr>
        <w:pStyle w:val="253"/>
        <w:rPr>
          <w:rFonts w:ascii="宋体" w:hAnsi="宋体" w:cs="TimesNewRomanPSMT"/>
          <w:b/>
          <w:kern w:val="0"/>
        </w:rPr>
      </w:pPr>
      <w:r>
        <w:rPr>
          <w:rFonts w:hint="eastAsia" w:ascii="宋体" w:hAnsi="宋体" w:cs="TimesNewRomanPSMT"/>
          <w:kern w:val="0"/>
        </w:rPr>
        <w:t>除第二章“投标人须知”前附表授权直接确定中标人外，评标委员会按照经评审的得分由高到低的顺序推荐中标候选人</w:t>
      </w:r>
      <w:r>
        <w:rPr>
          <w:rFonts w:hint="eastAsia" w:ascii="宋体" w:hAnsi="宋体" w:cs="TimesNewRomanPSMT"/>
          <w:b/>
          <w:kern w:val="0"/>
        </w:rPr>
        <w:t>。</w:t>
      </w:r>
    </w:p>
    <w:p>
      <w:pPr>
        <w:pStyle w:val="253"/>
        <w:rPr>
          <w:rFonts w:ascii="宋体" w:hAnsi="宋体"/>
          <w:color w:val="FF0000"/>
        </w:rPr>
      </w:pPr>
    </w:p>
    <w:p>
      <w:pPr>
        <w:spacing w:afterLines="50" w:line="360" w:lineRule="auto"/>
        <w:rPr>
          <w:rFonts w:ascii="宋体" w:hAnsi="宋体"/>
          <w:sz w:val="28"/>
          <w:szCs w:val="28"/>
        </w:rPr>
      </w:pPr>
      <w:r>
        <w:rPr>
          <w:rFonts w:ascii="宋体" w:hAnsi="宋体"/>
          <w:sz w:val="28"/>
          <w:szCs w:val="28"/>
        </w:rPr>
        <w:br w:type="page"/>
      </w:r>
    </w:p>
    <w:p>
      <w:pPr>
        <w:spacing w:afterLines="50" w:line="360" w:lineRule="auto"/>
        <w:jc w:val="center"/>
        <w:rPr>
          <w:rFonts w:ascii="宋体" w:hAnsi="宋体"/>
          <w:sz w:val="32"/>
          <w:szCs w:val="32"/>
        </w:rPr>
      </w:pPr>
      <w:r>
        <w:rPr>
          <w:rFonts w:hint="eastAsia" w:ascii="宋体" w:hAnsi="宋体"/>
          <w:sz w:val="32"/>
          <w:szCs w:val="32"/>
        </w:rPr>
        <w:t>综合评估法评标标准</w:t>
      </w:r>
    </w:p>
    <w:p>
      <w:pPr>
        <w:rPr>
          <w:rFonts w:ascii="宋体" w:hAnsi="宋体"/>
          <w:b/>
          <w:sz w:val="28"/>
          <w:szCs w:val="28"/>
        </w:rPr>
      </w:pPr>
      <w:r>
        <w:rPr>
          <w:rFonts w:ascii="宋体" w:hAnsi="宋体"/>
          <w:b/>
          <w:sz w:val="28"/>
          <w:szCs w:val="28"/>
        </w:rPr>
        <w:t>1</w:t>
      </w:r>
      <w:r>
        <w:rPr>
          <w:rFonts w:hint="eastAsia" w:ascii="宋体" w:hAnsi="宋体"/>
          <w:b/>
          <w:sz w:val="28"/>
          <w:szCs w:val="28"/>
        </w:rPr>
        <w:t>、初步评审</w:t>
      </w:r>
    </w:p>
    <w:p>
      <w:pPr>
        <w:rPr>
          <w:rFonts w:ascii="宋体" w:hAnsi="宋体"/>
          <w:b/>
          <w:sz w:val="28"/>
          <w:szCs w:val="28"/>
        </w:rPr>
      </w:pPr>
    </w:p>
    <w:tbl>
      <w:tblPr>
        <w:tblStyle w:val="60"/>
        <w:tblW w:w="89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88"/>
        <w:gridCol w:w="2375"/>
        <w:gridCol w:w="46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blHeader/>
        </w:trPr>
        <w:tc>
          <w:tcPr>
            <w:tcW w:w="759" w:type="dxa"/>
            <w:vAlign w:val="center"/>
          </w:tcPr>
          <w:p>
            <w:pPr>
              <w:spacing w:before="120"/>
              <w:jc w:val="center"/>
              <w:rPr>
                <w:rFonts w:ascii="宋体" w:hAnsi="宋体"/>
                <w:b/>
                <w:szCs w:val="21"/>
              </w:rPr>
            </w:pPr>
            <w:r>
              <w:rPr>
                <w:rFonts w:hint="eastAsia" w:ascii="宋体" w:hAnsi="宋体"/>
                <w:b/>
                <w:szCs w:val="21"/>
              </w:rPr>
              <w:t>序号</w:t>
            </w:r>
          </w:p>
        </w:tc>
        <w:tc>
          <w:tcPr>
            <w:tcW w:w="3563" w:type="dxa"/>
            <w:gridSpan w:val="2"/>
            <w:vAlign w:val="center"/>
          </w:tcPr>
          <w:p>
            <w:pPr>
              <w:jc w:val="center"/>
              <w:rPr>
                <w:rFonts w:ascii="宋体" w:hAnsi="宋体"/>
                <w:b/>
                <w:szCs w:val="21"/>
              </w:rPr>
            </w:pPr>
            <w:r>
              <w:rPr>
                <w:rFonts w:hint="eastAsia" w:ascii="宋体" w:hAnsi="宋体"/>
                <w:b/>
                <w:szCs w:val="21"/>
              </w:rPr>
              <w:t>评审项目</w:t>
            </w:r>
          </w:p>
        </w:tc>
        <w:tc>
          <w:tcPr>
            <w:tcW w:w="4641" w:type="dxa"/>
            <w:vAlign w:val="center"/>
          </w:tcPr>
          <w:p>
            <w:pPr>
              <w:jc w:val="center"/>
              <w:rPr>
                <w:rFonts w:ascii="宋体" w:hAnsi="宋体"/>
                <w:b/>
                <w:szCs w:val="21"/>
              </w:rPr>
            </w:pPr>
            <w:r>
              <w:rPr>
                <w:rFonts w:hint="eastAsia" w:ascii="宋体" w:hAnsi="宋体"/>
                <w:b/>
                <w:szCs w:val="21"/>
              </w:rPr>
              <w:t>评审标准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restart"/>
            <w:vAlign w:val="center"/>
          </w:tcPr>
          <w:p>
            <w:pPr>
              <w:jc w:val="center"/>
              <w:rPr>
                <w:rFonts w:ascii="宋体" w:hAnsi="宋体"/>
                <w:szCs w:val="21"/>
              </w:rPr>
            </w:pPr>
            <w:r>
              <w:rPr>
                <w:rFonts w:hint="eastAsia" w:ascii="宋体" w:hAnsi="宋体"/>
                <w:szCs w:val="21"/>
              </w:rPr>
              <w:t>1</w:t>
            </w:r>
          </w:p>
        </w:tc>
        <w:tc>
          <w:tcPr>
            <w:tcW w:w="1188" w:type="dxa"/>
            <w:vMerge w:val="restart"/>
            <w:vAlign w:val="center"/>
          </w:tcPr>
          <w:p>
            <w:pPr>
              <w:jc w:val="center"/>
              <w:rPr>
                <w:rFonts w:ascii="宋体" w:hAnsi="宋体"/>
                <w:szCs w:val="21"/>
              </w:rPr>
            </w:pPr>
            <w:r>
              <w:rPr>
                <w:rFonts w:hint="eastAsia" w:ascii="宋体" w:hAnsi="宋体"/>
                <w:szCs w:val="21"/>
              </w:rPr>
              <w:t>形式评审</w:t>
            </w:r>
          </w:p>
          <w:p>
            <w:pPr>
              <w:jc w:val="center"/>
              <w:rPr>
                <w:rFonts w:ascii="宋体" w:hAnsi="宋体"/>
                <w:szCs w:val="21"/>
              </w:rPr>
            </w:pPr>
            <w:r>
              <w:rPr>
                <w:rFonts w:hint="eastAsia" w:ascii="宋体" w:hAnsi="宋体"/>
                <w:szCs w:val="21"/>
              </w:rPr>
              <w:t>标   准</w:t>
            </w:r>
          </w:p>
        </w:tc>
        <w:tc>
          <w:tcPr>
            <w:tcW w:w="2375" w:type="dxa"/>
            <w:vAlign w:val="center"/>
          </w:tcPr>
          <w:p>
            <w:pPr>
              <w:rPr>
                <w:rFonts w:ascii="宋体" w:hAnsi="宋体"/>
                <w:szCs w:val="21"/>
              </w:rPr>
            </w:pPr>
            <w:r>
              <w:rPr>
                <w:rFonts w:hint="eastAsia" w:ascii="宋体" w:hAnsi="宋体"/>
                <w:szCs w:val="21"/>
              </w:rPr>
              <w:t>投标人名称</w:t>
            </w:r>
          </w:p>
        </w:tc>
        <w:tc>
          <w:tcPr>
            <w:tcW w:w="4641" w:type="dxa"/>
            <w:vAlign w:val="center"/>
          </w:tcPr>
          <w:p>
            <w:pPr>
              <w:rPr>
                <w:rFonts w:ascii="宋体" w:hAnsi="宋体"/>
                <w:szCs w:val="21"/>
              </w:rPr>
            </w:pPr>
            <w:r>
              <w:rPr>
                <w:rFonts w:hint="eastAsia" w:ascii="宋体" w:hAnsi="宋体"/>
                <w:szCs w:val="21"/>
              </w:rPr>
              <w:t>与营业执照、资质证书等一致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投标函签字盖章</w:t>
            </w:r>
          </w:p>
        </w:tc>
        <w:tc>
          <w:tcPr>
            <w:tcW w:w="4641" w:type="dxa"/>
            <w:vAlign w:val="center"/>
          </w:tcPr>
          <w:p>
            <w:pPr>
              <w:rPr>
                <w:rFonts w:ascii="宋体" w:hAnsi="宋体"/>
                <w:szCs w:val="21"/>
              </w:rPr>
            </w:pPr>
            <w:r>
              <w:rPr>
                <w:rFonts w:hint="eastAsia" w:ascii="宋体" w:hAnsi="宋体"/>
                <w:szCs w:val="21"/>
              </w:rPr>
              <w:t>有法定代表人或其委托代理人签字并加盖单位章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pStyle w:val="311"/>
              <w:spacing w:line="240" w:lineRule="auto"/>
              <w:ind w:firstLine="0"/>
              <w:rPr>
                <w:rStyle w:val="312"/>
                <w:rFonts w:ascii="宋体" w:hAnsi="宋体" w:eastAsia="宋体" w:cs="宋体"/>
                <w:lang w:val="zh-TW" w:eastAsia="zh-TW"/>
              </w:rPr>
            </w:pPr>
            <w:r>
              <w:rPr>
                <w:rStyle w:val="312"/>
                <w:rFonts w:hint="eastAsia" w:ascii="宋体" w:hAnsi="宋体" w:eastAsia="宋体" w:cs="宋体"/>
                <w:lang w:val="zh-TW" w:eastAsia="zh-TW"/>
              </w:rPr>
              <w:t>投标文件</w:t>
            </w:r>
          </w:p>
        </w:tc>
        <w:tc>
          <w:tcPr>
            <w:tcW w:w="4641" w:type="dxa"/>
            <w:vAlign w:val="center"/>
          </w:tcPr>
          <w:p>
            <w:pPr>
              <w:pStyle w:val="311"/>
              <w:spacing w:line="240" w:lineRule="auto"/>
              <w:ind w:firstLine="0"/>
              <w:rPr>
                <w:rStyle w:val="312"/>
                <w:rFonts w:ascii="宋体" w:hAnsi="宋体" w:eastAsia="宋体" w:cs="宋体"/>
                <w:lang w:val="zh-TW" w:eastAsia="zh-TW"/>
              </w:rPr>
            </w:pPr>
            <w:r>
              <w:rPr>
                <w:rStyle w:val="312"/>
                <w:rFonts w:hint="eastAsia" w:ascii="宋体" w:hAnsi="宋体" w:eastAsia="宋体" w:cs="宋体"/>
                <w:lang w:val="zh-TW" w:eastAsia="zh-TW"/>
              </w:rPr>
              <w:t>符合第二章“</w:t>
            </w:r>
            <w:r>
              <w:rPr>
                <w:rStyle w:val="312"/>
                <w:rFonts w:hint="eastAsia" w:ascii="宋体" w:hAnsi="宋体" w:eastAsia="宋体"/>
                <w:lang w:val="zh-TW" w:eastAsia="zh-TW"/>
              </w:rPr>
              <w:t>3.7 投标文件的编制</w:t>
            </w:r>
            <w:r>
              <w:rPr>
                <w:rStyle w:val="312"/>
                <w:rFonts w:hint="eastAsia" w:ascii="宋体" w:hAnsi="宋体" w:eastAsia="宋体" w:cs="宋体"/>
                <w:lang w:val="zh-TW" w:eastAsia="zh-TW"/>
              </w:rPr>
              <w:t>” 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投标文件格式</w:t>
            </w:r>
          </w:p>
        </w:tc>
        <w:tc>
          <w:tcPr>
            <w:tcW w:w="4641" w:type="dxa"/>
            <w:vAlign w:val="center"/>
          </w:tcPr>
          <w:p>
            <w:pPr>
              <w:rPr>
                <w:rFonts w:ascii="宋体" w:hAnsi="宋体"/>
                <w:szCs w:val="21"/>
              </w:rPr>
            </w:pPr>
            <w:r>
              <w:rPr>
                <w:rFonts w:hint="eastAsia" w:ascii="宋体" w:hAnsi="宋体"/>
                <w:szCs w:val="21"/>
              </w:rPr>
              <w:t>符合第八章“投标文件格式”的要求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pStyle w:val="311"/>
              <w:spacing w:line="240" w:lineRule="auto"/>
              <w:ind w:firstLine="6"/>
            </w:pPr>
            <w:r>
              <w:rPr>
                <w:rStyle w:val="312"/>
                <w:rFonts w:ascii="宋体" w:hAnsi="宋体" w:eastAsia="宋体" w:cs="宋体"/>
                <w:lang w:val="zh-TW" w:eastAsia="zh-TW"/>
              </w:rPr>
              <w:t>报价唯一</w:t>
            </w:r>
          </w:p>
        </w:tc>
        <w:tc>
          <w:tcPr>
            <w:tcW w:w="4641" w:type="dxa"/>
            <w:vAlign w:val="center"/>
          </w:tcPr>
          <w:p>
            <w:pPr>
              <w:pStyle w:val="311"/>
              <w:spacing w:line="240" w:lineRule="auto"/>
              <w:ind w:firstLine="0"/>
            </w:pPr>
            <w:r>
              <w:rPr>
                <w:rStyle w:val="312"/>
                <w:rFonts w:hint="eastAsia" w:ascii="宋体" w:hAnsi="宋体" w:eastAsia="宋体" w:cs="宋体"/>
                <w:lang w:val="zh-TW"/>
              </w:rPr>
              <w:t>报价唯一且有效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pStyle w:val="311"/>
              <w:spacing w:line="240" w:lineRule="auto"/>
              <w:ind w:firstLine="6"/>
              <w:rPr>
                <w:rStyle w:val="312"/>
                <w:rFonts w:ascii="宋体" w:hAnsi="宋体" w:eastAsia="宋体" w:cs="宋体"/>
                <w:lang w:val="zh-TW"/>
              </w:rPr>
            </w:pPr>
            <w:r>
              <w:rPr>
                <w:rStyle w:val="312"/>
                <w:rFonts w:hint="eastAsia" w:ascii="宋体" w:hAnsi="宋体" w:eastAsia="宋体" w:cs="宋体"/>
                <w:lang w:val="zh-TW"/>
              </w:rPr>
              <w:t>其他要求</w:t>
            </w:r>
          </w:p>
        </w:tc>
        <w:tc>
          <w:tcPr>
            <w:tcW w:w="4641" w:type="dxa"/>
            <w:vAlign w:val="center"/>
          </w:tcPr>
          <w:p>
            <w:pPr>
              <w:pStyle w:val="311"/>
              <w:spacing w:line="240" w:lineRule="auto"/>
              <w:ind w:firstLine="0"/>
              <w:rPr>
                <w:rStyle w:val="312"/>
                <w:rFonts w:ascii="宋体" w:hAnsi="宋体" w:eastAsia="宋体" w:cs="宋体"/>
                <w:lang w:val="zh-TW"/>
              </w:rPr>
            </w:pPr>
            <w:r>
              <w:rPr>
                <w:rStyle w:val="312"/>
                <w:rFonts w:hint="eastAsia" w:ascii="宋体" w:hAnsi="宋体" w:eastAsia="宋体" w:cs="宋体"/>
                <w:lang w:val="zh-TW"/>
              </w:rPr>
              <w:t>招标文件规定的其他要求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restart"/>
            <w:vAlign w:val="center"/>
          </w:tcPr>
          <w:p>
            <w:pPr>
              <w:jc w:val="center"/>
              <w:rPr>
                <w:rFonts w:ascii="宋体" w:hAnsi="宋体"/>
                <w:szCs w:val="21"/>
              </w:rPr>
            </w:pPr>
            <w:r>
              <w:rPr>
                <w:rFonts w:hint="eastAsia" w:ascii="宋体" w:hAnsi="宋体"/>
                <w:szCs w:val="21"/>
              </w:rPr>
              <w:t>2</w:t>
            </w:r>
          </w:p>
        </w:tc>
        <w:tc>
          <w:tcPr>
            <w:tcW w:w="1188" w:type="dxa"/>
            <w:vMerge w:val="restart"/>
            <w:vAlign w:val="center"/>
          </w:tcPr>
          <w:p>
            <w:pPr>
              <w:jc w:val="center"/>
              <w:rPr>
                <w:rFonts w:ascii="宋体" w:hAnsi="宋体"/>
                <w:szCs w:val="21"/>
              </w:rPr>
            </w:pPr>
            <w:r>
              <w:rPr>
                <w:rFonts w:hint="eastAsia" w:ascii="宋体" w:hAnsi="宋体"/>
                <w:szCs w:val="21"/>
              </w:rPr>
              <w:t>资格评审标  准</w:t>
            </w:r>
          </w:p>
        </w:tc>
        <w:tc>
          <w:tcPr>
            <w:tcW w:w="2375" w:type="dxa"/>
            <w:vAlign w:val="center"/>
          </w:tcPr>
          <w:p>
            <w:pPr>
              <w:rPr>
                <w:rFonts w:ascii="宋体" w:hAnsi="宋体"/>
                <w:szCs w:val="21"/>
              </w:rPr>
            </w:pPr>
            <w:r>
              <w:rPr>
                <w:rFonts w:hint="eastAsia" w:ascii="宋体" w:hAnsi="宋体"/>
                <w:szCs w:val="21"/>
              </w:rPr>
              <w:t>企业资质</w:t>
            </w:r>
          </w:p>
        </w:tc>
        <w:tc>
          <w:tcPr>
            <w:tcW w:w="4641"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业绩要求</w:t>
            </w:r>
          </w:p>
        </w:tc>
        <w:tc>
          <w:tcPr>
            <w:tcW w:w="4641" w:type="dxa"/>
            <w:vAlign w:val="center"/>
          </w:tcPr>
          <w:p>
            <w:pPr>
              <w:rPr>
                <w:rFonts w:ascii="宋体" w:hAnsi="宋体" w:cs="宋体"/>
              </w:rPr>
            </w:pPr>
            <w:r>
              <w:rPr>
                <w:rFonts w:hint="eastAsia" w:ascii="宋体" w:hAnsi="宋体" w:cs="宋体"/>
              </w:rPr>
              <w:t>符合第二章“投标人须知”第</w:t>
            </w:r>
            <w:r>
              <w:rPr>
                <w:rFonts w:ascii="宋体" w:hAnsi="宋体" w:cs="宋体"/>
              </w:rPr>
              <w:t>1.4.1</w:t>
            </w:r>
            <w:r>
              <w:rPr>
                <w:rFonts w:hint="eastAsia" w:ascii="宋体" w:hAnsi="宋体" w:cs="宋体"/>
              </w:rPr>
              <w:t>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信誉要求</w:t>
            </w:r>
          </w:p>
        </w:tc>
        <w:tc>
          <w:tcPr>
            <w:tcW w:w="4641" w:type="dxa"/>
            <w:vAlign w:val="center"/>
          </w:tcPr>
          <w:p>
            <w:pPr>
              <w:rPr>
                <w:rFonts w:ascii="宋体" w:hAnsi="宋体" w:cs="宋体"/>
              </w:rPr>
            </w:pPr>
            <w:r>
              <w:rPr>
                <w:rFonts w:hint="eastAsia" w:ascii="宋体" w:hAnsi="宋体" w:cs="宋体"/>
              </w:rPr>
              <w:t>符合第二章“投标人须知”第</w:t>
            </w:r>
            <w:r>
              <w:rPr>
                <w:rFonts w:ascii="宋体" w:hAnsi="宋体" w:cs="宋体"/>
              </w:rPr>
              <w:t>1.4.1</w:t>
            </w:r>
            <w:r>
              <w:rPr>
                <w:rFonts w:hint="eastAsia" w:ascii="宋体" w:hAnsi="宋体" w:cs="宋体"/>
              </w:rPr>
              <w:t>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其他要求</w:t>
            </w:r>
          </w:p>
        </w:tc>
        <w:tc>
          <w:tcPr>
            <w:tcW w:w="4641" w:type="dxa"/>
            <w:vAlign w:val="center"/>
          </w:tcPr>
          <w:p>
            <w:pPr>
              <w:rPr>
                <w:rFonts w:ascii="宋体" w:hAnsi="宋体" w:cs="宋体"/>
              </w:rPr>
            </w:pPr>
            <w:r>
              <w:rPr>
                <w:rFonts w:hint="eastAsia" w:ascii="宋体" w:hAnsi="宋体" w:cs="宋体"/>
              </w:rPr>
              <w:t>符合第二章“投标人须知”第</w:t>
            </w:r>
            <w:r>
              <w:rPr>
                <w:rFonts w:ascii="宋体" w:hAnsi="宋体" w:cs="宋体"/>
              </w:rPr>
              <w:t>1.4.1</w:t>
            </w:r>
            <w:r>
              <w:rPr>
                <w:rFonts w:hint="eastAsia" w:ascii="宋体" w:hAnsi="宋体" w:cs="宋体"/>
              </w:rPr>
              <w:t>项规定及招标文件规定的其他要求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restart"/>
            <w:vAlign w:val="center"/>
          </w:tcPr>
          <w:p>
            <w:pPr>
              <w:jc w:val="center"/>
              <w:rPr>
                <w:rFonts w:ascii="宋体" w:hAnsi="宋体"/>
                <w:szCs w:val="21"/>
              </w:rPr>
            </w:pPr>
            <w:r>
              <w:rPr>
                <w:rFonts w:hint="eastAsia" w:ascii="宋体" w:hAnsi="宋体"/>
                <w:szCs w:val="21"/>
              </w:rPr>
              <w:t>3</w:t>
            </w:r>
          </w:p>
        </w:tc>
        <w:tc>
          <w:tcPr>
            <w:tcW w:w="1188" w:type="dxa"/>
            <w:vMerge w:val="restart"/>
            <w:vAlign w:val="center"/>
          </w:tcPr>
          <w:p>
            <w:pPr>
              <w:jc w:val="center"/>
              <w:rPr>
                <w:rFonts w:ascii="宋体" w:hAnsi="宋体"/>
                <w:szCs w:val="21"/>
              </w:rPr>
            </w:pPr>
            <w:r>
              <w:rPr>
                <w:rFonts w:hint="eastAsia" w:ascii="宋体" w:hAnsi="宋体"/>
                <w:szCs w:val="21"/>
              </w:rPr>
              <w:t>响 应 性</w:t>
            </w:r>
          </w:p>
          <w:p>
            <w:pPr>
              <w:jc w:val="center"/>
              <w:rPr>
                <w:rFonts w:ascii="宋体" w:hAnsi="宋体"/>
                <w:szCs w:val="21"/>
              </w:rPr>
            </w:pPr>
            <w:r>
              <w:rPr>
                <w:rFonts w:hint="eastAsia" w:ascii="宋体" w:hAnsi="宋体"/>
                <w:szCs w:val="21"/>
              </w:rPr>
              <w:t>评审标准</w:t>
            </w:r>
          </w:p>
        </w:tc>
        <w:tc>
          <w:tcPr>
            <w:tcW w:w="2375" w:type="dxa"/>
            <w:vAlign w:val="center"/>
          </w:tcPr>
          <w:p>
            <w:pPr>
              <w:rPr>
                <w:rFonts w:ascii="宋体" w:hAnsi="宋体"/>
                <w:szCs w:val="21"/>
              </w:rPr>
            </w:pPr>
            <w:r>
              <w:rPr>
                <w:rFonts w:hint="eastAsia" w:ascii="宋体" w:hAnsi="宋体"/>
                <w:szCs w:val="21"/>
              </w:rPr>
              <w:t>投标内容</w:t>
            </w:r>
          </w:p>
        </w:tc>
        <w:tc>
          <w:tcPr>
            <w:tcW w:w="4641" w:type="dxa"/>
            <w:vAlign w:val="center"/>
          </w:tcPr>
          <w:p>
            <w:pPr>
              <w:rPr>
                <w:rFonts w:ascii="宋体" w:hAnsi="宋体"/>
                <w:szCs w:val="21"/>
              </w:rPr>
            </w:pPr>
            <w:r>
              <w:rPr>
                <w:rFonts w:hint="eastAsia" w:ascii="宋体" w:hAnsi="宋体"/>
                <w:szCs w:val="21"/>
              </w:rPr>
              <w:t>符合第二章“投标人须知”第1.3.1项规定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rPr>
            </w:pPr>
            <w:r>
              <w:rPr>
                <w:rFonts w:hint="eastAsia" w:ascii="宋体" w:hAnsi="宋体" w:cs="宋体"/>
              </w:rPr>
              <w:t>质量要求</w:t>
            </w:r>
          </w:p>
        </w:tc>
        <w:tc>
          <w:tcPr>
            <w:tcW w:w="4641" w:type="dxa"/>
            <w:vAlign w:val="center"/>
          </w:tcPr>
          <w:p>
            <w:pPr>
              <w:rPr>
                <w:rFonts w:ascii="宋体"/>
              </w:rPr>
            </w:pPr>
            <w:r>
              <w:rPr>
                <w:rFonts w:hint="eastAsia" w:ascii="宋体" w:hAnsi="宋体" w:cs="宋体"/>
              </w:rPr>
              <w:t>符合第二章“投标人须知”第</w:t>
            </w:r>
            <w:r>
              <w:rPr>
                <w:rFonts w:ascii="宋体" w:hAnsi="宋体" w:cs="宋体"/>
              </w:rPr>
              <w:t>1.3.3</w:t>
            </w:r>
            <w:r>
              <w:rPr>
                <w:rFonts w:hint="eastAsia" w:ascii="宋体" w:hAnsi="宋体" w:cs="宋体"/>
              </w:rPr>
              <w:t>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投标有效期</w:t>
            </w:r>
          </w:p>
        </w:tc>
        <w:tc>
          <w:tcPr>
            <w:tcW w:w="4641" w:type="dxa"/>
            <w:vAlign w:val="center"/>
          </w:tcPr>
          <w:p>
            <w:pPr>
              <w:rPr>
                <w:rFonts w:ascii="宋体" w:hAnsi="宋体"/>
                <w:szCs w:val="21"/>
              </w:rPr>
            </w:pPr>
            <w:r>
              <w:rPr>
                <w:rFonts w:hint="eastAsia" w:ascii="宋体" w:hAnsi="宋体"/>
                <w:szCs w:val="21"/>
              </w:rPr>
              <w:t>符合第二章“投标人须知”第3.3.1项规定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投标保证金</w:t>
            </w:r>
          </w:p>
        </w:tc>
        <w:tc>
          <w:tcPr>
            <w:tcW w:w="4641" w:type="dxa"/>
            <w:vAlign w:val="center"/>
          </w:tcPr>
          <w:p>
            <w:pPr>
              <w:rPr>
                <w:rFonts w:ascii="宋体" w:hAnsi="宋体"/>
                <w:szCs w:val="21"/>
              </w:rPr>
            </w:pPr>
            <w:r>
              <w:rPr>
                <w:rFonts w:hint="eastAsia" w:ascii="宋体" w:hAnsi="宋体"/>
                <w:szCs w:val="21"/>
              </w:rPr>
              <w:t>符合第二章“投标人须知”第3.4.1项规定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技术标准和要求</w:t>
            </w:r>
          </w:p>
        </w:tc>
        <w:tc>
          <w:tcPr>
            <w:tcW w:w="4641" w:type="dxa"/>
            <w:vAlign w:val="center"/>
          </w:tcPr>
          <w:p>
            <w:pPr>
              <w:rPr>
                <w:rFonts w:ascii="宋体" w:hAnsi="宋体"/>
                <w:szCs w:val="21"/>
              </w:rPr>
            </w:pPr>
            <w:r>
              <w:rPr>
                <w:rFonts w:hint="eastAsia" w:ascii="宋体" w:hAnsi="宋体"/>
                <w:szCs w:val="21"/>
              </w:rPr>
              <w:t>符合第五章“技术标准和要求”规定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投标价格</w:t>
            </w:r>
          </w:p>
        </w:tc>
        <w:tc>
          <w:tcPr>
            <w:tcW w:w="4641" w:type="dxa"/>
            <w:vAlign w:val="center"/>
          </w:tcPr>
          <w:p>
            <w:pPr>
              <w:jc w:val="left"/>
              <w:rPr>
                <w:rFonts w:ascii="宋体" w:hAnsi="宋体"/>
                <w:szCs w:val="21"/>
              </w:rPr>
            </w:pPr>
            <w:r>
              <w:rPr>
                <w:rFonts w:hint="eastAsia" w:ascii="宋体" w:hAnsi="宋体"/>
                <w:szCs w:val="21"/>
              </w:rPr>
              <w:t>符合第六章“报价要求及其他关键性要求”规定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rPr>
                <w:rFonts w:ascii="宋体" w:hAnsi="宋体"/>
                <w:szCs w:val="21"/>
              </w:rPr>
            </w:pPr>
            <w:r>
              <w:rPr>
                <w:rFonts w:hint="eastAsia" w:ascii="宋体" w:hAnsi="宋体"/>
                <w:szCs w:val="21"/>
              </w:rPr>
              <w:t>分包计划</w:t>
            </w:r>
          </w:p>
        </w:tc>
        <w:tc>
          <w:tcPr>
            <w:tcW w:w="4641" w:type="dxa"/>
            <w:vAlign w:val="center"/>
          </w:tcPr>
          <w:p>
            <w:pPr>
              <w:rPr>
                <w:rFonts w:ascii="宋体" w:hAnsi="宋体"/>
                <w:szCs w:val="21"/>
              </w:rPr>
            </w:pPr>
            <w:r>
              <w:rPr>
                <w:rFonts w:hint="eastAsia" w:ascii="宋体" w:hAnsi="宋体"/>
                <w:szCs w:val="21"/>
              </w:rPr>
              <w:t>符合第二章“投标人须知”第1.11款规定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59" w:type="dxa"/>
            <w:vMerge w:val="continue"/>
            <w:vAlign w:val="center"/>
          </w:tcPr>
          <w:p>
            <w:pPr>
              <w:jc w:val="center"/>
              <w:rPr>
                <w:rFonts w:ascii="宋体" w:hAnsi="宋体"/>
                <w:szCs w:val="21"/>
              </w:rPr>
            </w:pPr>
          </w:p>
        </w:tc>
        <w:tc>
          <w:tcPr>
            <w:tcW w:w="1188" w:type="dxa"/>
            <w:vMerge w:val="continue"/>
            <w:vAlign w:val="center"/>
          </w:tcPr>
          <w:p>
            <w:pPr>
              <w:jc w:val="center"/>
              <w:rPr>
                <w:rFonts w:ascii="宋体" w:hAnsi="宋体"/>
                <w:szCs w:val="21"/>
              </w:rPr>
            </w:pPr>
          </w:p>
        </w:tc>
        <w:tc>
          <w:tcPr>
            <w:tcW w:w="2375" w:type="dxa"/>
            <w:vAlign w:val="center"/>
          </w:tcPr>
          <w:p>
            <w:pPr>
              <w:pStyle w:val="311"/>
              <w:spacing w:line="240" w:lineRule="auto"/>
              <w:ind w:firstLine="6"/>
              <w:rPr>
                <w:rStyle w:val="312"/>
                <w:rFonts w:ascii="宋体" w:hAnsi="宋体" w:eastAsia="宋体" w:cs="宋体"/>
                <w:lang w:val="zh-TW"/>
              </w:rPr>
            </w:pPr>
            <w:r>
              <w:rPr>
                <w:rStyle w:val="312"/>
                <w:rFonts w:hint="eastAsia" w:ascii="宋体" w:hAnsi="宋体" w:eastAsia="宋体" w:cs="宋体"/>
                <w:lang w:val="zh-TW"/>
              </w:rPr>
              <w:t>其他要求</w:t>
            </w:r>
          </w:p>
        </w:tc>
        <w:tc>
          <w:tcPr>
            <w:tcW w:w="4641" w:type="dxa"/>
            <w:vAlign w:val="center"/>
          </w:tcPr>
          <w:p>
            <w:pPr>
              <w:pStyle w:val="311"/>
              <w:spacing w:line="240" w:lineRule="auto"/>
              <w:ind w:firstLine="0"/>
              <w:rPr>
                <w:rStyle w:val="312"/>
                <w:rFonts w:ascii="宋体" w:hAnsi="宋体" w:eastAsia="宋体" w:cs="宋体"/>
                <w:lang w:val="zh-TW"/>
              </w:rPr>
            </w:pPr>
            <w:r>
              <w:rPr>
                <w:rStyle w:val="312"/>
                <w:rFonts w:hint="eastAsia" w:ascii="宋体" w:hAnsi="宋体" w:eastAsia="宋体" w:cs="宋体"/>
                <w:lang w:val="zh-TW"/>
              </w:rPr>
              <w:t>招标文件规定的其他要求</w:t>
            </w:r>
          </w:p>
        </w:tc>
      </w:tr>
    </w:tbl>
    <w:p>
      <w:pPr>
        <w:rPr>
          <w:rFonts w:ascii="宋体" w:hAnsi="宋体"/>
        </w:rPr>
      </w:pPr>
    </w:p>
    <w:p>
      <w:pPr>
        <w:rPr>
          <w:rFonts w:ascii="宋体" w:hAnsi="宋体"/>
          <w:b/>
          <w:sz w:val="28"/>
          <w:szCs w:val="28"/>
        </w:rPr>
      </w:pPr>
      <w:r>
        <w:rPr>
          <w:rFonts w:ascii="宋体" w:hAnsi="宋体"/>
          <w:b/>
          <w:sz w:val="28"/>
          <w:szCs w:val="28"/>
        </w:rPr>
        <w:br w:type="page"/>
      </w:r>
      <w:r>
        <w:rPr>
          <w:rFonts w:ascii="宋体" w:hAnsi="宋体"/>
          <w:b/>
          <w:sz w:val="28"/>
          <w:szCs w:val="28"/>
        </w:rPr>
        <w:t>2</w:t>
      </w:r>
      <w:r>
        <w:rPr>
          <w:rFonts w:hint="eastAsia" w:ascii="宋体" w:hAnsi="宋体"/>
          <w:b/>
          <w:sz w:val="28"/>
          <w:szCs w:val="28"/>
        </w:rPr>
        <w:t>、详细评审</w:t>
      </w:r>
    </w:p>
    <w:tbl>
      <w:tblPr>
        <w:tblStyle w:val="60"/>
        <w:tblW w:w="9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302"/>
        <w:gridCol w:w="35"/>
        <w:gridCol w:w="790"/>
        <w:gridCol w:w="61"/>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012" w:type="dxa"/>
            <w:gridSpan w:val="6"/>
            <w:vAlign w:val="center"/>
          </w:tcPr>
          <w:p>
            <w:pPr>
              <w:autoSpaceDE w:val="0"/>
              <w:autoSpaceDN w:val="0"/>
              <w:adjustRightInd w:val="0"/>
              <w:jc w:val="left"/>
              <w:rPr>
                <w:rFonts w:ascii="宋体" w:hAnsi="宋体" w:cs="宋体"/>
                <w:szCs w:val="21"/>
              </w:rPr>
            </w:pPr>
            <w:r>
              <w:rPr>
                <w:rFonts w:hint="eastAsia" w:ascii="宋体" w:hAnsi="宋体" w:cs="宋体"/>
                <w:szCs w:val="21"/>
              </w:rPr>
              <w:t>一、商务评分标准—25分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序号</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评审因素</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分值</w:t>
            </w:r>
          </w:p>
        </w:tc>
        <w:tc>
          <w:tcPr>
            <w:tcW w:w="517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1</w:t>
            </w:r>
          </w:p>
        </w:tc>
        <w:tc>
          <w:tcPr>
            <w:tcW w:w="2302" w:type="dxa"/>
            <w:vAlign w:val="center"/>
          </w:tcPr>
          <w:p>
            <w:pPr>
              <w:autoSpaceDE w:val="0"/>
              <w:autoSpaceDN w:val="0"/>
              <w:adjustRightInd w:val="0"/>
              <w:jc w:val="center"/>
              <w:rPr>
                <w:rFonts w:ascii="宋体" w:hAnsi="宋体" w:cs="宋体"/>
                <w:color w:val="FF0000"/>
                <w:szCs w:val="21"/>
              </w:rPr>
            </w:pPr>
            <w:r>
              <w:rPr>
                <w:rFonts w:hint="eastAsia" w:ascii="宋体" w:hAnsi="宋体" w:cs="宋体"/>
                <w:szCs w:val="21"/>
              </w:rPr>
              <w:t>质保期</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9</w:t>
            </w:r>
          </w:p>
        </w:tc>
        <w:tc>
          <w:tcPr>
            <w:tcW w:w="5175" w:type="dxa"/>
            <w:gridSpan w:val="2"/>
            <w:vAlign w:val="center"/>
          </w:tcPr>
          <w:p>
            <w:pPr>
              <w:autoSpaceDE w:val="0"/>
              <w:autoSpaceDN w:val="0"/>
              <w:adjustRightInd w:val="0"/>
              <w:jc w:val="left"/>
              <w:rPr>
                <w:rFonts w:ascii="宋体" w:hAnsi="宋体" w:cs="宋体"/>
                <w:szCs w:val="21"/>
              </w:rPr>
            </w:pPr>
            <w:r>
              <w:rPr>
                <w:rFonts w:hint="eastAsia" w:ascii="宋体" w:hAnsi="宋体" w:cs="宋体"/>
                <w:szCs w:val="21"/>
              </w:rPr>
              <w:t>在满足洽谈文件要求基础上，质保期每增加1年得3分，最多得9分。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洽谈响应文件制作内容完整</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4</w:t>
            </w:r>
          </w:p>
        </w:tc>
        <w:tc>
          <w:tcPr>
            <w:tcW w:w="5175" w:type="dxa"/>
            <w:gridSpan w:val="2"/>
            <w:vAlign w:val="center"/>
          </w:tcPr>
          <w:p>
            <w:pPr>
              <w:pStyle w:val="78"/>
              <w:autoSpaceDE w:val="0"/>
              <w:autoSpaceDN w:val="0"/>
              <w:adjustRightInd w:val="0"/>
              <w:spacing w:before="156"/>
              <w:ind w:firstLine="0" w:firstLineChars="0"/>
              <w:jc w:val="left"/>
              <w:rPr>
                <w:rFonts w:ascii="宋体" w:hAnsi="宋体" w:cs="宋体"/>
                <w:szCs w:val="21"/>
              </w:rPr>
            </w:pPr>
            <w:r>
              <w:rPr>
                <w:rFonts w:hint="eastAsia" w:ascii="宋体" w:hAnsi="宋体" w:cs="宋体"/>
                <w:szCs w:val="21"/>
              </w:rPr>
              <w:t>评委根据洽谈响应文件制作的规范、清晰、装订情况等综合评议（在0-4分之间打分）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近三年以来该项目业绩</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12</w:t>
            </w:r>
          </w:p>
        </w:tc>
        <w:tc>
          <w:tcPr>
            <w:tcW w:w="5175" w:type="dxa"/>
            <w:gridSpan w:val="2"/>
            <w:vAlign w:val="center"/>
          </w:tcPr>
          <w:p>
            <w:pPr>
              <w:pStyle w:val="78"/>
              <w:autoSpaceDE w:val="0"/>
              <w:autoSpaceDN w:val="0"/>
              <w:adjustRightInd w:val="0"/>
              <w:spacing w:before="156"/>
              <w:ind w:firstLine="0" w:firstLineChars="0"/>
              <w:jc w:val="left"/>
              <w:rPr>
                <w:rFonts w:ascii="宋体" w:hAnsi="宋体" w:cs="宋体"/>
                <w:szCs w:val="21"/>
              </w:rPr>
            </w:pPr>
            <w:r>
              <w:rPr>
                <w:rFonts w:hint="eastAsia" w:ascii="宋体" w:hAnsi="宋体" w:cs="宋体"/>
                <w:szCs w:val="21"/>
              </w:rPr>
              <w:t>2016年1月1日至今提供三个与本项目类似或相同的业绩，在此基础上每增加一个，得3分，最高不超过12分。（业绩须提供证明材料，如合同，合同包含首页，清单页，盖章页等）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9012" w:type="dxa"/>
            <w:gridSpan w:val="6"/>
            <w:vAlign w:val="center"/>
          </w:tcPr>
          <w:p>
            <w:pPr>
              <w:autoSpaceDE w:val="0"/>
              <w:autoSpaceDN w:val="0"/>
              <w:adjustRightInd w:val="0"/>
              <w:jc w:val="left"/>
              <w:rPr>
                <w:rFonts w:ascii="宋体" w:hAnsi="宋体" w:cs="宋体"/>
                <w:szCs w:val="21"/>
              </w:rPr>
            </w:pPr>
            <w:r>
              <w:rPr>
                <w:rFonts w:hint="eastAsia" w:ascii="宋体" w:hAnsi="宋体" w:cs="宋体"/>
                <w:szCs w:val="21"/>
              </w:rPr>
              <w:t>二、技术评分标准—35分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序号</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评审因素</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分值</w:t>
            </w:r>
          </w:p>
        </w:tc>
        <w:tc>
          <w:tcPr>
            <w:tcW w:w="517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1</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EPC总体项目管理方案</w:t>
            </w:r>
          </w:p>
        </w:tc>
        <w:tc>
          <w:tcPr>
            <w:tcW w:w="825" w:type="dxa"/>
            <w:gridSpan w:val="2"/>
            <w:vAlign w:val="center"/>
          </w:tcPr>
          <w:p>
            <w:pPr>
              <w:autoSpaceDE w:val="0"/>
              <w:autoSpaceDN w:val="0"/>
              <w:adjustRightInd w:val="0"/>
              <w:ind w:firstLine="105" w:firstLineChars="50"/>
              <w:jc w:val="center"/>
              <w:rPr>
                <w:rFonts w:ascii="宋体" w:hAnsi="宋体" w:cs="宋体"/>
                <w:szCs w:val="21"/>
              </w:rPr>
            </w:pPr>
            <w:r>
              <w:rPr>
                <w:rFonts w:hint="eastAsia" w:ascii="宋体" w:hAnsi="宋体" w:cs="宋体"/>
                <w:szCs w:val="21"/>
              </w:rPr>
              <w:t>8</w:t>
            </w:r>
          </w:p>
        </w:tc>
        <w:tc>
          <w:tcPr>
            <w:tcW w:w="5175" w:type="dxa"/>
            <w:gridSpan w:val="2"/>
            <w:vAlign w:val="center"/>
          </w:tcPr>
          <w:p>
            <w:pPr>
              <w:spacing w:line="360" w:lineRule="auto"/>
              <w:jc w:val="left"/>
              <w:rPr>
                <w:rFonts w:ascii="宋体" w:hAnsi="宋体" w:cs="宋体"/>
                <w:szCs w:val="21"/>
              </w:rPr>
            </w:pPr>
            <w:r>
              <w:rPr>
                <w:rFonts w:hint="eastAsia" w:ascii="宋体" w:hAnsi="宋体" w:cs="宋体"/>
                <w:szCs w:val="21"/>
              </w:rPr>
              <w:t>根据项目组织设计内容完整性、组织机构设置合理程度、项目进度管理与控制措施、项目质量管理与控制措施和项目HSE管理与控制措施合理，针对性强、内容完善、满足项目要求，针对地域特点得8分，否则适当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2302" w:type="dxa"/>
            <w:vAlign w:val="center"/>
          </w:tcPr>
          <w:p>
            <w:pPr>
              <w:spacing w:line="360" w:lineRule="auto"/>
              <w:jc w:val="center"/>
              <w:rPr>
                <w:rFonts w:ascii="宋体" w:hAnsi="宋体" w:cs="宋体"/>
                <w:szCs w:val="21"/>
              </w:rPr>
            </w:pPr>
            <w:r>
              <w:rPr>
                <w:rFonts w:hint="eastAsia" w:ascii="宋体" w:hAnsi="宋体" w:cs="宋体"/>
                <w:szCs w:val="21"/>
              </w:rPr>
              <w:t>设计管理</w:t>
            </w:r>
          </w:p>
        </w:tc>
        <w:tc>
          <w:tcPr>
            <w:tcW w:w="825" w:type="dxa"/>
            <w:gridSpan w:val="2"/>
            <w:vAlign w:val="center"/>
          </w:tcPr>
          <w:p>
            <w:pPr>
              <w:autoSpaceDE w:val="0"/>
              <w:autoSpaceDN w:val="0"/>
              <w:adjustRightInd w:val="0"/>
              <w:ind w:firstLine="105" w:firstLineChars="50"/>
              <w:jc w:val="center"/>
              <w:rPr>
                <w:rFonts w:ascii="宋体" w:hAnsi="宋体" w:cs="宋体"/>
                <w:szCs w:val="21"/>
              </w:rPr>
            </w:pPr>
            <w:r>
              <w:rPr>
                <w:rFonts w:hint="eastAsia" w:ascii="宋体" w:hAnsi="宋体" w:cs="宋体"/>
                <w:szCs w:val="21"/>
              </w:rPr>
              <w:t>3</w:t>
            </w:r>
          </w:p>
        </w:tc>
        <w:tc>
          <w:tcPr>
            <w:tcW w:w="5175" w:type="dxa"/>
            <w:gridSpan w:val="2"/>
            <w:vAlign w:val="center"/>
          </w:tcPr>
          <w:p>
            <w:pPr>
              <w:spacing w:line="360" w:lineRule="auto"/>
              <w:jc w:val="left"/>
              <w:rPr>
                <w:rFonts w:ascii="宋体" w:hAnsi="宋体" w:cs="宋体"/>
                <w:szCs w:val="21"/>
              </w:rPr>
            </w:pPr>
            <w:r>
              <w:rPr>
                <w:rFonts w:hint="eastAsia" w:ascii="宋体" w:hAnsi="宋体" w:cs="宋体"/>
                <w:szCs w:val="21"/>
              </w:rPr>
              <w:t>设计的总体安排、资源配置和设计的进度计划控制措施合理得3分，否则适当扣分。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2302" w:type="dxa"/>
            <w:vAlign w:val="center"/>
          </w:tcPr>
          <w:p>
            <w:pPr>
              <w:spacing w:line="360" w:lineRule="auto"/>
              <w:jc w:val="center"/>
              <w:rPr>
                <w:rFonts w:ascii="宋体" w:hAnsi="宋体" w:cs="宋体"/>
                <w:szCs w:val="21"/>
              </w:rPr>
            </w:pPr>
            <w:r>
              <w:rPr>
                <w:rFonts w:hint="eastAsia" w:ascii="宋体" w:hAnsi="宋体" w:cs="宋体"/>
                <w:szCs w:val="21"/>
              </w:rPr>
              <w:t>物资采购管理</w:t>
            </w:r>
          </w:p>
        </w:tc>
        <w:tc>
          <w:tcPr>
            <w:tcW w:w="825" w:type="dxa"/>
            <w:gridSpan w:val="2"/>
            <w:vAlign w:val="center"/>
          </w:tcPr>
          <w:p>
            <w:pPr>
              <w:autoSpaceDE w:val="0"/>
              <w:autoSpaceDN w:val="0"/>
              <w:adjustRightInd w:val="0"/>
              <w:ind w:firstLine="105" w:firstLineChars="50"/>
              <w:jc w:val="center"/>
              <w:rPr>
                <w:rFonts w:ascii="宋体" w:hAnsi="宋体" w:cs="宋体"/>
                <w:szCs w:val="21"/>
              </w:rPr>
            </w:pPr>
            <w:r>
              <w:rPr>
                <w:rFonts w:hint="eastAsia" w:ascii="宋体" w:hAnsi="宋体" w:cs="宋体"/>
                <w:szCs w:val="21"/>
              </w:rPr>
              <w:t>2</w:t>
            </w:r>
          </w:p>
        </w:tc>
        <w:tc>
          <w:tcPr>
            <w:tcW w:w="5175" w:type="dxa"/>
            <w:gridSpan w:val="2"/>
            <w:vAlign w:val="center"/>
          </w:tcPr>
          <w:p>
            <w:pPr>
              <w:autoSpaceDE w:val="0"/>
              <w:autoSpaceDN w:val="0"/>
              <w:adjustRightInd w:val="0"/>
              <w:jc w:val="left"/>
              <w:rPr>
                <w:rFonts w:ascii="宋体" w:hAnsi="宋体" w:cs="宋体"/>
                <w:szCs w:val="21"/>
              </w:rPr>
            </w:pPr>
            <w:r>
              <w:rPr>
                <w:rFonts w:hint="eastAsia" w:ascii="宋体" w:hAnsi="宋体" w:cs="宋体"/>
                <w:szCs w:val="21"/>
              </w:rPr>
              <w:t>根据所投产品的品牌知名度、技术先进性、可靠性、稳定性和维护便利性、交货期等综合评议。</w:t>
            </w:r>
          </w:p>
          <w:p>
            <w:pPr>
              <w:autoSpaceDE w:val="0"/>
              <w:autoSpaceDN w:val="0"/>
              <w:adjustRightInd w:val="0"/>
              <w:jc w:val="left"/>
              <w:rPr>
                <w:rFonts w:ascii="宋体" w:hAnsi="宋体" w:cs="宋体"/>
                <w:szCs w:val="21"/>
              </w:rPr>
            </w:pPr>
            <w:r>
              <w:rPr>
                <w:rFonts w:hint="eastAsia" w:ascii="宋体" w:hAnsi="宋体" w:cs="宋体"/>
                <w:szCs w:val="21"/>
              </w:rPr>
              <w:t>合理得2分，否则适当扣分。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4</w:t>
            </w:r>
          </w:p>
        </w:tc>
        <w:tc>
          <w:tcPr>
            <w:tcW w:w="2302" w:type="dxa"/>
            <w:vAlign w:val="center"/>
          </w:tcPr>
          <w:p>
            <w:pPr>
              <w:spacing w:line="360" w:lineRule="auto"/>
              <w:jc w:val="center"/>
              <w:rPr>
                <w:rFonts w:ascii="宋体" w:hAnsi="宋体" w:cs="宋体"/>
                <w:szCs w:val="21"/>
              </w:rPr>
            </w:pPr>
            <w:r>
              <w:rPr>
                <w:rFonts w:hint="eastAsia" w:ascii="宋体" w:hAnsi="宋体" w:cs="宋体"/>
                <w:szCs w:val="21"/>
              </w:rPr>
              <w:t>工程施工管理</w:t>
            </w:r>
          </w:p>
        </w:tc>
        <w:tc>
          <w:tcPr>
            <w:tcW w:w="825" w:type="dxa"/>
            <w:gridSpan w:val="2"/>
            <w:vAlign w:val="center"/>
          </w:tcPr>
          <w:p>
            <w:pPr>
              <w:autoSpaceDE w:val="0"/>
              <w:autoSpaceDN w:val="0"/>
              <w:adjustRightInd w:val="0"/>
              <w:ind w:firstLine="105" w:firstLineChars="50"/>
              <w:jc w:val="center"/>
              <w:rPr>
                <w:rFonts w:ascii="宋体" w:hAnsi="宋体" w:cs="宋体"/>
                <w:szCs w:val="21"/>
              </w:rPr>
            </w:pPr>
            <w:r>
              <w:rPr>
                <w:rFonts w:hint="eastAsia" w:ascii="宋体" w:hAnsi="宋体" w:cs="宋体"/>
                <w:szCs w:val="21"/>
              </w:rPr>
              <w:t>8</w:t>
            </w:r>
          </w:p>
        </w:tc>
        <w:tc>
          <w:tcPr>
            <w:tcW w:w="5175" w:type="dxa"/>
            <w:gridSpan w:val="2"/>
            <w:vAlign w:val="center"/>
          </w:tcPr>
          <w:p>
            <w:pPr>
              <w:adjustRightInd w:val="0"/>
              <w:snapToGrid w:val="0"/>
              <w:spacing w:line="360" w:lineRule="auto"/>
              <w:jc w:val="left"/>
              <w:rPr>
                <w:rFonts w:ascii="宋体" w:hAnsi="宋体" w:cs="宋体"/>
                <w:szCs w:val="21"/>
              </w:rPr>
            </w:pPr>
            <w:r>
              <w:rPr>
                <w:rFonts w:hint="eastAsia" w:ascii="宋体" w:hAnsi="宋体" w:cs="宋体"/>
                <w:szCs w:val="21"/>
              </w:rPr>
              <w:t>施工方案及技术措施（3分）</w:t>
            </w:r>
          </w:p>
          <w:p>
            <w:pPr>
              <w:adjustRightInd w:val="0"/>
              <w:snapToGrid w:val="0"/>
              <w:spacing w:line="360" w:lineRule="auto"/>
              <w:jc w:val="left"/>
              <w:rPr>
                <w:rFonts w:ascii="宋体" w:hAnsi="宋体" w:cs="宋体"/>
                <w:szCs w:val="21"/>
              </w:rPr>
            </w:pPr>
            <w:r>
              <w:rPr>
                <w:rFonts w:hint="eastAsia" w:ascii="宋体" w:hAnsi="宋体" w:cs="宋体"/>
                <w:szCs w:val="21"/>
              </w:rPr>
              <w:t>施工方案及技术措施有针对性得满分；否则适当扣分。</w:t>
            </w:r>
          </w:p>
          <w:p>
            <w:pPr>
              <w:adjustRightInd w:val="0"/>
              <w:snapToGrid w:val="0"/>
              <w:spacing w:line="360" w:lineRule="auto"/>
              <w:jc w:val="left"/>
              <w:rPr>
                <w:rFonts w:ascii="宋体" w:hAnsi="宋体" w:cs="宋体"/>
                <w:szCs w:val="21"/>
              </w:rPr>
            </w:pPr>
            <w:r>
              <w:rPr>
                <w:rFonts w:hint="eastAsia" w:ascii="宋体" w:hAnsi="宋体" w:cs="宋体"/>
                <w:szCs w:val="21"/>
              </w:rPr>
              <w:t>质保体系及质保措施（2分）</w:t>
            </w:r>
          </w:p>
          <w:p>
            <w:pPr>
              <w:adjustRightInd w:val="0"/>
              <w:snapToGrid w:val="0"/>
              <w:spacing w:line="360" w:lineRule="auto"/>
              <w:jc w:val="left"/>
              <w:rPr>
                <w:rFonts w:ascii="宋体" w:hAnsi="宋体" w:cs="宋体"/>
                <w:szCs w:val="21"/>
              </w:rPr>
            </w:pPr>
            <w:r>
              <w:rPr>
                <w:rFonts w:hint="eastAsia" w:ascii="宋体" w:hAnsi="宋体" w:cs="宋体"/>
                <w:szCs w:val="21"/>
              </w:rPr>
              <w:t>质保体系完备、质保措施有针对性得满分，否则适当扣分。</w:t>
            </w:r>
          </w:p>
          <w:p>
            <w:pPr>
              <w:adjustRightInd w:val="0"/>
              <w:snapToGrid w:val="0"/>
              <w:spacing w:line="360" w:lineRule="auto"/>
              <w:jc w:val="left"/>
              <w:rPr>
                <w:rFonts w:ascii="宋体" w:hAnsi="宋体" w:cs="宋体"/>
                <w:szCs w:val="21"/>
              </w:rPr>
            </w:pPr>
            <w:r>
              <w:rPr>
                <w:rFonts w:hint="eastAsia" w:ascii="宋体" w:hAnsi="宋体" w:cs="宋体"/>
                <w:szCs w:val="21"/>
              </w:rPr>
              <w:t>施工进度保证措施（2分）</w:t>
            </w:r>
          </w:p>
          <w:p>
            <w:pPr>
              <w:adjustRightInd w:val="0"/>
              <w:snapToGrid w:val="0"/>
              <w:spacing w:line="360" w:lineRule="auto"/>
              <w:jc w:val="left"/>
              <w:rPr>
                <w:rFonts w:ascii="宋体" w:hAnsi="宋体" w:cs="宋体"/>
                <w:szCs w:val="21"/>
              </w:rPr>
            </w:pPr>
            <w:r>
              <w:rPr>
                <w:rFonts w:hint="eastAsia" w:ascii="宋体" w:hAnsi="宋体" w:cs="宋体"/>
                <w:szCs w:val="21"/>
              </w:rPr>
              <w:t>施工进度及保证措施合理、切实可行，能满足施工网络要求得满分，否则适当扣分。</w:t>
            </w:r>
          </w:p>
          <w:p>
            <w:pPr>
              <w:adjustRightInd w:val="0"/>
              <w:snapToGrid w:val="0"/>
              <w:spacing w:line="360" w:lineRule="auto"/>
              <w:jc w:val="left"/>
              <w:rPr>
                <w:rFonts w:ascii="宋体" w:hAnsi="宋体" w:cs="宋体"/>
                <w:szCs w:val="21"/>
              </w:rPr>
            </w:pPr>
            <w:r>
              <w:rPr>
                <w:rFonts w:hint="eastAsia" w:ascii="宋体" w:hAnsi="宋体" w:cs="宋体"/>
                <w:szCs w:val="21"/>
              </w:rPr>
              <w:t>安保体系及安保措施（1分）</w:t>
            </w:r>
          </w:p>
          <w:p>
            <w:pPr>
              <w:adjustRightInd w:val="0"/>
              <w:snapToGrid w:val="0"/>
              <w:spacing w:line="360" w:lineRule="auto"/>
              <w:jc w:val="left"/>
              <w:rPr>
                <w:rFonts w:ascii="宋体" w:hAnsi="宋体" w:cs="宋体"/>
                <w:szCs w:val="21"/>
              </w:rPr>
            </w:pPr>
            <w:r>
              <w:rPr>
                <w:rFonts w:hint="eastAsia" w:ascii="宋体" w:hAnsi="宋体" w:cs="宋体"/>
                <w:szCs w:val="21"/>
              </w:rPr>
              <w:t>安保体系完备、措施针对性强、有应急措施得满分，否则适当扣分。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质量管理体系及措施</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5175" w:type="dxa"/>
            <w:gridSpan w:val="2"/>
            <w:vAlign w:val="center"/>
          </w:tcPr>
          <w:p>
            <w:pPr>
              <w:spacing w:line="276" w:lineRule="auto"/>
              <w:rPr>
                <w:rFonts w:ascii="宋体" w:hAnsi="宋体" w:cs="宋体"/>
                <w:szCs w:val="21"/>
              </w:rPr>
            </w:pPr>
            <w:r>
              <w:rPr>
                <w:rFonts w:hint="eastAsia" w:ascii="宋体" w:hAnsi="宋体" w:cs="宋体"/>
                <w:szCs w:val="21"/>
              </w:rPr>
              <w:t>针对性强、内容完善、满足项目要求，针对地域特点有具体的管控措施（2-3分）；有一定的针对性，内容基本齐全，基本满足项目要求（0~-1.9分），不提供不得分。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0" w:type="dxa"/>
            <w:vAlign w:val="center"/>
          </w:tcPr>
          <w:p>
            <w:pPr>
              <w:autoSpaceDE w:val="0"/>
              <w:autoSpaceDN w:val="0"/>
              <w:adjustRightInd w:val="0"/>
              <w:jc w:val="center"/>
              <w:rPr>
                <w:rFonts w:ascii="宋体" w:hAnsi="宋体" w:cs="宋体"/>
                <w:szCs w:val="21"/>
              </w:rPr>
            </w:pP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资源配备计划</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5175" w:type="dxa"/>
            <w:gridSpan w:val="2"/>
            <w:vAlign w:val="center"/>
          </w:tcPr>
          <w:p>
            <w:pPr>
              <w:spacing w:line="276" w:lineRule="auto"/>
              <w:rPr>
                <w:rFonts w:ascii="宋体" w:hAnsi="宋体" w:cs="宋体"/>
                <w:szCs w:val="21"/>
              </w:rPr>
            </w:pPr>
            <w:r>
              <w:rPr>
                <w:rFonts w:hint="eastAsia" w:ascii="宋体" w:hAnsi="宋体" w:cs="宋体"/>
                <w:szCs w:val="21"/>
              </w:rPr>
              <w:t>根据资金、人员、施工机具、专用软件、办公设施等</w:t>
            </w:r>
          </w:p>
          <w:p>
            <w:pPr>
              <w:spacing w:line="276" w:lineRule="auto"/>
              <w:rPr>
                <w:rFonts w:ascii="宋体" w:hAnsi="宋体" w:cs="宋体"/>
                <w:szCs w:val="21"/>
              </w:rPr>
            </w:pPr>
            <w:r>
              <w:rPr>
                <w:rFonts w:hint="eastAsia" w:ascii="宋体" w:hAnsi="宋体" w:cs="宋体"/>
                <w:szCs w:val="21"/>
              </w:rPr>
              <w:t>针对性强、内容完善、满足项目要求，针对地域特点有具体的管控措施（2-3分）；有一定的针对性，内容基本齐全，基本满足项目要求（0~1.9分）.未提供不得分。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2302" w:type="dxa"/>
            <w:vAlign w:val="center"/>
          </w:tcPr>
          <w:p>
            <w:pPr>
              <w:jc w:val="center"/>
              <w:rPr>
                <w:rFonts w:ascii="宋体" w:hAnsi="宋体" w:cs="宋体"/>
                <w:szCs w:val="21"/>
              </w:rPr>
            </w:pPr>
            <w:r>
              <w:rPr>
                <w:rFonts w:hint="eastAsia" w:ascii="宋体" w:hAnsi="宋体" w:cs="宋体"/>
                <w:szCs w:val="21"/>
              </w:rPr>
              <w:t>交货期</w:t>
            </w:r>
          </w:p>
        </w:tc>
        <w:tc>
          <w:tcPr>
            <w:tcW w:w="825" w:type="dxa"/>
            <w:gridSpan w:val="2"/>
            <w:vAlign w:val="center"/>
          </w:tcPr>
          <w:p>
            <w:pPr>
              <w:jc w:val="center"/>
              <w:rPr>
                <w:rFonts w:ascii="宋体" w:hAnsi="宋体" w:cs="宋体"/>
                <w:szCs w:val="21"/>
              </w:rPr>
            </w:pPr>
            <w:r>
              <w:rPr>
                <w:rFonts w:hint="eastAsia" w:ascii="宋体" w:hAnsi="宋体" w:cs="宋体"/>
                <w:szCs w:val="21"/>
              </w:rPr>
              <w:t>5</w:t>
            </w:r>
          </w:p>
        </w:tc>
        <w:tc>
          <w:tcPr>
            <w:tcW w:w="5175" w:type="dxa"/>
            <w:gridSpan w:val="2"/>
            <w:vAlign w:val="center"/>
          </w:tcPr>
          <w:p>
            <w:pPr>
              <w:rPr>
                <w:rFonts w:ascii="宋体" w:hAnsi="宋体" w:cs="宋体"/>
                <w:szCs w:val="21"/>
              </w:rPr>
            </w:pPr>
            <w:r>
              <w:rPr>
                <w:rFonts w:hint="eastAsia" w:ascii="宋体" w:hAnsi="宋体" w:cs="宋体"/>
                <w:szCs w:val="21"/>
              </w:rPr>
              <w:t>每承诺整体设备提前交货2天，加1分，最高加5分。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7</w:t>
            </w:r>
          </w:p>
        </w:tc>
        <w:tc>
          <w:tcPr>
            <w:tcW w:w="2302" w:type="dxa"/>
            <w:vAlign w:val="center"/>
          </w:tcPr>
          <w:p>
            <w:pPr>
              <w:autoSpaceDE w:val="0"/>
              <w:autoSpaceDN w:val="0"/>
              <w:adjustRightInd w:val="0"/>
              <w:jc w:val="center"/>
              <w:rPr>
                <w:rFonts w:ascii="宋体" w:hAnsi="宋体" w:cs="宋体"/>
                <w:szCs w:val="21"/>
              </w:rPr>
            </w:pPr>
            <w:r>
              <w:rPr>
                <w:rFonts w:hint="eastAsia" w:ascii="宋体" w:hAnsi="宋体" w:cs="宋体"/>
                <w:szCs w:val="21"/>
              </w:rPr>
              <w:t>其他管理</w:t>
            </w:r>
          </w:p>
        </w:tc>
        <w:tc>
          <w:tcPr>
            <w:tcW w:w="825"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5175" w:type="dxa"/>
            <w:gridSpan w:val="2"/>
            <w:vAlign w:val="center"/>
          </w:tcPr>
          <w:p>
            <w:pPr>
              <w:spacing w:line="276" w:lineRule="auto"/>
              <w:rPr>
                <w:rFonts w:ascii="宋体" w:hAnsi="宋体" w:cs="宋体"/>
                <w:szCs w:val="21"/>
              </w:rPr>
            </w:pPr>
            <w:r>
              <w:rPr>
                <w:rFonts w:hint="eastAsia" w:ascii="宋体" w:hAnsi="宋体" w:cs="宋体"/>
                <w:szCs w:val="21"/>
              </w:rPr>
              <w:t>根据沟通管理、风险管理、文控管理、保修承诺及措施等</w:t>
            </w:r>
          </w:p>
          <w:p>
            <w:pPr>
              <w:spacing w:line="276" w:lineRule="auto"/>
              <w:rPr>
                <w:rFonts w:ascii="宋体" w:hAnsi="宋体" w:cs="宋体"/>
                <w:szCs w:val="21"/>
              </w:rPr>
            </w:pPr>
            <w:r>
              <w:rPr>
                <w:rFonts w:hint="eastAsia" w:ascii="宋体" w:hAnsi="宋体" w:cs="宋体"/>
                <w:szCs w:val="21"/>
              </w:rPr>
              <w:t>针对性强、内容完善、满足项目要求，针对地域特点有具体的管控措施（2-3分）；有一定的针对性，内容基本齐全，基本满足项目要求（0-1.9分），未提供不得分。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012" w:type="dxa"/>
            <w:gridSpan w:val="6"/>
            <w:vAlign w:val="center"/>
          </w:tcPr>
          <w:p>
            <w:pPr>
              <w:autoSpaceDE w:val="0"/>
              <w:autoSpaceDN w:val="0"/>
              <w:adjustRightInd w:val="0"/>
              <w:jc w:val="left"/>
              <w:rPr>
                <w:rFonts w:ascii="宋体" w:hAnsi="宋体" w:cs="宋体"/>
                <w:szCs w:val="21"/>
              </w:rPr>
            </w:pPr>
            <w:r>
              <w:rPr>
                <w:rFonts w:hint="eastAsia" w:ascii="宋体" w:hAnsi="宋体" w:cs="宋体"/>
                <w:szCs w:val="21"/>
              </w:rPr>
              <w:t>三、价格评分标准——40分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序号</w:t>
            </w:r>
          </w:p>
        </w:tc>
        <w:tc>
          <w:tcPr>
            <w:tcW w:w="2337"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评审因素</w:t>
            </w:r>
          </w:p>
        </w:tc>
        <w:tc>
          <w:tcPr>
            <w:tcW w:w="851"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分值</w:t>
            </w:r>
          </w:p>
        </w:tc>
        <w:tc>
          <w:tcPr>
            <w:tcW w:w="5114" w:type="dxa"/>
            <w:vAlign w:val="center"/>
          </w:tcPr>
          <w:p>
            <w:pPr>
              <w:autoSpaceDE w:val="0"/>
              <w:autoSpaceDN w:val="0"/>
              <w:adjustRightInd w:val="0"/>
              <w:jc w:val="center"/>
              <w:rPr>
                <w:rFonts w:ascii="宋体" w:hAnsi="宋体" w:cs="宋体"/>
                <w:szCs w:val="21"/>
              </w:rPr>
            </w:pPr>
            <w:r>
              <w:rPr>
                <w:rFonts w:hint="eastAsia" w:ascii="宋体" w:hAnsi="宋体" w:cs="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10" w:type="dxa"/>
            <w:vAlign w:val="center"/>
          </w:tcPr>
          <w:p>
            <w:pPr>
              <w:autoSpaceDE w:val="0"/>
              <w:autoSpaceDN w:val="0"/>
              <w:adjustRightInd w:val="0"/>
              <w:jc w:val="center"/>
              <w:rPr>
                <w:rFonts w:ascii="宋体" w:hAnsi="宋体" w:cs="宋体"/>
                <w:szCs w:val="21"/>
              </w:rPr>
            </w:pPr>
            <w:r>
              <w:rPr>
                <w:rFonts w:hint="eastAsia" w:ascii="宋体" w:hAnsi="宋体" w:cs="宋体"/>
                <w:szCs w:val="21"/>
              </w:rPr>
              <w:t>1</w:t>
            </w:r>
          </w:p>
        </w:tc>
        <w:tc>
          <w:tcPr>
            <w:tcW w:w="2337"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投标报价（元）</w:t>
            </w:r>
          </w:p>
        </w:tc>
        <w:tc>
          <w:tcPr>
            <w:tcW w:w="851" w:type="dxa"/>
            <w:gridSpan w:val="2"/>
            <w:vAlign w:val="center"/>
          </w:tcPr>
          <w:p>
            <w:pPr>
              <w:autoSpaceDE w:val="0"/>
              <w:autoSpaceDN w:val="0"/>
              <w:adjustRightInd w:val="0"/>
              <w:jc w:val="center"/>
              <w:rPr>
                <w:rFonts w:ascii="宋体" w:hAnsi="宋体" w:cs="宋体"/>
                <w:szCs w:val="21"/>
              </w:rPr>
            </w:pPr>
            <w:r>
              <w:rPr>
                <w:rFonts w:hint="eastAsia" w:ascii="宋体" w:hAnsi="宋体" w:cs="宋体"/>
                <w:szCs w:val="21"/>
              </w:rPr>
              <w:t>40</w:t>
            </w:r>
          </w:p>
        </w:tc>
        <w:tc>
          <w:tcPr>
            <w:tcW w:w="5114" w:type="dxa"/>
            <w:vAlign w:val="center"/>
          </w:tcPr>
          <w:p>
            <w:pPr>
              <w:autoSpaceDE w:val="0"/>
              <w:autoSpaceDN w:val="0"/>
              <w:adjustRightInd w:val="0"/>
              <w:jc w:val="left"/>
              <w:rPr>
                <w:rFonts w:ascii="宋体" w:hAnsi="宋体" w:cs="宋体"/>
                <w:kern w:val="0"/>
                <w:szCs w:val="21"/>
              </w:rPr>
            </w:pPr>
            <w:r>
              <w:rPr>
                <w:rFonts w:hint="eastAsia" w:ascii="宋体" w:hAnsi="宋体" w:cs="宋体"/>
                <w:szCs w:val="21"/>
              </w:rPr>
              <w:t>取所有有效投标报价的最低价为基准值，投标报价等于评标基准值得40分，投标报价每比评标基准值正偏离1%扣1分，最低得0分，（计算结果保留两位小数）</w:t>
            </w:r>
          </w:p>
        </w:tc>
      </w:tr>
    </w:tbl>
    <w:p>
      <w:pPr>
        <w:spacing w:line="360" w:lineRule="auto"/>
        <w:ind w:left="904" w:leftChars="86" w:hanging="723" w:hangingChars="300"/>
        <w:jc w:val="center"/>
        <w:rPr>
          <w:rFonts w:ascii="宋体" w:hAnsi="宋体"/>
          <w:b/>
          <w:sz w:val="24"/>
        </w:r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56"/>
        <w:rPr>
          <w:rFonts w:ascii="宋体" w:hAnsi="宋体"/>
          <w:b w:val="0"/>
          <w:sz w:val="48"/>
          <w:szCs w:val="44"/>
        </w:rPr>
      </w:pPr>
      <w:bookmarkStart w:id="271" w:name="_Toc490062125"/>
      <w:r>
        <w:rPr>
          <w:rFonts w:hint="eastAsia" w:ascii="宋体" w:hAnsi="宋体"/>
          <w:b w:val="0"/>
          <w:sz w:val="48"/>
          <w:szCs w:val="44"/>
        </w:rPr>
        <w:t>第二卷</w:t>
      </w:r>
      <w:bookmarkEnd w:id="271"/>
    </w:p>
    <w:p>
      <w:pPr>
        <w:rPr>
          <w:rFonts w:ascii="宋体" w:hAnsi="宋体"/>
        </w:rPr>
      </w:pPr>
    </w:p>
    <w:p>
      <w:pPr>
        <w:rPr>
          <w:rFonts w:ascii="宋体" w:hAnsi="宋体"/>
          <w:sz w:val="48"/>
          <w:szCs w:val="48"/>
        </w:rPr>
      </w:pPr>
    </w:p>
    <w:p>
      <w:pPr>
        <w:rPr>
          <w:rFonts w:ascii="宋体" w:hAnsi="宋体"/>
        </w:rPr>
      </w:pPr>
    </w:p>
    <w:p>
      <w:pPr>
        <w:spacing w:beforeLines="100" w:afterLines="100" w:line="360" w:lineRule="auto"/>
        <w:jc w:val="center"/>
        <w:outlineLvl w:val="0"/>
        <w:rPr>
          <w:rFonts w:ascii="宋体" w:hAnsi="宋体"/>
          <w:sz w:val="32"/>
          <w:szCs w:val="32"/>
        </w:rPr>
      </w:pPr>
      <w:r>
        <w:rPr>
          <w:rFonts w:ascii="宋体" w:hAnsi="宋体"/>
          <w:sz w:val="32"/>
          <w:szCs w:val="32"/>
        </w:rPr>
        <w:br w:type="page"/>
      </w:r>
      <w:bookmarkStart w:id="272" w:name="_Toc490062126"/>
      <w:r>
        <w:rPr>
          <w:rFonts w:hint="eastAsia" w:ascii="宋体" w:hAnsi="宋体"/>
          <w:sz w:val="32"/>
          <w:szCs w:val="32"/>
        </w:rPr>
        <w:t>第四章设计文件及资料</w:t>
      </w:r>
      <w:bookmarkEnd w:id="272"/>
    </w:p>
    <w:p>
      <w:pPr>
        <w:spacing w:line="480" w:lineRule="auto"/>
        <w:ind w:firstLine="480" w:firstLineChars="200"/>
        <w:jc w:val="center"/>
        <w:rPr>
          <w:rFonts w:ascii="宋体" w:hAnsi="宋体"/>
          <w:sz w:val="24"/>
        </w:rPr>
      </w:pPr>
      <w:r>
        <w:rPr>
          <w:rFonts w:hint="eastAsia" w:ascii="宋体" w:hAnsi="宋体"/>
          <w:sz w:val="24"/>
        </w:rPr>
        <w:t>无</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 w:val="48"/>
          <w:szCs w:val="48"/>
        </w:rPr>
      </w:pPr>
    </w:p>
    <w:p>
      <w:pPr>
        <w:spacing w:line="360" w:lineRule="auto"/>
        <w:jc w:val="center"/>
        <w:rPr>
          <w:rFonts w:ascii="宋体" w:hAnsi="宋体"/>
          <w:sz w:val="48"/>
          <w:szCs w:val="48"/>
        </w:rPr>
      </w:pPr>
    </w:p>
    <w:p>
      <w:pPr>
        <w:spacing w:line="360" w:lineRule="auto"/>
        <w:jc w:val="center"/>
        <w:rPr>
          <w:rFonts w:ascii="宋体" w:hAnsi="宋体"/>
          <w:sz w:val="48"/>
          <w:szCs w:val="48"/>
        </w:rPr>
      </w:pPr>
    </w:p>
    <w:p>
      <w:pPr>
        <w:spacing w:line="360" w:lineRule="auto"/>
        <w:jc w:val="center"/>
        <w:rPr>
          <w:rFonts w:ascii="宋体" w:hAnsi="宋体"/>
          <w:sz w:val="48"/>
          <w:szCs w:val="48"/>
        </w:rPr>
      </w:pPr>
    </w:p>
    <w:p>
      <w:pPr>
        <w:spacing w:line="360" w:lineRule="auto"/>
        <w:jc w:val="center"/>
        <w:rPr>
          <w:rFonts w:ascii="宋体" w:hAnsi="宋体"/>
          <w:sz w:val="48"/>
          <w:szCs w:val="48"/>
        </w:rPr>
      </w:pPr>
    </w:p>
    <w:p>
      <w:pPr>
        <w:spacing w:beforeLines="100" w:afterLines="100" w:line="276" w:lineRule="auto"/>
        <w:jc w:val="center"/>
        <w:outlineLvl w:val="0"/>
        <w:rPr>
          <w:rFonts w:ascii="宋体" w:hAnsi="宋体"/>
          <w:sz w:val="32"/>
          <w:szCs w:val="32"/>
        </w:rPr>
      </w:pPr>
      <w:r>
        <w:rPr>
          <w:rFonts w:ascii="宋体" w:hAnsi="宋体"/>
          <w:sz w:val="48"/>
          <w:szCs w:val="48"/>
        </w:rPr>
        <w:br w:type="page"/>
      </w:r>
      <w:bookmarkStart w:id="273" w:name="_Toc490062127"/>
      <w:r>
        <w:rPr>
          <w:rFonts w:hint="eastAsia" w:ascii="宋体" w:hAnsi="宋体"/>
          <w:sz w:val="32"/>
          <w:szCs w:val="32"/>
        </w:rPr>
        <w:t>第五章技术标准和要求</w:t>
      </w:r>
      <w:bookmarkEnd w:id="273"/>
    </w:p>
    <w:p>
      <w:pPr>
        <w:pStyle w:val="297"/>
        <w:autoSpaceDN w:val="0"/>
        <w:spacing w:beforeLines="0" w:afterLines="0"/>
        <w:jc w:val="left"/>
        <w:rPr>
          <w:rFonts w:ascii="宋体" w:hAnsi="宋体" w:eastAsia="宋体" w:cs="宋体"/>
          <w:b/>
          <w:bCs/>
          <w:sz w:val="28"/>
          <w:szCs w:val="28"/>
        </w:rPr>
      </w:pPr>
      <w:bookmarkStart w:id="274" w:name="_Toc22751"/>
      <w:bookmarkStart w:id="275" w:name="_Toc2136"/>
      <w:r>
        <w:rPr>
          <w:rFonts w:hint="eastAsia" w:ascii="宋体" w:hAnsi="宋体" w:eastAsia="宋体" w:cs="宋体"/>
          <w:b/>
          <w:bCs/>
          <w:sz w:val="28"/>
          <w:szCs w:val="28"/>
        </w:rPr>
        <w:t>一、采购产品清单</w:t>
      </w:r>
    </w:p>
    <w:tbl>
      <w:tblPr>
        <w:tblStyle w:val="60"/>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401"/>
        <w:gridCol w:w="1134"/>
        <w:gridCol w:w="2552"/>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84" w:type="dxa"/>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2401" w:type="dxa"/>
            <w:vAlign w:val="center"/>
          </w:tcPr>
          <w:p>
            <w:pPr>
              <w:widowControl/>
              <w:jc w:val="center"/>
              <w:rPr>
                <w:rFonts w:ascii="宋体" w:hAnsi="宋体" w:cs="宋体"/>
                <w:b/>
                <w:bCs/>
                <w:kern w:val="0"/>
                <w:szCs w:val="21"/>
              </w:rPr>
            </w:pPr>
            <w:r>
              <w:rPr>
                <w:rFonts w:hint="eastAsia" w:ascii="宋体" w:hAnsi="宋体" w:cs="宋体"/>
                <w:b/>
                <w:bCs/>
                <w:kern w:val="0"/>
                <w:szCs w:val="21"/>
              </w:rPr>
              <w:t>招标项目名称</w:t>
            </w:r>
          </w:p>
        </w:tc>
        <w:tc>
          <w:tcPr>
            <w:tcW w:w="1134" w:type="dxa"/>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2552" w:type="dxa"/>
            <w:vAlign w:val="center"/>
          </w:tcPr>
          <w:p>
            <w:pPr>
              <w:widowControl/>
              <w:jc w:val="center"/>
              <w:rPr>
                <w:rFonts w:ascii="宋体" w:hAnsi="宋体" w:cs="宋体"/>
                <w:b/>
                <w:bCs/>
                <w:kern w:val="0"/>
                <w:szCs w:val="21"/>
              </w:rPr>
            </w:pPr>
            <w:r>
              <w:rPr>
                <w:rFonts w:hint="eastAsia" w:ascii="宋体" w:hAnsi="宋体" w:cs="宋体"/>
                <w:b/>
                <w:bCs/>
                <w:kern w:val="0"/>
                <w:szCs w:val="21"/>
              </w:rPr>
              <w:t>交货期</w:t>
            </w:r>
          </w:p>
        </w:tc>
        <w:tc>
          <w:tcPr>
            <w:tcW w:w="2268" w:type="dxa"/>
            <w:vAlign w:val="center"/>
          </w:tcPr>
          <w:p>
            <w:pPr>
              <w:widowControl/>
              <w:jc w:val="center"/>
              <w:rPr>
                <w:rFonts w:ascii="宋体" w:hAnsi="宋体" w:cs="宋体"/>
                <w:b/>
                <w:bCs/>
                <w:kern w:val="0"/>
                <w:szCs w:val="21"/>
              </w:rPr>
            </w:pPr>
            <w:r>
              <w:rPr>
                <w:rFonts w:hint="eastAsia" w:ascii="宋体" w:hAnsi="宋体" w:cs="宋体"/>
                <w:b/>
                <w:bCs/>
                <w:kern w:val="0"/>
                <w:szCs w:val="21"/>
              </w:rPr>
              <w:t>交货地点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84"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2401" w:type="dxa"/>
            <w:vAlign w:val="center"/>
          </w:tcPr>
          <w:p>
            <w:pPr>
              <w:pStyle w:val="475"/>
              <w:spacing w:line="240" w:lineRule="atLeast"/>
              <w:rPr>
                <w:rFonts w:ascii="宋体" w:hAnsi="宋体" w:cs="宋体"/>
                <w:sz w:val="21"/>
                <w:szCs w:val="21"/>
              </w:rPr>
            </w:pPr>
            <w:r>
              <w:rPr>
                <w:rFonts w:hint="eastAsia" w:ascii="宋体" w:hAnsi="宋体" w:cs="宋体"/>
                <w:sz w:val="21"/>
                <w:szCs w:val="21"/>
              </w:rPr>
              <w:t>实验室室内场地装修</w:t>
            </w:r>
          </w:p>
        </w:tc>
        <w:tc>
          <w:tcPr>
            <w:tcW w:w="1134"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2552" w:type="dxa"/>
            <w:vAlign w:val="center"/>
          </w:tcPr>
          <w:p>
            <w:pPr>
              <w:jc w:val="center"/>
              <w:rPr>
                <w:rFonts w:ascii="宋体" w:hAnsi="宋体" w:cs="宋体"/>
                <w:szCs w:val="21"/>
              </w:rPr>
            </w:pPr>
            <w:r>
              <w:rPr>
                <w:rFonts w:hint="eastAsia" w:ascii="宋体" w:hAnsi="宋体" w:cs="宋体"/>
                <w:bCs/>
                <w:szCs w:val="21"/>
              </w:rPr>
              <w:t>合同签订后60日历天</w:t>
            </w:r>
          </w:p>
        </w:tc>
        <w:tc>
          <w:tcPr>
            <w:tcW w:w="2268" w:type="dxa"/>
            <w:vAlign w:val="center"/>
          </w:tcPr>
          <w:p>
            <w:pPr>
              <w:widowControl/>
              <w:jc w:val="center"/>
              <w:rPr>
                <w:rFonts w:ascii="宋体" w:hAnsi="宋体" w:cs="宋体"/>
                <w:bCs/>
                <w:szCs w:val="21"/>
              </w:rPr>
            </w:pPr>
            <w:r>
              <w:rPr>
                <w:rFonts w:hint="eastAsia" w:ascii="宋体" w:hAnsi="宋体" w:cs="宋体"/>
                <w:bCs/>
                <w:szCs w:val="21"/>
              </w:rPr>
              <w:t>江苏省张家港市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84" w:type="dxa"/>
            <w:vAlign w:val="center"/>
          </w:tcPr>
          <w:p>
            <w:pPr>
              <w:spacing w:line="300" w:lineRule="exact"/>
              <w:jc w:val="center"/>
              <w:rPr>
                <w:rFonts w:ascii="宋体" w:hAnsi="宋体" w:cs="宋体"/>
                <w:szCs w:val="21"/>
              </w:rPr>
            </w:pPr>
            <w:r>
              <w:rPr>
                <w:rFonts w:hint="eastAsia" w:ascii="宋体" w:hAnsi="宋体" w:cs="宋体"/>
                <w:szCs w:val="21"/>
              </w:rPr>
              <w:t>2</w:t>
            </w:r>
          </w:p>
        </w:tc>
        <w:tc>
          <w:tcPr>
            <w:tcW w:w="2401" w:type="dxa"/>
            <w:vAlign w:val="center"/>
          </w:tcPr>
          <w:p>
            <w:pPr>
              <w:pStyle w:val="475"/>
              <w:spacing w:line="240" w:lineRule="atLeast"/>
              <w:rPr>
                <w:rFonts w:ascii="宋体" w:hAnsi="宋体" w:cs="宋体"/>
                <w:sz w:val="21"/>
                <w:szCs w:val="21"/>
              </w:rPr>
            </w:pPr>
            <w:r>
              <w:rPr>
                <w:rFonts w:hint="eastAsia" w:ascii="宋体" w:hAnsi="宋体" w:cs="宋体"/>
                <w:sz w:val="21"/>
                <w:szCs w:val="21"/>
              </w:rPr>
              <w:t>实验室家具装修</w:t>
            </w:r>
          </w:p>
        </w:tc>
        <w:tc>
          <w:tcPr>
            <w:tcW w:w="1134"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2552" w:type="dxa"/>
            <w:vAlign w:val="center"/>
          </w:tcPr>
          <w:p>
            <w:pPr>
              <w:jc w:val="center"/>
              <w:rPr>
                <w:rFonts w:ascii="宋体" w:hAnsi="宋体" w:cs="宋体"/>
                <w:szCs w:val="21"/>
              </w:rPr>
            </w:pPr>
            <w:r>
              <w:rPr>
                <w:rFonts w:hint="eastAsia" w:ascii="宋体" w:hAnsi="宋体" w:cs="宋体"/>
                <w:bCs/>
                <w:szCs w:val="21"/>
              </w:rPr>
              <w:t>合同签订后60日历天</w:t>
            </w:r>
          </w:p>
        </w:tc>
        <w:tc>
          <w:tcPr>
            <w:tcW w:w="2268" w:type="dxa"/>
            <w:vAlign w:val="center"/>
          </w:tcPr>
          <w:p>
            <w:pPr>
              <w:widowControl/>
              <w:jc w:val="center"/>
              <w:rPr>
                <w:rFonts w:ascii="宋体" w:hAnsi="宋体" w:cs="宋体"/>
                <w:bCs/>
                <w:szCs w:val="21"/>
              </w:rPr>
            </w:pPr>
            <w:r>
              <w:rPr>
                <w:rFonts w:hint="eastAsia" w:ascii="宋体" w:hAnsi="宋体" w:cs="宋体"/>
                <w:bCs/>
                <w:szCs w:val="21"/>
              </w:rPr>
              <w:t>江苏省张家港市</w:t>
            </w:r>
          </w:p>
        </w:tc>
      </w:tr>
    </w:tbl>
    <w:p>
      <w:pPr>
        <w:spacing w:line="240" w:lineRule="atLeast"/>
        <w:rPr>
          <w:sz w:val="30"/>
        </w:rPr>
      </w:pPr>
    </w:p>
    <w:p>
      <w:pPr>
        <w:tabs>
          <w:tab w:val="left" w:pos="8161"/>
        </w:tabs>
        <w:spacing w:line="380" w:lineRule="exact"/>
        <w:rPr>
          <w:sz w:val="30"/>
        </w:rPr>
      </w:pPr>
    </w:p>
    <w:p>
      <w:pPr>
        <w:pStyle w:val="297"/>
        <w:autoSpaceDN w:val="0"/>
        <w:spacing w:beforeLines="0" w:afterLines="0"/>
        <w:jc w:val="left"/>
        <w:rPr>
          <w:rFonts w:ascii="宋体" w:hAnsi="宋体" w:eastAsia="宋体" w:cs="宋体"/>
          <w:b/>
          <w:bCs/>
          <w:sz w:val="28"/>
          <w:szCs w:val="28"/>
        </w:rPr>
      </w:pPr>
      <w:r>
        <w:rPr>
          <w:b/>
        </w:rPr>
        <w:br w:type="page"/>
      </w:r>
      <w:r>
        <w:rPr>
          <w:rFonts w:hint="eastAsia" w:ascii="宋体" w:hAnsi="宋体" w:eastAsia="宋体" w:cs="宋体"/>
          <w:b/>
          <w:bCs/>
          <w:sz w:val="28"/>
          <w:szCs w:val="28"/>
        </w:rPr>
        <w:t>二、采购产品技术规格</w:t>
      </w:r>
    </w:p>
    <w:p>
      <w:pPr>
        <w:rPr>
          <w:b/>
          <w:sz w:val="24"/>
        </w:rPr>
      </w:pPr>
    </w:p>
    <w:p>
      <w:pPr>
        <w:jc w:val="center"/>
        <w:rPr>
          <w:rFonts w:asciiTheme="minorEastAsia" w:hAnsiTheme="minorEastAsia" w:eastAsiaTheme="minorEastAsia" w:cstheme="minorEastAsia"/>
          <w:sz w:val="24"/>
        </w:rPr>
      </w:pPr>
      <w:bookmarkStart w:id="276" w:name="_Toc50348103"/>
      <w:r>
        <w:rPr>
          <w:rFonts w:hint="eastAsia" w:asciiTheme="minorEastAsia" w:hAnsiTheme="minorEastAsia" w:eastAsiaTheme="minorEastAsia" w:cstheme="minorEastAsia"/>
          <w:sz w:val="24"/>
        </w:rPr>
        <w:t>表A 投标产品概况</w:t>
      </w:r>
      <w:bookmarkEnd w:id="276"/>
    </w:p>
    <w:tbl>
      <w:tblPr>
        <w:tblStyle w:val="60"/>
        <w:tblW w:w="91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6"/>
        <w:gridCol w:w="1376"/>
        <w:gridCol w:w="1741"/>
        <w:gridCol w:w="1194"/>
        <w:gridCol w:w="1345"/>
        <w:gridCol w:w="905"/>
        <w:gridCol w:w="1623"/>
        <w:gridCol w:w="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7" w:type="dxa"/>
          <w:cantSplit/>
          <w:trHeight w:val="756" w:hRule="exact"/>
          <w:jc w:val="center"/>
        </w:trPr>
        <w:tc>
          <w:tcPr>
            <w:tcW w:w="936" w:type="dxa"/>
            <w:tcBorders>
              <w:top w:val="single" w:color="auto" w:sz="12" w:space="0"/>
              <w:left w:val="single" w:color="auto" w:sz="12"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品目</w:t>
            </w:r>
          </w:p>
        </w:tc>
        <w:tc>
          <w:tcPr>
            <w:tcW w:w="1376" w:type="dxa"/>
            <w:tcBorders>
              <w:top w:val="single" w:color="auto" w:sz="12" w:space="0"/>
            </w:tcBorders>
            <w:vAlign w:val="center"/>
          </w:tcPr>
          <w:p>
            <w:pPr>
              <w:jc w:val="center"/>
              <w:rPr>
                <w:rFonts w:asciiTheme="minorEastAsia" w:hAnsiTheme="minorEastAsia" w:eastAsiaTheme="minorEastAsia" w:cstheme="minorEastAsia"/>
              </w:rPr>
            </w:pPr>
          </w:p>
        </w:tc>
        <w:tc>
          <w:tcPr>
            <w:tcW w:w="1741" w:type="dxa"/>
            <w:tcBorders>
              <w:top w:val="single" w:color="auto" w:sz="12"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产 品 名 称</w:t>
            </w:r>
          </w:p>
        </w:tc>
        <w:tc>
          <w:tcPr>
            <w:tcW w:w="2539" w:type="dxa"/>
            <w:gridSpan w:val="2"/>
            <w:tcBorders>
              <w:top w:val="single" w:color="auto" w:sz="12" w:space="0"/>
            </w:tcBorders>
            <w:vAlign w:val="center"/>
          </w:tcPr>
          <w:p>
            <w:pPr>
              <w:jc w:val="center"/>
              <w:rPr>
                <w:rFonts w:asciiTheme="minorEastAsia" w:hAnsiTheme="minorEastAsia" w:eastAsiaTheme="minorEastAsia" w:cstheme="minorEastAsia"/>
              </w:rPr>
            </w:pPr>
          </w:p>
        </w:tc>
        <w:tc>
          <w:tcPr>
            <w:tcW w:w="905" w:type="dxa"/>
            <w:tcBorders>
              <w:top w:val="single" w:color="auto" w:sz="12"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型号</w:t>
            </w:r>
          </w:p>
        </w:tc>
        <w:tc>
          <w:tcPr>
            <w:tcW w:w="1623" w:type="dxa"/>
            <w:tcBorders>
              <w:top w:val="single" w:color="auto" w:sz="12" w:space="0"/>
              <w:right w:val="single" w:color="auto" w:sz="12" w:space="0"/>
            </w:tcBorders>
            <w:vAlign w:val="center"/>
          </w:tcPr>
          <w:p>
            <w:pPr>
              <w:jc w:val="center"/>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7" w:type="dxa"/>
          <w:cantSplit/>
          <w:trHeight w:val="756" w:hRule="exact"/>
          <w:jc w:val="center"/>
        </w:trPr>
        <w:tc>
          <w:tcPr>
            <w:tcW w:w="936" w:type="dxa"/>
            <w:tcBorders>
              <w:left w:val="single" w:color="auto" w:sz="12"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投放市场年份</w:t>
            </w:r>
          </w:p>
        </w:tc>
        <w:tc>
          <w:tcPr>
            <w:tcW w:w="3117" w:type="dxa"/>
            <w:gridSpan w:val="2"/>
            <w:vAlign w:val="center"/>
          </w:tcPr>
          <w:p>
            <w:pPr>
              <w:jc w:val="center"/>
              <w:rPr>
                <w:rFonts w:asciiTheme="minorEastAsia" w:hAnsiTheme="minorEastAsia" w:eastAsiaTheme="minorEastAsia" w:cstheme="minorEastAsia"/>
              </w:rPr>
            </w:pPr>
          </w:p>
        </w:tc>
        <w:tc>
          <w:tcPr>
            <w:tcW w:w="2539"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制造商</w:t>
            </w:r>
          </w:p>
        </w:tc>
        <w:tc>
          <w:tcPr>
            <w:tcW w:w="2528" w:type="dxa"/>
            <w:gridSpan w:val="2"/>
            <w:tcBorders>
              <w:right w:val="single" w:color="auto" w:sz="12" w:space="0"/>
            </w:tcBorders>
            <w:vAlign w:val="center"/>
          </w:tcPr>
          <w:p>
            <w:pPr>
              <w:jc w:val="center"/>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36" w:type="dxa"/>
            <w:vMerge w:val="restart"/>
            <w:tcBorders>
              <w:left w:val="single" w:color="auto" w:sz="12"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近</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年</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业</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绩</w:t>
            </w:r>
          </w:p>
          <w:p>
            <w:pPr>
              <w:jc w:val="center"/>
              <w:rPr>
                <w:rFonts w:asciiTheme="minorEastAsia" w:hAnsiTheme="minorEastAsia" w:eastAsiaTheme="minorEastAsia" w:cstheme="minorEastAsia"/>
              </w:rPr>
            </w:pPr>
          </w:p>
        </w:tc>
        <w:tc>
          <w:tcPr>
            <w:tcW w:w="3117" w:type="dxa"/>
            <w:gridSpan w:val="2"/>
            <w:tcBorders>
              <w:left w:val="single" w:color="auto" w:sz="4" w:space="0"/>
              <w:bottom w:val="single" w:color="auto" w:sz="4"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用 户 名</w:t>
            </w:r>
          </w:p>
        </w:tc>
        <w:tc>
          <w:tcPr>
            <w:tcW w:w="1194" w:type="dxa"/>
            <w:tcBorders>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数量</w:t>
            </w:r>
          </w:p>
        </w:tc>
        <w:tc>
          <w:tcPr>
            <w:tcW w:w="1345"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供货年份</w:t>
            </w:r>
          </w:p>
        </w:tc>
        <w:tc>
          <w:tcPr>
            <w:tcW w:w="2535" w:type="dxa"/>
            <w:gridSpan w:val="3"/>
            <w:tcBorders>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联 系 电 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651" w:hRule="atLeast"/>
          <w:jc w:val="center"/>
        </w:trPr>
        <w:tc>
          <w:tcPr>
            <w:tcW w:w="936" w:type="dxa"/>
            <w:vMerge w:val="continue"/>
            <w:tcBorders>
              <w:left w:val="single" w:color="auto" w:sz="12" w:space="0"/>
              <w:right w:val="single" w:color="auto" w:sz="4" w:space="0"/>
            </w:tcBorders>
            <w:vAlign w:val="center"/>
          </w:tcPr>
          <w:p>
            <w:pPr>
              <w:jc w:val="center"/>
              <w:rPr>
                <w:rFonts w:asciiTheme="minorEastAsia" w:hAnsiTheme="minorEastAsia" w:eastAsiaTheme="minorEastAsia" w:cstheme="minorEastAsia"/>
              </w:rPr>
            </w:pPr>
          </w:p>
        </w:tc>
        <w:tc>
          <w:tcPr>
            <w:tcW w:w="3117" w:type="dxa"/>
            <w:gridSpan w:val="2"/>
            <w:tcBorders>
              <w:top w:val="single" w:color="auto" w:sz="4" w:space="0"/>
              <w:left w:val="single" w:color="auto" w:sz="4" w:space="0"/>
              <w:right w:val="single" w:color="auto" w:sz="6" w:space="0"/>
            </w:tcBorders>
            <w:vAlign w:val="center"/>
          </w:tcPr>
          <w:p>
            <w:pPr>
              <w:jc w:val="center"/>
              <w:rPr>
                <w:rFonts w:asciiTheme="minorEastAsia" w:hAnsiTheme="minorEastAsia" w:eastAsiaTheme="minorEastAsia" w:cstheme="minorEastAsia"/>
              </w:rPr>
            </w:pPr>
          </w:p>
        </w:tc>
        <w:tc>
          <w:tcPr>
            <w:tcW w:w="1194" w:type="dxa"/>
            <w:tcBorders>
              <w:top w:val="single" w:color="auto" w:sz="4" w:space="0"/>
              <w:right w:val="single" w:color="auto" w:sz="4" w:space="0"/>
            </w:tcBorders>
            <w:vAlign w:val="center"/>
          </w:tcPr>
          <w:p>
            <w:pPr>
              <w:rPr>
                <w:rFonts w:asciiTheme="minorEastAsia" w:hAnsiTheme="minorEastAsia" w:eastAsiaTheme="minorEastAsia" w:cstheme="minorEastAsia"/>
              </w:rPr>
            </w:pPr>
          </w:p>
        </w:tc>
        <w:tc>
          <w:tcPr>
            <w:tcW w:w="134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rPr>
            </w:pPr>
          </w:p>
        </w:tc>
        <w:tc>
          <w:tcPr>
            <w:tcW w:w="2535" w:type="dxa"/>
            <w:gridSpan w:val="3"/>
            <w:tcBorders>
              <w:top w:val="single" w:color="auto" w:sz="4" w:space="0"/>
              <w:left w:val="single" w:color="auto" w:sz="4" w:space="0"/>
              <w:right w:val="single" w:color="auto" w:sz="12" w:space="0"/>
            </w:tcBorders>
            <w:vAlign w:val="center"/>
          </w:tcPr>
          <w:p>
            <w:pPr>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7" w:type="dxa"/>
          <w:cantSplit/>
          <w:trHeight w:val="2251" w:hRule="atLeast"/>
          <w:jc w:val="center"/>
        </w:trPr>
        <w:tc>
          <w:tcPr>
            <w:tcW w:w="4053" w:type="dxa"/>
            <w:gridSpan w:val="3"/>
            <w:tcBorders>
              <w:left w:val="single" w:color="auto" w:sz="12"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主要部件名称、</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生产国家、厂家和型号规格</w:t>
            </w:r>
          </w:p>
        </w:tc>
        <w:tc>
          <w:tcPr>
            <w:tcW w:w="5067" w:type="dxa"/>
            <w:gridSpan w:val="4"/>
            <w:tcBorders>
              <w:right w:val="single" w:color="auto" w:sz="12" w:space="0"/>
            </w:tcBorders>
            <w:vAlign w:val="center"/>
          </w:tcPr>
          <w:p>
            <w:pPr>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7" w:type="dxa"/>
          <w:cantSplit/>
          <w:trHeight w:val="2340" w:hRule="atLeast"/>
          <w:jc w:val="center"/>
        </w:trPr>
        <w:tc>
          <w:tcPr>
            <w:tcW w:w="4053" w:type="dxa"/>
            <w:gridSpan w:val="3"/>
            <w:tcBorders>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产品的主要优点、</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特性，是否含专利权 </w:t>
            </w:r>
          </w:p>
        </w:tc>
        <w:tc>
          <w:tcPr>
            <w:tcW w:w="5067" w:type="dxa"/>
            <w:gridSpan w:val="4"/>
            <w:tcBorders>
              <w:bottom w:val="single" w:color="auto" w:sz="12" w:space="0"/>
              <w:right w:val="single" w:color="auto" w:sz="12" w:space="0"/>
            </w:tcBorders>
            <w:vAlign w:val="center"/>
          </w:tcPr>
          <w:p>
            <w:pPr>
              <w:rPr>
                <w:rFonts w:asciiTheme="minorEastAsia" w:hAnsiTheme="minorEastAsia" w:eastAsiaTheme="minorEastAsia" w:cstheme="minorEastAsia"/>
              </w:rPr>
            </w:pPr>
          </w:p>
        </w:tc>
      </w:tr>
    </w:tbl>
    <w:p>
      <w:pPr>
        <w:rPr>
          <w:b/>
          <w:sz w:val="32"/>
        </w:rPr>
      </w:pPr>
    </w:p>
    <w:p>
      <w:pPr>
        <w:jc w:val="center"/>
        <w:rPr>
          <w:b/>
          <w:sz w:val="28"/>
          <w:szCs w:val="28"/>
        </w:rPr>
      </w:pPr>
      <w:bookmarkStart w:id="277" w:name="_Toc519934413"/>
      <w:bookmarkStart w:id="278" w:name="_Toc523038542"/>
      <w:r>
        <w:rPr>
          <w:sz w:val="24"/>
        </w:rPr>
        <w:br w:type="page"/>
      </w:r>
      <w:bookmarkEnd w:id="277"/>
      <w:bookmarkEnd w:id="278"/>
      <w:bookmarkStart w:id="279" w:name="_Toc20727508"/>
      <w:bookmarkStart w:id="280" w:name="_Toc50348104"/>
      <w:bookmarkStart w:id="281" w:name="_Toc50348105"/>
      <w:r>
        <w:rPr>
          <w:b/>
          <w:sz w:val="28"/>
          <w:szCs w:val="28"/>
        </w:rPr>
        <w:t>表B  产品技术规格和</w:t>
      </w:r>
      <w:bookmarkEnd w:id="279"/>
      <w:bookmarkEnd w:id="280"/>
      <w:r>
        <w:rPr>
          <w:b/>
          <w:sz w:val="28"/>
          <w:szCs w:val="28"/>
        </w:rPr>
        <w:t>要求表</w:t>
      </w:r>
    </w:p>
    <w:tbl>
      <w:tblPr>
        <w:tblStyle w:val="60"/>
        <w:tblW w:w="92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76"/>
        <w:gridCol w:w="2205"/>
        <w:gridCol w:w="4635"/>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blHeader/>
        </w:trPr>
        <w:tc>
          <w:tcPr>
            <w:tcW w:w="674" w:type="dxa"/>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项目</w:t>
            </w:r>
          </w:p>
        </w:tc>
        <w:tc>
          <w:tcPr>
            <w:tcW w:w="676" w:type="dxa"/>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项目</w:t>
            </w:r>
          </w:p>
        </w:tc>
        <w:tc>
          <w:tcPr>
            <w:tcW w:w="2205" w:type="dxa"/>
            <w:vAlign w:val="center"/>
          </w:tcPr>
          <w:p>
            <w:pPr>
              <w:spacing w:line="240" w:lineRule="atLeast"/>
              <w:jc w:val="center"/>
              <w:rPr>
                <w:rFonts w:ascii="宋体" w:hAnsi="宋体" w:cs="宋体"/>
                <w:b/>
                <w:bCs/>
                <w:kern w:val="0"/>
                <w:szCs w:val="21"/>
              </w:rPr>
            </w:pPr>
            <w:r>
              <w:rPr>
                <w:rFonts w:hint="eastAsia" w:ascii="宋体" w:hAnsi="宋体" w:cs="宋体"/>
                <w:b/>
                <w:bCs/>
                <w:kern w:val="0"/>
                <w:szCs w:val="21"/>
              </w:rPr>
              <w:t>符合标准</w:t>
            </w:r>
          </w:p>
        </w:tc>
        <w:tc>
          <w:tcPr>
            <w:tcW w:w="4635" w:type="dxa"/>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技术要求</w:t>
            </w:r>
          </w:p>
        </w:tc>
        <w:tc>
          <w:tcPr>
            <w:tcW w:w="1097" w:type="dxa"/>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其他配套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74"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676" w:type="dxa"/>
            <w:vAlign w:val="center"/>
          </w:tcPr>
          <w:p>
            <w:pPr>
              <w:pStyle w:val="475"/>
              <w:spacing w:line="240" w:lineRule="atLeast"/>
              <w:rPr>
                <w:rFonts w:ascii="宋体" w:hAnsi="宋体" w:cs="宋体"/>
                <w:sz w:val="21"/>
                <w:szCs w:val="21"/>
              </w:rPr>
            </w:pPr>
            <w:r>
              <w:rPr>
                <w:rFonts w:hint="eastAsia" w:ascii="宋体" w:hAnsi="宋体" w:cs="宋体"/>
                <w:sz w:val="21"/>
                <w:szCs w:val="21"/>
              </w:rPr>
              <w:t>实验室室内场地装修</w:t>
            </w:r>
          </w:p>
        </w:tc>
        <w:tc>
          <w:tcPr>
            <w:tcW w:w="2205" w:type="dxa"/>
            <w:vAlign w:val="center"/>
          </w:tcPr>
          <w:p>
            <w:pPr>
              <w:spacing w:line="240" w:lineRule="atLeast"/>
              <w:rPr>
                <w:rFonts w:ascii="宋体" w:hAnsi="宋体" w:cs="宋体"/>
                <w:bCs/>
                <w:szCs w:val="21"/>
              </w:rPr>
            </w:pPr>
            <w:r>
              <w:rPr>
                <w:rFonts w:hint="eastAsia" w:ascii="宋体" w:hAnsi="宋体" w:cs="宋体"/>
                <w:szCs w:val="21"/>
              </w:rPr>
              <w:t>《建筑设计防火规范》、 《建筑电气施工质量验收规范》、《科学实验建筑设计规范》、 《建筑给水排水设计规范》、《建筑内部装修设计防火规范》</w:t>
            </w:r>
          </w:p>
        </w:tc>
        <w:tc>
          <w:tcPr>
            <w:tcW w:w="4635" w:type="dxa"/>
            <w:vAlign w:val="center"/>
          </w:tcPr>
          <w:p>
            <w:pPr>
              <w:pStyle w:val="475"/>
              <w:numPr>
                <w:ilvl w:val="0"/>
                <w:numId w:val="13"/>
              </w:numPr>
              <w:rPr>
                <w:rFonts w:ascii="宋体" w:hAnsi="宋体" w:cs="宋体"/>
                <w:b/>
                <w:bCs/>
                <w:sz w:val="21"/>
                <w:szCs w:val="21"/>
              </w:rPr>
            </w:pPr>
            <w:r>
              <w:rPr>
                <w:rFonts w:hint="eastAsia" w:ascii="宋体" w:hAnsi="宋体" w:cs="宋体"/>
                <w:b/>
                <w:bCs/>
                <w:sz w:val="21"/>
                <w:szCs w:val="21"/>
              </w:rPr>
              <w:t>设计</w:t>
            </w:r>
          </w:p>
          <w:p>
            <w:pPr>
              <w:pStyle w:val="475"/>
              <w:numPr>
                <w:ilvl w:val="1"/>
                <w:numId w:val="14"/>
              </w:numPr>
              <w:rPr>
                <w:rFonts w:ascii="宋体" w:hAnsi="宋体" w:cs="宋体"/>
                <w:sz w:val="21"/>
                <w:szCs w:val="21"/>
              </w:rPr>
            </w:pPr>
            <w:r>
              <w:rPr>
                <w:rFonts w:hint="eastAsia" w:ascii="宋体" w:hAnsi="宋体" w:cs="宋体"/>
                <w:sz w:val="21"/>
                <w:szCs w:val="21"/>
              </w:rPr>
              <w:t>总体设计须符合国家相关标准，以及消防等要求；符合使用方便，疏散快速的原则，符合CNAS要求；</w:t>
            </w:r>
          </w:p>
          <w:p>
            <w:pPr>
              <w:pStyle w:val="475"/>
              <w:numPr>
                <w:ilvl w:val="1"/>
                <w:numId w:val="14"/>
              </w:numPr>
              <w:rPr>
                <w:rFonts w:ascii="宋体" w:hAnsi="宋体" w:cs="宋体"/>
                <w:sz w:val="21"/>
                <w:szCs w:val="21"/>
              </w:rPr>
            </w:pPr>
            <w:r>
              <w:rPr>
                <w:rFonts w:hint="eastAsia" w:ascii="宋体" w:hAnsi="宋体" w:cs="宋体"/>
                <w:sz w:val="21"/>
                <w:szCs w:val="21"/>
              </w:rPr>
              <w:t>设计需考虑实验室所有操作对建筑材料的特殊要求，如防火，耐腐蚀，耐高温等要求；</w:t>
            </w:r>
          </w:p>
          <w:p>
            <w:pPr>
              <w:pStyle w:val="475"/>
              <w:numPr>
                <w:ilvl w:val="1"/>
                <w:numId w:val="14"/>
              </w:numPr>
              <w:rPr>
                <w:rFonts w:ascii="宋体" w:hAnsi="宋体" w:cs="宋体"/>
                <w:sz w:val="21"/>
                <w:szCs w:val="21"/>
              </w:rPr>
            </w:pPr>
            <w:r>
              <w:rPr>
                <w:rFonts w:hint="eastAsia" w:ascii="宋体" w:hAnsi="宋体" w:cs="宋体"/>
                <w:sz w:val="21"/>
                <w:szCs w:val="21"/>
              </w:rPr>
              <w:t>照明部分能满足桌面照度400Lux的标准，特殊区域需要用防爆灯具及开关；</w:t>
            </w:r>
          </w:p>
          <w:p>
            <w:pPr>
              <w:pStyle w:val="475"/>
              <w:numPr>
                <w:ilvl w:val="1"/>
                <w:numId w:val="14"/>
              </w:numPr>
              <w:rPr>
                <w:rFonts w:ascii="宋体" w:hAnsi="宋体" w:cs="宋体"/>
                <w:sz w:val="21"/>
                <w:szCs w:val="21"/>
              </w:rPr>
            </w:pPr>
            <w:r>
              <w:rPr>
                <w:rFonts w:hint="eastAsia" w:ascii="宋体" w:hAnsi="宋体" w:cs="宋体"/>
                <w:sz w:val="21"/>
                <w:szCs w:val="21"/>
              </w:rPr>
              <w:t>有符合消防标准的应急照明系统和逃生指示标志，应急系统需要独立回路控制，不可以与其他电路混接；</w:t>
            </w:r>
          </w:p>
          <w:p>
            <w:pPr>
              <w:pStyle w:val="475"/>
              <w:numPr>
                <w:ilvl w:val="1"/>
                <w:numId w:val="14"/>
              </w:numPr>
              <w:rPr>
                <w:rFonts w:ascii="宋体" w:hAnsi="宋体" w:cs="宋体"/>
                <w:sz w:val="21"/>
                <w:szCs w:val="21"/>
              </w:rPr>
            </w:pPr>
            <w:r>
              <w:rPr>
                <w:rFonts w:hint="eastAsia" w:ascii="宋体" w:hAnsi="宋体" w:cs="宋体"/>
                <w:sz w:val="21"/>
                <w:szCs w:val="21"/>
              </w:rPr>
              <w:t>空调系统需要考虑实验设备的设符合，以达到理想的室内温度。</w:t>
            </w:r>
          </w:p>
          <w:p>
            <w:pPr>
              <w:pStyle w:val="475"/>
              <w:numPr>
                <w:ilvl w:val="0"/>
                <w:numId w:val="13"/>
              </w:numPr>
              <w:rPr>
                <w:rFonts w:ascii="宋体" w:hAnsi="宋体" w:cs="宋体"/>
                <w:b/>
                <w:bCs/>
                <w:sz w:val="21"/>
                <w:szCs w:val="21"/>
              </w:rPr>
            </w:pPr>
            <w:r>
              <w:rPr>
                <w:rFonts w:hint="eastAsia" w:ascii="宋体" w:hAnsi="宋体" w:cs="宋体"/>
                <w:b/>
                <w:bCs/>
                <w:sz w:val="21"/>
                <w:szCs w:val="21"/>
              </w:rPr>
              <w:t>建筑材料</w:t>
            </w:r>
          </w:p>
          <w:p>
            <w:pPr>
              <w:pStyle w:val="475"/>
              <w:rPr>
                <w:rFonts w:ascii="宋体" w:hAnsi="宋体" w:cs="宋体"/>
                <w:sz w:val="21"/>
                <w:szCs w:val="21"/>
              </w:rPr>
            </w:pPr>
            <w:r>
              <w:rPr>
                <w:rFonts w:hint="eastAsia" w:ascii="宋体" w:hAnsi="宋体" w:cs="宋体"/>
                <w:sz w:val="21"/>
                <w:szCs w:val="21"/>
              </w:rPr>
              <w:t>2.1 所选用建筑材料符合消防相关要求，并能满足实验室的特殊要求。</w:t>
            </w:r>
          </w:p>
          <w:p>
            <w:pPr>
              <w:pStyle w:val="475"/>
              <w:rPr>
                <w:rFonts w:ascii="宋体" w:hAnsi="宋体" w:cs="宋体"/>
                <w:sz w:val="21"/>
                <w:szCs w:val="21"/>
              </w:rPr>
            </w:pPr>
            <w:r>
              <w:rPr>
                <w:rFonts w:hint="eastAsia" w:ascii="宋体" w:hAnsi="宋体" w:cs="宋体"/>
                <w:sz w:val="21"/>
                <w:szCs w:val="21"/>
              </w:rPr>
              <w:t>2.2 所有建筑材料需要符合环保要求，甲醛释放量符合国家规定；</w:t>
            </w:r>
          </w:p>
          <w:p>
            <w:pPr>
              <w:pStyle w:val="475"/>
              <w:rPr>
                <w:rFonts w:ascii="宋体" w:hAnsi="宋体" w:cs="宋体"/>
                <w:sz w:val="21"/>
                <w:szCs w:val="21"/>
              </w:rPr>
            </w:pPr>
            <w:r>
              <w:rPr>
                <w:rFonts w:hint="eastAsia" w:ascii="宋体" w:hAnsi="宋体" w:cs="宋体"/>
                <w:sz w:val="21"/>
                <w:szCs w:val="21"/>
              </w:rPr>
              <w:t>2.3 轻钢龙骨石膏板墙体：采用75mm国标龙骨，墙体两面均使用双层石膏板结构，石膏板厚度9,5mm，</w:t>
            </w:r>
            <w:r>
              <w:rPr>
                <w:rFonts w:hint="eastAsia" w:ascii="宋体" w:hAnsi="宋体" w:cs="宋体"/>
                <w:sz w:val="21"/>
                <w:szCs w:val="21"/>
                <w:highlight w:val="yellow"/>
                <w:lang w:eastAsia="zh-CN"/>
              </w:rPr>
              <w:t>质量等同于或高于</w:t>
            </w:r>
            <w:r>
              <w:rPr>
                <w:rFonts w:hint="eastAsia" w:ascii="宋体" w:hAnsi="宋体" w:cs="宋体"/>
                <w:color w:val="auto"/>
                <w:sz w:val="21"/>
                <w:szCs w:val="21"/>
                <w:highlight w:val="yellow"/>
              </w:rPr>
              <w:t>泰山或同品质产品；</w:t>
            </w:r>
          </w:p>
          <w:p>
            <w:pPr>
              <w:pStyle w:val="475"/>
              <w:rPr>
                <w:rFonts w:ascii="宋体" w:hAnsi="宋体" w:cs="宋体"/>
                <w:sz w:val="21"/>
                <w:szCs w:val="21"/>
              </w:rPr>
            </w:pPr>
            <w:r>
              <w:rPr>
                <w:rFonts w:hint="eastAsia" w:ascii="宋体" w:hAnsi="宋体" w:cs="宋体"/>
                <w:sz w:val="21"/>
                <w:szCs w:val="21"/>
              </w:rPr>
              <w:t>2.4 玻璃墙体：玻璃使用12mm钢化玻璃，框架为80mm*40mm深灰色铝合金框架；</w:t>
            </w:r>
          </w:p>
          <w:p>
            <w:pPr>
              <w:pStyle w:val="475"/>
              <w:rPr>
                <w:rFonts w:ascii="宋体" w:hAnsi="宋体" w:cs="宋体"/>
                <w:sz w:val="21"/>
                <w:szCs w:val="21"/>
              </w:rPr>
            </w:pPr>
            <w:r>
              <w:rPr>
                <w:rFonts w:hint="eastAsia" w:ascii="宋体" w:hAnsi="宋体" w:cs="宋体"/>
                <w:sz w:val="21"/>
                <w:szCs w:val="21"/>
              </w:rPr>
              <w:t>2.5 电线使用国标阻燃单芯线，插座部分使用4平方，照明部分使用2.5平方电线；配电箱需用国标基业箱，插座空开需要配漏保，每个回路插座数量不能超过6个；</w:t>
            </w:r>
          </w:p>
          <w:p>
            <w:pPr>
              <w:pStyle w:val="475"/>
              <w:rPr>
                <w:rFonts w:ascii="宋体" w:hAnsi="宋体" w:cs="宋体"/>
                <w:sz w:val="21"/>
                <w:szCs w:val="21"/>
              </w:rPr>
            </w:pPr>
            <w:r>
              <w:rPr>
                <w:rFonts w:hint="eastAsia" w:ascii="宋体" w:hAnsi="宋体" w:cs="宋体"/>
                <w:sz w:val="21"/>
                <w:szCs w:val="21"/>
              </w:rPr>
              <w:t>2.6 照明系统使用1200*300吊灯，灯源为LED灯源，单组功率不低于36W</w:t>
            </w:r>
            <w:r>
              <w:rPr>
                <w:rFonts w:hint="eastAsia" w:ascii="宋体" w:hAnsi="宋体" w:cs="宋体"/>
                <w:sz w:val="21"/>
                <w:szCs w:val="21"/>
                <w:highlight w:val="yellow"/>
              </w:rPr>
              <w:t>，品牌</w:t>
            </w:r>
            <w:r>
              <w:rPr>
                <w:rFonts w:hint="eastAsia" w:ascii="宋体" w:hAnsi="宋体" w:cs="宋体"/>
                <w:sz w:val="21"/>
                <w:szCs w:val="21"/>
                <w:highlight w:val="yellow"/>
                <w:lang w:eastAsia="zh-CN"/>
              </w:rPr>
              <w:t>等同于或高于</w:t>
            </w:r>
            <w:r>
              <w:rPr>
                <w:rFonts w:hint="eastAsia" w:ascii="宋体" w:hAnsi="宋体" w:cs="宋体"/>
                <w:sz w:val="21"/>
                <w:szCs w:val="21"/>
                <w:highlight w:val="yellow"/>
              </w:rPr>
              <w:t>：雷士、三雄极光或同品质产品；</w:t>
            </w:r>
            <w:r>
              <w:rPr>
                <w:rFonts w:hint="eastAsia" w:ascii="宋体" w:hAnsi="宋体" w:cs="宋体"/>
                <w:sz w:val="21"/>
                <w:szCs w:val="21"/>
              </w:rPr>
              <w:t>应急照明及指示牌需要满足断电照明90分钟标准。</w:t>
            </w:r>
          </w:p>
          <w:p>
            <w:pPr>
              <w:pStyle w:val="475"/>
              <w:rPr>
                <w:rFonts w:ascii="宋体" w:hAnsi="宋体" w:cs="宋体"/>
                <w:sz w:val="21"/>
                <w:szCs w:val="21"/>
              </w:rPr>
            </w:pPr>
            <w:r>
              <w:rPr>
                <w:rFonts w:hint="eastAsia" w:ascii="宋体" w:hAnsi="宋体" w:cs="宋体"/>
                <w:sz w:val="21"/>
                <w:szCs w:val="21"/>
              </w:rPr>
              <w:t>2.7 给排水管：给水管使用PPR材质，排水管使用U-PVC材质，要求排水管有一定的耐腐蚀能力；</w:t>
            </w:r>
          </w:p>
          <w:p>
            <w:pPr>
              <w:pStyle w:val="475"/>
              <w:rPr>
                <w:rFonts w:ascii="宋体" w:hAnsi="宋体" w:cs="宋体"/>
                <w:sz w:val="21"/>
                <w:szCs w:val="21"/>
              </w:rPr>
            </w:pPr>
            <w:r>
              <w:rPr>
                <w:rFonts w:hint="eastAsia" w:ascii="宋体" w:hAnsi="宋体" w:cs="宋体"/>
                <w:sz w:val="21"/>
                <w:szCs w:val="21"/>
              </w:rPr>
              <w:t>2.8 排风管道：排风管使用PP材质，设计厚度需满足使用要求。</w:t>
            </w:r>
          </w:p>
          <w:p>
            <w:pPr>
              <w:pStyle w:val="475"/>
              <w:rPr>
                <w:rFonts w:ascii="宋体" w:hAnsi="宋体" w:cs="宋体"/>
                <w:b/>
                <w:bCs/>
                <w:sz w:val="21"/>
                <w:szCs w:val="21"/>
              </w:rPr>
            </w:pPr>
            <w:r>
              <w:rPr>
                <w:rFonts w:hint="eastAsia" w:ascii="宋体" w:hAnsi="宋体" w:cs="宋体"/>
                <w:b/>
                <w:bCs/>
                <w:sz w:val="21"/>
                <w:szCs w:val="21"/>
              </w:rPr>
              <w:t>3、施工</w:t>
            </w:r>
          </w:p>
          <w:p>
            <w:pPr>
              <w:pStyle w:val="475"/>
              <w:rPr>
                <w:rFonts w:ascii="宋体" w:hAnsi="宋体" w:cs="宋体"/>
                <w:sz w:val="21"/>
                <w:szCs w:val="21"/>
              </w:rPr>
            </w:pPr>
            <w:r>
              <w:rPr>
                <w:rFonts w:hint="eastAsia" w:ascii="宋体" w:hAnsi="宋体" w:cs="宋体"/>
                <w:sz w:val="21"/>
                <w:szCs w:val="21"/>
              </w:rPr>
              <w:t>3.1 轻钢龙骨石膏板墙体：龙骨间隔不得超过400mm，龙骨必须安装横向拉筋，墙体两面均使用双层石膏板结构；墙体要求顶面连接至楼板屋面；</w:t>
            </w:r>
          </w:p>
          <w:p>
            <w:pPr>
              <w:pStyle w:val="475"/>
              <w:rPr>
                <w:rFonts w:ascii="宋体" w:hAnsi="宋体" w:cs="宋体"/>
                <w:sz w:val="21"/>
                <w:szCs w:val="21"/>
              </w:rPr>
            </w:pPr>
            <w:r>
              <w:rPr>
                <w:rFonts w:hint="eastAsia" w:ascii="宋体" w:hAnsi="宋体" w:cs="宋体"/>
                <w:sz w:val="21"/>
                <w:szCs w:val="21"/>
              </w:rPr>
              <w:t>3.2 电气部分施工需符合国家相关标准，所有电线需要穿线管，或者敷设在桥架中；</w:t>
            </w:r>
          </w:p>
          <w:p>
            <w:pPr>
              <w:pStyle w:val="475"/>
              <w:rPr>
                <w:rFonts w:ascii="宋体" w:hAnsi="宋体" w:cs="宋体"/>
                <w:sz w:val="21"/>
                <w:szCs w:val="21"/>
              </w:rPr>
            </w:pPr>
            <w:r>
              <w:rPr>
                <w:rFonts w:hint="eastAsia" w:ascii="宋体" w:hAnsi="宋体" w:cs="宋体"/>
                <w:sz w:val="21"/>
                <w:szCs w:val="21"/>
              </w:rPr>
              <w:t>3.3 应急照明、指示牌的安装高度，安装方式需要符合国家相关标准；</w:t>
            </w:r>
          </w:p>
          <w:p>
            <w:pPr>
              <w:pStyle w:val="475"/>
              <w:rPr>
                <w:rFonts w:ascii="宋体" w:hAnsi="宋体" w:cs="宋体"/>
                <w:sz w:val="21"/>
                <w:szCs w:val="21"/>
              </w:rPr>
            </w:pPr>
            <w:r>
              <w:rPr>
                <w:rFonts w:hint="eastAsia" w:ascii="宋体" w:hAnsi="宋体" w:cs="宋体"/>
                <w:sz w:val="21"/>
                <w:szCs w:val="21"/>
              </w:rPr>
              <w:t>3.4 上水管安装要考虑低温等外部条件影响，下水管需有符合要求的倾斜度，保证排水通畅；</w:t>
            </w:r>
          </w:p>
        </w:tc>
        <w:tc>
          <w:tcPr>
            <w:tcW w:w="1097" w:type="dxa"/>
            <w:vAlign w:val="center"/>
          </w:tcPr>
          <w:p>
            <w:pPr>
              <w:widowControl/>
              <w:spacing w:line="240" w:lineRule="atLeast"/>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74" w:type="dxa"/>
            <w:vAlign w:val="center"/>
          </w:tcPr>
          <w:p>
            <w:pPr>
              <w:spacing w:line="300" w:lineRule="exact"/>
              <w:jc w:val="center"/>
              <w:rPr>
                <w:rFonts w:ascii="宋体" w:hAnsi="宋体" w:cs="宋体"/>
                <w:szCs w:val="21"/>
              </w:rPr>
            </w:pPr>
            <w:r>
              <w:rPr>
                <w:rFonts w:hint="eastAsia" w:ascii="宋体" w:hAnsi="宋体" w:cs="宋体"/>
                <w:szCs w:val="21"/>
              </w:rPr>
              <w:t>2</w:t>
            </w:r>
          </w:p>
        </w:tc>
        <w:tc>
          <w:tcPr>
            <w:tcW w:w="676" w:type="dxa"/>
            <w:vAlign w:val="center"/>
          </w:tcPr>
          <w:p>
            <w:pPr>
              <w:pStyle w:val="475"/>
              <w:spacing w:line="240" w:lineRule="atLeast"/>
              <w:rPr>
                <w:rFonts w:ascii="宋体" w:hAnsi="宋体" w:cs="宋体"/>
                <w:sz w:val="21"/>
                <w:szCs w:val="21"/>
              </w:rPr>
            </w:pPr>
            <w:r>
              <w:rPr>
                <w:rFonts w:hint="eastAsia" w:ascii="宋体" w:hAnsi="宋体" w:cs="宋体"/>
                <w:sz w:val="21"/>
                <w:szCs w:val="21"/>
              </w:rPr>
              <w:t>实验室家具装修</w:t>
            </w:r>
          </w:p>
        </w:tc>
        <w:tc>
          <w:tcPr>
            <w:tcW w:w="2205" w:type="dxa"/>
            <w:vAlign w:val="center"/>
          </w:tcPr>
          <w:p>
            <w:pPr>
              <w:rPr>
                <w:rFonts w:ascii="宋体" w:hAnsi="宋体" w:cs="宋体"/>
                <w:bCs/>
                <w:szCs w:val="21"/>
              </w:rPr>
            </w:pPr>
            <w:r>
              <w:rPr>
                <w:rFonts w:hint="eastAsia" w:ascii="宋体" w:hAnsi="宋体" w:cs="宋体"/>
                <w:bCs/>
                <w:szCs w:val="21"/>
              </w:rPr>
              <w:t>SEFA-8</w:t>
            </w:r>
          </w:p>
          <w:p>
            <w:pPr>
              <w:rPr>
                <w:rFonts w:ascii="宋体" w:hAnsi="宋体" w:cs="宋体"/>
                <w:szCs w:val="21"/>
              </w:rPr>
            </w:pPr>
            <w:r>
              <w:rPr>
                <w:rFonts w:hint="eastAsia" w:ascii="宋体" w:hAnsi="宋体" w:cs="宋体"/>
                <w:szCs w:val="21"/>
              </w:rPr>
              <w:t>GB/T 3325-1995</w:t>
            </w:r>
          </w:p>
          <w:p>
            <w:pPr>
              <w:rPr>
                <w:rFonts w:ascii="宋体" w:hAnsi="宋体" w:cs="宋体"/>
                <w:szCs w:val="21"/>
              </w:rPr>
            </w:pPr>
            <w:r>
              <w:rPr>
                <w:rFonts w:hint="eastAsia" w:ascii="宋体" w:hAnsi="宋体" w:cs="宋体"/>
                <w:szCs w:val="21"/>
              </w:rPr>
              <w:t>GB 24820-2009《实验室家具通用技术条件》</w:t>
            </w:r>
          </w:p>
          <w:p>
            <w:pPr>
              <w:rPr>
                <w:rFonts w:ascii="宋体" w:hAnsi="宋体" w:cs="宋体"/>
                <w:bCs/>
                <w:szCs w:val="21"/>
              </w:rPr>
            </w:pPr>
            <w:r>
              <w:rPr>
                <w:rFonts w:hint="eastAsia" w:ascii="宋体" w:hAnsi="宋体" w:cs="宋体"/>
                <w:szCs w:val="21"/>
              </w:rPr>
              <w:t>《排风柜》JB/6412－1999</w:t>
            </w:r>
          </w:p>
        </w:tc>
        <w:tc>
          <w:tcPr>
            <w:tcW w:w="4635" w:type="dxa"/>
            <w:vAlign w:val="center"/>
          </w:tcPr>
          <w:p>
            <w:pPr>
              <w:ind w:left="422" w:hanging="422" w:hangingChars="200"/>
              <w:rPr>
                <w:rFonts w:ascii="宋体" w:hAnsi="宋体" w:cs="宋体"/>
                <w:b/>
                <w:bCs/>
                <w:szCs w:val="21"/>
              </w:rPr>
            </w:pPr>
            <w:r>
              <w:rPr>
                <w:rFonts w:hint="eastAsia" w:ascii="宋体" w:hAnsi="宋体" w:cs="宋体"/>
                <w:b/>
                <w:bCs/>
                <w:szCs w:val="21"/>
              </w:rPr>
              <w:t>1. 单边实验台/中央台/仪器台</w:t>
            </w:r>
          </w:p>
          <w:p>
            <w:pPr>
              <w:ind w:left="420" w:hanging="420" w:hangingChars="200"/>
              <w:rPr>
                <w:rFonts w:ascii="宋体" w:hAnsi="宋体" w:cs="宋体"/>
                <w:szCs w:val="21"/>
              </w:rPr>
            </w:pPr>
            <w:r>
              <w:rPr>
                <w:rFonts w:hint="eastAsia" w:ascii="宋体" w:hAnsi="宋体" w:cs="宋体"/>
                <w:szCs w:val="21"/>
              </w:rPr>
              <w:t>1.1 单边实验台深度：750mm，中央台深度1500mm，仪器台深度850mm；</w:t>
            </w:r>
          </w:p>
          <w:p>
            <w:pPr>
              <w:ind w:left="630" w:hanging="630" w:hangingChars="300"/>
              <w:rPr>
                <w:rFonts w:ascii="宋体" w:hAnsi="宋体" w:cs="宋体"/>
                <w:szCs w:val="21"/>
              </w:rPr>
            </w:pPr>
            <w:r>
              <w:rPr>
                <w:rFonts w:hint="eastAsia" w:ascii="宋体" w:hAnsi="宋体" w:cs="宋体"/>
                <w:szCs w:val="21"/>
              </w:rPr>
              <w:t>1.2  结构要求：采用落地式柜体结构</w:t>
            </w:r>
          </w:p>
          <w:p>
            <w:pPr>
              <w:rPr>
                <w:rFonts w:ascii="宋体" w:hAnsi="宋体" w:cs="宋体"/>
                <w:szCs w:val="21"/>
              </w:rPr>
            </w:pPr>
            <w:r>
              <w:rPr>
                <w:rFonts w:hint="eastAsia" w:ascii="宋体" w:hAnsi="宋体" w:cs="宋体"/>
                <w:szCs w:val="21"/>
              </w:rPr>
              <w:t>1.3  技术参数：</w:t>
            </w:r>
          </w:p>
          <w:p>
            <w:pPr>
              <w:ind w:left="630" w:hanging="630" w:hangingChars="300"/>
              <w:rPr>
                <w:rFonts w:ascii="宋体" w:hAnsi="宋体" w:cs="宋体"/>
                <w:szCs w:val="21"/>
              </w:rPr>
            </w:pPr>
            <w:r>
              <w:rPr>
                <w:rFonts w:hint="eastAsia" w:ascii="宋体" w:hAnsi="宋体" w:cs="宋体"/>
                <w:szCs w:val="21"/>
              </w:rPr>
              <w:t>1.3.1  台面</w:t>
            </w:r>
          </w:p>
          <w:p>
            <w:pPr>
              <w:ind w:left="533" w:leftChars="254"/>
              <w:rPr>
                <w:rFonts w:ascii="宋体" w:hAnsi="宋体" w:cs="宋体"/>
                <w:szCs w:val="21"/>
              </w:rPr>
            </w:pPr>
            <w:r>
              <w:rPr>
                <w:rFonts w:hint="eastAsia" w:ascii="宋体" w:hAnsi="宋体" w:cs="宋体"/>
                <w:szCs w:val="21"/>
              </w:rPr>
              <w:t>a. 进口品牌实心理化板，厚度要求≥12.7mm，边缘加厚处理，加厚处结合紧密，无可视拼缝。</w:t>
            </w:r>
          </w:p>
          <w:p>
            <w:pPr>
              <w:ind w:left="533" w:leftChars="254"/>
              <w:rPr>
                <w:rFonts w:ascii="宋体" w:hAnsi="宋体" w:cs="宋体"/>
                <w:szCs w:val="21"/>
              </w:rPr>
            </w:pPr>
            <w:r>
              <w:rPr>
                <w:rFonts w:hint="eastAsia" w:ascii="宋体" w:hAnsi="宋体" w:cs="宋体"/>
                <w:szCs w:val="21"/>
              </w:rPr>
              <w:t>b. 表面提供24小时的超凡耐化学性（0级或1级），可耐浓酸，包括48%的氢氟酸、70%的硝酸和98%的硫酸；</w:t>
            </w:r>
          </w:p>
          <w:p>
            <w:pPr>
              <w:ind w:left="533" w:leftChars="254"/>
              <w:rPr>
                <w:rFonts w:ascii="宋体" w:hAnsi="宋体" w:cs="宋体"/>
                <w:szCs w:val="21"/>
                <w:highlight w:val="yellow"/>
              </w:rPr>
            </w:pPr>
            <w:r>
              <w:rPr>
                <w:rFonts w:hint="eastAsia" w:ascii="宋体" w:hAnsi="宋体" w:cs="宋体"/>
                <w:szCs w:val="21"/>
                <w:highlight w:val="yellow"/>
              </w:rPr>
              <w:t>c. 参考品牌：等同于或高于Trespa，Formica等。</w:t>
            </w:r>
          </w:p>
          <w:p>
            <w:pPr>
              <w:ind w:left="630" w:hanging="630" w:hangingChars="300"/>
              <w:rPr>
                <w:rFonts w:ascii="宋体" w:hAnsi="宋体" w:cs="宋体"/>
                <w:szCs w:val="21"/>
              </w:rPr>
            </w:pPr>
            <w:r>
              <w:rPr>
                <w:rFonts w:hint="eastAsia" w:ascii="宋体" w:hAnsi="宋体" w:cs="宋体"/>
                <w:szCs w:val="21"/>
              </w:rPr>
              <w:t>1.3.2  柜体</w:t>
            </w:r>
          </w:p>
          <w:p>
            <w:pPr>
              <w:ind w:left="533" w:leftChars="254"/>
              <w:rPr>
                <w:rFonts w:ascii="宋体" w:hAnsi="宋体" w:cs="宋体"/>
                <w:szCs w:val="21"/>
              </w:rPr>
            </w:pPr>
            <w:r>
              <w:rPr>
                <w:rFonts w:hint="eastAsia" w:ascii="宋体" w:hAnsi="宋体" w:cs="宋体"/>
                <w:szCs w:val="21"/>
              </w:rPr>
              <w:t>b. 柜体为环氧树脂喷涂镀锌冷轧钢材质，防化、防潮、耐高温以及耐磨。</w:t>
            </w:r>
          </w:p>
          <w:p>
            <w:pPr>
              <w:ind w:left="533" w:leftChars="254"/>
              <w:rPr>
                <w:rFonts w:ascii="宋体" w:hAnsi="宋体" w:cs="宋体"/>
                <w:szCs w:val="21"/>
              </w:rPr>
            </w:pPr>
            <w:r>
              <w:rPr>
                <w:rFonts w:hint="eastAsia" w:ascii="宋体" w:hAnsi="宋体" w:cs="宋体"/>
                <w:szCs w:val="21"/>
              </w:rPr>
              <w:t>c. 柜体采用宝钢冷轧镀锌钢板，厚度≥1.0mm +/- 0.07mm，表面均经静电及磷化处理，环氧树脂喷涂厚度≥75um。</w:t>
            </w:r>
          </w:p>
          <w:p>
            <w:pPr>
              <w:ind w:left="533" w:leftChars="254"/>
              <w:rPr>
                <w:rFonts w:ascii="宋体" w:hAnsi="宋体" w:cs="宋体"/>
                <w:szCs w:val="21"/>
              </w:rPr>
            </w:pPr>
            <w:r>
              <w:rPr>
                <w:rFonts w:hint="eastAsia" w:ascii="宋体" w:hAnsi="宋体" w:cs="宋体"/>
                <w:szCs w:val="21"/>
              </w:rPr>
              <w:t>d. 柜体为独立的、可拆装结构。各个柜体可以单独或组合使用。</w:t>
            </w:r>
          </w:p>
          <w:p>
            <w:pPr>
              <w:ind w:left="533" w:leftChars="254"/>
              <w:rPr>
                <w:rFonts w:ascii="宋体" w:hAnsi="宋体" w:cs="宋体"/>
                <w:szCs w:val="21"/>
              </w:rPr>
            </w:pPr>
            <w:r>
              <w:rPr>
                <w:rFonts w:hint="eastAsia" w:ascii="宋体" w:hAnsi="宋体" w:cs="宋体"/>
                <w:szCs w:val="21"/>
              </w:rPr>
              <w:t>e. 柜体的后背板可拆卸，以便维修。</w:t>
            </w:r>
          </w:p>
          <w:p>
            <w:pPr>
              <w:ind w:left="630" w:hanging="630" w:hangingChars="300"/>
              <w:rPr>
                <w:rFonts w:ascii="宋体" w:hAnsi="宋体" w:cs="宋体"/>
                <w:szCs w:val="21"/>
              </w:rPr>
            </w:pPr>
            <w:r>
              <w:rPr>
                <w:rFonts w:hint="eastAsia" w:ascii="宋体" w:hAnsi="宋体" w:cs="宋体"/>
                <w:szCs w:val="21"/>
              </w:rPr>
              <w:t>1.3.3  柜门</w:t>
            </w:r>
          </w:p>
          <w:p>
            <w:pPr>
              <w:ind w:left="542" w:leftChars="258"/>
              <w:rPr>
                <w:rFonts w:ascii="宋体" w:hAnsi="宋体" w:cs="宋体"/>
                <w:szCs w:val="21"/>
              </w:rPr>
            </w:pPr>
            <w:r>
              <w:rPr>
                <w:rFonts w:hint="eastAsia" w:ascii="宋体" w:hAnsi="宋体" w:cs="宋体"/>
                <w:szCs w:val="21"/>
              </w:rPr>
              <w:t>a. 环氧树脂喷涂进口镀锌冷轧钢材质，防化、防潮、耐高温以及耐磨。</w:t>
            </w:r>
          </w:p>
          <w:p>
            <w:pPr>
              <w:ind w:left="533" w:leftChars="254"/>
              <w:rPr>
                <w:rFonts w:ascii="宋体" w:hAnsi="宋体" w:cs="宋体"/>
                <w:szCs w:val="21"/>
              </w:rPr>
            </w:pPr>
            <w:r>
              <w:rPr>
                <w:rFonts w:hint="eastAsia" w:ascii="宋体" w:hAnsi="宋体" w:cs="宋体"/>
                <w:szCs w:val="21"/>
              </w:rPr>
              <w:t>b. 柜门面板采用宝钢冷轧镀锌钢板，厚度≥1.0mm +/- 0.07mm，表面均经静电及磷化处理，环氧树脂喷涂厚度≥75um。</w:t>
            </w:r>
          </w:p>
          <w:p>
            <w:pPr>
              <w:ind w:firstLine="525" w:firstLineChars="250"/>
              <w:rPr>
                <w:rFonts w:ascii="宋体" w:hAnsi="宋体" w:cs="宋体"/>
                <w:szCs w:val="21"/>
              </w:rPr>
            </w:pPr>
            <w:r>
              <w:rPr>
                <w:rFonts w:hint="eastAsia" w:ascii="宋体" w:hAnsi="宋体" w:cs="宋体"/>
                <w:szCs w:val="21"/>
              </w:rPr>
              <w:t>c. 柜门面板双层设计，中间填充有隔音材料。</w:t>
            </w:r>
          </w:p>
          <w:p>
            <w:pPr>
              <w:ind w:left="542" w:leftChars="258"/>
              <w:rPr>
                <w:rFonts w:ascii="宋体" w:hAnsi="宋体" w:cs="宋体"/>
                <w:szCs w:val="21"/>
              </w:rPr>
            </w:pPr>
            <w:r>
              <w:rPr>
                <w:rFonts w:hint="eastAsia" w:ascii="宋体" w:hAnsi="宋体" w:cs="宋体"/>
                <w:szCs w:val="21"/>
              </w:rPr>
              <w:t>d. 柜门关闭不能有碰撞声及震动声响。</w:t>
            </w:r>
          </w:p>
          <w:p>
            <w:pPr>
              <w:ind w:left="542" w:leftChars="258"/>
              <w:rPr>
                <w:rFonts w:ascii="宋体" w:hAnsi="宋体" w:cs="宋体"/>
                <w:szCs w:val="21"/>
              </w:rPr>
            </w:pPr>
            <w:r>
              <w:rPr>
                <w:rFonts w:hint="eastAsia" w:ascii="宋体" w:hAnsi="宋体" w:cs="宋体"/>
                <w:szCs w:val="21"/>
              </w:rPr>
              <w:t>e. 柜门铰接方式为不锈钢合页铰接，柜门打开角度≥165度</w:t>
            </w:r>
          </w:p>
          <w:p>
            <w:pPr>
              <w:ind w:left="542" w:leftChars="258"/>
              <w:rPr>
                <w:rFonts w:ascii="宋体" w:hAnsi="宋体" w:cs="宋体"/>
                <w:szCs w:val="21"/>
              </w:rPr>
            </w:pPr>
            <w:r>
              <w:rPr>
                <w:rFonts w:hint="eastAsia" w:ascii="宋体" w:hAnsi="宋体" w:cs="宋体"/>
                <w:szCs w:val="21"/>
              </w:rPr>
              <w:t>f. 把手：D型，规格为128mm；不锈钢材质圆形截面一体成形，极易清洁。</w:t>
            </w:r>
          </w:p>
          <w:p>
            <w:pPr>
              <w:ind w:left="630" w:hanging="630" w:hangingChars="300"/>
              <w:rPr>
                <w:rFonts w:ascii="宋体" w:hAnsi="宋体" w:cs="宋体"/>
                <w:szCs w:val="21"/>
              </w:rPr>
            </w:pPr>
            <w:r>
              <w:rPr>
                <w:rFonts w:hint="eastAsia" w:ascii="宋体" w:hAnsi="宋体" w:cs="宋体"/>
                <w:szCs w:val="21"/>
              </w:rPr>
              <w:t>1.3.4  抽屉</w:t>
            </w:r>
          </w:p>
          <w:p>
            <w:pPr>
              <w:ind w:left="542" w:leftChars="258"/>
              <w:rPr>
                <w:rFonts w:ascii="宋体" w:hAnsi="宋体" w:cs="宋体"/>
                <w:szCs w:val="21"/>
              </w:rPr>
            </w:pPr>
            <w:r>
              <w:rPr>
                <w:rFonts w:hint="eastAsia" w:ascii="宋体" w:hAnsi="宋体" w:cs="宋体"/>
                <w:szCs w:val="21"/>
              </w:rPr>
              <w:t>a. 环氧树脂喷涂进口镀锌冷轧钢材质，防化、防潮、耐高温以及耐磨。</w:t>
            </w:r>
          </w:p>
          <w:p>
            <w:pPr>
              <w:ind w:left="533" w:leftChars="254"/>
              <w:rPr>
                <w:rFonts w:ascii="宋体" w:hAnsi="宋体" w:cs="宋体"/>
                <w:szCs w:val="21"/>
              </w:rPr>
            </w:pPr>
            <w:r>
              <w:rPr>
                <w:rFonts w:hint="eastAsia" w:ascii="宋体" w:hAnsi="宋体" w:cs="宋体"/>
                <w:szCs w:val="21"/>
              </w:rPr>
              <w:t>b. 抽屉面板采用宝钢冷轧镀锌钢板，厚度≥1.0mm +/- 0.07mm，表面均经静电及磷化处理，环氧树脂喷涂厚度≥75um。</w:t>
            </w:r>
          </w:p>
          <w:p>
            <w:pPr>
              <w:ind w:firstLine="525" w:firstLineChars="250"/>
              <w:rPr>
                <w:rFonts w:ascii="宋体" w:hAnsi="宋体" w:cs="宋体"/>
                <w:szCs w:val="21"/>
              </w:rPr>
            </w:pPr>
            <w:r>
              <w:rPr>
                <w:rFonts w:hint="eastAsia" w:ascii="宋体" w:hAnsi="宋体" w:cs="宋体"/>
                <w:szCs w:val="21"/>
              </w:rPr>
              <w:t>c. 抽屉面板双层设计，中间填充有隔音材料。</w:t>
            </w:r>
          </w:p>
          <w:p>
            <w:pPr>
              <w:ind w:left="542" w:leftChars="258"/>
              <w:rPr>
                <w:rFonts w:ascii="宋体" w:hAnsi="宋体" w:cs="宋体"/>
                <w:szCs w:val="21"/>
              </w:rPr>
            </w:pPr>
            <w:r>
              <w:rPr>
                <w:rFonts w:hint="eastAsia" w:ascii="宋体" w:hAnsi="宋体" w:cs="宋体"/>
                <w:szCs w:val="21"/>
              </w:rPr>
              <w:t>d. 滑轨使用托底式滑轨，乘重不少于40KG每个抽屉；</w:t>
            </w:r>
          </w:p>
          <w:p>
            <w:pPr>
              <w:ind w:left="542" w:leftChars="258"/>
              <w:rPr>
                <w:rFonts w:ascii="宋体" w:hAnsi="宋体" w:cs="宋体"/>
                <w:szCs w:val="21"/>
              </w:rPr>
            </w:pPr>
            <w:r>
              <w:rPr>
                <w:rFonts w:hint="eastAsia" w:ascii="宋体" w:hAnsi="宋体" w:cs="宋体"/>
                <w:szCs w:val="21"/>
              </w:rPr>
              <w:t>e. 把手：D型，规格为128mm；不锈钢材质圆形截面一体成形，极易清洁。</w:t>
            </w:r>
          </w:p>
          <w:p>
            <w:pPr>
              <w:ind w:left="630" w:hanging="630" w:hangingChars="300"/>
              <w:rPr>
                <w:rFonts w:ascii="宋体" w:hAnsi="宋体" w:cs="宋体"/>
                <w:szCs w:val="21"/>
              </w:rPr>
            </w:pPr>
            <w:r>
              <w:rPr>
                <w:rFonts w:hint="eastAsia" w:ascii="宋体" w:hAnsi="宋体" w:cs="宋体"/>
                <w:szCs w:val="21"/>
              </w:rPr>
              <w:t>1.3.5  层板</w:t>
            </w:r>
          </w:p>
          <w:p>
            <w:pPr>
              <w:ind w:left="542" w:leftChars="258"/>
              <w:rPr>
                <w:rFonts w:ascii="宋体" w:hAnsi="宋体" w:cs="宋体"/>
                <w:szCs w:val="21"/>
              </w:rPr>
            </w:pPr>
            <w:r>
              <w:rPr>
                <w:rFonts w:hint="eastAsia" w:ascii="宋体" w:hAnsi="宋体" w:cs="宋体"/>
                <w:szCs w:val="21"/>
              </w:rPr>
              <w:t xml:space="preserve">  a.环氧树脂喷涂进口镀锌冷轧钢材质，防化、防潮、耐高温以及耐磨。</w:t>
            </w:r>
          </w:p>
          <w:p>
            <w:pPr>
              <w:ind w:left="542" w:leftChars="258"/>
              <w:rPr>
                <w:rFonts w:ascii="宋体" w:hAnsi="宋体" w:cs="宋体"/>
                <w:szCs w:val="21"/>
              </w:rPr>
            </w:pPr>
            <w:r>
              <w:rPr>
                <w:rFonts w:hint="eastAsia" w:ascii="宋体" w:hAnsi="宋体" w:cs="宋体"/>
                <w:szCs w:val="21"/>
              </w:rPr>
              <w:t xml:space="preserve">  b. 层板采用宝钢冷轧镀锌钢板，厚度≥1.0mm +/- 0.07mm，表面均经静电及磷化处理，环氧树脂喷涂厚度≥75um。</w:t>
            </w:r>
          </w:p>
          <w:p>
            <w:pPr>
              <w:ind w:left="542" w:leftChars="258" w:firstLine="210" w:firstLineChars="100"/>
              <w:rPr>
                <w:rFonts w:ascii="宋体" w:hAnsi="宋体" w:cs="宋体"/>
                <w:szCs w:val="21"/>
              </w:rPr>
            </w:pPr>
            <w:r>
              <w:rPr>
                <w:rFonts w:hint="eastAsia" w:ascii="宋体" w:hAnsi="宋体" w:cs="宋体"/>
                <w:szCs w:val="21"/>
              </w:rPr>
              <w:t>c. 所有带柜门的实验柜具内置活动层板，每20mm可自由上下调节高度。</w:t>
            </w:r>
          </w:p>
          <w:p>
            <w:pPr>
              <w:ind w:left="542" w:leftChars="258" w:firstLine="210" w:firstLineChars="100"/>
              <w:rPr>
                <w:rFonts w:ascii="宋体" w:hAnsi="宋体" w:cs="宋体"/>
                <w:szCs w:val="21"/>
              </w:rPr>
            </w:pPr>
            <w:r>
              <w:rPr>
                <w:rFonts w:hint="eastAsia" w:ascii="宋体" w:hAnsi="宋体" w:cs="宋体"/>
                <w:szCs w:val="21"/>
              </w:rPr>
              <w:t>d. 层板由四个钢制层板扣支撑，承重为大于50kg。</w:t>
            </w:r>
          </w:p>
          <w:p>
            <w:pPr>
              <w:ind w:left="542" w:leftChars="258"/>
              <w:rPr>
                <w:rFonts w:ascii="宋体" w:hAnsi="宋体" w:cs="宋体"/>
                <w:szCs w:val="21"/>
              </w:rPr>
            </w:pPr>
            <w:r>
              <w:rPr>
                <w:rFonts w:hint="eastAsia" w:ascii="宋体" w:hAnsi="宋体" w:cs="宋体"/>
                <w:szCs w:val="21"/>
              </w:rPr>
              <w:t xml:space="preserve">  e. 层板厚度：≥20mm</w:t>
            </w:r>
          </w:p>
          <w:p>
            <w:pPr>
              <w:ind w:left="735" w:hanging="735" w:hangingChars="350"/>
              <w:rPr>
                <w:rFonts w:ascii="宋体" w:hAnsi="宋体" w:cs="宋体"/>
                <w:szCs w:val="21"/>
              </w:rPr>
            </w:pPr>
            <w:r>
              <w:rPr>
                <w:rFonts w:hint="eastAsia" w:ascii="宋体" w:hAnsi="宋体" w:cs="宋体"/>
                <w:szCs w:val="21"/>
              </w:rPr>
              <w:t>1.3.6  实验台承重能力： ≥300kg/m2。</w:t>
            </w:r>
          </w:p>
          <w:p>
            <w:pPr>
              <w:ind w:left="735" w:hanging="735" w:hangingChars="350"/>
              <w:rPr>
                <w:rFonts w:ascii="宋体" w:hAnsi="宋体" w:cs="宋体"/>
                <w:szCs w:val="21"/>
              </w:rPr>
            </w:pPr>
          </w:p>
          <w:p>
            <w:pPr>
              <w:rPr>
                <w:rFonts w:ascii="宋体" w:hAnsi="宋体" w:cs="宋体"/>
                <w:b/>
                <w:bCs/>
                <w:szCs w:val="21"/>
              </w:rPr>
            </w:pPr>
            <w:r>
              <w:rPr>
                <w:rFonts w:hint="eastAsia" w:ascii="宋体" w:hAnsi="宋体" w:cs="宋体"/>
                <w:b/>
                <w:bCs/>
                <w:szCs w:val="21"/>
              </w:rPr>
              <w:t>2 通风柜</w:t>
            </w:r>
          </w:p>
          <w:p>
            <w:pPr>
              <w:rPr>
                <w:rFonts w:ascii="宋体" w:hAnsi="宋体" w:cs="宋体"/>
                <w:szCs w:val="21"/>
              </w:rPr>
            </w:pPr>
            <w:r>
              <w:rPr>
                <w:rFonts w:hint="eastAsia" w:ascii="宋体" w:hAnsi="宋体" w:cs="宋体"/>
                <w:szCs w:val="21"/>
              </w:rPr>
              <w:t>2.1 配置要求：外形尺寸1500（W）*800（D）*2350（H）mm，台面高度870mm；</w:t>
            </w:r>
          </w:p>
          <w:p>
            <w:pPr>
              <w:rPr>
                <w:rFonts w:ascii="宋体" w:hAnsi="宋体" w:cs="宋体"/>
                <w:szCs w:val="21"/>
              </w:rPr>
            </w:pPr>
            <w:r>
              <w:rPr>
                <w:rFonts w:hint="eastAsia" w:ascii="宋体" w:hAnsi="宋体" w:cs="宋体"/>
                <w:szCs w:val="21"/>
              </w:rPr>
              <w:t xml:space="preserve"> 通风柜需配套有遥控水阀+水杯一套，遥控氮气阀一套，控制面板一套，5孔插座4只</w:t>
            </w:r>
          </w:p>
          <w:p>
            <w:pPr>
              <w:rPr>
                <w:rFonts w:ascii="宋体" w:hAnsi="宋体" w:cs="宋体"/>
                <w:szCs w:val="21"/>
              </w:rPr>
            </w:pPr>
            <w:r>
              <w:rPr>
                <w:rFonts w:hint="eastAsia" w:ascii="宋体" w:hAnsi="宋体" w:cs="宋体"/>
                <w:szCs w:val="21"/>
              </w:rPr>
              <w:t>2.2 台面：采用环氧树脂台面板，边缘有挡水边，整体呈碟型。</w:t>
            </w:r>
            <w:r>
              <w:rPr>
                <w:rFonts w:hint="eastAsia" w:ascii="宋体" w:hAnsi="宋体" w:cs="宋体"/>
                <w:b/>
                <w:szCs w:val="21"/>
              </w:rPr>
              <w:t xml:space="preserve"> </w:t>
            </w:r>
          </w:p>
          <w:p>
            <w:pPr>
              <w:rPr>
                <w:rFonts w:ascii="宋体" w:hAnsi="宋体" w:cs="宋体"/>
                <w:szCs w:val="21"/>
              </w:rPr>
            </w:pPr>
            <w:r>
              <w:rPr>
                <w:rFonts w:hint="eastAsia" w:ascii="宋体" w:hAnsi="宋体" w:cs="宋体"/>
                <w:szCs w:val="21"/>
              </w:rPr>
              <w:t>2.3 柜体要求：</w:t>
            </w:r>
          </w:p>
          <w:p>
            <w:pPr>
              <w:ind w:left="420" w:leftChars="200"/>
              <w:rPr>
                <w:rFonts w:ascii="宋体" w:hAnsi="宋体" w:cs="宋体"/>
                <w:szCs w:val="21"/>
              </w:rPr>
            </w:pPr>
            <w:r>
              <w:rPr>
                <w:rFonts w:hint="eastAsia" w:ascii="宋体" w:hAnsi="宋体" w:cs="宋体"/>
                <w:szCs w:val="21"/>
              </w:rPr>
              <w:t>2.3.1柜体组合：上部柜体（排气柜）操作台面、下部柜体（存物柜）。除操作台面板，采用全钢制组合式结构；</w:t>
            </w:r>
          </w:p>
          <w:p>
            <w:pPr>
              <w:ind w:left="420" w:leftChars="200"/>
              <w:rPr>
                <w:rFonts w:ascii="宋体" w:hAnsi="宋体" w:cs="宋体"/>
                <w:szCs w:val="21"/>
              </w:rPr>
            </w:pPr>
            <w:r>
              <w:rPr>
                <w:rFonts w:hint="eastAsia" w:ascii="宋体" w:hAnsi="宋体" w:cs="宋体"/>
                <w:szCs w:val="21"/>
              </w:rPr>
              <w:t>2.3.2外壳材料：采用宝钢冷轧镀锌钢板，厚度≥1.2mm +/- 0.07mm，表面均经静电及磷化处理，环氧树脂喷涂厚度≥75um。</w:t>
            </w:r>
          </w:p>
          <w:p>
            <w:pPr>
              <w:ind w:left="420" w:leftChars="200"/>
              <w:rPr>
                <w:rFonts w:ascii="宋体" w:hAnsi="宋体" w:cs="宋体"/>
                <w:szCs w:val="21"/>
              </w:rPr>
            </w:pPr>
            <w:r>
              <w:rPr>
                <w:rFonts w:hint="eastAsia" w:ascii="宋体" w:hAnsi="宋体" w:cs="宋体"/>
                <w:szCs w:val="21"/>
              </w:rPr>
              <w:t>2.3.3 视窗拉门：活动式垂直拉升拉门，置于工作空间与操作者之间，以保护操作者安全，结合平衡位置，拉门可停于任意活动点。拉门采用6厘米厚安全钢化玻璃。</w:t>
            </w:r>
          </w:p>
          <w:p>
            <w:pPr>
              <w:ind w:left="420" w:leftChars="200"/>
              <w:rPr>
                <w:rFonts w:ascii="宋体" w:hAnsi="宋体" w:cs="宋体"/>
                <w:szCs w:val="21"/>
              </w:rPr>
            </w:pPr>
            <w:r>
              <w:rPr>
                <w:rFonts w:hint="eastAsia" w:ascii="宋体" w:hAnsi="宋体" w:cs="宋体"/>
                <w:szCs w:val="21"/>
              </w:rPr>
              <w:t>2.3.4 内装材料（包括导流板）：采用实验室专用耐酸碱6mm厚康贝特板。所有内衬板装配及固定，不得采用金属材料。</w:t>
            </w:r>
          </w:p>
          <w:p>
            <w:pPr>
              <w:ind w:left="420" w:leftChars="200"/>
              <w:rPr>
                <w:rFonts w:ascii="宋体" w:hAnsi="宋体" w:cs="宋体"/>
                <w:szCs w:val="21"/>
              </w:rPr>
            </w:pPr>
            <w:r>
              <w:rPr>
                <w:rFonts w:hint="eastAsia" w:ascii="宋体" w:hAnsi="宋体" w:cs="宋体"/>
                <w:szCs w:val="21"/>
              </w:rPr>
              <w:t>2.3.5 导流板：导流板安装位置与角度须使排气分布均匀，无死角，在标准状况下，导流板上方与中、下方出风口排风量比例约50+10%，以确保不同比重气体均能有效排除。导流板上要有可装置试验架的仟孔。并可由柜内轻易拆下清理、检修及复原。</w:t>
            </w:r>
          </w:p>
          <w:p>
            <w:pPr>
              <w:ind w:left="420" w:leftChars="200"/>
              <w:rPr>
                <w:rFonts w:ascii="宋体" w:hAnsi="宋体" w:cs="宋体"/>
                <w:szCs w:val="21"/>
              </w:rPr>
            </w:pPr>
            <w:r>
              <w:rPr>
                <w:rFonts w:hint="eastAsia" w:ascii="宋体" w:hAnsi="宋体" w:cs="宋体"/>
                <w:szCs w:val="21"/>
              </w:rPr>
              <w:t>2.3.6 下部柜体：与实验台柜体相同要求。</w:t>
            </w:r>
          </w:p>
          <w:p>
            <w:pPr>
              <w:ind w:left="420" w:leftChars="200"/>
              <w:rPr>
                <w:rFonts w:ascii="宋体" w:hAnsi="宋体" w:cs="宋体"/>
                <w:szCs w:val="21"/>
              </w:rPr>
            </w:pPr>
            <w:r>
              <w:rPr>
                <w:rFonts w:hint="eastAsia" w:ascii="宋体" w:hAnsi="宋体" w:cs="宋体"/>
                <w:szCs w:val="21"/>
              </w:rPr>
              <w:t>2.3.7 操作仪表板：简单耐用；或薄膜微电脑电子电路控制面板，标示电源、照明、马达、备用（开关）及LED运转指示灯等。</w:t>
            </w:r>
          </w:p>
          <w:p>
            <w:pPr>
              <w:ind w:left="420" w:leftChars="200"/>
              <w:rPr>
                <w:rFonts w:ascii="宋体" w:hAnsi="宋体" w:cs="宋体"/>
                <w:szCs w:val="21"/>
              </w:rPr>
            </w:pPr>
            <w:r>
              <w:rPr>
                <w:rFonts w:hint="eastAsia" w:ascii="宋体" w:hAnsi="宋体" w:cs="宋体"/>
                <w:szCs w:val="21"/>
              </w:rPr>
              <w:t>2.3.8 保护装置：应有独立的电源、插座、漏电、过载、短路等故障保护装置。</w:t>
            </w:r>
          </w:p>
          <w:p>
            <w:pPr>
              <w:ind w:left="420" w:leftChars="200"/>
              <w:rPr>
                <w:rFonts w:ascii="宋体" w:hAnsi="宋体" w:cs="宋体"/>
                <w:szCs w:val="21"/>
              </w:rPr>
            </w:pPr>
            <w:r>
              <w:rPr>
                <w:rFonts w:hint="eastAsia" w:ascii="宋体" w:hAnsi="宋体" w:cs="宋体"/>
                <w:szCs w:val="21"/>
              </w:rPr>
              <w:t>2.3.9 插座：采用220V单相多用插座安装在柜体正面外侧，每个排风柜的插座要有4个。</w:t>
            </w:r>
          </w:p>
          <w:p>
            <w:pPr>
              <w:ind w:left="420" w:leftChars="200"/>
              <w:rPr>
                <w:rFonts w:ascii="宋体" w:hAnsi="宋体" w:cs="宋体"/>
                <w:szCs w:val="21"/>
              </w:rPr>
            </w:pPr>
          </w:p>
          <w:p>
            <w:pPr>
              <w:ind w:left="738" w:hanging="738" w:hangingChars="350"/>
              <w:rPr>
                <w:rFonts w:ascii="宋体" w:hAnsi="宋体" w:cs="宋体"/>
                <w:b/>
                <w:bCs/>
                <w:szCs w:val="21"/>
              </w:rPr>
            </w:pPr>
            <w:r>
              <w:rPr>
                <w:rFonts w:hint="eastAsia" w:ascii="宋体" w:hAnsi="宋体" w:cs="宋体"/>
                <w:b/>
                <w:bCs/>
                <w:szCs w:val="21"/>
              </w:rPr>
              <w:t>3、风机及排补风系统</w:t>
            </w:r>
          </w:p>
          <w:p>
            <w:pPr>
              <w:ind w:left="735" w:hanging="735" w:hangingChars="350"/>
              <w:rPr>
                <w:rFonts w:ascii="宋体" w:hAnsi="宋体" w:cs="宋体"/>
                <w:szCs w:val="21"/>
              </w:rPr>
            </w:pPr>
            <w:r>
              <w:rPr>
                <w:rFonts w:hint="eastAsia" w:ascii="宋体" w:hAnsi="宋体" w:cs="宋体"/>
                <w:szCs w:val="21"/>
              </w:rPr>
              <w:t>3.1 风机：离心风机，转速1450R/M，风机安装要有混凝土或槽钢基础，出风口配防雨帽；如果选用变频控制必须配变频电机；</w:t>
            </w:r>
          </w:p>
          <w:p>
            <w:pPr>
              <w:ind w:left="735" w:hanging="735" w:hangingChars="350"/>
              <w:rPr>
                <w:rFonts w:ascii="宋体" w:hAnsi="宋体" w:cs="宋体"/>
                <w:szCs w:val="21"/>
              </w:rPr>
            </w:pPr>
            <w:r>
              <w:rPr>
                <w:rFonts w:hint="eastAsia" w:ascii="宋体" w:hAnsi="宋体" w:cs="宋体"/>
                <w:szCs w:val="21"/>
              </w:rPr>
              <w:t>3.2 排风控制系统：要求每台通风柜配独立开关可以控制改通风柜的排风打开或者关闭，任意一台通风柜打开后能维持稳定的排风量和面风速，其他通风柜的开关对本通风柜风量不产生影响；不锈钢抽气罩及万向抽气罩的排风可以与通风柜公用一套排风系统，单必须可以独立控制，并与通风柜排风互不干扰；</w:t>
            </w:r>
          </w:p>
          <w:p>
            <w:pPr>
              <w:ind w:left="735" w:hanging="735" w:hangingChars="350"/>
              <w:rPr>
                <w:rFonts w:ascii="宋体" w:hAnsi="宋体" w:cs="宋体"/>
                <w:szCs w:val="21"/>
              </w:rPr>
            </w:pPr>
            <w:r>
              <w:rPr>
                <w:rFonts w:hint="eastAsia" w:ascii="宋体" w:hAnsi="宋体" w:cs="宋体"/>
                <w:szCs w:val="21"/>
              </w:rPr>
              <w:t>3.3 补风系统：根据排风量设置补风系统，补风量能平衡实验室内的90%左右负压，并需要维持适当的室内负压，防止室内气体外溢；</w:t>
            </w:r>
          </w:p>
          <w:p>
            <w:pPr>
              <w:ind w:left="630" w:hanging="630" w:hangingChars="300"/>
              <w:rPr>
                <w:rFonts w:ascii="宋体" w:hAnsi="宋体" w:cs="宋体"/>
                <w:szCs w:val="21"/>
              </w:rPr>
            </w:pPr>
            <w:r>
              <w:rPr>
                <w:rFonts w:hint="eastAsia" w:ascii="宋体" w:hAnsi="宋体" w:cs="宋体"/>
                <w:szCs w:val="21"/>
              </w:rPr>
              <w:t>3.4 管道：材料PP材质，所有管道规格需经过精确计算，管道内风速不得超过10M/S，避免产生噪音；尺寸超过300mm的管道需使用矩形管，矩形风管使用PP板材厚度不少于6mm，超过500mm宽度的风管管壁厚度不少于8mm，所有矩形风管需法兰连接；通风柜与通风管道连接为硬管连接；</w:t>
            </w:r>
          </w:p>
          <w:p>
            <w:pPr>
              <w:rPr>
                <w:rFonts w:ascii="宋体" w:hAnsi="宋体" w:cs="宋体"/>
                <w:szCs w:val="21"/>
              </w:rPr>
            </w:pPr>
            <w:r>
              <w:rPr>
                <w:rFonts w:hint="eastAsia" w:ascii="宋体" w:hAnsi="宋体" w:cs="宋体"/>
                <w:szCs w:val="21"/>
              </w:rPr>
              <w:t>3.4 控制系统的电气配件需选用知名品牌，以保证系统运行稳定耐久。</w:t>
            </w:r>
          </w:p>
          <w:p>
            <w:pPr>
              <w:rPr>
                <w:rFonts w:ascii="宋体" w:hAnsi="宋体" w:cs="宋体"/>
                <w:szCs w:val="21"/>
              </w:rPr>
            </w:pPr>
          </w:p>
          <w:p>
            <w:pPr>
              <w:rPr>
                <w:rFonts w:ascii="宋体" w:hAnsi="宋体" w:cs="宋体"/>
                <w:b/>
                <w:bCs/>
                <w:szCs w:val="21"/>
              </w:rPr>
            </w:pPr>
            <w:r>
              <w:rPr>
                <w:rFonts w:hint="eastAsia" w:ascii="宋体" w:hAnsi="宋体" w:cs="宋体"/>
                <w:b/>
                <w:bCs/>
                <w:szCs w:val="21"/>
              </w:rPr>
              <w:t>4、储存柜</w:t>
            </w:r>
          </w:p>
          <w:p>
            <w:pPr>
              <w:rPr>
                <w:rFonts w:ascii="宋体" w:hAnsi="宋体" w:cs="宋体"/>
                <w:szCs w:val="21"/>
              </w:rPr>
            </w:pPr>
            <w:r>
              <w:rPr>
                <w:rFonts w:hint="eastAsia" w:ascii="宋体" w:hAnsi="宋体" w:cs="宋体"/>
                <w:szCs w:val="21"/>
              </w:rPr>
              <w:t>4.1 结构要求：外部尺寸：900（W）*450（D）*1800（H）mm，上下两端开门结构，上部玻璃开门，下部钢制开门；</w:t>
            </w:r>
          </w:p>
          <w:p>
            <w:pPr>
              <w:ind w:left="630" w:hanging="630" w:hangingChars="300"/>
              <w:rPr>
                <w:rFonts w:ascii="宋体" w:hAnsi="宋体" w:cs="宋体"/>
                <w:szCs w:val="21"/>
              </w:rPr>
            </w:pPr>
            <w:r>
              <w:rPr>
                <w:rFonts w:hint="eastAsia" w:ascii="宋体" w:hAnsi="宋体" w:cs="宋体"/>
                <w:szCs w:val="21"/>
              </w:rPr>
              <w:t>4.2  柜体</w:t>
            </w:r>
          </w:p>
          <w:p>
            <w:pPr>
              <w:ind w:left="533" w:leftChars="254"/>
              <w:rPr>
                <w:rFonts w:ascii="宋体" w:hAnsi="宋体" w:cs="宋体"/>
                <w:szCs w:val="21"/>
              </w:rPr>
            </w:pPr>
            <w:r>
              <w:rPr>
                <w:rFonts w:hint="eastAsia" w:ascii="宋体" w:hAnsi="宋体" w:cs="宋体"/>
                <w:szCs w:val="21"/>
              </w:rPr>
              <w:t>a. 柜体为环氧树脂喷涂镀锌冷轧钢材质，防化、防潮、耐高温以及耐磨。</w:t>
            </w:r>
          </w:p>
          <w:p>
            <w:pPr>
              <w:ind w:left="533" w:leftChars="254"/>
              <w:rPr>
                <w:rFonts w:ascii="宋体" w:hAnsi="宋体" w:cs="宋体"/>
                <w:szCs w:val="21"/>
              </w:rPr>
            </w:pPr>
            <w:r>
              <w:rPr>
                <w:rFonts w:hint="eastAsia" w:ascii="宋体" w:hAnsi="宋体" w:cs="宋体"/>
                <w:szCs w:val="21"/>
              </w:rPr>
              <w:t>b. 柜体采用宝钢冷轧镀锌钢板，厚度≥1.0mm +/- 0.07mm，表面均经静电及磷化处理，环氧树脂喷涂厚度≥75um。</w:t>
            </w:r>
          </w:p>
          <w:p>
            <w:pPr>
              <w:ind w:left="533" w:leftChars="254"/>
              <w:rPr>
                <w:rFonts w:ascii="宋体" w:hAnsi="宋体" w:cs="宋体"/>
                <w:szCs w:val="21"/>
              </w:rPr>
            </w:pPr>
            <w:r>
              <w:rPr>
                <w:rFonts w:hint="eastAsia" w:ascii="宋体" w:hAnsi="宋体" w:cs="宋体"/>
                <w:szCs w:val="21"/>
              </w:rPr>
              <w:t>c. 柜体为独立的、可拆装结构。各个柜体可以单独或组合使用。单元柜体含单门落地柜、单门单抽落地柜、双门落地柜、双门双抽落地柜和四抽屉落地柜等。</w:t>
            </w:r>
          </w:p>
          <w:p>
            <w:pPr>
              <w:ind w:left="630" w:hanging="630" w:hangingChars="300"/>
              <w:rPr>
                <w:rFonts w:ascii="宋体" w:hAnsi="宋体" w:cs="宋体"/>
                <w:szCs w:val="21"/>
              </w:rPr>
            </w:pPr>
            <w:r>
              <w:rPr>
                <w:rFonts w:hint="eastAsia" w:ascii="宋体" w:hAnsi="宋体" w:cs="宋体"/>
                <w:szCs w:val="21"/>
              </w:rPr>
              <w:t>4.3  柜门</w:t>
            </w:r>
          </w:p>
          <w:p>
            <w:pPr>
              <w:ind w:left="542" w:leftChars="258"/>
              <w:rPr>
                <w:rFonts w:ascii="宋体" w:hAnsi="宋体" w:cs="宋体"/>
                <w:szCs w:val="21"/>
              </w:rPr>
            </w:pPr>
            <w:r>
              <w:rPr>
                <w:rFonts w:hint="eastAsia" w:ascii="宋体" w:hAnsi="宋体" w:cs="宋体"/>
                <w:szCs w:val="21"/>
              </w:rPr>
              <w:t>a. 环氧树脂喷涂进口镀锌冷轧钢材质，防化、防潮、耐高温以及耐磨。</w:t>
            </w:r>
          </w:p>
          <w:p>
            <w:pPr>
              <w:ind w:left="533" w:leftChars="254"/>
              <w:rPr>
                <w:rFonts w:ascii="宋体" w:hAnsi="宋体" w:cs="宋体"/>
                <w:szCs w:val="21"/>
              </w:rPr>
            </w:pPr>
            <w:r>
              <w:rPr>
                <w:rFonts w:hint="eastAsia" w:ascii="宋体" w:hAnsi="宋体" w:cs="宋体"/>
                <w:szCs w:val="21"/>
              </w:rPr>
              <w:t>b. 柜门面板采用宝钢冷轧镀锌钢板，厚度≥1.0mm +/- 0.07mm，表面均经静电及磷化处理，环氧树脂喷涂厚度≥75um。</w:t>
            </w:r>
          </w:p>
          <w:p>
            <w:pPr>
              <w:ind w:firstLine="525" w:firstLineChars="250"/>
              <w:rPr>
                <w:rFonts w:ascii="宋体" w:hAnsi="宋体" w:cs="宋体"/>
                <w:szCs w:val="21"/>
              </w:rPr>
            </w:pPr>
            <w:r>
              <w:rPr>
                <w:rFonts w:hint="eastAsia" w:ascii="宋体" w:hAnsi="宋体" w:cs="宋体"/>
                <w:szCs w:val="21"/>
              </w:rPr>
              <w:t>c. 柜门面板双层设计，中间填充有隔音材料。</w:t>
            </w:r>
          </w:p>
          <w:p>
            <w:pPr>
              <w:ind w:left="542" w:leftChars="258"/>
              <w:rPr>
                <w:rFonts w:ascii="宋体" w:hAnsi="宋体" w:cs="宋体"/>
                <w:szCs w:val="21"/>
              </w:rPr>
            </w:pPr>
            <w:r>
              <w:rPr>
                <w:rFonts w:hint="eastAsia" w:ascii="宋体" w:hAnsi="宋体" w:cs="宋体"/>
                <w:szCs w:val="21"/>
              </w:rPr>
              <w:t>d. 柜门关闭不能有碰撞声及震动声响。</w:t>
            </w:r>
          </w:p>
          <w:p>
            <w:pPr>
              <w:ind w:left="542" w:leftChars="258"/>
              <w:rPr>
                <w:rFonts w:ascii="宋体" w:hAnsi="宋体" w:cs="宋体"/>
                <w:szCs w:val="21"/>
              </w:rPr>
            </w:pPr>
            <w:r>
              <w:rPr>
                <w:rFonts w:hint="eastAsia" w:ascii="宋体" w:hAnsi="宋体" w:cs="宋体"/>
                <w:szCs w:val="21"/>
              </w:rPr>
              <w:t>e. 柜门铰接方式为不锈钢合页铰接，柜门打开角度≥165度</w:t>
            </w:r>
          </w:p>
          <w:p>
            <w:pPr>
              <w:ind w:left="542" w:leftChars="258"/>
              <w:rPr>
                <w:rFonts w:ascii="宋体" w:hAnsi="宋体" w:cs="宋体"/>
                <w:szCs w:val="21"/>
              </w:rPr>
            </w:pPr>
            <w:r>
              <w:rPr>
                <w:rFonts w:hint="eastAsia" w:ascii="宋体" w:hAnsi="宋体" w:cs="宋体"/>
                <w:szCs w:val="21"/>
              </w:rPr>
              <w:t>f. 把手：D型，规格为128mm；不锈钢材质圆形截面一体成形，极易清洁。</w:t>
            </w:r>
          </w:p>
          <w:p>
            <w:pPr>
              <w:rPr>
                <w:rFonts w:ascii="宋体" w:hAnsi="宋体" w:cs="宋体"/>
                <w:szCs w:val="21"/>
              </w:rPr>
            </w:pPr>
          </w:p>
          <w:p>
            <w:pPr>
              <w:ind w:left="738" w:hanging="738" w:hangingChars="350"/>
              <w:rPr>
                <w:rFonts w:ascii="宋体" w:hAnsi="宋体" w:cs="宋体"/>
                <w:b/>
                <w:bCs/>
                <w:szCs w:val="21"/>
              </w:rPr>
            </w:pPr>
            <w:r>
              <w:rPr>
                <w:rFonts w:hint="eastAsia" w:ascii="宋体" w:hAnsi="宋体" w:cs="宋体"/>
                <w:b/>
                <w:bCs/>
                <w:szCs w:val="21"/>
              </w:rPr>
              <w:t>5. 天平台</w:t>
            </w:r>
          </w:p>
          <w:p>
            <w:pPr>
              <w:ind w:left="630" w:hanging="630" w:hangingChars="300"/>
              <w:rPr>
                <w:rFonts w:ascii="宋体" w:hAnsi="宋体" w:cs="宋体"/>
                <w:szCs w:val="21"/>
              </w:rPr>
            </w:pPr>
            <w:r>
              <w:rPr>
                <w:rFonts w:hint="eastAsia" w:ascii="宋体" w:hAnsi="宋体" w:cs="宋体"/>
                <w:szCs w:val="21"/>
              </w:rPr>
              <w:t>5.1  主要用途：实验室摆放精密天平。</w:t>
            </w:r>
          </w:p>
          <w:p>
            <w:pPr>
              <w:ind w:left="630" w:hanging="630" w:hangingChars="300"/>
              <w:rPr>
                <w:rFonts w:ascii="宋体" w:hAnsi="宋体" w:cs="宋体"/>
                <w:szCs w:val="21"/>
              </w:rPr>
            </w:pPr>
            <w:r>
              <w:rPr>
                <w:rFonts w:hint="eastAsia" w:ascii="宋体" w:hAnsi="宋体" w:cs="宋体"/>
                <w:szCs w:val="21"/>
              </w:rPr>
              <w:t>5.2  基本要求： 安装方便美观与其它家具搭配协调，抗震。</w:t>
            </w:r>
          </w:p>
          <w:p>
            <w:pPr>
              <w:ind w:left="630" w:hanging="630" w:hangingChars="300"/>
              <w:rPr>
                <w:rFonts w:ascii="宋体" w:hAnsi="宋体" w:cs="宋体"/>
                <w:szCs w:val="21"/>
              </w:rPr>
            </w:pPr>
            <w:r>
              <w:rPr>
                <w:rFonts w:hint="eastAsia" w:ascii="宋体" w:hAnsi="宋体" w:cs="宋体"/>
                <w:szCs w:val="21"/>
              </w:rPr>
              <w:t>5.3  结构要求： 防震。</w:t>
            </w:r>
          </w:p>
          <w:p>
            <w:pPr>
              <w:ind w:left="630" w:hanging="630" w:hangingChars="300"/>
              <w:rPr>
                <w:rFonts w:ascii="宋体" w:hAnsi="宋体" w:cs="宋体"/>
                <w:szCs w:val="21"/>
              </w:rPr>
            </w:pPr>
            <w:r>
              <w:rPr>
                <w:rFonts w:hint="eastAsia" w:ascii="宋体" w:hAnsi="宋体" w:cs="宋体"/>
                <w:szCs w:val="21"/>
              </w:rPr>
              <w:t>5.4  技术参数</w:t>
            </w:r>
          </w:p>
          <w:p>
            <w:pPr>
              <w:ind w:left="630" w:hanging="630" w:hangingChars="300"/>
              <w:rPr>
                <w:rFonts w:ascii="宋体" w:hAnsi="宋体" w:cs="宋体"/>
                <w:szCs w:val="21"/>
              </w:rPr>
            </w:pPr>
            <w:r>
              <w:rPr>
                <w:rFonts w:hint="eastAsia" w:ascii="宋体" w:hAnsi="宋体" w:cs="宋体"/>
                <w:szCs w:val="21"/>
              </w:rPr>
              <w:t>5.4.1  规格尺寸：900*600*850mm</w:t>
            </w:r>
          </w:p>
          <w:p>
            <w:pPr>
              <w:ind w:left="630" w:hanging="630" w:hangingChars="300"/>
              <w:rPr>
                <w:rFonts w:ascii="宋体" w:hAnsi="宋体" w:cs="宋体"/>
                <w:szCs w:val="21"/>
              </w:rPr>
            </w:pPr>
            <w:r>
              <w:rPr>
                <w:rFonts w:hint="eastAsia" w:ascii="宋体" w:hAnsi="宋体" w:cs="宋体"/>
                <w:szCs w:val="21"/>
              </w:rPr>
              <w:t>5.4.2  主体结构：内外双层结构</w:t>
            </w:r>
          </w:p>
          <w:p>
            <w:pPr>
              <w:ind w:left="630" w:hanging="630" w:hangingChars="300"/>
              <w:rPr>
                <w:rFonts w:ascii="宋体" w:hAnsi="宋体" w:cs="宋体"/>
                <w:szCs w:val="21"/>
              </w:rPr>
            </w:pPr>
            <w:r>
              <w:rPr>
                <w:rFonts w:hint="eastAsia" w:ascii="宋体" w:hAnsi="宋体" w:cs="宋体"/>
                <w:szCs w:val="21"/>
              </w:rPr>
              <w:t>5.4.3  外部支撑：钢制框架应采用至少2mm厚优质方钢，经酸洗磷化表面环氧树脂粉末喷塑厚度达80-100μm，整体焊接成型制作，与台面之间安装防震橡胶；</w:t>
            </w:r>
          </w:p>
          <w:p>
            <w:pPr>
              <w:ind w:left="630" w:hanging="630" w:hangingChars="300"/>
              <w:rPr>
                <w:rFonts w:ascii="宋体" w:hAnsi="宋体" w:cs="宋体"/>
                <w:szCs w:val="21"/>
              </w:rPr>
            </w:pPr>
            <w:r>
              <w:rPr>
                <w:rFonts w:hint="eastAsia" w:ascii="宋体" w:hAnsi="宋体" w:cs="宋体"/>
                <w:szCs w:val="21"/>
              </w:rPr>
              <w:t>5.4.4  中间防震台面：采用符合相关室内辐射标准的厚度≥40mm的高品质大理石；</w:t>
            </w:r>
          </w:p>
          <w:p>
            <w:pPr>
              <w:rPr>
                <w:rFonts w:ascii="宋体" w:hAnsi="宋体" w:cs="宋体"/>
                <w:szCs w:val="21"/>
              </w:rPr>
            </w:pPr>
          </w:p>
          <w:p>
            <w:pPr>
              <w:ind w:left="738" w:hanging="738" w:hangingChars="350"/>
              <w:rPr>
                <w:rFonts w:ascii="宋体" w:hAnsi="宋体" w:cs="宋体"/>
                <w:b/>
                <w:bCs/>
                <w:szCs w:val="21"/>
              </w:rPr>
            </w:pPr>
            <w:r>
              <w:rPr>
                <w:rFonts w:hint="eastAsia" w:ascii="宋体" w:hAnsi="宋体" w:cs="宋体"/>
                <w:b/>
                <w:bCs/>
                <w:szCs w:val="21"/>
              </w:rPr>
              <w:t>6. 防爆储存柜</w:t>
            </w:r>
          </w:p>
          <w:p>
            <w:pPr>
              <w:ind w:left="630" w:hanging="630" w:hangingChars="300"/>
              <w:rPr>
                <w:rFonts w:ascii="宋体" w:hAnsi="宋体" w:cs="宋体"/>
                <w:szCs w:val="21"/>
              </w:rPr>
            </w:pPr>
            <w:r>
              <w:rPr>
                <w:rFonts w:hint="eastAsia" w:ascii="宋体" w:hAnsi="宋体" w:cs="宋体"/>
                <w:szCs w:val="21"/>
              </w:rPr>
              <w:t>6.1  主要用途：储存受限试剂。</w:t>
            </w:r>
          </w:p>
          <w:p>
            <w:pPr>
              <w:ind w:left="630" w:hanging="630" w:hangingChars="300"/>
              <w:rPr>
                <w:rFonts w:ascii="宋体" w:hAnsi="宋体" w:cs="宋体"/>
                <w:szCs w:val="21"/>
              </w:rPr>
            </w:pPr>
            <w:r>
              <w:rPr>
                <w:rFonts w:hint="eastAsia" w:ascii="宋体" w:hAnsi="宋体" w:cs="宋体"/>
                <w:szCs w:val="21"/>
              </w:rPr>
              <w:t>6.2  基本要求：双锁设计，符合公安部相关要求。外部尺寸：1090（W）*460（D）*1650（H）mm</w:t>
            </w:r>
          </w:p>
          <w:p>
            <w:pPr>
              <w:ind w:left="630" w:hanging="630" w:hangingChars="300"/>
              <w:rPr>
                <w:rFonts w:ascii="宋体" w:hAnsi="宋体" w:cs="宋体"/>
                <w:szCs w:val="21"/>
              </w:rPr>
            </w:pPr>
            <w:r>
              <w:rPr>
                <w:rFonts w:hint="eastAsia" w:ascii="宋体" w:hAnsi="宋体" w:cs="宋体"/>
                <w:szCs w:val="21"/>
              </w:rPr>
              <w:t>6.3  结构要求：落地式，双开钢制门，配锁。</w:t>
            </w:r>
          </w:p>
          <w:p>
            <w:pPr>
              <w:ind w:left="630" w:hanging="630" w:hangingChars="300"/>
              <w:rPr>
                <w:rFonts w:ascii="宋体" w:hAnsi="宋体" w:cs="宋体"/>
                <w:szCs w:val="21"/>
              </w:rPr>
            </w:pPr>
            <w:r>
              <w:rPr>
                <w:rFonts w:hint="eastAsia" w:ascii="宋体" w:hAnsi="宋体" w:cs="宋体"/>
                <w:szCs w:val="21"/>
              </w:rPr>
              <w:t>6.4  技术参数</w:t>
            </w:r>
          </w:p>
          <w:p>
            <w:pPr>
              <w:ind w:left="630" w:hanging="630" w:hangingChars="300"/>
              <w:rPr>
                <w:rFonts w:ascii="宋体" w:hAnsi="宋体" w:cs="宋体"/>
                <w:szCs w:val="21"/>
              </w:rPr>
            </w:pPr>
            <w:r>
              <w:rPr>
                <w:rFonts w:hint="eastAsia" w:ascii="宋体" w:hAnsi="宋体" w:cs="宋体"/>
                <w:szCs w:val="21"/>
              </w:rPr>
              <w:t>6.4.1  柜体</w:t>
            </w:r>
          </w:p>
          <w:p>
            <w:pPr>
              <w:ind w:left="533" w:leftChars="254"/>
              <w:rPr>
                <w:rFonts w:ascii="宋体" w:hAnsi="宋体" w:cs="宋体"/>
                <w:szCs w:val="21"/>
              </w:rPr>
            </w:pPr>
            <w:r>
              <w:rPr>
                <w:rFonts w:hint="eastAsia" w:ascii="宋体" w:hAnsi="宋体" w:cs="宋体"/>
                <w:szCs w:val="21"/>
              </w:rPr>
              <w:t>a. 柜体颜色为黄色。</w:t>
            </w:r>
          </w:p>
          <w:p>
            <w:pPr>
              <w:ind w:left="533" w:leftChars="254"/>
              <w:rPr>
                <w:rFonts w:ascii="宋体" w:hAnsi="宋体" w:cs="宋体"/>
                <w:szCs w:val="21"/>
              </w:rPr>
            </w:pPr>
            <w:r>
              <w:rPr>
                <w:rFonts w:hint="eastAsia" w:ascii="宋体" w:hAnsi="宋体" w:cs="宋体"/>
                <w:szCs w:val="21"/>
              </w:rPr>
              <w:t>b. 柜体为环氧树脂喷涂镀锌冷轧钢材质，防化、防潮、耐高温以及耐磨。</w:t>
            </w:r>
          </w:p>
          <w:p>
            <w:pPr>
              <w:ind w:left="533" w:leftChars="254"/>
              <w:rPr>
                <w:rFonts w:ascii="宋体" w:hAnsi="宋体" w:cs="宋体"/>
                <w:szCs w:val="21"/>
              </w:rPr>
            </w:pPr>
            <w:r>
              <w:rPr>
                <w:rFonts w:hint="eastAsia" w:ascii="宋体" w:hAnsi="宋体" w:cs="宋体"/>
                <w:szCs w:val="21"/>
              </w:rPr>
              <w:t>c. 柜体采用宝钢冷轧镀锌钢板，厚度≥1.2mm +/- 0.07mm，表面均经静电及磷化处理，环氧树脂喷涂厚度≥75um。</w:t>
            </w:r>
          </w:p>
          <w:p>
            <w:pPr>
              <w:ind w:left="533" w:leftChars="254"/>
              <w:rPr>
                <w:rFonts w:ascii="宋体" w:hAnsi="宋体" w:cs="宋体"/>
                <w:szCs w:val="21"/>
              </w:rPr>
            </w:pPr>
            <w:r>
              <w:rPr>
                <w:rFonts w:hint="eastAsia" w:ascii="宋体" w:hAnsi="宋体" w:cs="宋体"/>
                <w:szCs w:val="21"/>
              </w:rPr>
              <w:t>d. 柜体为双层结构柜体，柜体侧面有排风口，可以连接排风。</w:t>
            </w:r>
          </w:p>
          <w:p>
            <w:pPr>
              <w:ind w:left="630" w:hanging="630" w:hangingChars="300"/>
              <w:rPr>
                <w:rFonts w:ascii="宋体" w:hAnsi="宋体" w:cs="宋体"/>
                <w:szCs w:val="21"/>
              </w:rPr>
            </w:pPr>
            <w:r>
              <w:rPr>
                <w:rFonts w:hint="eastAsia" w:ascii="宋体" w:hAnsi="宋体" w:cs="宋体"/>
                <w:szCs w:val="21"/>
              </w:rPr>
              <w:t>6.4.2  柜门</w:t>
            </w:r>
          </w:p>
          <w:p>
            <w:pPr>
              <w:ind w:left="542" w:leftChars="258"/>
              <w:rPr>
                <w:rFonts w:ascii="宋体" w:hAnsi="宋体" w:cs="宋体"/>
                <w:szCs w:val="21"/>
              </w:rPr>
            </w:pPr>
            <w:r>
              <w:rPr>
                <w:rFonts w:hint="eastAsia" w:ascii="宋体" w:hAnsi="宋体" w:cs="宋体"/>
                <w:szCs w:val="21"/>
              </w:rPr>
              <w:t>a. 黄色，环氧树脂喷涂进口镀锌冷轧钢材质，防化、防潮、耐高温以及耐磨。</w:t>
            </w:r>
          </w:p>
          <w:p>
            <w:pPr>
              <w:ind w:left="533" w:leftChars="254"/>
              <w:rPr>
                <w:rFonts w:ascii="宋体" w:hAnsi="宋体" w:cs="宋体"/>
                <w:szCs w:val="21"/>
              </w:rPr>
            </w:pPr>
            <w:r>
              <w:rPr>
                <w:rFonts w:hint="eastAsia" w:ascii="宋体" w:hAnsi="宋体" w:cs="宋体"/>
                <w:szCs w:val="21"/>
              </w:rPr>
              <w:t>b. 柜门面板采用宝钢冷轧镀锌钢板，厚度≥1.2mm +/- 0.07mm，表面均经静电及磷化处理，环氧树脂喷涂厚度≥75um。</w:t>
            </w:r>
          </w:p>
          <w:p>
            <w:pPr>
              <w:ind w:firstLine="525" w:firstLineChars="250"/>
              <w:rPr>
                <w:rFonts w:ascii="宋体" w:hAnsi="宋体" w:cs="宋体"/>
                <w:szCs w:val="21"/>
              </w:rPr>
            </w:pPr>
            <w:r>
              <w:rPr>
                <w:rFonts w:hint="eastAsia" w:ascii="宋体" w:hAnsi="宋体" w:cs="宋体"/>
                <w:szCs w:val="21"/>
              </w:rPr>
              <w:t>c. 柜门面板双层设计；</w:t>
            </w:r>
          </w:p>
          <w:p>
            <w:pPr>
              <w:ind w:left="542" w:leftChars="258"/>
              <w:rPr>
                <w:rFonts w:ascii="宋体" w:hAnsi="宋体" w:cs="宋体"/>
                <w:szCs w:val="21"/>
              </w:rPr>
            </w:pPr>
            <w:r>
              <w:rPr>
                <w:rFonts w:hint="eastAsia" w:ascii="宋体" w:hAnsi="宋体" w:cs="宋体"/>
                <w:szCs w:val="21"/>
              </w:rPr>
              <w:t>d. 柜门铰链采用钢琴式铰链，采用三点联动的门栓结构，双锁结构，需要两套钥匙才能打开柜门。</w:t>
            </w:r>
          </w:p>
          <w:p>
            <w:pPr>
              <w:ind w:left="630" w:hanging="630" w:hangingChars="300"/>
              <w:rPr>
                <w:rFonts w:ascii="宋体" w:hAnsi="宋体" w:cs="宋体"/>
                <w:szCs w:val="21"/>
              </w:rPr>
            </w:pPr>
            <w:r>
              <w:rPr>
                <w:rFonts w:hint="eastAsia" w:ascii="宋体" w:hAnsi="宋体" w:cs="宋体"/>
                <w:szCs w:val="21"/>
              </w:rPr>
              <w:t>6.4.3  层板</w:t>
            </w:r>
          </w:p>
          <w:p>
            <w:pPr>
              <w:ind w:left="542" w:leftChars="258"/>
              <w:rPr>
                <w:rFonts w:ascii="宋体" w:hAnsi="宋体" w:cs="宋体"/>
                <w:szCs w:val="21"/>
              </w:rPr>
            </w:pPr>
            <w:r>
              <w:rPr>
                <w:rFonts w:hint="eastAsia" w:ascii="宋体" w:hAnsi="宋体" w:cs="宋体"/>
                <w:szCs w:val="21"/>
              </w:rPr>
              <w:t xml:space="preserve">  a. 层板采用宝钢冷轧镀锌钢板，厚度≥1.2mm +/- 0.07mm，</w:t>
            </w:r>
          </w:p>
          <w:p>
            <w:pPr>
              <w:ind w:left="542" w:leftChars="258" w:firstLine="210" w:firstLineChars="100"/>
              <w:rPr>
                <w:rFonts w:ascii="宋体" w:hAnsi="宋体" w:cs="宋体"/>
                <w:szCs w:val="21"/>
              </w:rPr>
            </w:pPr>
            <w:r>
              <w:rPr>
                <w:rFonts w:hint="eastAsia" w:ascii="宋体" w:hAnsi="宋体" w:cs="宋体"/>
                <w:szCs w:val="21"/>
              </w:rPr>
              <w:t>c. 特殊储存柜内配置2块活动层板，每50mm可自由上下调节高度。</w:t>
            </w:r>
          </w:p>
          <w:p>
            <w:pPr>
              <w:rPr>
                <w:rFonts w:ascii="宋体" w:hAnsi="宋体" w:cs="宋体"/>
                <w:szCs w:val="21"/>
              </w:rPr>
            </w:pPr>
          </w:p>
          <w:p>
            <w:pPr>
              <w:ind w:left="738" w:hanging="738" w:hangingChars="350"/>
              <w:rPr>
                <w:rFonts w:ascii="宋体" w:hAnsi="宋体" w:cs="宋体"/>
                <w:b/>
                <w:bCs/>
                <w:szCs w:val="21"/>
              </w:rPr>
            </w:pPr>
            <w:r>
              <w:rPr>
                <w:rFonts w:hint="eastAsia" w:ascii="宋体" w:hAnsi="宋体" w:cs="宋体"/>
                <w:b/>
                <w:bCs/>
                <w:szCs w:val="21"/>
              </w:rPr>
              <w:t>7. 实验室家具配件</w:t>
            </w:r>
          </w:p>
          <w:p>
            <w:pPr>
              <w:rPr>
                <w:rFonts w:ascii="宋体" w:hAnsi="宋体" w:cs="宋体"/>
                <w:szCs w:val="21"/>
              </w:rPr>
            </w:pPr>
            <w:r>
              <w:rPr>
                <w:rFonts w:hint="eastAsia" w:ascii="宋体" w:hAnsi="宋体" w:cs="宋体"/>
                <w:szCs w:val="21"/>
              </w:rPr>
              <w:t>7.1  PP水盆</w:t>
            </w:r>
          </w:p>
          <w:p>
            <w:pPr>
              <w:ind w:left="533" w:leftChars="254"/>
              <w:rPr>
                <w:rFonts w:ascii="宋体" w:hAnsi="宋体" w:cs="宋体"/>
                <w:szCs w:val="21"/>
              </w:rPr>
            </w:pPr>
            <w:r>
              <w:rPr>
                <w:rFonts w:hint="eastAsia" w:ascii="宋体" w:hAnsi="宋体" w:cs="宋体"/>
                <w:szCs w:val="21"/>
              </w:rPr>
              <w:t xml:space="preserve">  a. 水槽尺寸为：550*450*300；</w:t>
            </w:r>
          </w:p>
          <w:p>
            <w:pPr>
              <w:ind w:left="533" w:leftChars="254"/>
              <w:rPr>
                <w:rFonts w:ascii="宋体" w:hAnsi="宋体" w:cs="宋体"/>
                <w:szCs w:val="21"/>
              </w:rPr>
            </w:pPr>
            <w:r>
              <w:rPr>
                <w:rFonts w:hint="eastAsia" w:ascii="宋体" w:hAnsi="宋体" w:cs="宋体"/>
                <w:szCs w:val="21"/>
              </w:rPr>
              <w:t xml:space="preserve">  b. 材质：高强度PP新料注塑成型，致密性高，稳定性强，并具弹性、韧性，不易老化变形。耐强酸碱及有机溶剂；</w:t>
            </w:r>
          </w:p>
          <w:p>
            <w:pPr>
              <w:ind w:left="533" w:leftChars="254"/>
              <w:rPr>
                <w:rFonts w:ascii="宋体" w:hAnsi="宋体" w:cs="宋体"/>
                <w:szCs w:val="21"/>
              </w:rPr>
            </w:pPr>
            <w:r>
              <w:rPr>
                <w:rFonts w:hint="eastAsia" w:ascii="宋体" w:hAnsi="宋体" w:cs="宋体"/>
                <w:szCs w:val="21"/>
              </w:rPr>
              <w:t xml:space="preserve">  c. 内部附有滤水垫片、滤水提笼及塑料止水盖，</w:t>
            </w:r>
          </w:p>
          <w:p>
            <w:pPr>
              <w:ind w:left="533" w:leftChars="254" w:firstLine="210" w:firstLineChars="100"/>
              <w:rPr>
                <w:rFonts w:ascii="宋体" w:hAnsi="宋体" w:cs="宋体"/>
                <w:szCs w:val="21"/>
              </w:rPr>
            </w:pPr>
            <w:r>
              <w:rPr>
                <w:rFonts w:hint="eastAsia" w:ascii="宋体" w:hAnsi="宋体" w:cs="宋体"/>
                <w:szCs w:val="21"/>
              </w:rPr>
              <w:t>d. 配置PP防虹吸瓶式存水器，防止下水管道中臭气回流</w:t>
            </w:r>
          </w:p>
          <w:p>
            <w:pPr>
              <w:ind w:left="533" w:leftChars="254" w:firstLine="105" w:firstLineChars="50"/>
              <w:rPr>
                <w:rFonts w:ascii="宋体" w:hAnsi="宋体" w:cs="宋体"/>
                <w:szCs w:val="21"/>
              </w:rPr>
            </w:pPr>
          </w:p>
          <w:p>
            <w:pPr>
              <w:rPr>
                <w:rFonts w:ascii="宋体" w:hAnsi="宋体" w:cs="宋体"/>
                <w:szCs w:val="21"/>
              </w:rPr>
            </w:pPr>
            <w:r>
              <w:rPr>
                <w:rFonts w:hint="eastAsia" w:ascii="宋体" w:hAnsi="宋体" w:cs="宋体"/>
                <w:szCs w:val="21"/>
              </w:rPr>
              <w:t>7.2  三孔水龙头</w:t>
            </w:r>
          </w:p>
          <w:p>
            <w:pPr>
              <w:ind w:left="533" w:leftChars="254"/>
              <w:rPr>
                <w:rFonts w:ascii="宋体" w:hAnsi="宋体" w:cs="宋体"/>
                <w:szCs w:val="21"/>
              </w:rPr>
            </w:pPr>
            <w:r>
              <w:rPr>
                <w:rFonts w:hint="eastAsia" w:ascii="宋体" w:hAnsi="宋体" w:cs="宋体"/>
                <w:szCs w:val="21"/>
              </w:rPr>
              <w:t>a. 阀体：采用高品质黄铜，表面经50</w:t>
            </w:r>
            <w:r>
              <w:rPr>
                <w:rFonts w:hint="eastAsia" w:ascii="宋体" w:hAnsi="宋体" w:cs="宋体"/>
                <w:bCs/>
                <w:szCs w:val="21"/>
              </w:rPr>
              <w:t xml:space="preserve"> um以上环氧树酯粉末静电喷涂，</w:t>
            </w:r>
          </w:p>
          <w:p>
            <w:pPr>
              <w:ind w:left="533" w:leftChars="254"/>
              <w:rPr>
                <w:rFonts w:ascii="宋体" w:hAnsi="宋体" w:cs="宋体"/>
                <w:szCs w:val="21"/>
              </w:rPr>
            </w:pPr>
            <w:r>
              <w:rPr>
                <w:rFonts w:hint="eastAsia" w:ascii="宋体" w:hAnsi="宋体" w:cs="宋体"/>
                <w:szCs w:val="21"/>
              </w:rPr>
              <w:t>b. 把手：PP材质，采用PP圆形标识；</w:t>
            </w:r>
          </w:p>
          <w:p>
            <w:pPr>
              <w:ind w:left="533" w:leftChars="254"/>
              <w:rPr>
                <w:rFonts w:ascii="宋体" w:hAnsi="宋体" w:cs="宋体"/>
                <w:szCs w:val="21"/>
              </w:rPr>
            </w:pPr>
            <w:r>
              <w:rPr>
                <w:rFonts w:hint="eastAsia" w:ascii="宋体" w:hAnsi="宋体" w:cs="宋体"/>
                <w:szCs w:val="21"/>
              </w:rPr>
              <w:t>c. 水嘴：可拆卸式铜质水嘴，符合ISO 288/4标准。</w:t>
            </w:r>
          </w:p>
          <w:p>
            <w:pPr>
              <w:rPr>
                <w:rFonts w:ascii="宋体" w:hAnsi="宋体" w:cs="宋体"/>
                <w:szCs w:val="21"/>
              </w:rPr>
            </w:pPr>
            <w:r>
              <w:rPr>
                <w:rFonts w:hint="eastAsia" w:ascii="宋体" w:hAnsi="宋体" w:cs="宋体"/>
                <w:szCs w:val="21"/>
              </w:rPr>
              <w:t>7.3  PP滴水架</w:t>
            </w:r>
          </w:p>
          <w:p>
            <w:pPr>
              <w:ind w:left="533" w:leftChars="254"/>
              <w:rPr>
                <w:rFonts w:ascii="宋体" w:hAnsi="宋体" w:cs="宋体"/>
                <w:szCs w:val="21"/>
              </w:rPr>
            </w:pPr>
            <w:r>
              <w:rPr>
                <w:rFonts w:hint="eastAsia" w:ascii="宋体" w:hAnsi="宋体" w:cs="宋体"/>
                <w:szCs w:val="21"/>
              </w:rPr>
              <w:t>a. 轻质量，高强度，容易组装和拆卸，可放在水槽边，PP材质，滴水架钉子呈竖直的40°角，用于置放各种实验室玻璃器皿。</w:t>
            </w:r>
          </w:p>
          <w:p>
            <w:pPr>
              <w:ind w:left="533" w:leftChars="254"/>
              <w:rPr>
                <w:rFonts w:ascii="宋体" w:hAnsi="宋体" w:cs="宋体"/>
                <w:szCs w:val="21"/>
              </w:rPr>
            </w:pPr>
            <w:r>
              <w:rPr>
                <w:rFonts w:hint="eastAsia" w:ascii="宋体" w:hAnsi="宋体" w:cs="宋体"/>
                <w:szCs w:val="21"/>
              </w:rPr>
              <w:t>b. 滴水架钉子可以由使用者来选者以便适应大型的器皿置放。</w:t>
            </w:r>
          </w:p>
          <w:p>
            <w:pPr>
              <w:ind w:left="533" w:leftChars="254"/>
              <w:rPr>
                <w:rFonts w:ascii="宋体" w:hAnsi="宋体" w:cs="宋体"/>
                <w:szCs w:val="21"/>
              </w:rPr>
            </w:pPr>
            <w:r>
              <w:rPr>
                <w:rFonts w:hint="eastAsia" w:ascii="宋体" w:hAnsi="宋体" w:cs="宋体"/>
                <w:szCs w:val="21"/>
              </w:rPr>
              <w:t>c. 倾斜的设计能够使液体轻易快捷的排走。</w:t>
            </w:r>
          </w:p>
          <w:p>
            <w:pPr>
              <w:rPr>
                <w:rFonts w:ascii="宋体" w:hAnsi="宋体" w:cs="宋体"/>
                <w:szCs w:val="21"/>
              </w:rPr>
            </w:pPr>
            <w:r>
              <w:rPr>
                <w:rFonts w:hint="eastAsia" w:ascii="宋体" w:hAnsi="宋体" w:cs="宋体"/>
                <w:szCs w:val="21"/>
              </w:rPr>
              <w:t>7.4  紧急冲淋+洗眼器</w:t>
            </w:r>
          </w:p>
          <w:p>
            <w:pPr>
              <w:ind w:left="533" w:leftChars="254"/>
              <w:rPr>
                <w:rFonts w:ascii="宋体" w:hAnsi="宋体" w:cs="宋体"/>
                <w:szCs w:val="21"/>
              </w:rPr>
            </w:pPr>
            <w:r>
              <w:rPr>
                <w:rFonts w:hint="eastAsia" w:ascii="宋体" w:hAnsi="宋体" w:cs="宋体"/>
                <w:szCs w:val="21"/>
              </w:rPr>
              <w:t xml:space="preserve">a. </w:t>
            </w:r>
            <w:r>
              <w:rPr>
                <w:rFonts w:hint="eastAsia" w:ascii="宋体" w:hAnsi="宋体" w:cs="宋体"/>
                <w:bCs/>
                <w:szCs w:val="21"/>
              </w:rPr>
              <w:t>独立式安装，冲淋与洗眼器组合式</w:t>
            </w:r>
            <w:r>
              <w:rPr>
                <w:rFonts w:hint="eastAsia" w:ascii="宋体" w:hAnsi="宋体" w:cs="宋体"/>
                <w:szCs w:val="21"/>
              </w:rPr>
              <w:t>。蓬头出水设计，内置不锈钢过滤网。双头洗眼器，配有橡胶护杯以及防尘盖。</w:t>
            </w:r>
          </w:p>
          <w:p>
            <w:pPr>
              <w:rPr>
                <w:rFonts w:ascii="宋体" w:hAnsi="宋体" w:cs="宋体"/>
                <w:szCs w:val="21"/>
              </w:rPr>
            </w:pPr>
            <w:r>
              <w:rPr>
                <w:rFonts w:hint="eastAsia" w:ascii="宋体" w:hAnsi="宋体" w:cs="宋体"/>
                <w:szCs w:val="21"/>
              </w:rPr>
              <w:t>7.5 万向抽气罩</w:t>
            </w:r>
          </w:p>
          <w:p>
            <w:pPr>
              <w:ind w:left="630" w:hanging="630" w:hangingChars="300"/>
              <w:rPr>
                <w:rFonts w:ascii="宋体" w:hAnsi="宋体" w:cs="宋体"/>
                <w:szCs w:val="21"/>
              </w:rPr>
            </w:pPr>
            <w:r>
              <w:rPr>
                <w:rFonts w:hint="eastAsia" w:ascii="宋体" w:hAnsi="宋体" w:cs="宋体"/>
                <w:szCs w:val="21"/>
              </w:rPr>
              <w:t xml:space="preserve">     a .排气管材质为PP材质，直径75mm，集气罩材质PC透明材质，直径375mm；关节颜色为红色，可以调节松紧，转动和调节方向灵活，调节到位后，抽气罩不会自行下坠或晃动。 </w:t>
            </w:r>
          </w:p>
          <w:p>
            <w:pPr>
              <w:rPr>
                <w:rFonts w:ascii="宋体" w:hAnsi="宋体" w:cs="宋体"/>
                <w:szCs w:val="21"/>
              </w:rPr>
            </w:pPr>
            <w:r>
              <w:rPr>
                <w:rFonts w:hint="eastAsia" w:ascii="宋体" w:hAnsi="宋体" w:cs="宋体"/>
                <w:szCs w:val="21"/>
              </w:rPr>
              <w:t>7.6 不锈钢抽气罩</w:t>
            </w:r>
          </w:p>
          <w:p>
            <w:pPr>
              <w:ind w:left="630" w:hanging="630" w:hangingChars="300"/>
              <w:rPr>
                <w:rFonts w:ascii="宋体" w:hAnsi="宋体" w:cs="宋体"/>
                <w:szCs w:val="21"/>
              </w:rPr>
            </w:pPr>
            <w:r>
              <w:rPr>
                <w:rFonts w:hint="eastAsia" w:ascii="宋体" w:hAnsi="宋体" w:cs="宋体"/>
                <w:szCs w:val="21"/>
              </w:rPr>
              <w:t xml:space="preserve">     a .材质：304拉丝不锈钢，厚度1.2mm；要求焊接打磨美观，制作具有可升降调节功能，并配有手动调节阀，可以控制开度，调节风量；</w:t>
            </w:r>
          </w:p>
          <w:p>
            <w:pPr>
              <w:rPr>
                <w:rFonts w:ascii="宋体" w:hAnsi="宋体" w:cs="宋体"/>
                <w:szCs w:val="21"/>
              </w:rPr>
            </w:pPr>
            <w:r>
              <w:rPr>
                <w:rFonts w:hint="eastAsia" w:ascii="宋体" w:hAnsi="宋体" w:cs="宋体"/>
                <w:szCs w:val="21"/>
              </w:rPr>
              <w:t>7.7  电源插座及插座底盒</w:t>
            </w:r>
          </w:p>
          <w:p>
            <w:pPr>
              <w:rPr>
                <w:rFonts w:ascii="宋体" w:hAnsi="宋体" w:cs="宋体"/>
                <w:szCs w:val="21"/>
              </w:rPr>
            </w:pPr>
            <w:r>
              <w:rPr>
                <w:rFonts w:hint="eastAsia" w:ascii="宋体" w:hAnsi="宋体" w:cs="宋体"/>
                <w:szCs w:val="21"/>
              </w:rPr>
              <w:t>7.7.1 电源插座</w:t>
            </w:r>
          </w:p>
          <w:p>
            <w:pPr>
              <w:ind w:left="533" w:leftChars="254"/>
              <w:rPr>
                <w:rFonts w:ascii="宋体" w:hAnsi="宋体" w:cs="宋体"/>
                <w:szCs w:val="21"/>
              </w:rPr>
            </w:pPr>
            <w:r>
              <w:rPr>
                <w:rFonts w:hint="eastAsia" w:ascii="宋体" w:hAnsi="宋体" w:cs="宋体"/>
                <w:szCs w:val="21"/>
              </w:rPr>
              <w:t>a. 插座面板符合国家标准，提供220V/10A或220V/16A的插座面板。</w:t>
            </w:r>
          </w:p>
          <w:p>
            <w:pPr>
              <w:ind w:left="533" w:leftChars="254"/>
              <w:rPr>
                <w:rFonts w:ascii="宋体" w:hAnsi="宋体" w:cs="宋体"/>
                <w:szCs w:val="21"/>
                <w:highlight w:val="yellow"/>
              </w:rPr>
            </w:pPr>
            <w:r>
              <w:rPr>
                <w:rFonts w:hint="eastAsia" w:ascii="宋体" w:hAnsi="宋体" w:cs="宋体"/>
                <w:szCs w:val="21"/>
              </w:rPr>
              <w:t xml:space="preserve">b. </w:t>
            </w:r>
            <w:r>
              <w:rPr>
                <w:rFonts w:hint="eastAsia" w:ascii="宋体" w:hAnsi="宋体" w:cs="宋体"/>
                <w:szCs w:val="21"/>
                <w:highlight w:val="yellow"/>
              </w:rPr>
              <w:t>品牌</w:t>
            </w:r>
            <w:r>
              <w:rPr>
                <w:rFonts w:hint="eastAsia" w:ascii="宋体" w:hAnsi="宋体" w:cs="宋体"/>
                <w:szCs w:val="21"/>
                <w:highlight w:val="yellow"/>
                <w:lang w:eastAsia="zh-CN"/>
              </w:rPr>
              <w:t>等同于或高于</w:t>
            </w:r>
            <w:r>
              <w:rPr>
                <w:rFonts w:hint="eastAsia" w:ascii="宋体" w:hAnsi="宋体" w:cs="宋体"/>
                <w:szCs w:val="21"/>
                <w:highlight w:val="yellow"/>
              </w:rPr>
              <w:t>：Legrand，Siemens，Schneider。</w:t>
            </w:r>
          </w:p>
          <w:p>
            <w:pPr>
              <w:rPr>
                <w:rFonts w:ascii="宋体" w:hAnsi="宋体" w:cs="宋体"/>
                <w:szCs w:val="21"/>
              </w:rPr>
            </w:pPr>
            <w:r>
              <w:rPr>
                <w:rFonts w:hint="eastAsia" w:ascii="宋体" w:hAnsi="宋体" w:cs="宋体"/>
                <w:szCs w:val="21"/>
              </w:rPr>
              <w:t>7.7.2 插座底盒</w:t>
            </w:r>
          </w:p>
          <w:p>
            <w:pPr>
              <w:ind w:left="533" w:leftChars="254"/>
              <w:rPr>
                <w:rFonts w:ascii="宋体" w:hAnsi="宋体" w:cs="宋体"/>
                <w:szCs w:val="21"/>
              </w:rPr>
            </w:pPr>
            <w:r>
              <w:rPr>
                <w:rFonts w:hint="eastAsia" w:ascii="宋体" w:hAnsi="宋体" w:cs="宋体"/>
                <w:szCs w:val="21"/>
              </w:rPr>
              <w:t>a. 底盒采用宝钢冷轧镀锌钢板，厚度≥1.0mm +/- 0.07mm，表面均经静电及磷化处理，环氧树脂喷涂厚度≥75um。</w:t>
            </w:r>
          </w:p>
          <w:p>
            <w:pPr>
              <w:ind w:left="533" w:leftChars="254"/>
              <w:rPr>
                <w:rFonts w:ascii="宋体" w:hAnsi="宋体" w:cs="宋体"/>
                <w:szCs w:val="21"/>
              </w:rPr>
            </w:pPr>
            <w:r>
              <w:rPr>
                <w:rFonts w:hint="eastAsia" w:ascii="宋体" w:hAnsi="宋体" w:cs="宋体"/>
                <w:szCs w:val="21"/>
              </w:rPr>
              <w:t>b.插座使用一开八孔插座，每个插座都配单独开关控制；</w:t>
            </w:r>
          </w:p>
          <w:p>
            <w:pPr>
              <w:ind w:left="533" w:leftChars="254"/>
              <w:rPr>
                <w:rFonts w:ascii="宋体" w:hAnsi="宋体" w:cs="宋体"/>
                <w:szCs w:val="21"/>
              </w:rPr>
            </w:pPr>
            <w:r>
              <w:rPr>
                <w:rFonts w:hint="eastAsia" w:ascii="宋体" w:hAnsi="宋体" w:cs="宋体"/>
                <w:szCs w:val="21"/>
              </w:rPr>
              <w:t>c. 单组底盒满足双联插座的安装，斜面设计，方便使用。</w:t>
            </w:r>
          </w:p>
          <w:p>
            <w:pPr>
              <w:rPr>
                <w:rFonts w:ascii="宋体" w:hAnsi="宋体" w:cs="宋体"/>
                <w:szCs w:val="21"/>
              </w:rPr>
            </w:pPr>
            <w:r>
              <w:rPr>
                <w:rFonts w:hint="eastAsia" w:ascii="宋体" w:hAnsi="宋体" w:cs="宋体"/>
                <w:szCs w:val="21"/>
              </w:rPr>
              <w:t>7.8 试剂架</w:t>
            </w:r>
          </w:p>
          <w:p>
            <w:pPr>
              <w:ind w:left="420" w:leftChars="200"/>
              <w:rPr>
                <w:rFonts w:ascii="宋体" w:hAnsi="宋体" w:cs="宋体"/>
                <w:szCs w:val="21"/>
              </w:rPr>
            </w:pPr>
            <w:r>
              <w:rPr>
                <w:rFonts w:hint="eastAsia" w:ascii="宋体" w:hAnsi="宋体" w:cs="宋体"/>
                <w:szCs w:val="21"/>
              </w:rPr>
              <w:t>a . 基础要求，优质铝合金立柱配双层钢制托板架，中央台试剂架宽度300mm；</w:t>
            </w:r>
          </w:p>
          <w:p>
            <w:pPr>
              <w:ind w:left="420" w:leftChars="200"/>
              <w:rPr>
                <w:rFonts w:ascii="宋体" w:hAnsi="宋体" w:cs="宋体"/>
                <w:szCs w:val="21"/>
              </w:rPr>
            </w:pPr>
            <w:r>
              <w:rPr>
                <w:rFonts w:hint="eastAsia" w:ascii="宋体" w:hAnsi="宋体" w:cs="宋体"/>
                <w:szCs w:val="21"/>
              </w:rPr>
              <w:t>b .试剂架配两层钢制层板，层板高度可以调节，边缘有椭圆铝合金档杆；</w:t>
            </w:r>
          </w:p>
          <w:p>
            <w:pPr>
              <w:rPr>
                <w:rFonts w:ascii="宋体" w:hAnsi="宋体" w:cs="宋体"/>
                <w:szCs w:val="21"/>
              </w:rPr>
            </w:pPr>
          </w:p>
          <w:p>
            <w:pPr>
              <w:ind w:left="738" w:hanging="738" w:hangingChars="350"/>
              <w:rPr>
                <w:rFonts w:ascii="宋体" w:hAnsi="宋体" w:cs="宋体"/>
                <w:b/>
                <w:bCs/>
                <w:szCs w:val="21"/>
              </w:rPr>
            </w:pPr>
            <w:r>
              <w:rPr>
                <w:rFonts w:hint="eastAsia" w:ascii="宋体" w:hAnsi="宋体" w:cs="宋体"/>
                <w:b/>
                <w:bCs/>
                <w:szCs w:val="21"/>
              </w:rPr>
              <w:t>8. 实验室气体管路系统</w:t>
            </w:r>
          </w:p>
          <w:p>
            <w:pPr>
              <w:ind w:firstLine="420"/>
              <w:rPr>
                <w:rFonts w:ascii="宋体" w:hAnsi="宋体" w:cs="宋体"/>
                <w:kern w:val="0"/>
                <w:szCs w:val="21"/>
              </w:rPr>
            </w:pPr>
            <w:r>
              <w:rPr>
                <w:rFonts w:hint="eastAsia" w:ascii="宋体" w:hAnsi="宋体" w:cs="宋体"/>
                <w:szCs w:val="21"/>
              </w:rPr>
              <w:t>实验室气体集中供气系统工程包括包含但不限于一级减压阀</w:t>
            </w:r>
            <w:r>
              <w:rPr>
                <w:rFonts w:hint="eastAsia" w:ascii="宋体" w:hAnsi="宋体" w:cs="宋体"/>
                <w:kern w:val="0"/>
                <w:szCs w:val="21"/>
              </w:rPr>
              <w:t>面板、终端减压器、高压软管、钢瓶接头、阀体、卡套等设备的供货，还包括管路、接头、阀门等设备的安装、验收。</w:t>
            </w:r>
          </w:p>
          <w:p>
            <w:pPr>
              <w:rPr>
                <w:rFonts w:ascii="宋体" w:hAnsi="宋体" w:cs="宋体"/>
                <w:szCs w:val="21"/>
              </w:rPr>
            </w:pPr>
            <w:r>
              <w:rPr>
                <w:rFonts w:hint="eastAsia" w:ascii="宋体" w:hAnsi="宋体" w:cs="宋体"/>
                <w:szCs w:val="21"/>
              </w:rPr>
              <w:t>8.1  气体管路及接头</w:t>
            </w:r>
          </w:p>
          <w:p>
            <w:pPr>
              <w:ind w:left="533" w:leftChars="254"/>
              <w:rPr>
                <w:rFonts w:ascii="宋体" w:hAnsi="宋体" w:cs="宋体"/>
                <w:szCs w:val="21"/>
              </w:rPr>
            </w:pPr>
            <w:r>
              <w:rPr>
                <w:rFonts w:hint="eastAsia" w:ascii="宋体" w:hAnsi="宋体" w:cs="宋体"/>
                <w:szCs w:val="21"/>
              </w:rPr>
              <w:t>a. 管道材质：SS316L / BA级，高品质无缝不锈钢管道，适用6.0气体</w:t>
            </w:r>
          </w:p>
          <w:p>
            <w:pPr>
              <w:ind w:left="533" w:leftChars="254"/>
              <w:rPr>
                <w:rFonts w:ascii="宋体" w:hAnsi="宋体" w:cs="宋体"/>
                <w:szCs w:val="21"/>
              </w:rPr>
            </w:pPr>
            <w:r>
              <w:rPr>
                <w:rFonts w:hint="eastAsia" w:ascii="宋体" w:hAnsi="宋体" w:cs="宋体"/>
                <w:szCs w:val="21"/>
              </w:rPr>
              <w:t>b. 管：外径：1/4"（6.35mm），壁厚：0.89mm，规格：6m/支</w:t>
            </w:r>
          </w:p>
          <w:p>
            <w:pPr>
              <w:ind w:left="533" w:leftChars="254"/>
              <w:rPr>
                <w:rFonts w:ascii="宋体" w:hAnsi="宋体" w:cs="宋体"/>
                <w:szCs w:val="21"/>
              </w:rPr>
            </w:pPr>
            <w:r>
              <w:rPr>
                <w:rFonts w:hint="eastAsia" w:ascii="宋体" w:hAnsi="宋体" w:cs="宋体"/>
                <w:szCs w:val="21"/>
              </w:rPr>
              <w:t>c. 接头：母体材质：SS316L / BA级</w:t>
            </w:r>
          </w:p>
          <w:p>
            <w:pPr>
              <w:ind w:left="533" w:leftChars="254"/>
              <w:rPr>
                <w:rFonts w:ascii="宋体" w:hAnsi="宋体" w:cs="宋体"/>
                <w:szCs w:val="21"/>
              </w:rPr>
            </w:pPr>
            <w:r>
              <w:rPr>
                <w:rFonts w:hint="eastAsia" w:ascii="宋体" w:hAnsi="宋体" w:cs="宋体"/>
                <w:szCs w:val="21"/>
              </w:rPr>
              <w:t>d. 气体管路品牌</w:t>
            </w:r>
            <w:r>
              <w:rPr>
                <w:rFonts w:hint="eastAsia" w:ascii="宋体" w:hAnsi="宋体" w:cs="宋体"/>
                <w:szCs w:val="21"/>
                <w:lang w:eastAsia="zh-CN"/>
              </w:rPr>
              <w:t>等同于或高于</w:t>
            </w:r>
            <w:r>
              <w:rPr>
                <w:rFonts w:hint="eastAsia" w:ascii="宋体" w:hAnsi="宋体" w:cs="宋体"/>
                <w:szCs w:val="21"/>
              </w:rPr>
              <w:t>：SADVIK / VALEX / Dockweiler。</w:t>
            </w:r>
          </w:p>
          <w:p>
            <w:pPr>
              <w:ind w:left="533" w:leftChars="254"/>
              <w:rPr>
                <w:rFonts w:ascii="宋体" w:hAnsi="宋体" w:cs="宋体"/>
                <w:szCs w:val="21"/>
              </w:rPr>
            </w:pPr>
            <w:r>
              <w:rPr>
                <w:rFonts w:hint="eastAsia" w:ascii="宋体" w:hAnsi="宋体" w:cs="宋体"/>
                <w:szCs w:val="21"/>
              </w:rPr>
              <w:t>g. 接头品牌</w:t>
            </w:r>
            <w:r>
              <w:rPr>
                <w:rFonts w:hint="eastAsia" w:ascii="宋体" w:hAnsi="宋体" w:cs="宋体"/>
                <w:szCs w:val="21"/>
                <w:lang w:eastAsia="zh-CN"/>
              </w:rPr>
              <w:t>等同于或高于</w:t>
            </w:r>
            <w:r>
              <w:rPr>
                <w:rFonts w:hint="eastAsia" w:ascii="宋体" w:hAnsi="宋体" w:cs="宋体"/>
                <w:szCs w:val="21"/>
              </w:rPr>
              <w:t>：Uni-Lok / GPI</w:t>
            </w:r>
          </w:p>
          <w:p>
            <w:pPr>
              <w:ind w:left="533" w:leftChars="254"/>
              <w:rPr>
                <w:rFonts w:ascii="宋体" w:hAnsi="宋体" w:cs="宋体"/>
                <w:szCs w:val="21"/>
              </w:rPr>
            </w:pPr>
            <w:r>
              <w:rPr>
                <w:rFonts w:hint="eastAsia" w:ascii="宋体" w:hAnsi="宋体" w:cs="宋体"/>
                <w:szCs w:val="21"/>
              </w:rPr>
              <w:t xml:space="preserve"> / Parker</w:t>
            </w:r>
          </w:p>
          <w:p>
            <w:pPr>
              <w:rPr>
                <w:rFonts w:ascii="宋体" w:hAnsi="宋体" w:cs="宋体"/>
                <w:szCs w:val="21"/>
              </w:rPr>
            </w:pPr>
            <w:r>
              <w:rPr>
                <w:rFonts w:hint="eastAsia" w:ascii="宋体" w:hAnsi="宋体" w:cs="宋体"/>
                <w:szCs w:val="21"/>
              </w:rPr>
              <w:t>8.2  一级减压面板</w:t>
            </w:r>
          </w:p>
          <w:p>
            <w:pPr>
              <w:ind w:left="533" w:leftChars="254"/>
              <w:rPr>
                <w:rFonts w:ascii="宋体" w:hAnsi="宋体" w:cs="宋体"/>
                <w:szCs w:val="21"/>
              </w:rPr>
            </w:pPr>
            <w:r>
              <w:rPr>
                <w:rFonts w:hint="eastAsia" w:ascii="宋体" w:hAnsi="宋体" w:cs="宋体"/>
                <w:szCs w:val="21"/>
              </w:rPr>
              <w:t>a. 母体材质：312#不锈钢材质：哈氏合金C276</w:t>
            </w:r>
          </w:p>
          <w:p>
            <w:pPr>
              <w:ind w:left="533" w:leftChars="254"/>
              <w:rPr>
                <w:rFonts w:ascii="宋体" w:hAnsi="宋体" w:cs="宋体"/>
                <w:szCs w:val="21"/>
              </w:rPr>
            </w:pPr>
            <w:r>
              <w:rPr>
                <w:rFonts w:hint="eastAsia" w:ascii="宋体" w:hAnsi="宋体" w:cs="宋体"/>
                <w:szCs w:val="21"/>
              </w:rPr>
              <w:t>b. 进气压力：不低于200bar，出口压力0-16bar；</w:t>
            </w:r>
          </w:p>
          <w:p>
            <w:pPr>
              <w:ind w:left="533" w:leftChars="254"/>
              <w:rPr>
                <w:rFonts w:ascii="宋体" w:hAnsi="宋体" w:cs="宋体"/>
                <w:szCs w:val="21"/>
              </w:rPr>
            </w:pPr>
            <w:r>
              <w:rPr>
                <w:rFonts w:hint="eastAsia" w:ascii="宋体" w:hAnsi="宋体" w:cs="宋体"/>
                <w:szCs w:val="21"/>
              </w:rPr>
              <w:t>c. 减压器配有泄压阀，超过设定压力可以泄压，以保护二级减压器和仪器设备；</w:t>
            </w:r>
          </w:p>
          <w:p>
            <w:pPr>
              <w:ind w:left="533" w:leftChars="254"/>
              <w:rPr>
                <w:rFonts w:ascii="宋体" w:hAnsi="宋体" w:cs="宋体"/>
                <w:szCs w:val="21"/>
              </w:rPr>
            </w:pPr>
            <w:r>
              <w:rPr>
                <w:rFonts w:hint="eastAsia" w:ascii="宋体" w:hAnsi="宋体" w:cs="宋体"/>
                <w:szCs w:val="21"/>
              </w:rPr>
              <w:t>d. 隔膜阀：铜镀铬材质，氧气可通用型号，耐压不低于250bar，90度旋转控制；</w:t>
            </w:r>
          </w:p>
          <w:p>
            <w:pPr>
              <w:ind w:left="533" w:leftChars="254"/>
              <w:rPr>
                <w:rFonts w:ascii="宋体" w:hAnsi="宋体" w:cs="宋体"/>
                <w:szCs w:val="21"/>
              </w:rPr>
            </w:pPr>
            <w:r>
              <w:rPr>
                <w:rFonts w:hint="eastAsia" w:ascii="宋体" w:hAnsi="宋体" w:cs="宋体"/>
                <w:szCs w:val="21"/>
              </w:rPr>
              <w:t>e．提供厂家出具的本项目授权书</w:t>
            </w:r>
          </w:p>
          <w:p>
            <w:pPr>
              <w:ind w:left="533" w:leftChars="254"/>
              <w:rPr>
                <w:rFonts w:ascii="宋体" w:hAnsi="宋体" w:cs="宋体"/>
                <w:szCs w:val="21"/>
              </w:rPr>
            </w:pPr>
            <w:r>
              <w:rPr>
                <w:rFonts w:hint="eastAsia" w:ascii="宋体" w:hAnsi="宋体" w:cs="宋体"/>
                <w:szCs w:val="21"/>
              </w:rPr>
              <w:t>f. 参考品牌：等同于或高于GCE / Rotarex / Parker</w:t>
            </w:r>
          </w:p>
          <w:p>
            <w:pPr>
              <w:rPr>
                <w:rFonts w:ascii="宋体" w:hAnsi="宋体" w:cs="宋体"/>
                <w:szCs w:val="21"/>
              </w:rPr>
            </w:pPr>
          </w:p>
          <w:p>
            <w:pPr>
              <w:rPr>
                <w:rFonts w:ascii="宋体" w:hAnsi="宋体" w:cs="宋体"/>
                <w:szCs w:val="21"/>
              </w:rPr>
            </w:pPr>
            <w:r>
              <w:rPr>
                <w:rFonts w:hint="eastAsia" w:ascii="宋体" w:hAnsi="宋体" w:cs="宋体"/>
                <w:szCs w:val="21"/>
              </w:rPr>
              <w:t>8.3  使用点调压阀</w:t>
            </w:r>
          </w:p>
          <w:p>
            <w:pPr>
              <w:ind w:left="533" w:leftChars="254"/>
              <w:rPr>
                <w:rFonts w:ascii="宋体" w:hAnsi="宋体" w:cs="宋体"/>
                <w:szCs w:val="21"/>
              </w:rPr>
            </w:pPr>
            <w:r>
              <w:rPr>
                <w:rFonts w:hint="eastAsia" w:ascii="宋体" w:hAnsi="宋体" w:cs="宋体"/>
                <w:szCs w:val="21"/>
              </w:rPr>
              <w:t>a. 母体材质：铜镀铬，膜片材质：哈氏合金C276</w:t>
            </w:r>
          </w:p>
          <w:p>
            <w:pPr>
              <w:ind w:left="533" w:leftChars="254"/>
              <w:rPr>
                <w:rFonts w:ascii="宋体" w:hAnsi="宋体" w:cs="宋体"/>
                <w:szCs w:val="21"/>
              </w:rPr>
            </w:pPr>
            <w:r>
              <w:rPr>
                <w:rFonts w:hint="eastAsia" w:ascii="宋体" w:hAnsi="宋体" w:cs="宋体"/>
                <w:szCs w:val="21"/>
              </w:rPr>
              <w:t>b. 进气压力：50bar；出气压力：0-10bar；</w:t>
            </w:r>
          </w:p>
          <w:p>
            <w:pPr>
              <w:ind w:left="533" w:leftChars="254"/>
              <w:rPr>
                <w:rFonts w:ascii="宋体" w:hAnsi="宋体" w:cs="宋体"/>
                <w:szCs w:val="21"/>
              </w:rPr>
            </w:pPr>
            <w:r>
              <w:rPr>
                <w:rFonts w:hint="eastAsia" w:ascii="宋体" w:hAnsi="宋体" w:cs="宋体"/>
                <w:szCs w:val="21"/>
              </w:rPr>
              <w:t>c．提供厂家出具的本项目授权书</w:t>
            </w:r>
          </w:p>
          <w:p>
            <w:pPr>
              <w:ind w:left="533" w:leftChars="254"/>
              <w:rPr>
                <w:rFonts w:ascii="宋体" w:hAnsi="宋体" w:cs="宋体"/>
                <w:szCs w:val="21"/>
              </w:rPr>
            </w:pPr>
            <w:r>
              <w:rPr>
                <w:rFonts w:hint="eastAsia" w:ascii="宋体" w:hAnsi="宋体" w:cs="宋体"/>
                <w:szCs w:val="21"/>
              </w:rPr>
              <w:t>d. 参考品牌：</w:t>
            </w:r>
            <w:r>
              <w:rPr>
                <w:rFonts w:hint="eastAsia" w:ascii="宋体" w:hAnsi="宋体" w:cs="宋体"/>
                <w:szCs w:val="21"/>
                <w:lang w:eastAsia="zh-CN"/>
              </w:rPr>
              <w:t>等同于或高于</w:t>
            </w:r>
            <w:r>
              <w:rPr>
                <w:rFonts w:hint="eastAsia" w:ascii="宋体" w:hAnsi="宋体" w:cs="宋体"/>
                <w:szCs w:val="21"/>
              </w:rPr>
              <w:t>GCE / Rotarex / Parker</w:t>
            </w:r>
          </w:p>
          <w:p>
            <w:pPr>
              <w:rPr>
                <w:rFonts w:ascii="宋体" w:hAnsi="宋体" w:cs="宋体"/>
                <w:szCs w:val="21"/>
              </w:rPr>
            </w:pPr>
            <w:r>
              <w:rPr>
                <w:rFonts w:hint="eastAsia" w:ascii="宋体" w:hAnsi="宋体" w:cs="宋体"/>
                <w:szCs w:val="21"/>
              </w:rPr>
              <w:t>8.4  卡套球阀</w:t>
            </w:r>
          </w:p>
          <w:p>
            <w:pPr>
              <w:ind w:left="533" w:leftChars="254"/>
              <w:rPr>
                <w:rFonts w:ascii="宋体" w:hAnsi="宋体" w:cs="宋体"/>
                <w:szCs w:val="21"/>
              </w:rPr>
            </w:pPr>
            <w:r>
              <w:rPr>
                <w:rFonts w:hint="eastAsia" w:ascii="宋体" w:hAnsi="宋体" w:cs="宋体"/>
                <w:szCs w:val="21"/>
              </w:rPr>
              <w:t>a. 母体材质：SS316L / BA级</w:t>
            </w:r>
          </w:p>
          <w:p>
            <w:pPr>
              <w:ind w:left="533" w:leftChars="254"/>
              <w:rPr>
                <w:rFonts w:ascii="宋体" w:hAnsi="宋体" w:cs="宋体"/>
                <w:szCs w:val="21"/>
              </w:rPr>
            </w:pPr>
            <w:r>
              <w:rPr>
                <w:rFonts w:hint="eastAsia" w:ascii="宋体" w:hAnsi="宋体" w:cs="宋体"/>
                <w:szCs w:val="21"/>
              </w:rPr>
              <w:t>b. 尺寸：1/4"，二通，卡套连接</w:t>
            </w:r>
          </w:p>
          <w:p>
            <w:pPr>
              <w:ind w:left="533" w:leftChars="254"/>
              <w:rPr>
                <w:rFonts w:ascii="宋体" w:hAnsi="宋体" w:cs="宋体"/>
                <w:szCs w:val="21"/>
              </w:rPr>
            </w:pPr>
            <w:r>
              <w:rPr>
                <w:rFonts w:hint="eastAsia" w:ascii="宋体" w:hAnsi="宋体" w:cs="宋体"/>
                <w:szCs w:val="21"/>
              </w:rPr>
              <w:t>c. 工作压力：172bar（2500Psig）</w:t>
            </w:r>
          </w:p>
          <w:p>
            <w:pPr>
              <w:ind w:left="533" w:leftChars="254"/>
              <w:rPr>
                <w:rFonts w:ascii="宋体" w:hAnsi="宋体" w:cs="宋体"/>
                <w:szCs w:val="21"/>
              </w:rPr>
            </w:pPr>
            <w:r>
              <w:rPr>
                <w:rFonts w:hint="eastAsia" w:ascii="宋体" w:hAnsi="宋体" w:cs="宋体"/>
                <w:szCs w:val="21"/>
              </w:rPr>
              <w:t>d. 温度范围：10℃～65℃</w:t>
            </w:r>
          </w:p>
          <w:p>
            <w:pPr>
              <w:ind w:left="533" w:leftChars="254"/>
              <w:rPr>
                <w:rFonts w:ascii="宋体" w:hAnsi="宋体" w:cs="宋体"/>
                <w:szCs w:val="21"/>
              </w:rPr>
            </w:pPr>
            <w:r>
              <w:rPr>
                <w:rFonts w:hint="eastAsia" w:ascii="宋体" w:hAnsi="宋体" w:cs="宋体"/>
                <w:szCs w:val="21"/>
              </w:rPr>
              <w:t>e. 参考品牌：</w:t>
            </w:r>
            <w:r>
              <w:rPr>
                <w:rFonts w:hint="eastAsia" w:ascii="宋体" w:hAnsi="宋体" w:cs="宋体"/>
                <w:szCs w:val="21"/>
                <w:lang w:eastAsia="zh-CN"/>
              </w:rPr>
              <w:t>等同于或高于</w:t>
            </w:r>
            <w:r>
              <w:rPr>
                <w:rFonts w:hint="eastAsia" w:ascii="宋体" w:hAnsi="宋体" w:cs="宋体"/>
                <w:szCs w:val="21"/>
              </w:rPr>
              <w:t>Uni-Lok / Swagelok / Parker</w:t>
            </w:r>
          </w:p>
          <w:p>
            <w:pPr>
              <w:rPr>
                <w:rFonts w:ascii="宋体" w:hAnsi="宋体" w:cs="宋体"/>
                <w:szCs w:val="21"/>
              </w:rPr>
            </w:pPr>
            <w:r>
              <w:rPr>
                <w:rFonts w:hint="eastAsia" w:ascii="宋体" w:hAnsi="宋体" w:cs="宋体"/>
                <w:szCs w:val="21"/>
              </w:rPr>
              <w:t>8.5  阻火器</w:t>
            </w:r>
          </w:p>
          <w:p>
            <w:pPr>
              <w:ind w:left="533" w:leftChars="254"/>
              <w:rPr>
                <w:rFonts w:ascii="宋体" w:hAnsi="宋体" w:cs="宋体"/>
                <w:szCs w:val="21"/>
              </w:rPr>
            </w:pPr>
            <w:r>
              <w:rPr>
                <w:rFonts w:hint="eastAsia" w:ascii="宋体" w:hAnsi="宋体" w:cs="宋体"/>
                <w:szCs w:val="21"/>
              </w:rPr>
              <w:t>a. 母体材质：312#不锈钢材质；</w:t>
            </w:r>
          </w:p>
          <w:p>
            <w:pPr>
              <w:ind w:left="533" w:leftChars="254"/>
              <w:rPr>
                <w:rFonts w:ascii="宋体" w:hAnsi="宋体" w:cs="宋体"/>
                <w:szCs w:val="21"/>
              </w:rPr>
            </w:pPr>
            <w:r>
              <w:rPr>
                <w:rFonts w:hint="eastAsia" w:ascii="宋体" w:hAnsi="宋体" w:cs="宋体"/>
                <w:szCs w:val="21"/>
              </w:rPr>
              <w:t>b. 进口品牌；</w:t>
            </w:r>
          </w:p>
          <w:p>
            <w:pPr>
              <w:ind w:firstLine="630" w:firstLineChars="300"/>
              <w:rPr>
                <w:rFonts w:ascii="宋体" w:hAnsi="宋体" w:cs="宋体"/>
                <w:szCs w:val="21"/>
              </w:rPr>
            </w:pPr>
            <w:r>
              <w:rPr>
                <w:rFonts w:hint="eastAsia" w:ascii="宋体" w:hAnsi="宋体" w:cs="宋体"/>
                <w:szCs w:val="21"/>
              </w:rPr>
              <w:t>c．提供厂家出具的本项目授权书</w:t>
            </w:r>
          </w:p>
          <w:p>
            <w:pPr>
              <w:ind w:left="533" w:leftChars="254"/>
              <w:rPr>
                <w:rFonts w:ascii="宋体" w:hAnsi="宋体" w:cs="宋体"/>
                <w:szCs w:val="21"/>
              </w:rPr>
            </w:pPr>
            <w:r>
              <w:rPr>
                <w:rFonts w:hint="eastAsia" w:ascii="宋体" w:hAnsi="宋体" w:cs="宋体"/>
                <w:szCs w:val="21"/>
              </w:rPr>
              <w:t>d. 参考品牌：等同于或高于GCE / Rotarex / Parker。</w:t>
            </w:r>
          </w:p>
        </w:tc>
        <w:tc>
          <w:tcPr>
            <w:tcW w:w="1097" w:type="dxa"/>
            <w:vAlign w:val="center"/>
          </w:tcPr>
          <w:p>
            <w:pPr>
              <w:widowControl/>
              <w:spacing w:line="240" w:lineRule="atLeast"/>
              <w:rPr>
                <w:rFonts w:ascii="宋体" w:hAnsi="宋体" w:cs="宋体"/>
                <w:bCs/>
                <w:szCs w:val="21"/>
              </w:rPr>
            </w:pPr>
          </w:p>
        </w:tc>
      </w:tr>
    </w:tbl>
    <w:p>
      <w:pPr>
        <w:spacing w:line="440" w:lineRule="exact"/>
        <w:rPr>
          <w:b/>
          <w:sz w:val="30"/>
        </w:rPr>
      </w:pPr>
      <w:r>
        <w:rPr>
          <w:b/>
          <w:sz w:val="30"/>
        </w:rPr>
        <w:br w:type="page"/>
      </w:r>
      <w:r>
        <w:rPr>
          <w:b/>
          <w:sz w:val="30"/>
        </w:rPr>
        <w:t>表C 零备件价格清单</w:t>
      </w:r>
      <w:bookmarkEnd w:id="281"/>
    </w:p>
    <w:p>
      <w:pPr>
        <w:rPr>
          <w:b/>
          <w:sz w:val="24"/>
        </w:rPr>
      </w:pPr>
      <w:r>
        <w:rPr>
          <w:b/>
          <w:sz w:val="24"/>
        </w:rPr>
        <w:t>表C－1 质保期后两年内的备品备件报价单</w:t>
      </w:r>
    </w:p>
    <w:tbl>
      <w:tblPr>
        <w:tblStyle w:val="60"/>
        <w:tblW w:w="825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47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79" w:hRule="atLeast"/>
        </w:trPr>
        <w:tc>
          <w:tcPr>
            <w:tcW w:w="868" w:type="dxa"/>
            <w:vMerge w:val="restart"/>
            <w:vAlign w:val="center"/>
          </w:tcPr>
          <w:p>
            <w:pPr>
              <w:spacing w:before="240"/>
              <w:jc w:val="center"/>
              <w:rPr>
                <w:szCs w:val="21"/>
              </w:rPr>
            </w:pPr>
            <w:r>
              <w:rPr>
                <w:szCs w:val="21"/>
              </w:rPr>
              <w:t>序号</w:t>
            </w:r>
          </w:p>
        </w:tc>
        <w:tc>
          <w:tcPr>
            <w:tcW w:w="840" w:type="dxa"/>
            <w:vMerge w:val="restart"/>
            <w:vAlign w:val="center"/>
          </w:tcPr>
          <w:p>
            <w:pPr>
              <w:spacing w:before="240"/>
              <w:jc w:val="center"/>
              <w:rPr>
                <w:szCs w:val="21"/>
              </w:rPr>
            </w:pPr>
            <w:r>
              <w:rPr>
                <w:szCs w:val="21"/>
              </w:rPr>
              <w:t>名称</w:t>
            </w:r>
          </w:p>
        </w:tc>
        <w:tc>
          <w:tcPr>
            <w:tcW w:w="840" w:type="dxa"/>
            <w:vMerge w:val="restart"/>
            <w:vAlign w:val="center"/>
          </w:tcPr>
          <w:p>
            <w:pPr>
              <w:spacing w:before="240"/>
              <w:jc w:val="center"/>
              <w:rPr>
                <w:szCs w:val="21"/>
              </w:rPr>
            </w:pPr>
            <w:r>
              <w:rPr>
                <w:szCs w:val="21"/>
              </w:rPr>
              <w:t>型号</w:t>
            </w:r>
          </w:p>
        </w:tc>
        <w:tc>
          <w:tcPr>
            <w:tcW w:w="960" w:type="dxa"/>
            <w:vMerge w:val="restart"/>
            <w:vAlign w:val="center"/>
          </w:tcPr>
          <w:p>
            <w:pPr>
              <w:spacing w:before="240"/>
              <w:jc w:val="center"/>
              <w:rPr>
                <w:szCs w:val="21"/>
              </w:rPr>
            </w:pPr>
            <w:r>
              <w:rPr>
                <w:szCs w:val="21"/>
              </w:rPr>
              <w:t>数量</w:t>
            </w:r>
          </w:p>
        </w:tc>
        <w:tc>
          <w:tcPr>
            <w:tcW w:w="4742" w:type="dxa"/>
            <w:vAlign w:val="center"/>
          </w:tcPr>
          <w:p>
            <w:pPr>
              <w:spacing w:before="240"/>
              <w:jc w:val="center"/>
              <w:rPr>
                <w:szCs w:val="21"/>
              </w:rPr>
            </w:pPr>
            <w:r>
              <w:rPr>
                <w:szCs w:val="21"/>
              </w:rPr>
              <w:t>单   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2" w:hRule="atLeast"/>
        </w:trPr>
        <w:tc>
          <w:tcPr>
            <w:tcW w:w="868" w:type="dxa"/>
            <w:vMerge w:val="continue"/>
            <w:vAlign w:val="center"/>
          </w:tcPr>
          <w:p>
            <w:pPr>
              <w:spacing w:before="240"/>
              <w:jc w:val="center"/>
              <w:rPr>
                <w:szCs w:val="21"/>
              </w:rPr>
            </w:pPr>
          </w:p>
        </w:tc>
        <w:tc>
          <w:tcPr>
            <w:tcW w:w="840" w:type="dxa"/>
            <w:vMerge w:val="continue"/>
            <w:vAlign w:val="center"/>
          </w:tcPr>
          <w:p>
            <w:pPr>
              <w:spacing w:before="240"/>
              <w:jc w:val="center"/>
              <w:rPr>
                <w:szCs w:val="21"/>
              </w:rPr>
            </w:pPr>
          </w:p>
        </w:tc>
        <w:tc>
          <w:tcPr>
            <w:tcW w:w="840" w:type="dxa"/>
            <w:vMerge w:val="continue"/>
            <w:vAlign w:val="center"/>
          </w:tcPr>
          <w:p>
            <w:pPr>
              <w:spacing w:before="240"/>
              <w:jc w:val="center"/>
              <w:rPr>
                <w:szCs w:val="21"/>
              </w:rPr>
            </w:pPr>
          </w:p>
        </w:tc>
        <w:tc>
          <w:tcPr>
            <w:tcW w:w="960" w:type="dxa"/>
            <w:vMerge w:val="continue"/>
            <w:vAlign w:val="center"/>
          </w:tcPr>
          <w:p>
            <w:pPr>
              <w:spacing w:before="240"/>
              <w:jc w:val="center"/>
              <w:rPr>
                <w:szCs w:val="21"/>
              </w:rPr>
            </w:pPr>
          </w:p>
        </w:tc>
        <w:tc>
          <w:tcPr>
            <w:tcW w:w="4742" w:type="dxa"/>
            <w:vAlign w:val="center"/>
          </w:tcPr>
          <w:p>
            <w:pPr>
              <w:spacing w:before="240"/>
              <w:jc w:val="center"/>
              <w:rPr>
                <w:strike/>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035" w:hRule="atLeast"/>
        </w:trPr>
        <w:tc>
          <w:tcPr>
            <w:tcW w:w="868" w:type="dxa"/>
            <w:vAlign w:val="center"/>
          </w:tcPr>
          <w:p>
            <w:pPr>
              <w:spacing w:before="240"/>
              <w:jc w:val="center"/>
              <w:rPr>
                <w:szCs w:val="21"/>
              </w:rPr>
            </w:pPr>
          </w:p>
        </w:tc>
        <w:tc>
          <w:tcPr>
            <w:tcW w:w="840" w:type="dxa"/>
            <w:vAlign w:val="center"/>
          </w:tcPr>
          <w:p>
            <w:pPr>
              <w:spacing w:before="240"/>
              <w:jc w:val="center"/>
              <w:rPr>
                <w:szCs w:val="21"/>
              </w:rPr>
            </w:pPr>
          </w:p>
        </w:tc>
        <w:tc>
          <w:tcPr>
            <w:tcW w:w="840" w:type="dxa"/>
            <w:vAlign w:val="center"/>
          </w:tcPr>
          <w:p>
            <w:pPr>
              <w:spacing w:before="240"/>
              <w:jc w:val="center"/>
              <w:rPr>
                <w:szCs w:val="21"/>
              </w:rPr>
            </w:pPr>
          </w:p>
        </w:tc>
        <w:tc>
          <w:tcPr>
            <w:tcW w:w="960" w:type="dxa"/>
            <w:vAlign w:val="center"/>
          </w:tcPr>
          <w:p>
            <w:pPr>
              <w:spacing w:before="240"/>
              <w:jc w:val="center"/>
              <w:rPr>
                <w:szCs w:val="21"/>
              </w:rPr>
            </w:pPr>
          </w:p>
        </w:tc>
        <w:tc>
          <w:tcPr>
            <w:tcW w:w="4742" w:type="dxa"/>
            <w:vAlign w:val="center"/>
          </w:tcPr>
          <w:p>
            <w:pPr>
              <w:spacing w:before="240"/>
              <w:jc w:val="center"/>
              <w:rPr>
                <w:szCs w:val="21"/>
              </w:rPr>
            </w:pPr>
          </w:p>
        </w:tc>
      </w:tr>
    </w:tbl>
    <w:p>
      <w:pPr>
        <w:rPr>
          <w:szCs w:val="21"/>
        </w:rPr>
      </w:pPr>
    </w:p>
    <w:p>
      <w:pPr>
        <w:rPr>
          <w:b/>
          <w:i/>
          <w:iCs/>
          <w:szCs w:val="21"/>
        </w:rPr>
      </w:pPr>
      <w:r>
        <w:rPr>
          <w:i/>
          <w:iCs/>
          <w:szCs w:val="21"/>
        </w:rPr>
        <w:t>表C－1由投标商填写，费用不包括在投标总价中。请投标人分别列出。</w:t>
      </w:r>
    </w:p>
    <w:p>
      <w:pPr>
        <w:rPr>
          <w:b/>
          <w:sz w:val="28"/>
        </w:rPr>
      </w:pPr>
    </w:p>
    <w:p>
      <w:pPr>
        <w:spacing w:before="240"/>
        <w:rPr>
          <w:sz w:val="24"/>
        </w:rPr>
      </w:pPr>
      <w:r>
        <w:rPr>
          <w:b/>
          <w:sz w:val="24"/>
        </w:rPr>
        <w:t>表C－2（质保期后3年以后的备品备件报价单）</w:t>
      </w:r>
    </w:p>
    <w:tbl>
      <w:tblPr>
        <w:tblStyle w:val="60"/>
        <w:tblW w:w="825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47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Pr>
        <w:tc>
          <w:tcPr>
            <w:tcW w:w="868" w:type="dxa"/>
            <w:vMerge w:val="restart"/>
            <w:tcBorders>
              <w:top w:val="single" w:color="auto" w:sz="12" w:space="0"/>
              <w:left w:val="single" w:color="auto" w:sz="12" w:space="0"/>
              <w:bottom w:val="nil"/>
              <w:right w:val="nil"/>
            </w:tcBorders>
            <w:vAlign w:val="center"/>
          </w:tcPr>
          <w:p>
            <w:pPr>
              <w:spacing w:before="240"/>
              <w:jc w:val="center"/>
            </w:pPr>
            <w:r>
              <w:t>序号</w:t>
            </w:r>
          </w:p>
        </w:tc>
        <w:tc>
          <w:tcPr>
            <w:tcW w:w="840" w:type="dxa"/>
            <w:vMerge w:val="restart"/>
            <w:tcBorders>
              <w:top w:val="single" w:color="auto" w:sz="12" w:space="0"/>
              <w:left w:val="single" w:color="auto" w:sz="6" w:space="0"/>
              <w:bottom w:val="nil"/>
              <w:right w:val="nil"/>
            </w:tcBorders>
            <w:vAlign w:val="center"/>
          </w:tcPr>
          <w:p>
            <w:pPr>
              <w:spacing w:before="240"/>
              <w:jc w:val="center"/>
            </w:pPr>
            <w:r>
              <w:t>名称</w:t>
            </w:r>
          </w:p>
        </w:tc>
        <w:tc>
          <w:tcPr>
            <w:tcW w:w="840" w:type="dxa"/>
            <w:vMerge w:val="restart"/>
            <w:tcBorders>
              <w:top w:val="single" w:color="auto" w:sz="12" w:space="0"/>
              <w:left w:val="single" w:color="auto" w:sz="6" w:space="0"/>
              <w:bottom w:val="nil"/>
              <w:right w:val="nil"/>
            </w:tcBorders>
            <w:vAlign w:val="center"/>
          </w:tcPr>
          <w:p>
            <w:pPr>
              <w:spacing w:before="240"/>
              <w:jc w:val="center"/>
            </w:pPr>
            <w:r>
              <w:t>型号</w:t>
            </w:r>
          </w:p>
        </w:tc>
        <w:tc>
          <w:tcPr>
            <w:tcW w:w="960" w:type="dxa"/>
            <w:vMerge w:val="restart"/>
            <w:tcBorders>
              <w:top w:val="single" w:color="auto" w:sz="12" w:space="0"/>
              <w:left w:val="single" w:color="auto" w:sz="6" w:space="0"/>
              <w:bottom w:val="nil"/>
              <w:right w:val="single" w:color="auto" w:sz="6" w:space="0"/>
            </w:tcBorders>
            <w:vAlign w:val="center"/>
          </w:tcPr>
          <w:p>
            <w:pPr>
              <w:spacing w:before="240"/>
              <w:jc w:val="center"/>
            </w:pPr>
            <w:r>
              <w:t>数量</w:t>
            </w:r>
          </w:p>
        </w:tc>
        <w:tc>
          <w:tcPr>
            <w:tcW w:w="4742" w:type="dxa"/>
            <w:tcBorders>
              <w:top w:val="single" w:color="auto" w:sz="12" w:space="0"/>
              <w:left w:val="nil"/>
            </w:tcBorders>
            <w:vAlign w:val="center"/>
          </w:tcPr>
          <w:p>
            <w:pPr>
              <w:spacing w:before="240"/>
              <w:jc w:val="center"/>
            </w:pPr>
            <w:r>
              <w:t>单   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Pr>
        <w:tc>
          <w:tcPr>
            <w:tcW w:w="868" w:type="dxa"/>
            <w:vMerge w:val="continue"/>
            <w:tcBorders>
              <w:top w:val="nil"/>
              <w:left w:val="single" w:color="auto" w:sz="12" w:space="0"/>
              <w:bottom w:val="single" w:color="auto" w:sz="6" w:space="0"/>
              <w:right w:val="nil"/>
            </w:tcBorders>
            <w:vAlign w:val="center"/>
          </w:tcPr>
          <w:p>
            <w:pPr>
              <w:spacing w:before="240"/>
              <w:jc w:val="center"/>
            </w:pPr>
          </w:p>
        </w:tc>
        <w:tc>
          <w:tcPr>
            <w:tcW w:w="840" w:type="dxa"/>
            <w:vMerge w:val="continue"/>
            <w:tcBorders>
              <w:top w:val="nil"/>
              <w:left w:val="single" w:color="auto" w:sz="6" w:space="0"/>
              <w:bottom w:val="single" w:color="auto" w:sz="6" w:space="0"/>
              <w:right w:val="nil"/>
            </w:tcBorders>
            <w:vAlign w:val="center"/>
          </w:tcPr>
          <w:p>
            <w:pPr>
              <w:spacing w:before="240"/>
              <w:jc w:val="center"/>
            </w:pPr>
          </w:p>
        </w:tc>
        <w:tc>
          <w:tcPr>
            <w:tcW w:w="840" w:type="dxa"/>
            <w:vMerge w:val="continue"/>
            <w:tcBorders>
              <w:top w:val="nil"/>
              <w:left w:val="single" w:color="auto" w:sz="6" w:space="0"/>
              <w:bottom w:val="single" w:color="auto" w:sz="6" w:space="0"/>
              <w:right w:val="nil"/>
            </w:tcBorders>
            <w:vAlign w:val="center"/>
          </w:tcPr>
          <w:p>
            <w:pPr>
              <w:spacing w:before="240"/>
              <w:jc w:val="center"/>
            </w:pPr>
          </w:p>
        </w:tc>
        <w:tc>
          <w:tcPr>
            <w:tcW w:w="960" w:type="dxa"/>
            <w:vMerge w:val="continue"/>
            <w:tcBorders>
              <w:top w:val="nil"/>
              <w:left w:val="single" w:color="auto" w:sz="6" w:space="0"/>
              <w:bottom w:val="single" w:color="auto" w:sz="6" w:space="0"/>
              <w:right w:val="single" w:color="auto" w:sz="6" w:space="0"/>
            </w:tcBorders>
            <w:vAlign w:val="center"/>
          </w:tcPr>
          <w:p>
            <w:pPr>
              <w:spacing w:before="240"/>
              <w:jc w:val="center"/>
            </w:pPr>
          </w:p>
        </w:tc>
        <w:tc>
          <w:tcPr>
            <w:tcW w:w="4742" w:type="dxa"/>
            <w:tcBorders>
              <w:left w:val="nil"/>
            </w:tcBorders>
            <w:vAlign w:val="center"/>
          </w:tcPr>
          <w:p>
            <w:pPr>
              <w:spacing w:before="24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325" w:hRule="atLeast"/>
        </w:trPr>
        <w:tc>
          <w:tcPr>
            <w:tcW w:w="868" w:type="dxa"/>
            <w:tcBorders>
              <w:top w:val="single" w:color="auto" w:sz="6" w:space="0"/>
              <w:left w:val="single" w:color="auto" w:sz="12" w:space="0"/>
              <w:bottom w:val="single" w:color="auto" w:sz="12" w:space="0"/>
              <w:right w:val="nil"/>
            </w:tcBorders>
            <w:vAlign w:val="center"/>
          </w:tcPr>
          <w:p>
            <w:pPr>
              <w:spacing w:before="240"/>
              <w:jc w:val="center"/>
              <w:rPr>
                <w:szCs w:val="21"/>
              </w:rPr>
            </w:pPr>
          </w:p>
        </w:tc>
        <w:tc>
          <w:tcPr>
            <w:tcW w:w="840" w:type="dxa"/>
            <w:tcBorders>
              <w:top w:val="single" w:color="auto" w:sz="6" w:space="0"/>
              <w:left w:val="single" w:color="auto" w:sz="6" w:space="0"/>
              <w:bottom w:val="single" w:color="auto" w:sz="12" w:space="0"/>
              <w:right w:val="nil"/>
            </w:tcBorders>
            <w:vAlign w:val="center"/>
          </w:tcPr>
          <w:p>
            <w:pPr>
              <w:spacing w:before="240"/>
              <w:jc w:val="center"/>
              <w:rPr>
                <w:szCs w:val="21"/>
              </w:rPr>
            </w:pPr>
          </w:p>
        </w:tc>
        <w:tc>
          <w:tcPr>
            <w:tcW w:w="840" w:type="dxa"/>
            <w:tcBorders>
              <w:top w:val="single" w:color="auto" w:sz="6" w:space="0"/>
              <w:left w:val="single" w:color="auto" w:sz="6" w:space="0"/>
              <w:bottom w:val="single" w:color="auto" w:sz="12" w:space="0"/>
              <w:right w:val="nil"/>
            </w:tcBorders>
            <w:vAlign w:val="center"/>
          </w:tcPr>
          <w:p>
            <w:pPr>
              <w:spacing w:before="240"/>
              <w:jc w:val="center"/>
              <w:rPr>
                <w:szCs w:val="21"/>
              </w:rPr>
            </w:pPr>
          </w:p>
        </w:tc>
        <w:tc>
          <w:tcPr>
            <w:tcW w:w="960" w:type="dxa"/>
            <w:tcBorders>
              <w:top w:val="single" w:color="auto" w:sz="6" w:space="0"/>
              <w:left w:val="single" w:color="auto" w:sz="6" w:space="0"/>
              <w:bottom w:val="single" w:color="auto" w:sz="12" w:space="0"/>
              <w:right w:val="single" w:color="auto" w:sz="6" w:space="0"/>
            </w:tcBorders>
            <w:vAlign w:val="center"/>
          </w:tcPr>
          <w:p>
            <w:pPr>
              <w:spacing w:before="240"/>
              <w:jc w:val="center"/>
              <w:rPr>
                <w:szCs w:val="21"/>
              </w:rPr>
            </w:pPr>
          </w:p>
        </w:tc>
        <w:tc>
          <w:tcPr>
            <w:tcW w:w="4742" w:type="dxa"/>
            <w:tcBorders>
              <w:left w:val="nil"/>
              <w:bottom w:val="single" w:color="auto" w:sz="12" w:space="0"/>
            </w:tcBorders>
            <w:vAlign w:val="center"/>
          </w:tcPr>
          <w:p>
            <w:pPr>
              <w:spacing w:before="240"/>
              <w:jc w:val="center"/>
              <w:rPr>
                <w:szCs w:val="21"/>
              </w:rPr>
            </w:pPr>
          </w:p>
        </w:tc>
      </w:tr>
    </w:tbl>
    <w:p>
      <w:pPr>
        <w:spacing w:before="240"/>
        <w:jc w:val="left"/>
        <w:rPr>
          <w:rFonts w:asciiTheme="minorEastAsia" w:hAnsiTheme="minorEastAsia" w:eastAsiaTheme="minorEastAsia" w:cstheme="minorEastAsia"/>
        </w:rPr>
      </w:pPr>
      <w:r>
        <w:rPr>
          <w:rFonts w:hint="eastAsia" w:asciiTheme="minorEastAsia" w:hAnsiTheme="minorEastAsia" w:eastAsiaTheme="minorEastAsia" w:cstheme="minorEastAsia"/>
        </w:rPr>
        <w:t>表C－2，由投标商推荐，供买方选购，费用不包含在投标总价中。</w:t>
      </w:r>
    </w:p>
    <w:p>
      <w:pPr>
        <w:spacing w:before="240"/>
        <w:jc w:val="left"/>
        <w:rPr>
          <w:rFonts w:asciiTheme="minorEastAsia" w:hAnsiTheme="minorEastAsia" w:eastAsiaTheme="minorEastAsia" w:cstheme="minorEastAsia"/>
        </w:rPr>
      </w:pPr>
    </w:p>
    <w:p>
      <w:pPr>
        <w:spacing w:before="240"/>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投标人单位（盖公章）：</w:t>
      </w:r>
    </w:p>
    <w:p>
      <w:pPr>
        <w:spacing w:before="240"/>
        <w:jc w:val="left"/>
        <w:rPr>
          <w:rFonts w:asciiTheme="minorEastAsia" w:hAnsiTheme="minorEastAsia" w:eastAsiaTheme="minorEastAsia" w:cstheme="minorEastAsia"/>
        </w:rPr>
      </w:pPr>
      <w:r>
        <w:rPr>
          <w:rFonts w:hint="eastAsia" w:asciiTheme="minorEastAsia" w:hAnsiTheme="minorEastAsia" w:eastAsiaTheme="minorEastAsia" w:cstheme="minorEastAsia"/>
        </w:rPr>
        <w:t>被授权代表人（签字）：</w:t>
      </w:r>
    </w:p>
    <w:p>
      <w:pPr>
        <w:spacing w:before="240"/>
        <w:jc w:val="left"/>
        <w:rPr>
          <w:rFonts w:asciiTheme="minorEastAsia" w:hAnsiTheme="minorEastAsia" w:eastAsiaTheme="minorEastAsia" w:cstheme="minorEastAsia"/>
        </w:rPr>
      </w:pPr>
      <w:r>
        <w:rPr>
          <w:rFonts w:hint="eastAsia" w:asciiTheme="minorEastAsia" w:hAnsiTheme="minorEastAsia" w:eastAsiaTheme="minorEastAsia" w:cstheme="minorEastAsia"/>
        </w:rPr>
        <w:t>日      期：</w:t>
      </w:r>
    </w:p>
    <w:bookmarkEnd w:id="274"/>
    <w:bookmarkEnd w:id="275"/>
    <w:p>
      <w:pPr>
        <w:widowControl/>
        <w:wordWrap w:val="0"/>
        <w:spacing w:before="75" w:after="270"/>
        <w:ind w:left="225" w:firstLine="540"/>
        <w:jc w:val="left"/>
        <w:rPr>
          <w:rFonts w:ascii="宋体" w:hAnsi="宋体" w:cs="宋体"/>
          <w:color w:val="000000"/>
          <w:kern w:val="0"/>
          <w:sz w:val="27"/>
          <w:szCs w:val="27"/>
        </w:rPr>
      </w:pPr>
    </w:p>
    <w:p>
      <w:pPr>
        <w:spacing w:line="360" w:lineRule="auto"/>
        <w:ind w:firstLine="435"/>
        <w:jc w:val="left"/>
        <w:rPr>
          <w:rFonts w:ascii="宋体" w:hAnsi="宋体"/>
        </w:rPr>
      </w:pPr>
    </w:p>
    <w:p>
      <w:pPr>
        <w:widowControl/>
        <w:jc w:val="left"/>
        <w:rPr>
          <w:rFonts w:ascii="宋体" w:hAnsi="宋体"/>
        </w:rPr>
      </w:pPr>
      <w:r>
        <w:rPr>
          <w:rFonts w:ascii="宋体" w:hAnsi="宋体"/>
        </w:rPr>
        <w:br w:type="page"/>
      </w: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jc w:val="center"/>
        <w:rPr>
          <w:rFonts w:ascii="宋体" w:hAnsi="宋体"/>
          <w:sz w:val="48"/>
          <w:szCs w:val="48"/>
        </w:rPr>
      </w:pPr>
    </w:p>
    <w:p>
      <w:pPr>
        <w:pStyle w:val="56"/>
        <w:rPr>
          <w:rFonts w:ascii="宋体" w:hAnsi="宋体"/>
          <w:b w:val="0"/>
          <w:sz w:val="48"/>
          <w:szCs w:val="48"/>
        </w:rPr>
      </w:pPr>
      <w:bookmarkStart w:id="282" w:name="_Toc490062128"/>
      <w:r>
        <w:rPr>
          <w:rFonts w:hint="eastAsia" w:ascii="宋体" w:hAnsi="宋体"/>
          <w:b w:val="0"/>
          <w:sz w:val="48"/>
          <w:szCs w:val="48"/>
        </w:rPr>
        <w:t>第三卷</w:t>
      </w:r>
      <w:bookmarkEnd w:id="282"/>
    </w:p>
    <w:p>
      <w:pPr>
        <w:spacing w:beforeLines="100" w:afterLines="100" w:line="360" w:lineRule="auto"/>
        <w:outlineLvl w:val="0"/>
        <w:rPr>
          <w:rFonts w:ascii="宋体" w:hAnsi="宋体"/>
          <w:sz w:val="32"/>
          <w:szCs w:val="32"/>
        </w:rPr>
        <w:sectPr>
          <w:footerReference r:id="rId16" w:type="even"/>
          <w:pgSz w:w="11906" w:h="16838"/>
          <w:pgMar w:top="1418" w:right="1474" w:bottom="1418" w:left="1163" w:header="851" w:footer="851" w:gutter="397"/>
          <w:cols w:space="425" w:num="1"/>
          <w:docGrid w:linePitch="312" w:charSpace="0"/>
        </w:sectPr>
      </w:pPr>
    </w:p>
    <w:p>
      <w:pPr>
        <w:spacing w:beforeLines="100" w:afterLines="100" w:line="360" w:lineRule="auto"/>
        <w:jc w:val="center"/>
        <w:outlineLvl w:val="0"/>
        <w:rPr>
          <w:rFonts w:ascii="宋体" w:hAnsi="宋体"/>
          <w:sz w:val="32"/>
          <w:szCs w:val="32"/>
        </w:rPr>
      </w:pPr>
      <w:bookmarkStart w:id="283" w:name="_Toc490062129"/>
      <w:r>
        <w:rPr>
          <w:rFonts w:hint="eastAsia" w:ascii="宋体" w:hAnsi="宋体"/>
          <w:sz w:val="32"/>
          <w:szCs w:val="32"/>
        </w:rPr>
        <w:t>第六章报价要求及其他关键性要求</w:t>
      </w:r>
      <w:bookmarkEnd w:id="283"/>
    </w:p>
    <w:p>
      <w:pPr>
        <w:pStyle w:val="253"/>
        <w:rPr>
          <w:rFonts w:ascii="宋体" w:hAnsi="宋体" w:cs="宋体"/>
          <w:color w:val="000000"/>
        </w:rPr>
      </w:pPr>
      <w:r>
        <w:rPr>
          <w:rFonts w:hint="eastAsia" w:ascii="宋体" w:hAnsi="宋体"/>
          <w:color w:val="000000"/>
        </w:rPr>
        <w:t>1. 本工程报价要求与投标须知、合同条款、技术标准和要求、工程量和施工地质、工程设计一起，</w:t>
      </w:r>
      <w:r>
        <w:rPr>
          <w:rFonts w:hint="eastAsia" w:ascii="宋体" w:hAnsi="宋体" w:cs="宋体"/>
          <w:color w:val="000000"/>
        </w:rPr>
        <w:t>投标单位应根据自己的实际情况，在保证质量、工期及不违背国家有关政策的前提下，按招标文件提供的参考材料报出投标报价。</w:t>
      </w:r>
    </w:p>
    <w:p>
      <w:pPr>
        <w:pStyle w:val="253"/>
        <w:rPr>
          <w:rFonts w:ascii="宋体" w:hAnsi="宋体" w:cs="宋体"/>
          <w:color w:val="000000"/>
        </w:rPr>
      </w:pPr>
      <w:r>
        <w:rPr>
          <w:rFonts w:hint="eastAsia" w:ascii="宋体" w:hAnsi="宋体"/>
          <w:color w:val="000000"/>
        </w:rPr>
        <w:t>2.</w:t>
      </w:r>
      <w:r>
        <w:rPr>
          <w:rFonts w:hint="eastAsia" w:ascii="宋体" w:hAnsi="宋体" w:cs="宋体"/>
          <w:color w:val="000000"/>
        </w:rPr>
        <w:t>投标报价应与投标须知、合同条件、合同协议条款、投标时有关承诺、技术规范一起考虑，按国家有关政策规定，投标报价不能低于其企业成本价。</w:t>
      </w:r>
    </w:p>
    <w:p>
      <w:pPr>
        <w:pStyle w:val="253"/>
        <w:rPr>
          <w:rFonts w:ascii="宋体" w:hAnsi="宋体"/>
          <w:color w:val="000000"/>
        </w:rPr>
      </w:pPr>
      <w:r>
        <w:rPr>
          <w:rFonts w:hint="eastAsia" w:ascii="宋体" w:hAnsi="宋体" w:cs="宋体"/>
          <w:color w:val="000000"/>
        </w:rPr>
        <w:t>3.投标价格采用价格固定方式，投标单位所填写的单价和总价在合同实施期间不因市场变化因素而变动，投标单位在计算报价时可考虑一定的风险系数。</w:t>
      </w:r>
    </w:p>
    <w:p>
      <w:pPr>
        <w:pStyle w:val="253"/>
        <w:rPr>
          <w:rFonts w:ascii="宋体" w:hAnsi="宋体"/>
          <w:color w:val="000000"/>
        </w:rPr>
      </w:pPr>
      <w:r>
        <w:rPr>
          <w:rFonts w:hint="eastAsia" w:ascii="宋体" w:hAnsi="宋体"/>
          <w:color w:val="000000"/>
        </w:rPr>
        <w:t>4.本合同项下的全部费用都应包含在具有标价的各项目单项价格中，没有列出项目的费用应视为已分配到有关项目的价格中。本工程所列的工程量（按工程设计列出的工程量），考虑完成施工工程量应采取的措施，并将应发生的费用包含在具有标价的各项目单项价格中。如发生下列情况，工程结算时不予调整造价(仅举例，不限于此)：通过施工地质、工程设计，对应考虑的工程量而没有考虑或考虑不足的；对施工技术措施应考虑工程量而没有考虑或考虑不足的；对应报价的工程量而没有报价或报价不足的。</w:t>
      </w:r>
    </w:p>
    <w:p>
      <w:pPr>
        <w:pStyle w:val="253"/>
        <w:rPr>
          <w:rFonts w:ascii="宋体" w:hAnsi="宋体"/>
          <w:color w:val="000000"/>
        </w:rPr>
      </w:pPr>
      <w:r>
        <w:rPr>
          <w:rFonts w:hint="eastAsia" w:ascii="宋体" w:hAnsi="宋体"/>
          <w:color w:val="000000"/>
        </w:rPr>
        <w:t>5.</w:t>
      </w:r>
      <w:r>
        <w:rPr>
          <w:rFonts w:hint="eastAsia" w:ascii="宋体" w:hAnsi="宋体" w:cs="宋体"/>
          <w:color w:val="000000"/>
        </w:rPr>
        <w:t xml:space="preserve"> 投标货币：投标文件报价单价和总价采用人民币表示，投标人投标报价需精确到整数位。</w:t>
      </w:r>
    </w:p>
    <w:p>
      <w:pPr>
        <w:pStyle w:val="253"/>
        <w:rPr>
          <w:rFonts w:ascii="宋体" w:hAnsi="宋体"/>
          <w:color w:val="000000"/>
        </w:rPr>
      </w:pPr>
      <w:r>
        <w:rPr>
          <w:rFonts w:hint="eastAsia" w:ascii="宋体" w:hAnsi="宋体"/>
          <w:color w:val="000000"/>
        </w:rPr>
        <w:t>6. 投标报价：本项目为交钥匙价，本项目报价应包含按要求完成本项目的所有费用。含项目中所需的硬件、附件、备品备件等费用，以及本项目在实施过程中涉及的专用工具、安装、调试、检验、培训、技术服务、运杂、保险费、税金、验收及投标人认为需要的所有费用。一经成交，除业主方要求的追加或变动项目外，业主方不再另行支付任何费用。如果报价表中未列出，招标人将认为投标人不收取这方面的费用，或在其它款项下已进行综合计算，勿需附任何说明。</w:t>
      </w:r>
    </w:p>
    <w:p>
      <w:pPr>
        <w:spacing w:line="360" w:lineRule="auto"/>
        <w:ind w:firstLine="420" w:firstLineChars="200"/>
        <w:rPr>
          <w:rFonts w:ascii="宋体" w:hAnsi="宋体"/>
          <w:szCs w:val="21"/>
        </w:rPr>
      </w:pPr>
      <w:r>
        <w:rPr>
          <w:rFonts w:hint="eastAsia" w:ascii="宋体" w:hAnsi="宋体"/>
          <w:color w:val="000000"/>
        </w:rPr>
        <w:t>7.</w:t>
      </w:r>
      <w:r>
        <w:rPr>
          <w:rFonts w:hint="eastAsia" w:ascii="宋体" w:hAnsi="宋体" w:cs="宋体"/>
          <w:color w:val="000000"/>
        </w:rPr>
        <w:t xml:space="preserve"> 不保证最低的投标价中标。</w:t>
      </w:r>
    </w:p>
    <w:p>
      <w:pPr>
        <w:spacing w:line="360" w:lineRule="auto"/>
        <w:rPr>
          <w:rFonts w:ascii="宋体" w:hAnsi="宋体"/>
          <w:szCs w:val="21"/>
        </w:rPr>
      </w:pPr>
      <w:r>
        <w:rPr>
          <w:rFonts w:ascii="宋体" w:hAnsi="宋体"/>
          <w:szCs w:val="21"/>
        </w:rPr>
        <w:br w:type="page"/>
      </w: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rPr>
          <w:rFonts w:ascii="宋体" w:hAnsi="宋体"/>
          <w:sz w:val="48"/>
          <w:szCs w:val="48"/>
        </w:rPr>
      </w:pPr>
    </w:p>
    <w:p>
      <w:pPr>
        <w:pStyle w:val="56"/>
        <w:rPr>
          <w:rFonts w:ascii="宋体" w:hAnsi="宋体"/>
          <w:b w:val="0"/>
          <w:sz w:val="48"/>
          <w:szCs w:val="48"/>
        </w:rPr>
        <w:sectPr>
          <w:footerReference r:id="rId17" w:type="even"/>
          <w:pgSz w:w="11906" w:h="16838"/>
          <w:pgMar w:top="1521" w:right="1474" w:bottom="1418" w:left="1474" w:header="851" w:footer="851" w:gutter="397"/>
          <w:cols w:space="425" w:num="1"/>
          <w:docGrid w:linePitch="312" w:charSpace="0"/>
        </w:sectPr>
      </w:pPr>
      <w:bookmarkStart w:id="284" w:name="_Toc490062130"/>
      <w:r>
        <w:rPr>
          <w:rFonts w:hint="eastAsia" w:ascii="宋体" w:hAnsi="宋体"/>
          <w:b w:val="0"/>
          <w:sz w:val="48"/>
          <w:szCs w:val="48"/>
        </w:rPr>
        <w:t>第四卷</w:t>
      </w:r>
      <w:bookmarkEnd w:id="284"/>
    </w:p>
    <w:p>
      <w:pPr>
        <w:spacing w:beforeLines="100" w:afterLines="100" w:line="360" w:lineRule="auto"/>
        <w:jc w:val="center"/>
        <w:outlineLvl w:val="0"/>
        <w:rPr>
          <w:rFonts w:ascii="宋体" w:hAnsi="宋体"/>
          <w:sz w:val="32"/>
          <w:szCs w:val="32"/>
        </w:rPr>
      </w:pPr>
      <w:bookmarkStart w:id="285" w:name="_Toc490062131"/>
      <w:bookmarkStart w:id="286" w:name="_Toc477902692"/>
      <w:r>
        <w:rPr>
          <w:rFonts w:hint="eastAsia" w:ascii="宋体" w:hAnsi="宋体"/>
          <w:sz w:val="32"/>
          <w:szCs w:val="32"/>
        </w:rPr>
        <w:t>第七章合同条款及格式</w:t>
      </w:r>
      <w:bookmarkEnd w:id="285"/>
      <w:bookmarkEnd w:id="286"/>
    </w:p>
    <w:p>
      <w:pPr>
        <w:spacing w:line="600" w:lineRule="exact"/>
        <w:jc w:val="center"/>
        <w:rPr>
          <w:rFonts w:ascii="宋体" w:hAnsi="宋体"/>
          <w:b/>
          <w:kern w:val="4"/>
          <w:sz w:val="52"/>
        </w:rPr>
      </w:pPr>
      <w:r>
        <w:rPr>
          <w:rFonts w:hint="eastAsia" w:ascii="宋体" w:hAnsi="宋体"/>
          <w:b/>
          <w:kern w:val="4"/>
          <w:sz w:val="52"/>
        </w:rPr>
        <w:t xml:space="preserve">工程合同                                          </w:t>
      </w:r>
    </w:p>
    <w:p>
      <w:pPr>
        <w:spacing w:line="400" w:lineRule="exact"/>
        <w:jc w:val="center"/>
        <w:rPr>
          <w:rFonts w:ascii="宋体" w:hAnsi="宋体"/>
        </w:rPr>
      </w:pPr>
      <w:r>
        <w:rPr>
          <w:rFonts w:ascii="宋体" w:hAnsi="宋体"/>
          <w:b/>
        </w:rPr>
        <w:t xml:space="preserve">     </w:t>
      </w:r>
      <w:r>
        <w:rPr>
          <w:rFonts w:hint="eastAsia" w:ascii="宋体" w:hAnsi="宋体"/>
          <w:b/>
        </w:rPr>
        <w:t xml:space="preserve">                                                      合同编号:</w:t>
      </w:r>
      <w:r>
        <w:t xml:space="preserve"> </w:t>
      </w:r>
    </w:p>
    <w:p>
      <w:pPr>
        <w:tabs>
          <w:tab w:val="left" w:pos="4500"/>
        </w:tabs>
        <w:spacing w:line="400" w:lineRule="exact"/>
        <w:ind w:left="19" w:leftChars="9" w:firstLine="539" w:firstLineChars="257"/>
        <w:jc w:val="left"/>
      </w:pPr>
      <w:r>
        <w:rPr>
          <w:rFonts w:hint="eastAsia"/>
        </w:rPr>
        <w:t>合同根据《中华人民共和国合同法》及省市合同管理有关规定，结合双方具体情况，经双方充分协商，</w:t>
      </w:r>
    </w:p>
    <w:p>
      <w:pPr>
        <w:tabs>
          <w:tab w:val="left" w:pos="4500"/>
        </w:tabs>
        <w:spacing w:line="400" w:lineRule="exact"/>
        <w:ind w:firstLine="420" w:firstLineChars="200"/>
      </w:pPr>
      <w:r>
        <w:rPr>
          <w:rFonts w:hint="eastAsia"/>
        </w:rPr>
        <w:t>就甲方委托乙方进行甲方</w:t>
      </w:r>
      <w:r>
        <w:rPr>
          <w:rFonts w:hint="eastAsia"/>
          <w:b/>
          <w:u w:val="single"/>
        </w:rPr>
        <w:t xml:space="preserve">                      </w:t>
      </w:r>
      <w:r>
        <w:rPr>
          <w:rFonts w:hint="eastAsia"/>
        </w:rPr>
        <w:t>施工，</w:t>
      </w:r>
      <w:r>
        <w:t>达成本合同各条款，共同履</w:t>
      </w:r>
      <w:r>
        <w:rPr>
          <w:rFonts w:ascii="宋体" w:hAnsi="宋体"/>
        </w:rPr>
        <w:t>行</w:t>
      </w:r>
      <w:r>
        <w:rPr>
          <w:rFonts w:hint="eastAsia" w:ascii="宋体" w:hAnsi="宋体"/>
          <w:b/>
        </w:rPr>
        <w:t>：</w:t>
      </w:r>
    </w:p>
    <w:p>
      <w:pPr>
        <w:tabs>
          <w:tab w:val="left" w:pos="4500"/>
        </w:tabs>
        <w:spacing w:line="400" w:lineRule="exact"/>
        <w:ind w:left="4649" w:leftChars="114" w:hanging="4410" w:hangingChars="2100"/>
        <w:rPr>
          <w:rFonts w:ascii="宋体" w:hAnsi="宋体"/>
        </w:rPr>
      </w:pPr>
      <w:r>
        <w:rPr>
          <w:rFonts w:hint="eastAsia" w:ascii="宋体" w:hAnsi="宋体"/>
        </w:rPr>
        <w:t xml:space="preserve">甲方: </w:t>
      </w:r>
      <w:r>
        <w:rPr>
          <w:rFonts w:hint="eastAsia" w:ascii="宋体" w:hAnsi="宋体"/>
          <w:u w:val="single"/>
        </w:rPr>
        <w:t xml:space="preserve">                          </w:t>
      </w:r>
    </w:p>
    <w:p>
      <w:pPr>
        <w:tabs>
          <w:tab w:val="left" w:pos="4500"/>
        </w:tabs>
        <w:spacing w:line="400" w:lineRule="exact"/>
        <w:ind w:left="4656" w:leftChars="67" w:hanging="4515" w:hangingChars="2150"/>
        <w:rPr>
          <w:rFonts w:ascii="宋体" w:hAnsi="宋体"/>
          <w:u w:val="single"/>
        </w:rPr>
      </w:pPr>
      <w:r>
        <w:rPr>
          <w:rFonts w:hint="eastAsia" w:ascii="宋体" w:hAnsi="宋体"/>
        </w:rPr>
        <w:t xml:space="preserve"> 乙方：</w:t>
      </w:r>
      <w:r>
        <w:rPr>
          <w:rFonts w:hint="eastAsia" w:ascii="宋体" w:hAnsi="宋体"/>
          <w:u w:val="single"/>
        </w:rPr>
        <w:t xml:space="preserve">                         </w:t>
      </w:r>
    </w:p>
    <w:p>
      <w:pPr>
        <w:tabs>
          <w:tab w:val="left" w:pos="4500"/>
        </w:tabs>
        <w:spacing w:line="400" w:lineRule="exact"/>
        <w:rPr>
          <w:rFonts w:ascii="宋体" w:hAnsi="宋体"/>
          <w:b/>
        </w:rPr>
      </w:pPr>
      <w:r>
        <w:rPr>
          <w:rFonts w:hint="eastAsia" w:ascii="宋体" w:hAnsi="宋体"/>
          <w:b/>
        </w:rPr>
        <w:t>本合同有关协议如下：</w:t>
      </w:r>
    </w:p>
    <w:p>
      <w:pPr>
        <w:numPr>
          <w:ilvl w:val="0"/>
          <w:numId w:val="15"/>
        </w:numPr>
        <w:tabs>
          <w:tab w:val="left" w:pos="540"/>
          <w:tab w:val="left" w:pos="4500"/>
          <w:tab w:val="clear" w:pos="720"/>
        </w:tab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本合同内容：</w:t>
      </w:r>
    </w:p>
    <w:p>
      <w:pPr>
        <w:tabs>
          <w:tab w:val="left" w:pos="4500"/>
        </w:tabs>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1.本合同主要内容：</w:t>
      </w:r>
    </w:p>
    <w:p>
      <w:pPr>
        <w:spacing w:line="360" w:lineRule="auto"/>
        <w:rPr>
          <w:rFonts w:asciiTheme="minorEastAsia" w:hAnsiTheme="minorEastAsia" w:eastAsiaTheme="minorEastAsia" w:cstheme="minorEastAsia"/>
          <w:b/>
          <w:i/>
          <w:szCs w:val="21"/>
          <w:u w:val="single"/>
        </w:rPr>
      </w:pPr>
      <w:r>
        <w:rPr>
          <w:rFonts w:hint="eastAsia" w:asciiTheme="minorEastAsia" w:hAnsiTheme="minorEastAsia" w:eastAsiaTheme="minorEastAsia" w:cstheme="minorEastAsia"/>
          <w:szCs w:val="21"/>
        </w:rPr>
        <w:t xml:space="preserve">  2. 工程总造价：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i/>
          <w:szCs w:val="21"/>
          <w:u w:val="single"/>
        </w:rPr>
        <w:t xml:space="preserve"> </w:t>
      </w:r>
    </w:p>
    <w:p>
      <w:pPr>
        <w:pStyle w:val="26"/>
        <w:spacing w:line="360" w:lineRule="auto"/>
        <w:ind w:left="315" w:leftChars="100" w:hanging="105" w:hangingChars="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包括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的全部费用；</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4.产品的名称、规格、价格、数量详见《实验室报价清单》及附图的详细说明；</w:t>
      </w:r>
    </w:p>
    <w:p>
      <w:pPr>
        <w:pStyle w:val="26"/>
        <w:tabs>
          <w:tab w:val="left" w:pos="4500"/>
        </w:tabs>
        <w:spacing w:line="360" w:lineRule="auto"/>
        <w:ind w:left="315" w:leftChars="100" w:hanging="105" w:hangingChars="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5.实验室家具由乙方专业人员按甲方要求设计并提供平面规划、产品设计明细配置图及材料说明。（详见附件图纸）</w:t>
      </w:r>
    </w:p>
    <w:p>
      <w:pPr>
        <w:numPr>
          <w:ilvl w:val="0"/>
          <w:numId w:val="15"/>
        </w:numPr>
        <w:tabs>
          <w:tab w:val="left" w:pos="540"/>
          <w:tab w:val="left" w:pos="4500"/>
          <w:tab w:val="clear" w:pos="720"/>
        </w:tab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付款方式：</w:t>
      </w:r>
    </w:p>
    <w:p>
      <w:pPr>
        <w:tabs>
          <w:tab w:val="left" w:pos="360"/>
        </w:tabs>
        <w:snapToGrid w:val="0"/>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合同签订后二周内预付20%，室内场地装潢完成支付至50%，全部验收合格后扣除贰万元人民币剩余部分一个月内支付。贰万元人民币质保金壹年内支付。</w:t>
      </w:r>
    </w:p>
    <w:p>
      <w:pPr>
        <w:numPr>
          <w:ilvl w:val="0"/>
          <w:numId w:val="15"/>
        </w:numPr>
        <w:tabs>
          <w:tab w:val="left" w:pos="540"/>
          <w:tab w:val="left" w:pos="4500"/>
          <w:tab w:val="clear" w:pos="720"/>
        </w:tab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工期、交货、运输及安装地点：</w:t>
      </w:r>
    </w:p>
    <w:p>
      <w:pPr>
        <w:tabs>
          <w:tab w:val="left" w:pos="4500"/>
        </w:tabs>
        <w:spacing w:line="360" w:lineRule="auto"/>
        <w:ind w:left="210" w:leftChars="100" w:firstLine="315"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自甲方最后确认施工图纸</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个工作日内全场完工（如有变动推迟，工期相应顺延）。</w:t>
      </w:r>
    </w:p>
    <w:p>
      <w:pPr>
        <w:numPr>
          <w:ilvl w:val="0"/>
          <w:numId w:val="15"/>
        </w:numPr>
        <w:tabs>
          <w:tab w:val="left" w:pos="540"/>
          <w:tab w:val="left" w:pos="4500"/>
          <w:tab w:val="clear" w:pos="720"/>
        </w:tab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验收：</w:t>
      </w:r>
    </w:p>
    <w:p>
      <w:pPr>
        <w:tabs>
          <w:tab w:val="left" w:pos="4500"/>
        </w:tabs>
        <w:spacing w:line="360"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1.验收时间：工程完工后乙方应通知甲方，甲方应在收到通知</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天内对此工程进行验收（法定节假日顺延），否则视作验收合格；甲方不及时验收，或未经验收就使用的，视同验收合格；因甲方原因在验收前造成损坏的，甲方应负全部责任，并赔偿乙方相应损失。</w:t>
      </w:r>
    </w:p>
    <w:p>
      <w:pPr>
        <w:tabs>
          <w:tab w:val="left" w:pos="4500"/>
        </w:tabs>
        <w:spacing w:line="400" w:lineRule="exact"/>
        <w:ind w:left="420"/>
        <w:rPr>
          <w:rFonts w:ascii="宋体" w:hAnsi="宋体"/>
        </w:rPr>
      </w:pPr>
      <w:r>
        <w:rPr>
          <w:rFonts w:hint="eastAsia" w:ascii="宋体" w:hAnsi="宋体"/>
        </w:rPr>
        <w:t>2.验收方式：甲乙双方派人到现场进行验收；乙方出具验收报告,由双方负责验收的人员签字盖章确认。</w:t>
      </w:r>
    </w:p>
    <w:p>
      <w:pPr>
        <w:tabs>
          <w:tab w:val="left" w:pos="4500"/>
        </w:tabs>
        <w:spacing w:line="400" w:lineRule="exact"/>
        <w:ind w:left="420"/>
        <w:rPr>
          <w:rFonts w:ascii="宋体" w:hAnsi="宋体"/>
        </w:rPr>
      </w:pPr>
      <w:r>
        <w:rPr>
          <w:rFonts w:hint="eastAsia" w:ascii="宋体" w:hAnsi="宋体"/>
        </w:rPr>
        <w:t>3.验收标准：按合同条款进行验收。</w:t>
      </w:r>
    </w:p>
    <w:p>
      <w:pPr>
        <w:numPr>
          <w:ilvl w:val="0"/>
          <w:numId w:val="15"/>
        </w:numPr>
        <w:tabs>
          <w:tab w:val="left" w:pos="540"/>
          <w:tab w:val="left" w:pos="4500"/>
          <w:tab w:val="clear" w:pos="720"/>
        </w:tabs>
        <w:spacing w:line="400" w:lineRule="exact"/>
        <w:rPr>
          <w:rFonts w:ascii="宋体" w:hAnsi="宋体"/>
          <w:b/>
        </w:rPr>
      </w:pPr>
      <w:r>
        <w:rPr>
          <w:rFonts w:hint="eastAsia" w:ascii="宋体" w:hAnsi="宋体"/>
          <w:b/>
        </w:rPr>
        <w:t>工程协调</w:t>
      </w:r>
    </w:p>
    <w:p>
      <w:pPr>
        <w:tabs>
          <w:tab w:val="left" w:pos="4500"/>
        </w:tabs>
        <w:spacing w:line="400" w:lineRule="exact"/>
        <w:ind w:firstLine="525" w:firstLineChars="250"/>
        <w:rPr>
          <w:rFonts w:ascii="宋体" w:hAnsi="宋体"/>
        </w:rPr>
      </w:pPr>
      <w:r>
        <w:rPr>
          <w:rFonts w:hint="eastAsia" w:ascii="宋体" w:hAnsi="宋体"/>
        </w:rPr>
        <w:t>甲乙双方指定一名人员为该项目负责人，负责本项目的事务协调。</w:t>
      </w:r>
    </w:p>
    <w:p>
      <w:pPr>
        <w:tabs>
          <w:tab w:val="left" w:pos="4500"/>
        </w:tabs>
        <w:spacing w:line="400" w:lineRule="exact"/>
        <w:ind w:firstLine="525" w:firstLineChars="250"/>
      </w:pPr>
      <w:r>
        <w:rPr>
          <w:rFonts w:hint="eastAsia" w:ascii="宋体" w:hAnsi="宋体"/>
        </w:rPr>
        <w:t>甲方负责人:</w:t>
      </w:r>
      <w:r>
        <w:rPr>
          <w:rFonts w:hint="eastAsia"/>
          <w:u w:val="single"/>
        </w:rPr>
        <w:t xml:space="preserve">             .</w:t>
      </w:r>
      <w:r>
        <w:rPr>
          <w:rFonts w:hint="eastAsia"/>
        </w:rPr>
        <w:t xml:space="preserve">      联系电话 </w:t>
      </w:r>
      <w:r>
        <w:rPr>
          <w:rFonts w:hint="eastAsia"/>
          <w:u w:val="single"/>
        </w:rPr>
        <w:t xml:space="preserve">             </w:t>
      </w:r>
    </w:p>
    <w:p>
      <w:pPr>
        <w:tabs>
          <w:tab w:val="left" w:pos="4500"/>
        </w:tabs>
        <w:spacing w:line="400" w:lineRule="exact"/>
        <w:ind w:firstLine="525" w:firstLineChars="250"/>
      </w:pPr>
      <w:r>
        <w:rPr>
          <w:rFonts w:hint="eastAsia" w:ascii="宋体" w:hAnsi="宋体"/>
        </w:rPr>
        <w:t>乙方负责人:</w:t>
      </w:r>
      <w:r>
        <w:rPr>
          <w:rFonts w:hint="eastAsia"/>
          <w:u w:val="single"/>
        </w:rPr>
        <w:t xml:space="preserve">             .</w:t>
      </w:r>
      <w:r>
        <w:rPr>
          <w:rFonts w:hint="eastAsia"/>
        </w:rPr>
        <w:t xml:space="preserve">      联系电话 </w:t>
      </w:r>
      <w:r>
        <w:rPr>
          <w:rFonts w:hint="eastAsia"/>
          <w:u w:val="single"/>
        </w:rPr>
        <w:t xml:space="preserve">             </w:t>
      </w:r>
    </w:p>
    <w:p>
      <w:pPr>
        <w:numPr>
          <w:ilvl w:val="0"/>
          <w:numId w:val="15"/>
        </w:numPr>
        <w:tabs>
          <w:tab w:val="left" w:pos="540"/>
          <w:tab w:val="left" w:pos="4500"/>
          <w:tab w:val="clear" w:pos="720"/>
        </w:tabs>
        <w:spacing w:line="400" w:lineRule="exact"/>
        <w:rPr>
          <w:rFonts w:ascii="宋体" w:hAnsi="宋体"/>
          <w:b/>
        </w:rPr>
      </w:pPr>
      <w:r>
        <w:rPr>
          <w:rFonts w:hint="eastAsia" w:ascii="宋体" w:hAnsi="宋体"/>
          <w:b/>
        </w:rPr>
        <w:t>乙方违约责任：</w:t>
      </w:r>
    </w:p>
    <w:p>
      <w:pPr>
        <w:numPr>
          <w:ilvl w:val="0"/>
          <w:numId w:val="16"/>
        </w:numPr>
        <w:tabs>
          <w:tab w:val="left" w:pos="4500"/>
        </w:tabs>
        <w:spacing w:line="400" w:lineRule="exact"/>
        <w:ind w:left="210" w:leftChars="100" w:firstLine="210" w:firstLineChars="100"/>
        <w:rPr>
          <w:rFonts w:ascii="宋体" w:hAnsi="宋体"/>
        </w:rPr>
      </w:pPr>
      <w:r>
        <w:rPr>
          <w:rFonts w:hint="eastAsia" w:ascii="宋体" w:hAnsi="宋体"/>
        </w:rPr>
        <w:t>乙方逾期交货，应向甲方支付工程总价的</w:t>
      </w:r>
      <w:r>
        <w:rPr>
          <w:rFonts w:ascii="宋体" w:hAnsi="宋体"/>
        </w:rPr>
        <w:t>2‰</w:t>
      </w:r>
      <w:r>
        <w:rPr>
          <w:rFonts w:hint="eastAsia" w:ascii="宋体" w:hAnsi="宋体"/>
        </w:rPr>
        <w:t>（每天），作为逾期交货违约金。</w:t>
      </w:r>
    </w:p>
    <w:p>
      <w:pPr>
        <w:tabs>
          <w:tab w:val="left" w:pos="4500"/>
        </w:tabs>
        <w:spacing w:line="400" w:lineRule="exact"/>
        <w:ind w:left="420" w:leftChars="200"/>
        <w:rPr>
          <w:rFonts w:ascii="宋体" w:hAnsi="宋体"/>
        </w:rPr>
      </w:pPr>
      <w:r>
        <w:rPr>
          <w:rFonts w:hint="eastAsia" w:ascii="宋体" w:hAnsi="宋体"/>
        </w:rPr>
        <w:t>2.乙方不能按照合同准时竣工的，应支付甲方工程总价的</w:t>
      </w:r>
      <w:r>
        <w:rPr>
          <w:rFonts w:ascii="宋体" w:hAnsi="宋体"/>
        </w:rPr>
        <w:t>2‰</w:t>
      </w:r>
      <w:r>
        <w:rPr>
          <w:rFonts w:hint="eastAsia" w:ascii="宋体" w:hAnsi="宋体"/>
        </w:rPr>
        <w:t>（每天），作为逾期竣工违约金。</w:t>
      </w:r>
    </w:p>
    <w:p>
      <w:pPr>
        <w:tabs>
          <w:tab w:val="left" w:pos="4500"/>
        </w:tabs>
        <w:spacing w:line="400" w:lineRule="exact"/>
        <w:ind w:left="420" w:leftChars="200"/>
        <w:rPr>
          <w:rFonts w:ascii="宋体" w:hAnsi="宋体"/>
        </w:rPr>
      </w:pPr>
      <w:r>
        <w:rPr>
          <w:rFonts w:hint="eastAsia" w:ascii="宋体" w:hAnsi="宋体"/>
        </w:rPr>
        <w:t>3.乙方以甲方确认的图纸安排生产，乙方未安排生产前，甲方若遇特殊情况需要更改，必须经双方协商后以书面形式确认，方可成为合同的一部分;若乙方已按图生产后，甲方确需修改，所造成的材料损失/人工成本等增加的费用全部由甲方负担，工期顺延之损失不由乙方承担。</w:t>
      </w:r>
    </w:p>
    <w:p>
      <w:pPr>
        <w:numPr>
          <w:ilvl w:val="0"/>
          <w:numId w:val="15"/>
        </w:numPr>
        <w:tabs>
          <w:tab w:val="left" w:pos="540"/>
          <w:tab w:val="left" w:pos="4500"/>
          <w:tab w:val="clear" w:pos="720"/>
        </w:tabs>
        <w:spacing w:line="400" w:lineRule="exact"/>
        <w:rPr>
          <w:rFonts w:ascii="宋体" w:hAnsi="宋体"/>
          <w:b/>
        </w:rPr>
      </w:pPr>
      <w:r>
        <w:rPr>
          <w:rFonts w:hint="eastAsia" w:ascii="宋体" w:hAnsi="宋体"/>
          <w:b/>
        </w:rPr>
        <w:t>甲方违约责任：</w:t>
      </w:r>
    </w:p>
    <w:p>
      <w:pPr>
        <w:tabs>
          <w:tab w:val="left" w:pos="4500"/>
        </w:tabs>
        <w:spacing w:line="400" w:lineRule="exact"/>
        <w:ind w:left="210" w:leftChars="100" w:firstLine="420" w:firstLineChars="200"/>
        <w:rPr>
          <w:rFonts w:ascii="宋体" w:hAnsi="宋体"/>
        </w:rPr>
      </w:pPr>
      <w:r>
        <w:rPr>
          <w:rFonts w:hint="eastAsia" w:ascii="宋体" w:hAnsi="宋体"/>
        </w:rPr>
        <w:t>1.甲方逾期付款的，应向乙方支付工程总价的</w:t>
      </w:r>
      <w:r>
        <w:rPr>
          <w:rFonts w:ascii="宋体" w:hAnsi="宋体"/>
        </w:rPr>
        <w:t>2‰</w:t>
      </w:r>
      <w:r>
        <w:rPr>
          <w:rFonts w:hint="eastAsia" w:ascii="宋体" w:hAnsi="宋体"/>
        </w:rPr>
        <w:t>（每天），作为逾期付款违约金，并承担乙方因此所受到的损失费用。</w:t>
      </w:r>
      <w:r>
        <w:rPr>
          <w:rFonts w:ascii="宋体" w:hAnsi="宋体"/>
        </w:rPr>
        <w:br w:type="textWrapping"/>
      </w:r>
      <w:r>
        <w:rPr>
          <w:rFonts w:hint="eastAsia" w:ascii="宋体" w:hAnsi="宋体"/>
        </w:rPr>
        <w:t xml:space="preserve">    2.甲方的施工场地必须具备施工条件：水、电、通道，工作场地无阻障、仓储等，并尽量不要造成多工种施工，确保乙方安装家具(或装修)施工区内工作不受影响，以免影响乙方的竣工期；如果由于甲方的原因造成乙方逾期竣工，甲方须支付乙方工程总造价的</w:t>
      </w:r>
      <w:r>
        <w:rPr>
          <w:rFonts w:ascii="宋体" w:hAnsi="宋体"/>
        </w:rPr>
        <w:t>2‰</w:t>
      </w:r>
      <w:r>
        <w:rPr>
          <w:rFonts w:hint="eastAsia" w:ascii="宋体" w:hAnsi="宋体"/>
        </w:rPr>
        <w:t>（每天），作为误工违约金。</w:t>
      </w:r>
    </w:p>
    <w:p>
      <w:pPr>
        <w:numPr>
          <w:ilvl w:val="0"/>
          <w:numId w:val="15"/>
        </w:numPr>
        <w:tabs>
          <w:tab w:val="left" w:pos="540"/>
          <w:tab w:val="left" w:pos="4500"/>
          <w:tab w:val="clear" w:pos="720"/>
        </w:tabs>
        <w:spacing w:line="400" w:lineRule="exact"/>
        <w:rPr>
          <w:rFonts w:ascii="宋体" w:hAnsi="宋体"/>
          <w:b/>
        </w:rPr>
      </w:pPr>
      <w:r>
        <w:rPr>
          <w:rFonts w:hint="eastAsia" w:ascii="宋体" w:hAnsi="宋体"/>
          <w:b/>
        </w:rPr>
        <w:t>不可抗力造成损失的处理原则：</w:t>
      </w:r>
    </w:p>
    <w:p>
      <w:pPr>
        <w:tabs>
          <w:tab w:val="left" w:pos="4500"/>
        </w:tabs>
        <w:spacing w:line="400" w:lineRule="exact"/>
        <w:ind w:left="210" w:leftChars="100" w:firstLine="315" w:firstLineChars="150"/>
        <w:rPr>
          <w:rFonts w:ascii="宋体" w:hAnsi="宋体"/>
        </w:rPr>
      </w:pPr>
      <w:r>
        <w:rPr>
          <w:rFonts w:hint="eastAsia" w:ascii="宋体" w:hAnsi="宋体"/>
        </w:rPr>
        <w:t>甲乙双方如果由于不可抗力的原因不能履行合同，应及时向对方通报不能履行或者不能完全履行的理由，在取得有关机关证明后，延迟履行、部分履行或者不履行合同，并根据情况可部分或全部免除承担违约责任。</w:t>
      </w:r>
    </w:p>
    <w:p>
      <w:pPr>
        <w:numPr>
          <w:ilvl w:val="0"/>
          <w:numId w:val="15"/>
        </w:numPr>
        <w:tabs>
          <w:tab w:val="left" w:pos="540"/>
          <w:tab w:val="left" w:pos="4500"/>
          <w:tab w:val="clear" w:pos="720"/>
        </w:tabs>
        <w:spacing w:line="400" w:lineRule="exact"/>
        <w:rPr>
          <w:rFonts w:ascii="宋体" w:hAnsi="宋体"/>
          <w:b/>
        </w:rPr>
      </w:pPr>
      <w:r>
        <w:rPr>
          <w:rFonts w:hint="eastAsia" w:ascii="宋体" w:hAnsi="宋体"/>
          <w:b/>
        </w:rPr>
        <w:t>售后服务：</w:t>
      </w:r>
    </w:p>
    <w:p>
      <w:pPr>
        <w:tabs>
          <w:tab w:val="left" w:pos="4500"/>
        </w:tabs>
        <w:spacing w:line="400" w:lineRule="exact"/>
        <w:ind w:left="210" w:leftChars="100" w:firstLine="315" w:firstLineChars="150"/>
        <w:rPr>
          <w:rFonts w:ascii="宋体" w:hAnsi="宋体"/>
        </w:rPr>
      </w:pPr>
      <w:r>
        <w:rPr>
          <w:rFonts w:hint="eastAsia" w:ascii="宋体" w:hAnsi="宋体"/>
        </w:rPr>
        <w:t>乙方对本工程提供两年免费维修，终身维护（在双方协定的技术范围内使用），所有电气（空调、风机、风淋等）保修一年，洁净初、中、高效过滤器及废气处理活性炭、灯管等实验室耗材不在保修范围内；如因甲方使用不当而造成的问题，乙方可以协助解决，并酌情收取材料成本费和安装费。若在免费维修期内出现产品质量问题，乙方在接到甲方的书面通知后，24至72小时内（视地理位置/距离而定）到达甲方工作现场，与甲方协商并及时解决。若乙方未及时履行维修，甲方可另行采取维修措施并通知乙方，乙方负责相关费用。</w:t>
      </w:r>
    </w:p>
    <w:p>
      <w:pPr>
        <w:tabs>
          <w:tab w:val="left" w:pos="4500"/>
        </w:tabs>
        <w:spacing w:line="400" w:lineRule="exact"/>
        <w:ind w:left="210" w:leftChars="100" w:firstLine="315" w:firstLineChars="150"/>
        <w:rPr>
          <w:rFonts w:ascii="宋体" w:hAnsi="宋体"/>
        </w:rPr>
      </w:pPr>
      <w:r>
        <w:rPr>
          <w:rFonts w:hint="eastAsia" w:ascii="宋体" w:hAnsi="宋体"/>
        </w:rPr>
        <w:t xml:space="preserve">      联系人：                         售后服务电话：</w:t>
      </w:r>
    </w:p>
    <w:p>
      <w:pPr>
        <w:numPr>
          <w:ilvl w:val="0"/>
          <w:numId w:val="15"/>
        </w:numPr>
        <w:tabs>
          <w:tab w:val="left" w:pos="540"/>
          <w:tab w:val="left" w:pos="4500"/>
          <w:tab w:val="clear" w:pos="720"/>
        </w:tabs>
        <w:spacing w:line="400" w:lineRule="exact"/>
        <w:rPr>
          <w:rFonts w:ascii="宋体" w:hAnsi="宋体"/>
          <w:b/>
        </w:rPr>
      </w:pPr>
      <w:r>
        <w:rPr>
          <w:rFonts w:hint="eastAsia" w:ascii="宋体" w:hAnsi="宋体"/>
          <w:b/>
        </w:rPr>
        <w:t>保密协议：</w:t>
      </w:r>
    </w:p>
    <w:p>
      <w:pPr>
        <w:tabs>
          <w:tab w:val="left" w:pos="4500"/>
        </w:tabs>
        <w:spacing w:line="400" w:lineRule="exact"/>
        <w:ind w:left="210" w:leftChars="100" w:firstLine="315" w:firstLineChars="150"/>
        <w:rPr>
          <w:rFonts w:ascii="宋体" w:hAnsi="宋体"/>
        </w:rPr>
      </w:pPr>
      <w:r>
        <w:rPr>
          <w:rFonts w:hint="eastAsia" w:ascii="宋体" w:hAnsi="宋体"/>
        </w:rPr>
        <w:t>合同一方当事人在未经他方同意的情况下，不得以任何方式泄露他方的情报和资料给任何第三方，除双方确认可散发的资料及国家法律另有规定除外。</w:t>
      </w:r>
    </w:p>
    <w:p>
      <w:pPr>
        <w:numPr>
          <w:ilvl w:val="0"/>
          <w:numId w:val="15"/>
        </w:numPr>
        <w:tabs>
          <w:tab w:val="left" w:pos="540"/>
          <w:tab w:val="clear" w:pos="720"/>
        </w:tabs>
        <w:spacing w:line="400" w:lineRule="exact"/>
        <w:rPr>
          <w:rFonts w:ascii="宋体" w:hAnsi="宋体"/>
          <w:b/>
        </w:rPr>
      </w:pPr>
      <w:r>
        <w:rPr>
          <w:b/>
        </w:rPr>
        <w:t>合同争议的解决</w:t>
      </w:r>
    </w:p>
    <w:p>
      <w:pPr>
        <w:spacing w:line="400" w:lineRule="exact"/>
        <w:ind w:left="210" w:leftChars="100" w:firstLine="315" w:firstLineChars="150"/>
        <w:rPr>
          <w:rFonts w:ascii="宋体" w:hAnsi="宋体"/>
        </w:rPr>
      </w:pPr>
      <w:r>
        <w:rPr>
          <w:rFonts w:hint="eastAsia" w:ascii="宋体" w:hAnsi="宋体"/>
        </w:rPr>
        <w:t>本合同未尽事宜，双方可作进一步协商补充；若有争议，双方协商解决，若无法协商解决，则交由广州仲裁委员会仲裁。</w:t>
      </w:r>
    </w:p>
    <w:p>
      <w:pPr>
        <w:numPr>
          <w:ilvl w:val="0"/>
          <w:numId w:val="17"/>
        </w:numPr>
        <w:tabs>
          <w:tab w:val="left" w:pos="540"/>
        </w:tabs>
        <w:spacing w:line="400" w:lineRule="exact"/>
        <w:ind w:left="721" w:leftChars="-1" w:hanging="723" w:hangingChars="343"/>
        <w:rPr>
          <w:rFonts w:ascii="宋体" w:hAnsi="宋体"/>
          <w:b/>
        </w:rPr>
      </w:pPr>
      <w:r>
        <w:rPr>
          <w:rFonts w:hint="eastAsia" w:ascii="宋体" w:hAnsi="宋体"/>
          <w:b/>
        </w:rPr>
        <w:t xml:space="preserve"> 本合同一式叁份，甲方一份，乙方两份；本合同须经双方代表签字并加盖公司公章方为有效。本合同传真件有效。</w:t>
      </w:r>
    </w:p>
    <w:p>
      <w:pPr>
        <w:tabs>
          <w:tab w:val="left" w:pos="4500"/>
        </w:tabs>
        <w:spacing w:line="360" w:lineRule="auto"/>
        <w:rPr>
          <w:rFonts w:ascii="宋体" w:hAnsi="宋体"/>
        </w:rPr>
      </w:pPr>
      <w:r>
        <w:rPr>
          <w:rFonts w:hint="eastAsia" w:ascii="宋体" w:hAnsi="宋体"/>
        </w:rPr>
        <w:t xml:space="preserve"> 甲方（盖章）：                                  乙方（盖章）：</w:t>
      </w:r>
    </w:p>
    <w:p>
      <w:pPr>
        <w:spacing w:line="360" w:lineRule="auto"/>
        <w:rPr>
          <w:rFonts w:ascii="宋体" w:hAnsi="宋体"/>
        </w:rPr>
      </w:pPr>
      <w:r>
        <w:rPr>
          <w:rFonts w:hint="eastAsia" w:ascii="宋体" w:hAnsi="宋体"/>
        </w:rPr>
        <w:t xml:space="preserve"> 委托代表（签字）：                               委托代表（签字）：</w:t>
      </w:r>
    </w:p>
    <w:p>
      <w:pPr>
        <w:spacing w:line="360" w:lineRule="auto"/>
        <w:rPr>
          <w:rFonts w:ascii="宋体" w:hAnsi="宋体"/>
        </w:rPr>
      </w:pPr>
      <w:r>
        <w:rPr>
          <w:rFonts w:hint="eastAsia" w:ascii="宋体" w:hAnsi="宋体"/>
        </w:rPr>
        <w:t xml:space="preserve"> 工程地址:                                       开户银行：</w:t>
      </w:r>
    </w:p>
    <w:p>
      <w:pPr>
        <w:spacing w:line="360" w:lineRule="auto"/>
        <w:rPr>
          <w:rFonts w:ascii="宋体" w:hAnsi="宋体"/>
        </w:rPr>
      </w:pPr>
      <w:r>
        <w:rPr>
          <w:rFonts w:hint="eastAsia" w:ascii="宋体" w:hAnsi="宋体"/>
        </w:rPr>
        <w:t xml:space="preserve">  联 系 人:                                      帐    号：</w:t>
      </w:r>
    </w:p>
    <w:p>
      <w:pPr>
        <w:tabs>
          <w:tab w:val="left" w:pos="5760"/>
        </w:tabs>
        <w:spacing w:line="360" w:lineRule="auto"/>
        <w:ind w:left="-44" w:leftChars="-171" w:hanging="315" w:hangingChars="150"/>
        <w:rPr>
          <w:rFonts w:ascii="宋体" w:hAnsi="宋体"/>
        </w:rPr>
      </w:pPr>
      <w:r>
        <w:rPr>
          <w:rFonts w:hint="eastAsia" w:ascii="宋体" w:hAnsi="宋体"/>
        </w:rPr>
        <w:t xml:space="preserve">     联系电话：                                     电    话： </w:t>
      </w:r>
    </w:p>
    <w:p>
      <w:pPr>
        <w:tabs>
          <w:tab w:val="left" w:pos="5760"/>
        </w:tabs>
        <w:spacing w:line="360" w:lineRule="auto"/>
        <w:ind w:firstLine="5138" w:firstLineChars="2447"/>
        <w:rPr>
          <w:rFonts w:ascii="宋体" w:hAnsi="宋体"/>
        </w:rPr>
      </w:pPr>
      <w:r>
        <w:rPr>
          <w:rFonts w:hint="eastAsia" w:ascii="宋体" w:hAnsi="宋体"/>
        </w:rPr>
        <w:t>传  真：</w:t>
      </w:r>
    </w:p>
    <w:p>
      <w:pPr>
        <w:tabs>
          <w:tab w:val="left" w:pos="5760"/>
        </w:tabs>
        <w:spacing w:line="360" w:lineRule="auto"/>
        <w:ind w:left="-44" w:leftChars="-171" w:hanging="315" w:hangingChars="150"/>
        <w:rPr>
          <w:rFonts w:ascii="宋体" w:hAnsi="宋体"/>
        </w:rPr>
      </w:pPr>
      <w:r>
        <w:rPr>
          <w:rFonts w:hint="eastAsia" w:ascii="宋体" w:hAnsi="宋体"/>
        </w:rPr>
        <w:t xml:space="preserve">     邮政编码：                                      邮政编码：</w:t>
      </w:r>
    </w:p>
    <w:p>
      <w:pPr>
        <w:spacing w:line="360" w:lineRule="auto"/>
        <w:ind w:firstLine="210" w:firstLineChars="100"/>
      </w:pPr>
      <w:r>
        <w:rPr>
          <w:rFonts w:hint="eastAsia" w:ascii="宋体" w:hAnsi="宋体"/>
        </w:rPr>
        <w:t xml:space="preserve">日    期：     年   月   日                     日    期：    年   月    日 </w:t>
      </w:r>
    </w:p>
    <w:p>
      <w:pPr>
        <w:jc w:val="center"/>
        <w:rPr>
          <w:rFonts w:ascii="宋体"/>
          <w:szCs w:val="28"/>
        </w:rPr>
      </w:pPr>
    </w:p>
    <w:p>
      <w:pPr>
        <w:jc w:val="center"/>
        <w:rPr>
          <w:rFonts w:ascii="宋体" w:hAnsi="宋体"/>
          <w:sz w:val="28"/>
          <w:szCs w:val="28"/>
        </w:rPr>
      </w:pPr>
    </w:p>
    <w:p>
      <w:pPr>
        <w:widowControl/>
        <w:jc w:val="left"/>
        <w:rPr>
          <w:rFonts w:ascii="宋体" w:hAnsi="宋体"/>
        </w:rPr>
      </w:pPr>
      <w:r>
        <w:rPr>
          <w:rFonts w:ascii="宋体" w:hAnsi="宋体"/>
        </w:rPr>
        <w:br w:type="page"/>
      </w: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ind w:firstLine="435"/>
        <w:jc w:val="center"/>
        <w:rPr>
          <w:rFonts w:ascii="宋体" w:hAnsi="宋体"/>
        </w:rPr>
      </w:pPr>
    </w:p>
    <w:p>
      <w:pPr>
        <w:spacing w:line="360" w:lineRule="auto"/>
        <w:rPr>
          <w:rFonts w:ascii="宋体" w:hAnsi="宋体"/>
        </w:rPr>
      </w:pPr>
    </w:p>
    <w:p>
      <w:pPr>
        <w:pStyle w:val="56"/>
        <w:rPr>
          <w:rFonts w:ascii="宋体" w:hAnsi="宋体"/>
          <w:b w:val="0"/>
          <w:sz w:val="48"/>
          <w:szCs w:val="48"/>
        </w:rPr>
      </w:pPr>
      <w:bookmarkStart w:id="287" w:name="_Toc490062154"/>
      <w:r>
        <w:rPr>
          <w:rFonts w:hint="eastAsia" w:ascii="宋体" w:hAnsi="宋体"/>
          <w:b w:val="0"/>
          <w:sz w:val="48"/>
          <w:szCs w:val="48"/>
        </w:rPr>
        <w:t>第五卷</w:t>
      </w:r>
      <w:bookmarkEnd w:id="287"/>
    </w:p>
    <w:p>
      <w:pPr>
        <w:spacing w:beforeLines="100" w:afterLines="100" w:line="360" w:lineRule="auto"/>
        <w:jc w:val="center"/>
        <w:outlineLvl w:val="0"/>
        <w:rPr>
          <w:rFonts w:ascii="宋体" w:hAnsi="宋体"/>
          <w:sz w:val="32"/>
          <w:szCs w:val="32"/>
        </w:rPr>
        <w:sectPr>
          <w:headerReference r:id="rId18" w:type="first"/>
          <w:footerReference r:id="rId19" w:type="default"/>
          <w:pgSz w:w="11906" w:h="16838"/>
          <w:pgMar w:top="1418" w:right="1474" w:bottom="1418" w:left="1474" w:header="851" w:footer="851" w:gutter="397"/>
          <w:cols w:space="425" w:num="1"/>
          <w:docGrid w:linePitch="312" w:charSpace="0"/>
        </w:sectPr>
      </w:pPr>
      <w:bookmarkStart w:id="288" w:name="_Toc283196399"/>
      <w:bookmarkStart w:id="289" w:name="_Toc282973180"/>
      <w:bookmarkStart w:id="290" w:name="_Toc283128987"/>
    </w:p>
    <w:bookmarkEnd w:id="288"/>
    <w:bookmarkEnd w:id="289"/>
    <w:bookmarkEnd w:id="290"/>
    <w:p>
      <w:pPr>
        <w:spacing w:beforeLines="100" w:afterLines="100" w:line="360" w:lineRule="auto"/>
        <w:jc w:val="center"/>
        <w:outlineLvl w:val="0"/>
        <w:rPr>
          <w:rFonts w:ascii="宋体" w:hAnsi="宋体"/>
          <w:sz w:val="32"/>
          <w:szCs w:val="32"/>
        </w:rPr>
      </w:pPr>
      <w:bookmarkStart w:id="291" w:name="_Toc490062155"/>
      <w:r>
        <w:rPr>
          <w:rFonts w:hint="eastAsia" w:ascii="宋体" w:hAnsi="宋体"/>
          <w:sz w:val="32"/>
          <w:szCs w:val="32"/>
        </w:rPr>
        <w:t>第八章投标文件格式</w:t>
      </w:r>
      <w:bookmarkEnd w:id="291"/>
    </w:p>
    <w:p>
      <w:pPr>
        <w:spacing w:line="360" w:lineRule="auto"/>
        <w:ind w:firstLine="420" w:firstLineChars="200"/>
        <w:jc w:val="left"/>
        <w:rPr>
          <w:rFonts w:ascii="宋体" w:hAnsi="宋体"/>
          <w:szCs w:val="21"/>
        </w:rPr>
      </w:pPr>
    </w:p>
    <w:p>
      <w:pPr>
        <w:spacing w:line="360" w:lineRule="auto"/>
        <w:jc w:val="left"/>
        <w:rPr>
          <w:rFonts w:ascii="宋体" w:hAnsi="宋体"/>
          <w:sz w:val="24"/>
        </w:rPr>
      </w:pPr>
      <w:r>
        <w:rPr>
          <w:rFonts w:hint="eastAsia" w:ascii="宋体" w:hAnsi="宋体"/>
          <w:sz w:val="24"/>
        </w:rPr>
        <w:t>投标文件按照第二卷和第三卷的要求编制，分为商务和技术二部分，格式如下：</w:t>
      </w:r>
    </w:p>
    <w:p>
      <w:pPr>
        <w:spacing w:line="360" w:lineRule="auto"/>
        <w:jc w:val="center"/>
        <w:rPr>
          <w:rFonts w:ascii="宋体" w:hAnsi="宋体"/>
          <w:sz w:val="32"/>
          <w:szCs w:val="32"/>
        </w:rPr>
      </w:pPr>
      <w:r>
        <w:rPr>
          <w:rFonts w:ascii="宋体" w:hAnsi="宋体"/>
          <w:sz w:val="32"/>
          <w:szCs w:val="32"/>
        </w:rPr>
        <w:br w:type="page"/>
      </w:r>
    </w:p>
    <w:p>
      <w:pPr>
        <w:spacing w:line="360" w:lineRule="auto"/>
        <w:jc w:val="left"/>
        <w:rPr>
          <w:rFonts w:ascii="宋体" w:hAnsi="宋体"/>
          <w:sz w:val="32"/>
          <w:szCs w:val="32"/>
        </w:rPr>
      </w:pPr>
      <w:r>
        <w:rPr>
          <w:rFonts w:hint="eastAsia" w:ascii="宋体" w:hAnsi="宋体"/>
          <w:sz w:val="32"/>
          <w:szCs w:val="32"/>
        </w:rPr>
        <w:t>（封面格式）</w:t>
      </w:r>
    </w:p>
    <w:p>
      <w:pPr>
        <w:spacing w:line="360" w:lineRule="auto"/>
        <w:jc w:val="center"/>
        <w:rPr>
          <w:rFonts w:ascii="宋体" w:hAnsi="宋体"/>
          <w:sz w:val="32"/>
          <w:szCs w:val="32"/>
        </w:rPr>
      </w:pPr>
    </w:p>
    <w:p>
      <w:pPr>
        <w:spacing w:line="360" w:lineRule="auto"/>
        <w:jc w:val="center"/>
        <w:rPr>
          <w:rFonts w:hint="eastAsia" w:ascii="宋体" w:hAnsi="宋体"/>
          <w:b/>
          <w:bCs/>
          <w:sz w:val="44"/>
          <w:szCs w:val="44"/>
        </w:rPr>
      </w:pPr>
      <w:r>
        <w:rPr>
          <w:rFonts w:hint="eastAsia" w:ascii="宋体" w:hAnsi="宋体"/>
          <w:b/>
          <w:bCs/>
          <w:sz w:val="44"/>
          <w:szCs w:val="44"/>
        </w:rPr>
        <w:t>中理检验有限公司</w:t>
      </w:r>
    </w:p>
    <w:p>
      <w:pPr>
        <w:spacing w:line="360" w:lineRule="auto"/>
        <w:jc w:val="center"/>
        <w:rPr>
          <w:rFonts w:ascii="宋体" w:hAnsi="宋体"/>
          <w:b/>
          <w:sz w:val="32"/>
          <w:szCs w:val="32"/>
        </w:rPr>
      </w:pPr>
      <w:r>
        <w:rPr>
          <w:rFonts w:hint="eastAsia" w:ascii="宋体" w:hAnsi="宋体"/>
          <w:b/>
          <w:bCs/>
          <w:sz w:val="44"/>
          <w:szCs w:val="44"/>
        </w:rPr>
        <w:t>张家港实验室装修工程项目</w:t>
      </w:r>
    </w:p>
    <w:p>
      <w:pPr>
        <w:spacing w:line="360" w:lineRule="auto"/>
        <w:jc w:val="center"/>
        <w:rPr>
          <w:rFonts w:ascii="宋体" w:hAnsi="宋体"/>
          <w:sz w:val="32"/>
          <w:szCs w:val="32"/>
        </w:rPr>
      </w:pPr>
    </w:p>
    <w:p>
      <w:pPr>
        <w:spacing w:line="360" w:lineRule="auto"/>
        <w:jc w:val="center"/>
        <w:rPr>
          <w:rFonts w:ascii="宋体" w:hAnsi="宋体"/>
          <w:b/>
          <w:bCs/>
          <w:color w:val="000000"/>
          <w:sz w:val="18"/>
          <w:szCs w:val="18"/>
        </w:rPr>
      </w:pPr>
    </w:p>
    <w:p>
      <w:pPr>
        <w:spacing w:line="360" w:lineRule="auto"/>
        <w:jc w:val="center"/>
        <w:rPr>
          <w:rFonts w:ascii="宋体" w:hAnsi="宋体"/>
          <w:b/>
          <w:color w:val="000000"/>
          <w:sz w:val="20"/>
          <w:szCs w:val="21"/>
        </w:rPr>
      </w:pPr>
      <w:r>
        <w:rPr>
          <w:rFonts w:hint="eastAsia" w:ascii="宋体" w:hAnsi="宋体"/>
          <w:b/>
          <w:color w:val="000000"/>
          <w:sz w:val="72"/>
          <w:szCs w:val="84"/>
        </w:rPr>
        <w:t>投标文件</w:t>
      </w:r>
    </w:p>
    <w:p>
      <w:pPr>
        <w:pStyle w:val="3"/>
        <w:jc w:val="center"/>
        <w:rPr>
          <w:rFonts w:asciiTheme="minorEastAsia" w:hAnsiTheme="minorEastAsia" w:eastAsiaTheme="minorEastAsia"/>
          <w:sz w:val="36"/>
        </w:rPr>
      </w:pPr>
      <w:bookmarkStart w:id="292" w:name="_Toc489974888"/>
      <w:bookmarkStart w:id="293" w:name="_Toc490062156"/>
      <w:r>
        <w:rPr>
          <w:rFonts w:hint="eastAsia" w:asciiTheme="minorEastAsia" w:hAnsiTheme="minorEastAsia" w:eastAsiaTheme="minorEastAsia"/>
          <w:sz w:val="36"/>
        </w:rPr>
        <w:t>（第一册 商务部分）</w:t>
      </w:r>
      <w:bookmarkEnd w:id="292"/>
      <w:bookmarkEnd w:id="293"/>
    </w:p>
    <w:p>
      <w:pPr>
        <w:spacing w:line="360" w:lineRule="auto"/>
        <w:ind w:left="1438" w:leftChars="685" w:firstLine="955" w:firstLineChars="317"/>
        <w:jc w:val="left"/>
        <w:rPr>
          <w:rFonts w:ascii="宋体" w:hAnsi="宋体"/>
          <w:b/>
          <w:color w:val="000000"/>
          <w:sz w:val="30"/>
        </w:rPr>
      </w:pPr>
    </w:p>
    <w:p>
      <w:pPr>
        <w:spacing w:line="360" w:lineRule="auto"/>
        <w:ind w:left="1438" w:leftChars="685" w:firstLine="955" w:firstLineChars="317"/>
        <w:jc w:val="left"/>
        <w:rPr>
          <w:rFonts w:ascii="宋体" w:hAnsi="宋体"/>
          <w:b/>
          <w:color w:val="000000"/>
          <w:sz w:val="30"/>
        </w:rPr>
      </w:pPr>
      <w:r>
        <w:rPr>
          <w:rFonts w:hint="eastAsia" w:ascii="宋体" w:hAnsi="宋体"/>
          <w:b/>
          <w:color w:val="000000"/>
          <w:sz w:val="30"/>
        </w:rPr>
        <w:t>招标编号：</w:t>
      </w:r>
    </w:p>
    <w:p>
      <w:pPr>
        <w:spacing w:line="360" w:lineRule="auto"/>
        <w:jc w:val="center"/>
        <w:rPr>
          <w:rFonts w:ascii="宋体" w:hAnsi="宋体"/>
          <w:b/>
          <w:color w:val="000000"/>
          <w:sz w:val="32"/>
          <w:szCs w:val="32"/>
        </w:rPr>
      </w:pPr>
    </w:p>
    <w:p>
      <w:pPr>
        <w:spacing w:line="360" w:lineRule="auto"/>
        <w:jc w:val="center"/>
        <w:rPr>
          <w:rFonts w:ascii="宋体" w:hAnsi="宋体" w:cs="Arial"/>
          <w:b/>
          <w:color w:val="000000"/>
          <w:sz w:val="32"/>
          <w:szCs w:val="32"/>
        </w:rPr>
      </w:pPr>
    </w:p>
    <w:p>
      <w:pPr>
        <w:spacing w:line="360" w:lineRule="auto"/>
        <w:ind w:firstLine="180" w:firstLineChars="56"/>
        <w:jc w:val="center"/>
        <w:rPr>
          <w:rFonts w:ascii="宋体" w:hAnsi="宋体"/>
          <w:b/>
          <w:color w:val="000000"/>
          <w:sz w:val="32"/>
        </w:rPr>
      </w:pPr>
      <w:r>
        <w:rPr>
          <w:rFonts w:hint="eastAsia" w:ascii="宋体" w:hAnsi="宋体"/>
          <w:b/>
          <w:color w:val="000000"/>
          <w:sz w:val="32"/>
        </w:rPr>
        <w:t>投标人：（单位公章）</w:t>
      </w:r>
    </w:p>
    <w:p>
      <w:pPr>
        <w:spacing w:line="360" w:lineRule="auto"/>
        <w:jc w:val="center"/>
        <w:rPr>
          <w:rFonts w:ascii="宋体" w:hAnsi="宋体"/>
          <w:b/>
          <w:color w:val="000000"/>
          <w:sz w:val="32"/>
        </w:rPr>
      </w:pPr>
    </w:p>
    <w:p>
      <w:pPr>
        <w:spacing w:line="360" w:lineRule="auto"/>
        <w:ind w:firstLine="180" w:firstLineChars="56"/>
        <w:jc w:val="center"/>
        <w:rPr>
          <w:rFonts w:ascii="宋体" w:hAnsi="宋体"/>
          <w:b/>
          <w:color w:val="000000"/>
          <w:sz w:val="32"/>
        </w:rPr>
      </w:pPr>
      <w:r>
        <w:rPr>
          <w:rFonts w:hint="eastAsia" w:ascii="宋体" w:hAnsi="宋体"/>
          <w:b/>
          <w:color w:val="000000"/>
          <w:sz w:val="32"/>
        </w:rPr>
        <w:t>法人代表或委托代理人：（签字）</w:t>
      </w:r>
    </w:p>
    <w:p>
      <w:pPr>
        <w:spacing w:line="360" w:lineRule="auto"/>
        <w:jc w:val="center"/>
        <w:rPr>
          <w:rFonts w:ascii="宋体" w:hAnsi="宋体"/>
          <w:b/>
          <w:color w:val="000000"/>
          <w:sz w:val="32"/>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年</w:t>
      </w:r>
      <w:r>
        <w:rPr>
          <w:rFonts w:hint="eastAsia" w:ascii="宋体" w:hAnsi="宋体"/>
          <w:b/>
          <w:bCs/>
          <w:sz w:val="28"/>
          <w:szCs w:val="28"/>
        </w:rPr>
        <w:t>月</w:t>
      </w:r>
      <w:r>
        <w:rPr>
          <w:rFonts w:hint="eastAsia" w:ascii="宋体" w:hAnsi="宋体"/>
          <w:b/>
          <w:bCs/>
          <w:color w:val="000000"/>
          <w:sz w:val="28"/>
          <w:szCs w:val="28"/>
        </w:rPr>
        <w:t>日</w:t>
      </w:r>
    </w:p>
    <w:p>
      <w:pPr>
        <w:spacing w:beforeLines="100" w:line="360" w:lineRule="auto"/>
        <w:jc w:val="center"/>
        <w:outlineLvl w:val="1"/>
        <w:rPr>
          <w:rFonts w:ascii="宋体" w:hAnsi="宋体"/>
          <w:b/>
          <w:sz w:val="32"/>
          <w:szCs w:val="32"/>
        </w:rPr>
      </w:pPr>
      <w:r>
        <w:rPr>
          <w:b/>
          <w:sz w:val="32"/>
        </w:rPr>
        <w:br w:type="page"/>
      </w:r>
      <w:bookmarkStart w:id="294" w:name="_Toc489974889"/>
      <w:bookmarkStart w:id="295" w:name="_Toc490062157"/>
      <w:r>
        <w:rPr>
          <w:rFonts w:hint="eastAsia" w:ascii="宋体" w:hAnsi="宋体"/>
          <w:b/>
          <w:sz w:val="32"/>
          <w:szCs w:val="32"/>
        </w:rPr>
        <w:t>一、投标函</w:t>
      </w:r>
      <w:bookmarkEnd w:id="294"/>
      <w:bookmarkEnd w:id="295"/>
    </w:p>
    <w:p>
      <w:pPr>
        <w:spacing w:line="360" w:lineRule="auto"/>
        <w:jc w:val="center"/>
        <w:rPr>
          <w:b/>
          <w:sz w:val="32"/>
        </w:rPr>
      </w:pPr>
    </w:p>
    <w:p>
      <w:pPr>
        <w:spacing w:line="360" w:lineRule="auto"/>
        <w:rPr>
          <w:rFonts w:ascii="宋体" w:hAnsi="宋体"/>
          <w:szCs w:val="21"/>
        </w:rPr>
      </w:pPr>
      <w:r>
        <w:rPr>
          <w:rFonts w:hint="eastAsia" w:ascii="宋体" w:hAnsi="宋体"/>
          <w:szCs w:val="21"/>
        </w:rPr>
        <w:t>致：（</w:t>
      </w:r>
      <w:r>
        <w:rPr>
          <w:rFonts w:hint="eastAsia" w:ascii="宋体" w:hAnsi="宋体"/>
          <w:i/>
          <w:szCs w:val="21"/>
        </w:rPr>
        <w:t>招标人名称</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在考察现场并充分研究（</w:t>
      </w:r>
      <w:r>
        <w:rPr>
          <w:rFonts w:hint="eastAsia" w:ascii="宋体" w:hAnsi="宋体"/>
          <w:i/>
          <w:szCs w:val="21"/>
        </w:rPr>
        <w:t>项目名称</w:t>
      </w:r>
      <w:r>
        <w:rPr>
          <w:rFonts w:hint="eastAsia" w:ascii="宋体" w:hAnsi="宋体"/>
          <w:szCs w:val="21"/>
        </w:rPr>
        <w:t>）（以下简称“本项目”）招标文件的全部内容后，我方报价如下：</w:t>
      </w:r>
    </w:p>
    <w:p>
      <w:pPr>
        <w:spacing w:line="360" w:lineRule="auto"/>
        <w:ind w:firstLine="422" w:firstLineChars="200"/>
        <w:rPr>
          <w:rFonts w:ascii="宋体" w:hAnsi="宋体"/>
          <w:b/>
          <w:color w:val="FF0000"/>
          <w:szCs w:val="21"/>
        </w:rPr>
      </w:pPr>
    </w:p>
    <w:p>
      <w:pPr>
        <w:spacing w:line="360" w:lineRule="auto"/>
        <w:ind w:firstLine="422" w:firstLineChars="200"/>
        <w:rPr>
          <w:rFonts w:ascii="宋体" w:hAnsi="宋体"/>
          <w:b/>
          <w:color w:val="FF0000"/>
          <w:szCs w:val="21"/>
        </w:rPr>
      </w:pPr>
      <w:r>
        <w:rPr>
          <w:rFonts w:hint="eastAsia" w:ascii="宋体" w:hAnsi="宋体"/>
          <w:b/>
          <w:color w:val="FF0000"/>
          <w:szCs w:val="21"/>
        </w:rPr>
        <w:t>投标总价：（小写：</w:t>
      </w:r>
      <w:r>
        <w:rPr>
          <w:rFonts w:hint="eastAsia" w:ascii="宋体" w:hAnsi="宋体"/>
          <w:b/>
          <w:color w:val="FF0000"/>
          <w:szCs w:val="21"/>
          <w:u w:val="single"/>
        </w:rPr>
        <w:t xml:space="preserve">        </w:t>
      </w:r>
      <w:r>
        <w:rPr>
          <w:rFonts w:hint="eastAsia" w:ascii="宋体" w:hAnsi="宋体"/>
          <w:b/>
          <w:color w:val="FF0000"/>
          <w:szCs w:val="21"/>
        </w:rPr>
        <w:t>大写：</w:t>
      </w:r>
      <w:r>
        <w:rPr>
          <w:rFonts w:hint="eastAsia" w:ascii="宋体" w:hAnsi="宋体"/>
          <w:b/>
          <w:color w:val="FF0000"/>
          <w:szCs w:val="21"/>
          <w:u w:val="single"/>
        </w:rPr>
        <w:t xml:space="preserve">              </w:t>
      </w:r>
      <w:r>
        <w:rPr>
          <w:rFonts w:hint="eastAsia" w:ascii="宋体" w:hAnsi="宋体"/>
          <w:b/>
          <w:color w:val="FF0000"/>
          <w:szCs w:val="21"/>
        </w:rPr>
        <w:t>）</w:t>
      </w:r>
    </w:p>
    <w:p>
      <w:pPr>
        <w:spacing w:line="360" w:lineRule="auto"/>
        <w:ind w:firstLine="420" w:firstLineChars="200"/>
        <w:rPr>
          <w:rFonts w:ascii="宋体" w:hAnsi="宋体"/>
          <w:szCs w:val="21"/>
        </w:rPr>
      </w:pPr>
    </w:p>
    <w:p>
      <w:pPr>
        <w:spacing w:line="360" w:lineRule="auto"/>
        <w:ind w:firstLine="359" w:firstLineChars="171"/>
        <w:rPr>
          <w:rFonts w:ascii="宋体" w:hAnsi="宋体"/>
          <w:szCs w:val="21"/>
        </w:rPr>
      </w:pPr>
      <w:r>
        <w:rPr>
          <w:rFonts w:hint="eastAsia" w:ascii="宋体" w:hAnsi="宋体"/>
          <w:szCs w:val="21"/>
        </w:rPr>
        <w:t>如果我方中标，我方保证在按期完成合同规定我方须完成全部内容，工期，并确保工程质量达到招标人要求标准。我方同意本投标函在招标文件规定的提交投标文件截止时间后，在招标文件规定的投标有效期期满前对我方具有约束力，且随时准备接受你方发出的中标通知书。</w:t>
      </w:r>
    </w:p>
    <w:p>
      <w:pPr>
        <w:spacing w:line="360" w:lineRule="auto"/>
        <w:ind w:firstLine="359" w:firstLineChars="171"/>
        <w:rPr>
          <w:rFonts w:ascii="宋体" w:hAnsi="宋体"/>
          <w:szCs w:val="21"/>
        </w:rPr>
      </w:pPr>
    </w:p>
    <w:p>
      <w:pPr>
        <w:spacing w:line="360" w:lineRule="auto"/>
        <w:ind w:firstLine="359" w:firstLineChars="171"/>
        <w:rPr>
          <w:rFonts w:ascii="宋体" w:hAnsi="宋体"/>
          <w:szCs w:val="21"/>
        </w:rPr>
      </w:pPr>
      <w:r>
        <w:rPr>
          <w:rFonts w:hint="eastAsia" w:ascii="宋体" w:hAnsi="宋体"/>
          <w:szCs w:val="21"/>
        </w:rPr>
        <w:t>随同本投标函递交投标保证金一份，金额为</w:t>
      </w:r>
      <w:r>
        <w:rPr>
          <w:rFonts w:hint="eastAsia" w:ascii="宋体" w:hAnsi="宋体"/>
          <w:szCs w:val="21"/>
          <w:u w:val="single"/>
        </w:rPr>
        <w:t xml:space="preserve">                   </w:t>
      </w:r>
      <w:r>
        <w:rPr>
          <w:rFonts w:hint="eastAsia" w:ascii="宋体" w:hAnsi="宋体"/>
          <w:szCs w:val="21"/>
        </w:rPr>
        <w:t>人民币（大写）（小写：￥</w:t>
      </w:r>
      <w:r>
        <w:rPr>
          <w:rFonts w:hint="eastAsia" w:ascii="宋体" w:hAnsi="宋体"/>
          <w:szCs w:val="21"/>
          <w:u w:val="single"/>
        </w:rPr>
        <w:t xml:space="preserve">                  </w:t>
      </w:r>
      <w:r>
        <w:rPr>
          <w:rFonts w:hint="eastAsia" w:ascii="宋体" w:hAnsi="宋体"/>
          <w:szCs w:val="21"/>
        </w:rPr>
        <w:t>元）。在签署协议书之前，你方的中标通知书连同本投标函，对双方具有约束力。</w:t>
      </w:r>
    </w:p>
    <w:p>
      <w:pPr>
        <w:spacing w:line="360" w:lineRule="auto"/>
        <w:ind w:firstLine="420" w:firstLineChars="200"/>
        <w:rPr>
          <w:rFonts w:ascii="宋体" w:hAnsi="宋体"/>
          <w:szCs w:val="21"/>
        </w:rPr>
      </w:pPr>
      <w:r>
        <w:rPr>
          <w:rFonts w:hint="eastAsia" w:ascii="宋体" w:hAnsi="宋体"/>
          <w:szCs w:val="21"/>
        </w:rPr>
        <w:t>投标有效期：本投标自开标之日起有效期为</w:t>
      </w:r>
      <w:r>
        <w:rPr>
          <w:rFonts w:hint="eastAsia" w:ascii="宋体" w:hAnsi="宋体"/>
          <w:szCs w:val="21"/>
          <w:u w:val="single"/>
        </w:rPr>
        <w:t>90</w:t>
      </w:r>
      <w:r>
        <w:rPr>
          <w:rFonts w:hint="eastAsia" w:ascii="宋体" w:hAnsi="宋体"/>
          <w:szCs w:val="21"/>
        </w:rPr>
        <w:t>个日历日。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日期：年月日</w:t>
      </w:r>
    </w:p>
    <w:p>
      <w:pPr>
        <w:widowControl/>
        <w:jc w:val="left"/>
        <w:rPr>
          <w:b/>
          <w:sz w:val="32"/>
        </w:rPr>
      </w:pPr>
      <w:r>
        <w:rPr>
          <w:rFonts w:ascii="宋体" w:hAnsi="宋体"/>
          <w:b/>
          <w:bCs/>
          <w:color w:val="000000"/>
          <w:sz w:val="28"/>
          <w:szCs w:val="28"/>
        </w:rPr>
        <w:br w:type="page"/>
      </w:r>
    </w:p>
    <w:p>
      <w:pPr>
        <w:spacing w:beforeLines="100" w:line="360" w:lineRule="auto"/>
        <w:jc w:val="center"/>
        <w:outlineLvl w:val="1"/>
        <w:rPr>
          <w:rFonts w:ascii="宋体" w:hAnsi="宋体"/>
          <w:b/>
          <w:sz w:val="32"/>
          <w:szCs w:val="32"/>
        </w:rPr>
      </w:pPr>
      <w:bookmarkStart w:id="296" w:name="_Toc489974890"/>
      <w:bookmarkStart w:id="297" w:name="_Toc490062158"/>
      <w:r>
        <w:rPr>
          <w:rFonts w:hint="eastAsia" w:ascii="宋体" w:hAnsi="宋体"/>
          <w:b/>
          <w:sz w:val="32"/>
          <w:szCs w:val="32"/>
        </w:rPr>
        <w:t>二、投标报价一览表</w:t>
      </w:r>
      <w:bookmarkEnd w:id="296"/>
      <w:bookmarkEnd w:id="297"/>
    </w:p>
    <w:p>
      <w:pPr>
        <w:spacing w:beforeLines="100" w:line="360" w:lineRule="auto"/>
        <w:jc w:val="center"/>
        <w:outlineLvl w:val="1"/>
        <w:rPr>
          <w:rFonts w:ascii="宋体" w:hAnsi="宋体"/>
          <w:b/>
          <w:sz w:val="32"/>
          <w:szCs w:val="32"/>
        </w:rPr>
      </w:pPr>
      <w:r>
        <w:rPr>
          <w:rFonts w:hint="eastAsia" w:ascii="宋体" w:hAnsi="宋体"/>
          <w:b/>
          <w:sz w:val="32"/>
          <w:szCs w:val="32"/>
        </w:rPr>
        <w:t>2.1报价</w:t>
      </w:r>
      <w:r>
        <w:rPr>
          <w:rFonts w:ascii="宋体" w:hAnsi="宋体"/>
          <w:b/>
          <w:sz w:val="32"/>
          <w:szCs w:val="32"/>
        </w:rPr>
        <w:t>一览表</w:t>
      </w:r>
    </w:p>
    <w:p>
      <w:pPr>
        <w:rPr>
          <w:sz w:val="32"/>
          <w:szCs w:val="32"/>
        </w:rPr>
      </w:pPr>
    </w:p>
    <w:tbl>
      <w:tblPr>
        <w:tblStyle w:val="60"/>
        <w:tblW w:w="841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69"/>
        <w:gridCol w:w="63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41" w:hRule="atLeast"/>
          <w:jc w:val="center"/>
        </w:trPr>
        <w:tc>
          <w:tcPr>
            <w:tcW w:w="2069" w:type="dxa"/>
            <w:vAlign w:val="center"/>
          </w:tcPr>
          <w:p>
            <w:pPr>
              <w:spacing w:line="440" w:lineRule="exact"/>
              <w:jc w:val="center"/>
              <w:rPr>
                <w:rFonts w:ascii="宋体" w:hAnsi="宋体" w:cs="宋体"/>
                <w:b/>
                <w:szCs w:val="21"/>
              </w:rPr>
            </w:pPr>
            <w:r>
              <w:rPr>
                <w:rFonts w:hint="eastAsia" w:ascii="宋体" w:hAnsi="宋体" w:cs="宋体"/>
                <w:b/>
                <w:szCs w:val="21"/>
              </w:rPr>
              <w:t>投标</w:t>
            </w:r>
            <w:r>
              <w:rPr>
                <w:rFonts w:ascii="宋体" w:hAnsi="宋体" w:cs="宋体"/>
                <w:b/>
                <w:szCs w:val="21"/>
              </w:rPr>
              <w:t>总价</w:t>
            </w:r>
          </w:p>
        </w:tc>
        <w:tc>
          <w:tcPr>
            <w:tcW w:w="6345" w:type="dxa"/>
            <w:vAlign w:val="center"/>
          </w:tcPr>
          <w:p>
            <w:pPr>
              <w:spacing w:line="440" w:lineRule="exact"/>
              <w:ind w:firstLine="422"/>
              <w:jc w:val="center"/>
              <w:rPr>
                <w:rFonts w:ascii="宋体" w:hAnsi="宋体" w:cs="宋体"/>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41" w:hRule="atLeast"/>
          <w:jc w:val="center"/>
        </w:trPr>
        <w:tc>
          <w:tcPr>
            <w:tcW w:w="2069" w:type="dxa"/>
            <w:vAlign w:val="center"/>
          </w:tcPr>
          <w:p>
            <w:pPr>
              <w:spacing w:line="440" w:lineRule="exact"/>
              <w:jc w:val="center"/>
              <w:rPr>
                <w:rFonts w:ascii="宋体" w:hAnsi="宋体" w:cs="宋体"/>
                <w:b/>
                <w:szCs w:val="21"/>
              </w:rPr>
            </w:pPr>
            <w:r>
              <w:rPr>
                <w:rFonts w:hint="eastAsia" w:ascii="宋体" w:hAnsi="宋体" w:cs="宋体"/>
                <w:b/>
                <w:szCs w:val="21"/>
              </w:rPr>
              <w:t>工  期</w:t>
            </w:r>
          </w:p>
        </w:tc>
        <w:tc>
          <w:tcPr>
            <w:tcW w:w="6345" w:type="dxa"/>
            <w:vAlign w:val="center"/>
          </w:tcPr>
          <w:p>
            <w:pPr>
              <w:spacing w:line="44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41" w:hRule="atLeast"/>
          <w:jc w:val="center"/>
        </w:trPr>
        <w:tc>
          <w:tcPr>
            <w:tcW w:w="2069" w:type="dxa"/>
            <w:vAlign w:val="center"/>
          </w:tcPr>
          <w:p>
            <w:pPr>
              <w:spacing w:line="440" w:lineRule="exact"/>
              <w:jc w:val="center"/>
              <w:rPr>
                <w:rFonts w:ascii="宋体" w:hAnsi="宋体" w:cs="宋体"/>
                <w:b/>
                <w:szCs w:val="21"/>
              </w:rPr>
            </w:pPr>
            <w:r>
              <w:rPr>
                <w:rFonts w:hint="eastAsia" w:ascii="宋体" w:hAnsi="宋体" w:cs="宋体"/>
                <w:b/>
                <w:szCs w:val="21"/>
              </w:rPr>
              <w:t>投标保证金</w:t>
            </w:r>
          </w:p>
        </w:tc>
        <w:tc>
          <w:tcPr>
            <w:tcW w:w="6345" w:type="dxa"/>
            <w:vAlign w:val="center"/>
          </w:tcPr>
          <w:p>
            <w:pPr>
              <w:spacing w:line="44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41" w:hRule="atLeast"/>
          <w:jc w:val="center"/>
        </w:trPr>
        <w:tc>
          <w:tcPr>
            <w:tcW w:w="2069" w:type="dxa"/>
            <w:vAlign w:val="center"/>
          </w:tcPr>
          <w:p>
            <w:pPr>
              <w:spacing w:line="440" w:lineRule="exact"/>
              <w:jc w:val="center"/>
              <w:rPr>
                <w:rFonts w:ascii="宋体" w:hAnsi="宋体" w:cs="宋体"/>
                <w:b/>
                <w:szCs w:val="21"/>
              </w:rPr>
            </w:pPr>
            <w:r>
              <w:rPr>
                <w:rFonts w:hint="eastAsia" w:ascii="宋体" w:hAnsi="宋体" w:cs="宋体"/>
                <w:b/>
                <w:szCs w:val="21"/>
              </w:rPr>
              <w:t>投标声明</w:t>
            </w:r>
          </w:p>
        </w:tc>
        <w:tc>
          <w:tcPr>
            <w:tcW w:w="6345" w:type="dxa"/>
            <w:vAlign w:val="center"/>
          </w:tcPr>
          <w:p>
            <w:pPr>
              <w:spacing w:line="44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66" w:hRule="atLeast"/>
          <w:jc w:val="center"/>
        </w:trPr>
        <w:tc>
          <w:tcPr>
            <w:tcW w:w="2069" w:type="dxa"/>
            <w:vAlign w:val="center"/>
          </w:tcPr>
          <w:p>
            <w:pPr>
              <w:spacing w:line="440" w:lineRule="exact"/>
              <w:jc w:val="center"/>
              <w:rPr>
                <w:rFonts w:ascii="宋体" w:hAnsi="宋体" w:cs="宋体"/>
                <w:szCs w:val="21"/>
              </w:rPr>
            </w:pPr>
            <w:r>
              <w:rPr>
                <w:rFonts w:hint="eastAsia" w:ascii="宋体" w:hAnsi="宋体" w:cs="宋体"/>
                <w:szCs w:val="21"/>
              </w:rPr>
              <w:t>备注</w:t>
            </w:r>
          </w:p>
        </w:tc>
        <w:tc>
          <w:tcPr>
            <w:tcW w:w="6345" w:type="dxa"/>
            <w:vAlign w:val="center"/>
          </w:tcPr>
          <w:p>
            <w:pPr>
              <w:spacing w:line="440" w:lineRule="exact"/>
              <w:rPr>
                <w:rFonts w:ascii="宋体" w:hAnsi="宋体" w:cs="宋体"/>
                <w:szCs w:val="21"/>
              </w:rPr>
            </w:pPr>
          </w:p>
        </w:tc>
      </w:tr>
    </w:tbl>
    <w:p>
      <w:pPr>
        <w:spacing w:line="520" w:lineRule="exact"/>
        <w:rPr>
          <w:rFonts w:ascii="宋体" w:hAnsi="宋体" w:cs="宋体"/>
          <w:szCs w:val="21"/>
        </w:rPr>
      </w:pPr>
      <w:r>
        <w:rPr>
          <w:rFonts w:hint="eastAsia" w:ascii="宋体" w:hAnsi="宋体" w:cs="宋体"/>
          <w:szCs w:val="21"/>
        </w:rPr>
        <w:t>注：</w:t>
      </w:r>
      <w:r>
        <w:rPr>
          <w:rFonts w:ascii="宋体" w:hAnsi="宋体" w:cs="宋体"/>
          <w:szCs w:val="21"/>
        </w:rPr>
        <w:t>投标报价：本项目为交钥匙价，本项目报价应包含按要求完成本项目的所有费用。含项目中所需的硬件、附件、备品备件等费用，以及本项目在实施过程中涉及的专用工具、安装、调试、检验、培训、技术服务、运杂、保险费、税金、验收及投标人认为需要的所有费用。一经成交，除业主方要求的追加或变动项目外，业主方不再另行支付任何费用。</w:t>
      </w:r>
    </w:p>
    <w:p>
      <w:pPr>
        <w:spacing w:line="520" w:lineRule="exact"/>
        <w:rPr>
          <w:rFonts w:ascii="宋体" w:hAnsi="宋体" w:cs="宋体"/>
          <w:szCs w:val="21"/>
        </w:rPr>
      </w:pPr>
    </w:p>
    <w:p>
      <w:pPr>
        <w:spacing w:line="520" w:lineRule="exact"/>
        <w:rPr>
          <w:rFonts w:ascii="宋体" w:hAnsi="宋体" w:cs="宋体"/>
          <w:szCs w:val="21"/>
        </w:rPr>
      </w:pP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（公章）</w:t>
      </w:r>
    </w:p>
    <w:p>
      <w:pPr>
        <w:spacing w:before="156" w:after="156" w:line="520" w:lineRule="exact"/>
        <w:rPr>
          <w:rFonts w:ascii="宋体" w:hAnsi="宋体" w:cs="宋体"/>
          <w:szCs w:val="21"/>
        </w:rPr>
      </w:pPr>
      <w:r>
        <w:rPr>
          <w:rFonts w:hint="eastAsia" w:ascii="宋体" w:hAnsi="宋体" w:cs="宋体"/>
          <w:szCs w:val="21"/>
        </w:rPr>
        <w:t>法人代表或授权代表签字：</w:t>
      </w:r>
      <w:r>
        <w:rPr>
          <w:rFonts w:hint="eastAsia" w:ascii="宋体" w:hAnsi="宋体" w:cs="宋体"/>
          <w:szCs w:val="21"/>
          <w:u w:val="single"/>
        </w:rPr>
        <w:t>（签字/盖章）</w:t>
      </w:r>
    </w:p>
    <w:p>
      <w:pPr>
        <w:spacing w:before="156" w:after="156" w:line="520" w:lineRule="exact"/>
        <w:rPr>
          <w:rFonts w:ascii="宋体" w:hAnsi="宋体" w:cs="宋体"/>
          <w:szCs w:val="21"/>
        </w:rPr>
      </w:pPr>
      <w:r>
        <w:rPr>
          <w:rFonts w:hint="eastAsia" w:ascii="宋体" w:hAnsi="宋体" w:cs="宋体"/>
          <w:szCs w:val="21"/>
        </w:rPr>
        <w:t>日期：   年   月   日</w:t>
      </w:r>
    </w:p>
    <w:p>
      <w:pPr>
        <w:spacing w:before="156" w:after="156" w:line="520" w:lineRule="exact"/>
        <w:rPr>
          <w:rFonts w:ascii="宋体" w:hAnsi="宋体" w:cs="宋体"/>
          <w:szCs w:val="21"/>
        </w:rPr>
      </w:pPr>
      <w:r>
        <w:rPr>
          <w:rFonts w:hint="eastAsia" w:ascii="宋体" w:hAnsi="宋体" w:cs="宋体"/>
          <w:szCs w:val="21"/>
        </w:rPr>
        <w:br w:type="page"/>
      </w:r>
    </w:p>
    <w:p>
      <w:pPr>
        <w:spacing w:beforeLines="100" w:line="360" w:lineRule="auto"/>
        <w:jc w:val="center"/>
        <w:outlineLvl w:val="1"/>
        <w:rPr>
          <w:rFonts w:ascii="宋体" w:hAnsi="宋体"/>
          <w:b/>
          <w:sz w:val="32"/>
          <w:szCs w:val="32"/>
        </w:rPr>
      </w:pPr>
      <w:r>
        <w:rPr>
          <w:rFonts w:hint="eastAsia" w:ascii="宋体" w:hAnsi="宋体"/>
          <w:b/>
          <w:sz w:val="32"/>
          <w:szCs w:val="32"/>
        </w:rPr>
        <w:t>2.2分项报价表</w:t>
      </w:r>
    </w:p>
    <w:p>
      <w:pPr>
        <w:rPr>
          <w:b/>
          <w:szCs w:val="21"/>
        </w:rPr>
      </w:pPr>
      <w:r>
        <w:rPr>
          <w:rFonts w:hint="eastAsia"/>
          <w:b/>
          <w:szCs w:val="21"/>
        </w:rPr>
        <w:t>设计费清单</w:t>
      </w:r>
    </w:p>
    <w:p>
      <w:pPr>
        <w:widowControl/>
        <w:jc w:val="right"/>
        <w:rPr>
          <w:kern w:val="0"/>
          <w:sz w:val="20"/>
        </w:rPr>
      </w:pPr>
      <w:r>
        <w:rPr>
          <w:rFonts w:hint="eastAsia"/>
          <w:kern w:val="0"/>
        </w:rPr>
        <w:t>单位：人民币元</w:t>
      </w:r>
    </w:p>
    <w:tbl>
      <w:tblPr>
        <w:tblStyle w:val="60"/>
        <w:tblW w:w="8522" w:type="dxa"/>
        <w:jc w:val="center"/>
        <w:tblInd w:w="0" w:type="dxa"/>
        <w:tblLayout w:type="fixed"/>
        <w:tblCellMar>
          <w:top w:w="0" w:type="dxa"/>
          <w:left w:w="108" w:type="dxa"/>
          <w:bottom w:w="0" w:type="dxa"/>
          <w:right w:w="108" w:type="dxa"/>
        </w:tblCellMar>
      </w:tblPr>
      <w:tblGrid>
        <w:gridCol w:w="916"/>
        <w:gridCol w:w="2430"/>
        <w:gridCol w:w="1140"/>
        <w:gridCol w:w="2132"/>
        <w:gridCol w:w="1904"/>
      </w:tblGrid>
      <w:tr>
        <w:tblPrEx>
          <w:tblLayout w:type="fixed"/>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金 额（元）</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r>
        <w:rPr>
          <w:rFonts w:hint="eastAsia"/>
          <w:b/>
          <w:bCs/>
        </w:rPr>
        <w:t>【以上格式仅供参考，投标人可根据需要自行修改本表】</w:t>
      </w:r>
    </w:p>
    <w:p/>
    <w:p>
      <w:pPr>
        <w:rPr>
          <w:b/>
          <w:szCs w:val="21"/>
        </w:rPr>
      </w:pPr>
      <w:r>
        <w:br w:type="page"/>
      </w:r>
      <w:r>
        <w:rPr>
          <w:b/>
          <w:szCs w:val="21"/>
        </w:rPr>
        <w:t>工程设备</w:t>
      </w:r>
      <w:r>
        <w:rPr>
          <w:rFonts w:hint="eastAsia"/>
          <w:b/>
          <w:szCs w:val="21"/>
        </w:rPr>
        <w:t>费清单</w:t>
      </w:r>
    </w:p>
    <w:p>
      <w:pPr>
        <w:rPr>
          <w:szCs w:val="21"/>
        </w:rPr>
      </w:pPr>
    </w:p>
    <w:p>
      <w:pPr>
        <w:widowControl/>
        <w:jc w:val="right"/>
        <w:rPr>
          <w:kern w:val="0"/>
          <w:sz w:val="20"/>
        </w:rPr>
      </w:pPr>
      <w:r>
        <w:rPr>
          <w:rFonts w:hint="eastAsia"/>
          <w:kern w:val="0"/>
        </w:rPr>
        <w:t>单位：人民币元</w:t>
      </w:r>
    </w:p>
    <w:tbl>
      <w:tblPr>
        <w:tblStyle w:val="60"/>
        <w:tblW w:w="8522" w:type="dxa"/>
        <w:jc w:val="center"/>
        <w:tblInd w:w="0" w:type="dxa"/>
        <w:tblLayout w:type="fixed"/>
        <w:tblCellMar>
          <w:top w:w="0" w:type="dxa"/>
          <w:left w:w="108" w:type="dxa"/>
          <w:bottom w:w="0" w:type="dxa"/>
          <w:right w:w="108" w:type="dxa"/>
        </w:tblCellMar>
      </w:tblPr>
      <w:tblGrid>
        <w:gridCol w:w="915"/>
        <w:gridCol w:w="2250"/>
        <w:gridCol w:w="1444"/>
        <w:gridCol w:w="1081"/>
        <w:gridCol w:w="1440"/>
        <w:gridCol w:w="1392"/>
      </w:tblGrid>
      <w:tr>
        <w:tblPrEx>
          <w:tblLayout w:type="fixed"/>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设备名称</w:t>
            </w: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规格型号</w:t>
            </w: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数量</w:t>
            </w:r>
          </w:p>
        </w:tc>
        <w:tc>
          <w:tcPr>
            <w:tcW w:w="14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单价</w:t>
            </w:r>
          </w:p>
        </w:tc>
        <w:tc>
          <w:tcPr>
            <w:tcW w:w="139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合价</w:t>
            </w: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40" w:type="dxa"/>
            <w:tcBorders>
              <w:top w:val="nil"/>
              <w:left w:val="nil"/>
              <w:bottom w:val="single" w:color="auto" w:sz="4" w:space="0"/>
              <w:right w:val="single" w:color="auto" w:sz="4" w:space="0"/>
            </w:tcBorders>
            <w:vAlign w:val="center"/>
          </w:tcPr>
          <w:p>
            <w:pPr>
              <w:widowControl/>
              <w:jc w:val="right"/>
              <w:rPr>
                <w:kern w:val="0"/>
                <w:szCs w:val="21"/>
              </w:rPr>
            </w:pPr>
          </w:p>
        </w:tc>
        <w:tc>
          <w:tcPr>
            <w:tcW w:w="1392"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4609" w:type="dxa"/>
            <w:gridSpan w:val="3"/>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p>
        </w:tc>
        <w:tc>
          <w:tcPr>
            <w:tcW w:w="3913"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ind w:firstLine="210" w:firstLineChars="100"/>
      </w:pPr>
    </w:p>
    <w:p>
      <w:pPr>
        <w:ind w:firstLine="211" w:firstLineChars="100"/>
      </w:pPr>
      <w:r>
        <w:rPr>
          <w:rFonts w:hint="eastAsia"/>
          <w:b/>
          <w:bCs/>
        </w:rPr>
        <w:t>【以上格式仅供参考，投标人可根据需要自行修改本表】</w:t>
      </w:r>
    </w:p>
    <w:p>
      <w:pPr>
        <w:rPr>
          <w:b/>
          <w:szCs w:val="21"/>
        </w:rPr>
      </w:pPr>
      <w:r>
        <w:br w:type="page"/>
      </w:r>
      <w:r>
        <w:rPr>
          <w:rFonts w:hint="eastAsia"/>
          <w:b/>
          <w:szCs w:val="21"/>
        </w:rPr>
        <w:t>必备的备品备件费清单</w:t>
      </w:r>
    </w:p>
    <w:p>
      <w:pPr>
        <w:rPr>
          <w:szCs w:val="21"/>
        </w:rPr>
      </w:pPr>
    </w:p>
    <w:p>
      <w:pPr>
        <w:widowControl/>
        <w:jc w:val="right"/>
        <w:rPr>
          <w:kern w:val="0"/>
          <w:sz w:val="20"/>
        </w:rPr>
      </w:pPr>
      <w:r>
        <w:rPr>
          <w:rFonts w:hint="eastAsia"/>
          <w:kern w:val="0"/>
        </w:rPr>
        <w:t>单位：人民币元</w:t>
      </w:r>
    </w:p>
    <w:tbl>
      <w:tblPr>
        <w:tblStyle w:val="60"/>
        <w:tblW w:w="8522" w:type="dxa"/>
        <w:jc w:val="center"/>
        <w:tblInd w:w="0" w:type="dxa"/>
        <w:tblLayout w:type="fixed"/>
        <w:tblCellMar>
          <w:top w:w="0" w:type="dxa"/>
          <w:left w:w="108" w:type="dxa"/>
          <w:bottom w:w="0" w:type="dxa"/>
          <w:right w:w="108" w:type="dxa"/>
        </w:tblCellMar>
      </w:tblPr>
      <w:tblGrid>
        <w:gridCol w:w="915"/>
        <w:gridCol w:w="1890"/>
        <w:gridCol w:w="1263"/>
        <w:gridCol w:w="1260"/>
        <w:gridCol w:w="1619"/>
        <w:gridCol w:w="1575"/>
      </w:tblGrid>
      <w:tr>
        <w:tblPrEx>
          <w:tblLayout w:type="fixed"/>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备品备件名称</w:t>
            </w: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规格型号</w:t>
            </w: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数量</w:t>
            </w:r>
          </w:p>
        </w:tc>
        <w:tc>
          <w:tcPr>
            <w:tcW w:w="161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单价</w:t>
            </w:r>
          </w:p>
        </w:tc>
        <w:tc>
          <w:tcPr>
            <w:tcW w:w="1575"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合价</w:t>
            </w: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619" w:type="dxa"/>
            <w:tcBorders>
              <w:top w:val="nil"/>
              <w:left w:val="nil"/>
              <w:bottom w:val="single" w:color="auto" w:sz="4" w:space="0"/>
              <w:right w:val="single" w:color="auto" w:sz="4" w:space="0"/>
            </w:tcBorders>
            <w:vAlign w:val="center"/>
          </w:tcPr>
          <w:p>
            <w:pPr>
              <w:widowControl/>
              <w:jc w:val="right"/>
              <w:rPr>
                <w:kern w:val="0"/>
                <w:szCs w:val="21"/>
              </w:rPr>
            </w:pPr>
          </w:p>
        </w:tc>
        <w:tc>
          <w:tcPr>
            <w:tcW w:w="1575"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4068" w:type="dxa"/>
            <w:gridSpan w:val="3"/>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p>
        </w:tc>
        <w:tc>
          <w:tcPr>
            <w:tcW w:w="4454"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rPr>
          <w:b/>
          <w:szCs w:val="21"/>
        </w:rPr>
      </w:pPr>
      <w:r>
        <w:rPr>
          <w:rFonts w:hint="eastAsia"/>
          <w:b/>
          <w:bCs/>
        </w:rPr>
        <w:t>【以上格式仅供参考，投标人可根据需要自行修改本表】</w:t>
      </w:r>
      <w:r>
        <w:rPr>
          <w:szCs w:val="21"/>
        </w:rPr>
        <w:br w:type="page"/>
      </w:r>
      <w:r>
        <w:rPr>
          <w:rFonts w:hint="eastAsia"/>
          <w:b/>
          <w:szCs w:val="21"/>
        </w:rPr>
        <w:t>建筑</w:t>
      </w:r>
      <w:r>
        <w:rPr>
          <w:b/>
          <w:szCs w:val="21"/>
        </w:rPr>
        <w:t>安装工程费</w:t>
      </w:r>
      <w:r>
        <w:rPr>
          <w:rFonts w:hint="eastAsia"/>
          <w:b/>
          <w:szCs w:val="21"/>
        </w:rPr>
        <w:t>清单</w:t>
      </w:r>
    </w:p>
    <w:p>
      <w:pPr>
        <w:spacing w:line="440" w:lineRule="exact"/>
        <w:rPr>
          <w:szCs w:val="21"/>
        </w:rPr>
      </w:pPr>
    </w:p>
    <w:p>
      <w:pPr>
        <w:widowControl/>
        <w:jc w:val="right"/>
        <w:rPr>
          <w:kern w:val="0"/>
          <w:sz w:val="20"/>
        </w:rPr>
      </w:pPr>
      <w:r>
        <w:rPr>
          <w:rFonts w:hint="eastAsia"/>
          <w:kern w:val="0"/>
        </w:rPr>
        <w:t>单位：人民币元</w:t>
      </w:r>
    </w:p>
    <w:tbl>
      <w:tblPr>
        <w:tblStyle w:val="60"/>
        <w:tblW w:w="8522" w:type="dxa"/>
        <w:jc w:val="center"/>
        <w:tblInd w:w="0" w:type="dxa"/>
        <w:tblLayout w:type="fixed"/>
        <w:tblCellMar>
          <w:top w:w="0" w:type="dxa"/>
          <w:left w:w="108" w:type="dxa"/>
          <w:bottom w:w="0" w:type="dxa"/>
          <w:right w:w="108" w:type="dxa"/>
        </w:tblCellMar>
      </w:tblPr>
      <w:tblGrid>
        <w:gridCol w:w="913"/>
        <w:gridCol w:w="1711"/>
        <w:gridCol w:w="1858"/>
        <w:gridCol w:w="1023"/>
        <w:gridCol w:w="900"/>
        <w:gridCol w:w="1081"/>
        <w:gridCol w:w="1036"/>
      </w:tblGrid>
      <w:tr>
        <w:tblPrEx>
          <w:tblLayout w:type="fixed"/>
          <w:tblCellMar>
            <w:top w:w="0" w:type="dxa"/>
            <w:left w:w="108" w:type="dxa"/>
            <w:bottom w:w="0" w:type="dxa"/>
            <w:right w:w="108" w:type="dxa"/>
          </w:tblCellMar>
        </w:tblPrEx>
        <w:trPr>
          <w:trHeight w:val="702"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1023"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单位</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数量</w:t>
            </w:r>
          </w:p>
        </w:tc>
        <w:tc>
          <w:tcPr>
            <w:tcW w:w="1081" w:type="dxa"/>
            <w:tcBorders>
              <w:top w:val="single" w:color="auto" w:sz="4" w:space="0"/>
              <w:left w:val="nil"/>
              <w:bottom w:val="single" w:color="auto" w:sz="4" w:space="0"/>
              <w:right w:val="single" w:color="auto" w:sz="4" w:space="0"/>
            </w:tcBorders>
            <w:vAlign w:val="center"/>
          </w:tcPr>
          <w:p>
            <w:pPr>
              <w:jc w:val="center"/>
              <w:rPr>
                <w:kern w:val="0"/>
                <w:szCs w:val="21"/>
              </w:rPr>
            </w:pPr>
            <w:r>
              <w:rPr>
                <w:rFonts w:hint="eastAsia"/>
                <w:kern w:val="0"/>
                <w:szCs w:val="21"/>
              </w:rPr>
              <w:t>单价</w:t>
            </w:r>
          </w:p>
        </w:tc>
        <w:tc>
          <w:tcPr>
            <w:tcW w:w="1036" w:type="dxa"/>
            <w:tcBorders>
              <w:top w:val="single" w:color="auto" w:sz="4" w:space="0"/>
              <w:left w:val="nil"/>
              <w:bottom w:val="single" w:color="auto" w:sz="4" w:space="0"/>
              <w:right w:val="single" w:color="auto" w:sz="4" w:space="0"/>
            </w:tcBorders>
            <w:vAlign w:val="center"/>
          </w:tcPr>
          <w:p>
            <w:pPr>
              <w:jc w:val="center"/>
              <w:rPr>
                <w:kern w:val="0"/>
                <w:szCs w:val="21"/>
              </w:rPr>
            </w:pPr>
            <w:r>
              <w:rPr>
                <w:rFonts w:hint="eastAsia"/>
                <w:kern w:val="0"/>
                <w:szCs w:val="21"/>
              </w:rPr>
              <w:t>合价</w:t>
            </w: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23" w:type="dxa"/>
            <w:tcBorders>
              <w:top w:val="nil"/>
              <w:left w:val="nil"/>
              <w:bottom w:val="single" w:color="auto" w:sz="4" w:space="0"/>
              <w:right w:val="single" w:color="auto" w:sz="4" w:space="0"/>
            </w:tcBorders>
            <w:vAlign w:val="center"/>
          </w:tcPr>
          <w:p>
            <w:pPr>
              <w:widowControl/>
              <w:jc w:val="right"/>
              <w:rPr>
                <w:kern w:val="0"/>
                <w:szCs w:val="21"/>
              </w:rPr>
            </w:pPr>
          </w:p>
        </w:tc>
        <w:tc>
          <w:tcPr>
            <w:tcW w:w="900" w:type="dxa"/>
            <w:tcBorders>
              <w:top w:val="nil"/>
              <w:left w:val="nil"/>
              <w:bottom w:val="single" w:color="auto" w:sz="4" w:space="0"/>
              <w:right w:val="single" w:color="auto" w:sz="4" w:space="0"/>
            </w:tcBorders>
            <w:vAlign w:val="center"/>
          </w:tcPr>
          <w:p>
            <w:pPr>
              <w:widowControl/>
              <w:jc w:val="right"/>
              <w:rPr>
                <w:kern w:val="0"/>
                <w:szCs w:val="21"/>
              </w:rPr>
            </w:pPr>
          </w:p>
        </w:tc>
        <w:tc>
          <w:tcPr>
            <w:tcW w:w="1081" w:type="dxa"/>
            <w:tcBorders>
              <w:top w:val="nil"/>
              <w:left w:val="nil"/>
              <w:bottom w:val="single" w:color="auto" w:sz="4" w:space="0"/>
              <w:right w:val="single" w:color="auto" w:sz="4" w:space="0"/>
            </w:tcBorders>
            <w:vAlign w:val="center"/>
          </w:tcPr>
          <w:p>
            <w:pPr>
              <w:widowControl/>
              <w:jc w:val="right"/>
              <w:rPr>
                <w:kern w:val="0"/>
                <w:szCs w:val="21"/>
              </w:rPr>
            </w:pPr>
          </w:p>
        </w:tc>
        <w:tc>
          <w:tcPr>
            <w:tcW w:w="1036"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2624"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p>
        </w:tc>
        <w:tc>
          <w:tcPr>
            <w:tcW w:w="5898" w:type="dxa"/>
            <w:gridSpan w:val="5"/>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spacing w:line="440" w:lineRule="exact"/>
        <w:rPr>
          <w:szCs w:val="21"/>
        </w:rPr>
      </w:pPr>
      <w:r>
        <w:rPr>
          <w:rFonts w:hint="eastAsia"/>
          <w:b/>
          <w:bCs/>
        </w:rPr>
        <w:t>【以上格式仅供参考，投标人可根据需要自行修改本表】</w:t>
      </w:r>
    </w:p>
    <w:p>
      <w:pPr>
        <w:rPr>
          <w:b/>
          <w:szCs w:val="21"/>
        </w:rPr>
      </w:pPr>
      <w:r>
        <w:rPr>
          <w:rFonts w:hint="eastAsia"/>
          <w:b/>
          <w:szCs w:val="21"/>
        </w:rPr>
        <w:t>技术服务</w:t>
      </w:r>
      <w:r>
        <w:rPr>
          <w:b/>
          <w:szCs w:val="21"/>
        </w:rPr>
        <w:t>费</w:t>
      </w:r>
      <w:r>
        <w:rPr>
          <w:rFonts w:hint="eastAsia"/>
          <w:b/>
          <w:szCs w:val="21"/>
        </w:rPr>
        <w:t>清单</w:t>
      </w:r>
    </w:p>
    <w:p>
      <w:pPr>
        <w:spacing w:line="440" w:lineRule="exact"/>
        <w:ind w:firstLine="420" w:firstLineChars="200"/>
        <w:rPr>
          <w:szCs w:val="21"/>
        </w:rPr>
      </w:pPr>
    </w:p>
    <w:p>
      <w:pPr>
        <w:widowControl/>
        <w:jc w:val="right"/>
        <w:rPr>
          <w:kern w:val="0"/>
          <w:sz w:val="20"/>
        </w:rPr>
      </w:pPr>
      <w:r>
        <w:rPr>
          <w:rFonts w:hint="eastAsia"/>
          <w:kern w:val="0"/>
        </w:rPr>
        <w:t>单位：人民币元</w:t>
      </w:r>
    </w:p>
    <w:tbl>
      <w:tblPr>
        <w:tblStyle w:val="60"/>
        <w:tblW w:w="8522" w:type="dxa"/>
        <w:jc w:val="center"/>
        <w:tblInd w:w="0" w:type="dxa"/>
        <w:tblLayout w:type="fixed"/>
        <w:tblCellMar>
          <w:top w:w="0" w:type="dxa"/>
          <w:left w:w="108" w:type="dxa"/>
          <w:bottom w:w="0" w:type="dxa"/>
          <w:right w:w="108" w:type="dxa"/>
        </w:tblCellMar>
      </w:tblPr>
      <w:tblGrid>
        <w:gridCol w:w="916"/>
        <w:gridCol w:w="2430"/>
        <w:gridCol w:w="1140"/>
        <w:gridCol w:w="2132"/>
        <w:gridCol w:w="1904"/>
      </w:tblGrid>
      <w:tr>
        <w:tblPrEx>
          <w:tblLayout w:type="fixed"/>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金 额</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r>
        <w:rPr>
          <w:rFonts w:hint="eastAsia"/>
          <w:b/>
          <w:bCs/>
        </w:rPr>
        <w:t>【以上格式仅供参考，投标人可根据需要自行修改本表】</w:t>
      </w:r>
    </w:p>
    <w:p>
      <w:pPr>
        <w:rPr>
          <w:b/>
          <w:szCs w:val="21"/>
        </w:rPr>
      </w:pPr>
      <w:r>
        <w:rPr>
          <w:szCs w:val="21"/>
        </w:rPr>
        <w:br w:type="page"/>
      </w:r>
      <w:r>
        <w:rPr>
          <w:b/>
          <w:szCs w:val="21"/>
        </w:rPr>
        <w:t>其它费用</w:t>
      </w:r>
      <w:r>
        <w:rPr>
          <w:rFonts w:hint="eastAsia"/>
          <w:b/>
          <w:szCs w:val="21"/>
        </w:rPr>
        <w:t>清单</w:t>
      </w:r>
    </w:p>
    <w:p>
      <w:pPr>
        <w:rPr>
          <w:szCs w:val="21"/>
        </w:rPr>
      </w:pPr>
    </w:p>
    <w:p>
      <w:pPr>
        <w:widowControl/>
        <w:jc w:val="right"/>
        <w:rPr>
          <w:kern w:val="0"/>
          <w:sz w:val="20"/>
        </w:rPr>
      </w:pPr>
      <w:r>
        <w:rPr>
          <w:rFonts w:hint="eastAsia"/>
          <w:kern w:val="0"/>
        </w:rPr>
        <w:t>单位：人民币元</w:t>
      </w:r>
    </w:p>
    <w:tbl>
      <w:tblPr>
        <w:tblStyle w:val="60"/>
        <w:tblW w:w="8522" w:type="dxa"/>
        <w:jc w:val="center"/>
        <w:tblInd w:w="0" w:type="dxa"/>
        <w:tblLayout w:type="fixed"/>
        <w:tblCellMar>
          <w:top w:w="0" w:type="dxa"/>
          <w:left w:w="108" w:type="dxa"/>
          <w:bottom w:w="0" w:type="dxa"/>
          <w:right w:w="108" w:type="dxa"/>
        </w:tblCellMar>
      </w:tblPr>
      <w:tblGrid>
        <w:gridCol w:w="916"/>
        <w:gridCol w:w="2430"/>
        <w:gridCol w:w="1140"/>
        <w:gridCol w:w="2132"/>
        <w:gridCol w:w="1904"/>
      </w:tblGrid>
      <w:tr>
        <w:tblPrEx>
          <w:tblLayout w:type="fixed"/>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金 额</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Layout w:type="fixed"/>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
      <w:pPr>
        <w:widowControl/>
        <w:jc w:val="left"/>
      </w:pPr>
      <w:r>
        <w:rPr>
          <w:rFonts w:hint="eastAsia"/>
          <w:b/>
          <w:bCs/>
        </w:rPr>
        <w:t>【以上格式仅供参考，投标人可根据需要自行修改本表】</w:t>
      </w:r>
      <w:r>
        <w:br w:type="page"/>
      </w:r>
    </w:p>
    <w:p>
      <w:pPr>
        <w:spacing w:beforeLines="100" w:afterLines="50" w:line="360" w:lineRule="auto"/>
        <w:jc w:val="center"/>
        <w:outlineLvl w:val="1"/>
        <w:rPr>
          <w:rFonts w:ascii="宋体" w:hAnsi="宋体"/>
          <w:b/>
          <w:sz w:val="32"/>
          <w:szCs w:val="32"/>
        </w:rPr>
      </w:pPr>
      <w:bookmarkStart w:id="298" w:name="_Toc489974891"/>
      <w:bookmarkStart w:id="299" w:name="_Toc490062159"/>
      <w:r>
        <w:rPr>
          <w:rFonts w:hint="eastAsia" w:ascii="宋体" w:hAnsi="宋体"/>
          <w:b/>
          <w:sz w:val="32"/>
          <w:szCs w:val="32"/>
        </w:rPr>
        <w:t>三、投标保证金</w:t>
      </w:r>
      <w:bookmarkEnd w:id="298"/>
      <w:bookmarkEnd w:id="299"/>
    </w:p>
    <w:p>
      <w:pPr>
        <w:spacing w:beforeLines="100" w:afterLines="50" w:line="360" w:lineRule="auto"/>
        <w:jc w:val="center"/>
        <w:rPr>
          <w:rFonts w:ascii="宋体" w:hAnsi="宋体"/>
          <w:sz w:val="28"/>
          <w:szCs w:val="28"/>
        </w:rPr>
      </w:pPr>
    </w:p>
    <w:p>
      <w:pPr>
        <w:spacing w:beforeLines="100" w:afterLines="50" w:line="360" w:lineRule="auto"/>
        <w:jc w:val="center"/>
        <w:rPr>
          <w:rFonts w:ascii="宋体" w:hAnsi="宋体"/>
          <w:i/>
          <w:szCs w:val="21"/>
        </w:rPr>
      </w:pPr>
      <w:r>
        <w:rPr>
          <w:rFonts w:hint="eastAsia" w:ascii="宋体" w:hAnsi="宋体"/>
          <w:i/>
          <w:szCs w:val="21"/>
        </w:rPr>
        <w:t>（粘贴投标保证金电汇凭证复印件）</w:t>
      </w:r>
    </w:p>
    <w:p>
      <w:pPr>
        <w:widowControl/>
        <w:jc w:val="left"/>
      </w:pPr>
    </w:p>
    <w:p>
      <w:pPr>
        <w:spacing w:line="360" w:lineRule="auto"/>
        <w:jc w:val="center"/>
        <w:rPr>
          <w:rFonts w:ascii="宋体" w:hAnsi="宋体"/>
          <w:b/>
          <w:bCs/>
          <w:color w:val="000000"/>
          <w:sz w:val="28"/>
          <w:szCs w:val="28"/>
        </w:rPr>
      </w:pPr>
    </w:p>
    <w:p>
      <w:pPr>
        <w:widowControl/>
        <w:jc w:val="left"/>
        <w:rPr>
          <w:rFonts w:ascii="宋体" w:hAnsi="宋体"/>
          <w:sz w:val="32"/>
          <w:szCs w:val="32"/>
        </w:rPr>
      </w:pPr>
      <w:r>
        <w:rPr>
          <w:rFonts w:ascii="宋体" w:hAnsi="宋体"/>
          <w:sz w:val="32"/>
          <w:szCs w:val="32"/>
        </w:rPr>
        <w:br w:type="page"/>
      </w:r>
    </w:p>
    <w:p>
      <w:pPr>
        <w:spacing w:beforeLines="100" w:line="360" w:lineRule="auto"/>
        <w:jc w:val="center"/>
        <w:outlineLvl w:val="1"/>
        <w:rPr>
          <w:rFonts w:ascii="宋体" w:hAnsi="宋体"/>
          <w:b/>
          <w:sz w:val="32"/>
          <w:szCs w:val="32"/>
        </w:rPr>
      </w:pPr>
      <w:bookmarkStart w:id="300" w:name="_Toc490062160"/>
      <w:bookmarkStart w:id="301" w:name="_Toc489974893"/>
      <w:r>
        <w:rPr>
          <w:rFonts w:hint="eastAsia" w:ascii="宋体" w:hAnsi="宋体"/>
          <w:b/>
          <w:sz w:val="32"/>
          <w:szCs w:val="32"/>
        </w:rPr>
        <w:t>四、法定代表人身份证明</w:t>
      </w:r>
      <w:bookmarkEnd w:id="300"/>
      <w:bookmarkEnd w:id="301"/>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w:t>
      </w:r>
    </w:p>
    <w:p>
      <w:pPr>
        <w:spacing w:line="360" w:lineRule="auto"/>
        <w:rPr>
          <w:rFonts w:ascii="宋体" w:hAnsi="宋体"/>
          <w:szCs w:val="21"/>
        </w:rPr>
      </w:pPr>
      <w:r>
        <w:rPr>
          <w:rFonts w:hint="eastAsia" w:ascii="宋体" w:hAnsi="宋体"/>
          <w:szCs w:val="21"/>
        </w:rPr>
        <w:t>单位性质：</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成立时间：年月日</w:t>
      </w:r>
    </w:p>
    <w:p>
      <w:pPr>
        <w:spacing w:line="360" w:lineRule="auto"/>
        <w:rPr>
          <w:rFonts w:ascii="宋体" w:hAnsi="宋体"/>
          <w:szCs w:val="21"/>
        </w:rPr>
      </w:pPr>
      <w:r>
        <w:rPr>
          <w:rFonts w:hint="eastAsia" w:ascii="宋体" w:hAnsi="宋体"/>
          <w:szCs w:val="21"/>
        </w:rPr>
        <w:t>经营期限：</w:t>
      </w:r>
    </w:p>
    <w:p>
      <w:pPr>
        <w:spacing w:line="360" w:lineRule="auto"/>
        <w:rPr>
          <w:rFonts w:ascii="宋体" w:hAnsi="宋体"/>
          <w:szCs w:val="21"/>
        </w:rPr>
      </w:pPr>
      <w:r>
        <w:rPr>
          <w:rFonts w:hint="eastAsia" w:ascii="宋体" w:hAnsi="宋体"/>
          <w:szCs w:val="21"/>
        </w:rPr>
        <w:t>姓名：性别：</w:t>
      </w:r>
    </w:p>
    <w:p>
      <w:pPr>
        <w:spacing w:line="360" w:lineRule="auto"/>
        <w:rPr>
          <w:rFonts w:ascii="宋体" w:hAnsi="宋体"/>
          <w:szCs w:val="21"/>
        </w:rPr>
      </w:pPr>
      <w:r>
        <w:rPr>
          <w:rFonts w:hint="eastAsia" w:ascii="宋体" w:hAnsi="宋体"/>
          <w:szCs w:val="21"/>
        </w:rPr>
        <w:t>年龄：职务：</w:t>
      </w:r>
    </w:p>
    <w:p>
      <w:pPr>
        <w:spacing w:line="360" w:lineRule="auto"/>
        <w:rPr>
          <w:rFonts w:ascii="宋体" w:hAnsi="宋体"/>
          <w:szCs w:val="21"/>
        </w:rPr>
      </w:pPr>
      <w:r>
        <w:rPr>
          <w:rFonts w:hint="eastAsia" w:ascii="宋体" w:hAnsi="宋体"/>
          <w:szCs w:val="21"/>
        </w:rPr>
        <w:t>系（投标人名称）的法定代表人。</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投标人：（盖单位章）</w:t>
      </w:r>
    </w:p>
    <w:p>
      <w:pPr>
        <w:spacing w:line="360" w:lineRule="auto"/>
        <w:jc w:val="right"/>
        <w:rPr>
          <w:rFonts w:ascii="宋体" w:hAnsi="宋体"/>
          <w:szCs w:val="21"/>
        </w:rPr>
      </w:pPr>
      <w:r>
        <w:rPr>
          <w:rFonts w:hint="eastAsia" w:ascii="宋体" w:hAnsi="宋体"/>
          <w:szCs w:val="21"/>
        </w:rPr>
        <w:t xml:space="preserve">年月日          </w:t>
      </w:r>
    </w:p>
    <w:p>
      <w:pPr>
        <w:spacing w:beforeLines="100" w:afterLines="50" w:line="360" w:lineRule="auto"/>
        <w:jc w:val="center"/>
        <w:outlineLvl w:val="1"/>
        <w:rPr>
          <w:rFonts w:ascii="宋体" w:hAnsi="宋体"/>
          <w:b/>
          <w:sz w:val="32"/>
          <w:szCs w:val="32"/>
        </w:rPr>
      </w:pPr>
      <w:r>
        <w:rPr>
          <w:rFonts w:ascii="宋体" w:hAnsi="宋体"/>
          <w:szCs w:val="21"/>
        </w:rPr>
        <w:br w:type="page"/>
      </w:r>
      <w:bookmarkStart w:id="302" w:name="_Toc490062161"/>
      <w:bookmarkStart w:id="303" w:name="_Toc489974894"/>
      <w:r>
        <w:rPr>
          <w:rFonts w:hint="eastAsia" w:ascii="宋体" w:hAnsi="宋体"/>
          <w:b/>
          <w:sz w:val="32"/>
          <w:szCs w:val="32"/>
        </w:rPr>
        <w:t>五、授权委托书</w:t>
      </w:r>
      <w:bookmarkEnd w:id="302"/>
      <w:bookmarkEnd w:id="303"/>
    </w:p>
    <w:p>
      <w:pPr>
        <w:spacing w:line="360" w:lineRule="auto"/>
        <w:ind w:firstLine="420" w:firstLineChars="200"/>
        <w:rPr>
          <w:rFonts w:ascii="宋体" w:hAnsi="宋体"/>
          <w:szCs w:val="21"/>
        </w:rPr>
      </w:pPr>
    </w:p>
    <w:p>
      <w:pPr>
        <w:spacing w:line="360" w:lineRule="auto"/>
        <w:ind w:firstLine="359" w:firstLineChars="171"/>
        <w:rPr>
          <w:rFonts w:ascii="宋体" w:hAnsi="宋体"/>
          <w:szCs w:val="21"/>
        </w:rPr>
      </w:pPr>
      <w:r>
        <w:rPr>
          <w:rFonts w:hint="eastAsia" w:ascii="宋体" w:hAnsi="宋体"/>
          <w:szCs w:val="21"/>
        </w:rPr>
        <w:t>本人（</w:t>
      </w:r>
      <w:r>
        <w:rPr>
          <w:rFonts w:hint="eastAsia" w:ascii="宋体" w:hAnsi="宋体"/>
          <w:i/>
          <w:szCs w:val="21"/>
        </w:rPr>
        <w:t>姓名</w:t>
      </w:r>
      <w:r>
        <w:rPr>
          <w:rFonts w:hint="eastAsia" w:ascii="宋体" w:hAnsi="宋体"/>
          <w:szCs w:val="21"/>
        </w:rPr>
        <w:t>）系（</w:t>
      </w:r>
      <w:r>
        <w:rPr>
          <w:rFonts w:hint="eastAsia" w:ascii="宋体" w:hAnsi="宋体"/>
          <w:i/>
          <w:szCs w:val="21"/>
        </w:rPr>
        <w:t>投标人名称</w:t>
      </w:r>
      <w:r>
        <w:rPr>
          <w:rFonts w:hint="eastAsia" w:ascii="宋体" w:hAnsi="宋体"/>
          <w:szCs w:val="21"/>
        </w:rPr>
        <w:t>）的法定代表人，现委托（</w:t>
      </w:r>
      <w:r>
        <w:rPr>
          <w:rFonts w:hint="eastAsia" w:ascii="宋体" w:hAnsi="宋体"/>
          <w:i/>
          <w:szCs w:val="21"/>
        </w:rPr>
        <w:t>姓名</w:t>
      </w:r>
      <w:r>
        <w:rPr>
          <w:rFonts w:hint="eastAsia" w:ascii="宋体" w:hAnsi="宋体"/>
          <w:szCs w:val="21"/>
        </w:rPr>
        <w:t>）为我方代理人。代理人根据授权，以我方名义签署、澄清、说明、补正、递交、撤回、修改</w:t>
      </w:r>
      <w:r>
        <w:rPr>
          <w:rFonts w:hint="eastAsia" w:ascii="宋体" w:hAnsi="宋体"/>
          <w:szCs w:val="21"/>
          <w:u w:val="single"/>
        </w:rPr>
        <w:t xml:space="preserve">        （</w:t>
      </w:r>
      <w:r>
        <w:rPr>
          <w:rFonts w:hint="eastAsia" w:ascii="宋体" w:hAnsi="宋体"/>
          <w:i/>
          <w:szCs w:val="21"/>
        </w:rPr>
        <w:t>项目名称）</w:t>
      </w:r>
      <w:r>
        <w:rPr>
          <w:rFonts w:hint="eastAsia" w:ascii="宋体" w:hAnsi="宋体"/>
          <w:szCs w:val="21"/>
        </w:rPr>
        <w:t>投标文件、签订合同和处理有关事宜，其法律后果由我方承担。</w:t>
      </w:r>
    </w:p>
    <w:p>
      <w:pPr>
        <w:spacing w:beforeLines="50" w:line="360" w:lineRule="auto"/>
        <w:ind w:firstLine="359" w:firstLineChars="171"/>
        <w:rPr>
          <w:rFonts w:ascii="宋体" w:hAnsi="宋体"/>
          <w:szCs w:val="21"/>
        </w:rPr>
      </w:pPr>
      <w:r>
        <w:rPr>
          <w:rFonts w:hint="eastAsia" w:ascii="宋体" w:hAnsi="宋体"/>
          <w:szCs w:val="21"/>
        </w:rPr>
        <w:t>委托期限：</w:t>
      </w:r>
    </w:p>
    <w:p>
      <w:pPr>
        <w:spacing w:line="360" w:lineRule="auto"/>
        <w:rPr>
          <w:rFonts w:ascii="宋体" w:hAnsi="宋体"/>
          <w:szCs w:val="21"/>
        </w:rPr>
      </w:pPr>
      <w:r>
        <w:rPr>
          <w:rFonts w:hint="eastAsia" w:ascii="宋体" w:hAnsi="宋体"/>
          <w:szCs w:val="21"/>
        </w:rPr>
        <w:t>。</w:t>
      </w:r>
    </w:p>
    <w:p>
      <w:pPr>
        <w:spacing w:beforeLines="100" w:afterLines="100" w:line="360" w:lineRule="auto"/>
        <w:ind w:firstLine="359" w:firstLineChars="171"/>
        <w:rPr>
          <w:rFonts w:ascii="宋体" w:hAnsi="宋体"/>
          <w:szCs w:val="21"/>
        </w:rPr>
      </w:pPr>
      <w:r>
        <w:rPr>
          <w:rFonts w:hint="eastAsia" w:ascii="宋体" w:hAnsi="宋体"/>
          <w:szCs w:val="21"/>
        </w:rPr>
        <w:t>代理人无转委托权。</w:t>
      </w:r>
    </w:p>
    <w:p>
      <w:pPr>
        <w:spacing w:afterLines="100" w:line="360" w:lineRule="auto"/>
        <w:ind w:firstLine="359" w:firstLineChars="171"/>
        <w:rPr>
          <w:rFonts w:ascii="宋体" w:hAnsi="宋体"/>
          <w:szCs w:val="21"/>
        </w:rPr>
      </w:pPr>
      <w:r>
        <w:rPr>
          <w:rFonts w:hint="eastAsia" w:ascii="宋体" w:hAnsi="宋体"/>
          <w:szCs w:val="21"/>
        </w:rPr>
        <w:t>附：法定代表人和被授权人身份证复印件</w:t>
      </w:r>
    </w:p>
    <w:p>
      <w:pPr>
        <w:spacing w:line="360" w:lineRule="auto"/>
        <w:rPr>
          <w:rFonts w:ascii="宋体" w:hAnsi="宋体"/>
          <w:i/>
          <w:szCs w:val="21"/>
        </w:rPr>
      </w:pPr>
      <w:r>
        <w:rPr>
          <w:rFonts w:hint="eastAsia" w:ascii="宋体" w:hAnsi="宋体"/>
          <w:i/>
          <w:szCs w:val="21"/>
        </w:rPr>
        <w:t>（粘贴身份证复印件）</w:t>
      </w:r>
    </w:p>
    <w:p>
      <w:pPr>
        <w:spacing w:line="360" w:lineRule="auto"/>
        <w:ind w:firstLine="3570" w:firstLineChars="1700"/>
        <w:rPr>
          <w:rFonts w:ascii="宋体" w:hAnsi="宋体"/>
          <w:szCs w:val="21"/>
        </w:rPr>
      </w:pPr>
      <w:r>
        <w:rPr>
          <w:rFonts w:hint="eastAsia" w:ascii="宋体" w:hAnsi="宋体"/>
          <w:szCs w:val="21"/>
        </w:rPr>
        <w:t>投标人：（盖单位章）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法定代表人：（签字）</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 xml:space="preserve">身份证号码：                                   </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委托代理人：（签字）</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 xml:space="preserve">身份证号码：                                   </w:t>
      </w:r>
    </w:p>
    <w:p>
      <w:pPr>
        <w:spacing w:line="360" w:lineRule="auto"/>
        <w:ind w:firstLine="3570" w:firstLineChars="1700"/>
        <w:rPr>
          <w:rFonts w:ascii="宋体" w:hAnsi="宋体"/>
          <w:szCs w:val="21"/>
        </w:rPr>
      </w:pPr>
    </w:p>
    <w:p>
      <w:pPr>
        <w:spacing w:line="360" w:lineRule="auto"/>
        <w:ind w:firstLine="4830" w:firstLineChars="2300"/>
        <w:rPr>
          <w:rFonts w:ascii="宋体" w:hAnsi="宋体"/>
          <w:szCs w:val="21"/>
        </w:rPr>
      </w:pPr>
      <w:r>
        <w:rPr>
          <w:rFonts w:hint="eastAsia" w:ascii="宋体" w:hAnsi="宋体"/>
          <w:szCs w:val="21"/>
        </w:rPr>
        <w:t>年月日</w:t>
      </w:r>
    </w:p>
    <w:p>
      <w:pPr>
        <w:spacing w:beforeLines="100" w:afterLines="50" w:line="360" w:lineRule="auto"/>
        <w:jc w:val="center"/>
        <w:outlineLvl w:val="1"/>
        <w:rPr>
          <w:rFonts w:ascii="宋体" w:hAnsi="宋体"/>
          <w:b/>
          <w:sz w:val="32"/>
          <w:szCs w:val="32"/>
        </w:rPr>
      </w:pPr>
      <w:r>
        <w:rPr>
          <w:rFonts w:ascii="宋体" w:hAnsi="宋体"/>
          <w:szCs w:val="21"/>
        </w:rPr>
        <w:br w:type="page"/>
      </w:r>
      <w:bookmarkStart w:id="304" w:name="_Toc490062162"/>
      <w:bookmarkStart w:id="305" w:name="_Toc489974895"/>
      <w:r>
        <w:rPr>
          <w:rFonts w:hint="eastAsia" w:ascii="宋体" w:hAnsi="宋体"/>
          <w:b/>
          <w:sz w:val="32"/>
          <w:szCs w:val="32"/>
        </w:rPr>
        <w:t>六、联合体协议书（本项目不接受联合体）</w:t>
      </w:r>
      <w:bookmarkEnd w:id="304"/>
      <w:bookmarkEnd w:id="305"/>
    </w:p>
    <w:p>
      <w:pPr>
        <w:spacing w:line="360" w:lineRule="auto"/>
        <w:rPr>
          <w:rFonts w:ascii="宋体" w:hAnsi="宋体"/>
          <w:szCs w:val="21"/>
        </w:rPr>
      </w:pPr>
      <w:r>
        <w:rPr>
          <w:rFonts w:hint="eastAsia" w:ascii="宋体" w:hAnsi="宋体"/>
          <w:szCs w:val="21"/>
        </w:rPr>
        <w:t>牵头人名称：</w:t>
      </w:r>
    </w:p>
    <w:p>
      <w:pPr>
        <w:spacing w:line="360" w:lineRule="auto"/>
        <w:rPr>
          <w:rFonts w:ascii="宋体" w:hAnsi="宋体"/>
          <w:szCs w:val="21"/>
        </w:rPr>
      </w:pPr>
      <w:r>
        <w:rPr>
          <w:rFonts w:hint="eastAsia" w:ascii="宋体" w:hAnsi="宋体"/>
          <w:szCs w:val="21"/>
        </w:rPr>
        <w:t>法定代表人：</w:t>
      </w:r>
    </w:p>
    <w:p>
      <w:pPr>
        <w:spacing w:line="360" w:lineRule="auto"/>
        <w:rPr>
          <w:rFonts w:ascii="宋体" w:hAnsi="宋体"/>
          <w:szCs w:val="21"/>
        </w:rPr>
      </w:pPr>
      <w:r>
        <w:rPr>
          <w:rFonts w:hint="eastAsia" w:ascii="宋体" w:hAnsi="宋体"/>
          <w:szCs w:val="21"/>
        </w:rPr>
        <w:t>法定住所：</w:t>
      </w:r>
    </w:p>
    <w:p>
      <w:pPr>
        <w:spacing w:line="360" w:lineRule="auto"/>
        <w:rPr>
          <w:rFonts w:ascii="宋体" w:hAnsi="宋体"/>
          <w:szCs w:val="21"/>
        </w:rPr>
      </w:pPr>
      <w:r>
        <w:rPr>
          <w:rFonts w:hint="eastAsia" w:ascii="宋体" w:hAnsi="宋体"/>
          <w:szCs w:val="21"/>
        </w:rPr>
        <w:t>成员二名称：</w:t>
      </w:r>
    </w:p>
    <w:p>
      <w:pPr>
        <w:spacing w:line="360" w:lineRule="auto"/>
        <w:rPr>
          <w:rFonts w:ascii="宋体" w:hAnsi="宋体"/>
          <w:szCs w:val="21"/>
        </w:rPr>
      </w:pPr>
      <w:r>
        <w:rPr>
          <w:rFonts w:hint="eastAsia" w:ascii="宋体" w:hAnsi="宋体"/>
          <w:szCs w:val="21"/>
        </w:rPr>
        <w:t>法定代表人：</w:t>
      </w:r>
    </w:p>
    <w:p>
      <w:pPr>
        <w:spacing w:line="360" w:lineRule="auto"/>
        <w:rPr>
          <w:rFonts w:ascii="宋体" w:hAnsi="宋体"/>
          <w:szCs w:val="21"/>
          <w:u w:val="single"/>
        </w:rPr>
      </w:pPr>
      <w:r>
        <w:rPr>
          <w:rFonts w:hint="eastAsia" w:ascii="宋体" w:hAnsi="宋体"/>
          <w:szCs w:val="21"/>
        </w:rPr>
        <w:t>法定住所：</w:t>
      </w:r>
    </w:p>
    <w:p>
      <w:pPr>
        <w:spacing w:line="360" w:lineRule="auto"/>
        <w:ind w:firstLine="525" w:firstLineChars="250"/>
        <w:rPr>
          <w:rFonts w:ascii="宋体" w:hAnsi="宋体"/>
          <w:szCs w:val="21"/>
        </w:rPr>
      </w:pPr>
      <w:r>
        <w:rPr>
          <w:rFonts w:hint="eastAsia" w:ascii="宋体" w:hAnsi="宋体"/>
          <w:szCs w:val="21"/>
        </w:rPr>
        <w:t>……</w:t>
      </w:r>
    </w:p>
    <w:p>
      <w:pPr>
        <w:spacing w:line="360" w:lineRule="auto"/>
        <w:ind w:firstLine="359" w:firstLineChars="171"/>
        <w:rPr>
          <w:rFonts w:ascii="宋体" w:hAnsi="宋体"/>
          <w:szCs w:val="21"/>
        </w:rPr>
      </w:pPr>
      <w:r>
        <w:rPr>
          <w:rFonts w:hint="eastAsia" w:ascii="宋体" w:hAnsi="宋体"/>
          <w:szCs w:val="21"/>
        </w:rPr>
        <w:t>鉴于上述各成员单位经过友好协商，自愿组成（联合体名称）联合体，共同参加</w:t>
      </w:r>
    </w:p>
    <w:p>
      <w:pPr>
        <w:spacing w:line="360" w:lineRule="auto"/>
        <w:ind w:firstLine="359" w:firstLineChars="171"/>
        <w:rPr>
          <w:rFonts w:ascii="宋体" w:hAnsi="宋体"/>
          <w:szCs w:val="21"/>
        </w:rPr>
      </w:pPr>
      <w:r>
        <w:rPr>
          <w:rFonts w:hint="eastAsia" w:ascii="宋体" w:hAnsi="宋体"/>
          <w:szCs w:val="21"/>
        </w:rPr>
        <w:t>（招标人名称）（以下简称招标人）（</w:t>
      </w:r>
      <w:r>
        <w:rPr>
          <w:rFonts w:hint="eastAsia" w:ascii="宋体" w:hAnsi="宋体"/>
          <w:i/>
          <w:szCs w:val="21"/>
        </w:rPr>
        <w:t>项目名称</w:t>
      </w:r>
      <w:r>
        <w:rPr>
          <w:rFonts w:hint="eastAsia" w:ascii="宋体" w:hAnsi="宋体"/>
          <w:szCs w:val="21"/>
        </w:rPr>
        <w:t>）以下简称本工程）的施工投标并争取赢得本工程施工承包合同（以下简称合同）。现就联合体投标事宜订立如下协议：</w:t>
      </w:r>
    </w:p>
    <w:p>
      <w:pPr>
        <w:spacing w:line="360" w:lineRule="auto"/>
        <w:ind w:firstLine="359" w:firstLineChars="171"/>
        <w:rPr>
          <w:rFonts w:ascii="宋体" w:hAnsi="宋体"/>
          <w:szCs w:val="21"/>
        </w:rPr>
      </w:pPr>
      <w:r>
        <w:rPr>
          <w:rFonts w:ascii="宋体" w:hAnsi="宋体"/>
          <w:szCs w:val="21"/>
        </w:rPr>
        <w:t>1</w:t>
      </w:r>
      <w:r>
        <w:rPr>
          <w:rFonts w:hint="eastAsia" w:ascii="宋体" w:hAnsi="宋体"/>
          <w:szCs w:val="21"/>
        </w:rPr>
        <w:t>．（</w:t>
      </w:r>
      <w:r>
        <w:rPr>
          <w:rFonts w:hint="eastAsia" w:ascii="宋体" w:hAnsi="宋体"/>
          <w:i/>
          <w:szCs w:val="21"/>
        </w:rPr>
        <w:t>某成员单位名称</w:t>
      </w:r>
      <w:r>
        <w:rPr>
          <w:rFonts w:hint="eastAsia" w:ascii="宋体" w:hAnsi="宋体"/>
          <w:szCs w:val="21"/>
        </w:rPr>
        <w:t>）为（</w:t>
      </w:r>
      <w:r>
        <w:rPr>
          <w:rFonts w:hint="eastAsia" w:ascii="宋体" w:hAnsi="宋体"/>
          <w:i/>
          <w:szCs w:val="21"/>
        </w:rPr>
        <w:t>联合体名称</w:t>
      </w:r>
      <w:r>
        <w:rPr>
          <w:rFonts w:hint="eastAsia" w:ascii="宋体" w:hAnsi="宋体"/>
          <w:szCs w:val="21"/>
        </w:rPr>
        <w:t>）牵头人。</w:t>
      </w:r>
    </w:p>
    <w:p>
      <w:pPr>
        <w:spacing w:line="360" w:lineRule="auto"/>
        <w:ind w:firstLine="359" w:firstLineChars="171"/>
        <w:rPr>
          <w:rFonts w:ascii="宋体" w:hAnsi="宋体"/>
          <w:szCs w:val="21"/>
        </w:rPr>
      </w:pPr>
      <w:r>
        <w:rPr>
          <w:rFonts w:ascii="宋体" w:hAnsi="宋体"/>
          <w:szCs w:val="21"/>
        </w:rPr>
        <w:t>2</w:t>
      </w:r>
      <w:r>
        <w:rPr>
          <w:rFonts w:hint="eastAsia" w:ascii="宋体" w:hAnsi="宋体"/>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359" w:firstLineChars="171"/>
        <w:rPr>
          <w:rFonts w:ascii="宋体" w:hAnsi="宋体"/>
          <w:szCs w:val="21"/>
        </w:rPr>
      </w:pPr>
      <w:r>
        <w:rPr>
          <w:rFonts w:ascii="宋体" w:hAnsi="宋体"/>
          <w:szCs w:val="21"/>
        </w:rPr>
        <w:t>3</w:t>
      </w:r>
      <w:r>
        <w:rPr>
          <w:rFonts w:hint="eastAsia" w:ascii="宋体" w:hAnsi="宋体"/>
          <w:szCs w:val="21"/>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auto"/>
        <w:ind w:firstLine="359" w:firstLineChars="171"/>
        <w:rPr>
          <w:rFonts w:ascii="宋体" w:hAnsi="宋体"/>
          <w:szCs w:val="21"/>
        </w:rPr>
      </w:pPr>
      <w:r>
        <w:rPr>
          <w:rFonts w:ascii="宋体" w:hAnsi="宋体"/>
          <w:szCs w:val="21"/>
        </w:rPr>
        <w:t>4</w:t>
      </w:r>
      <w:r>
        <w:rPr>
          <w:rFonts w:hint="eastAsia" w:ascii="宋体" w:hAnsi="宋体"/>
          <w:szCs w:val="21"/>
        </w:rPr>
        <w:t>．联合体各成员单位内部的职责分工如下：。按照本条上述分工，联合体成员单位各自所承担的合同工作量比例如下：。</w:t>
      </w:r>
    </w:p>
    <w:p>
      <w:pPr>
        <w:spacing w:line="360" w:lineRule="auto"/>
        <w:ind w:firstLine="359" w:firstLineChars="171"/>
        <w:rPr>
          <w:rFonts w:ascii="宋体" w:hAnsi="宋体"/>
          <w:szCs w:val="21"/>
        </w:rPr>
      </w:pPr>
      <w:r>
        <w:rPr>
          <w:rFonts w:ascii="宋体" w:hAnsi="宋体"/>
          <w:szCs w:val="21"/>
        </w:rPr>
        <w:t>5</w:t>
      </w:r>
      <w:r>
        <w:rPr>
          <w:rFonts w:hint="eastAsia" w:ascii="宋体" w:hAnsi="宋体"/>
          <w:szCs w:val="21"/>
        </w:rPr>
        <w:t>．投标工作和联合体在中标后工程实施过程中的有关费用按各自承担的工作量分摊。</w:t>
      </w:r>
    </w:p>
    <w:p>
      <w:pPr>
        <w:spacing w:line="360" w:lineRule="auto"/>
        <w:ind w:firstLine="359" w:firstLineChars="171"/>
        <w:rPr>
          <w:rFonts w:ascii="宋体" w:hAnsi="宋体"/>
          <w:szCs w:val="21"/>
        </w:rPr>
      </w:pPr>
      <w:r>
        <w:rPr>
          <w:rFonts w:ascii="宋体" w:hAnsi="宋体"/>
          <w:szCs w:val="21"/>
        </w:rPr>
        <w:t>6</w:t>
      </w:r>
      <w:r>
        <w:rPr>
          <w:rFonts w:hint="eastAsia" w:ascii="宋体" w:hAnsi="宋体"/>
          <w:szCs w:val="21"/>
        </w:rPr>
        <w:t>．联合体中标后，本联合体协议是合同的附件，对联合体各成员单位有合同约束力。</w:t>
      </w:r>
    </w:p>
    <w:p>
      <w:pPr>
        <w:spacing w:line="360" w:lineRule="auto"/>
        <w:ind w:firstLine="359" w:firstLineChars="171"/>
        <w:rPr>
          <w:rFonts w:ascii="宋体" w:hAnsi="宋体"/>
          <w:szCs w:val="21"/>
        </w:rPr>
      </w:pPr>
      <w:r>
        <w:rPr>
          <w:rFonts w:ascii="宋体" w:hAnsi="宋体"/>
          <w:szCs w:val="21"/>
        </w:rPr>
        <w:t>7</w:t>
      </w:r>
      <w:r>
        <w:rPr>
          <w:rFonts w:hint="eastAsia" w:ascii="宋体" w:hAnsi="宋体"/>
          <w:szCs w:val="21"/>
        </w:rPr>
        <w:t>．本协议书自签署之日起生效，联合体未中标或者中标时合同履行完毕后自动失效。</w:t>
      </w:r>
    </w:p>
    <w:p>
      <w:pPr>
        <w:spacing w:line="360" w:lineRule="auto"/>
        <w:ind w:firstLine="359" w:firstLineChars="171"/>
        <w:rPr>
          <w:rFonts w:ascii="宋体" w:hAnsi="宋体"/>
          <w:szCs w:val="21"/>
        </w:rPr>
      </w:pPr>
      <w:r>
        <w:rPr>
          <w:rFonts w:ascii="宋体" w:hAnsi="宋体"/>
          <w:szCs w:val="21"/>
        </w:rPr>
        <w:t>8</w:t>
      </w:r>
      <w:r>
        <w:rPr>
          <w:rFonts w:hint="eastAsia" w:ascii="宋体" w:hAnsi="宋体"/>
          <w:szCs w:val="21"/>
        </w:rPr>
        <w:t>．本协议书一式份，联合体成员和招标人各执一份。</w:t>
      </w:r>
    </w:p>
    <w:p>
      <w:pPr>
        <w:spacing w:line="360" w:lineRule="auto"/>
        <w:ind w:firstLine="1785" w:firstLineChars="850"/>
        <w:rPr>
          <w:rFonts w:ascii="宋体" w:hAnsi="宋体"/>
          <w:szCs w:val="21"/>
        </w:rPr>
      </w:pPr>
      <w:r>
        <w:rPr>
          <w:rFonts w:hint="eastAsia" w:ascii="宋体" w:hAnsi="宋体"/>
          <w:szCs w:val="21"/>
        </w:rPr>
        <w:t>牵头人名称：（盖单位章）</w:t>
      </w:r>
    </w:p>
    <w:p>
      <w:pPr>
        <w:spacing w:line="360" w:lineRule="auto"/>
        <w:ind w:firstLine="1785" w:firstLineChars="850"/>
        <w:rPr>
          <w:rFonts w:ascii="宋体" w:hAnsi="宋体"/>
          <w:szCs w:val="21"/>
        </w:rPr>
      </w:pPr>
      <w:r>
        <w:rPr>
          <w:rFonts w:hint="eastAsia" w:ascii="宋体" w:hAnsi="宋体"/>
          <w:szCs w:val="21"/>
        </w:rPr>
        <w:t>法定代表人或其委托代理人：（签字）</w:t>
      </w:r>
    </w:p>
    <w:p>
      <w:pPr>
        <w:spacing w:line="360" w:lineRule="auto"/>
        <w:ind w:firstLine="1785" w:firstLineChars="850"/>
        <w:rPr>
          <w:rFonts w:ascii="宋体" w:hAnsi="宋体"/>
          <w:szCs w:val="21"/>
        </w:rPr>
      </w:pPr>
      <w:r>
        <w:rPr>
          <w:rFonts w:hint="eastAsia" w:ascii="宋体" w:hAnsi="宋体"/>
          <w:szCs w:val="21"/>
        </w:rPr>
        <w:t>成员二名称：（盖单位章）</w:t>
      </w:r>
    </w:p>
    <w:p>
      <w:pPr>
        <w:spacing w:line="360" w:lineRule="auto"/>
        <w:ind w:firstLine="1785" w:firstLineChars="850"/>
        <w:rPr>
          <w:rFonts w:ascii="宋体" w:hAnsi="宋体"/>
          <w:szCs w:val="21"/>
        </w:rPr>
      </w:pPr>
      <w:r>
        <w:rPr>
          <w:rFonts w:hint="eastAsia" w:ascii="宋体" w:hAnsi="宋体"/>
          <w:szCs w:val="21"/>
        </w:rPr>
        <w:t>法定代表人或其委托代理人：（签字）</w:t>
      </w:r>
    </w:p>
    <w:p>
      <w:pPr>
        <w:spacing w:line="360" w:lineRule="auto"/>
        <w:ind w:firstLine="2100" w:firstLineChars="1000"/>
        <w:rPr>
          <w:rFonts w:ascii="宋体" w:hAnsi="宋体"/>
          <w:szCs w:val="21"/>
        </w:rPr>
      </w:pPr>
      <w:r>
        <w:rPr>
          <w:rFonts w:hint="eastAsia" w:ascii="宋体" w:hAnsi="宋体"/>
          <w:szCs w:val="21"/>
        </w:rPr>
        <w:t>……</w:t>
      </w:r>
    </w:p>
    <w:p>
      <w:pPr>
        <w:spacing w:line="360" w:lineRule="auto"/>
        <w:jc w:val="right"/>
        <w:rPr>
          <w:rFonts w:ascii="宋体" w:hAnsi="宋体"/>
          <w:szCs w:val="21"/>
        </w:rPr>
      </w:pPr>
      <w:r>
        <w:rPr>
          <w:rFonts w:hint="eastAsia" w:ascii="宋体" w:hAnsi="宋体"/>
          <w:szCs w:val="21"/>
        </w:rPr>
        <w:t xml:space="preserve">年月日  </w:t>
      </w:r>
    </w:p>
    <w:p>
      <w:pPr>
        <w:spacing w:line="360" w:lineRule="auto"/>
        <w:rPr>
          <w:rFonts w:ascii="宋体" w:hAnsi="宋体"/>
          <w:szCs w:val="21"/>
        </w:rPr>
      </w:pPr>
      <w:r>
        <w:rPr>
          <w:rFonts w:hint="eastAsia" w:ascii="宋体" w:hAnsi="宋体"/>
          <w:b/>
          <w:szCs w:val="21"/>
        </w:rPr>
        <w:t>备注：</w:t>
      </w:r>
      <w:r>
        <w:rPr>
          <w:rFonts w:hint="eastAsia" w:ascii="宋体" w:hAnsi="宋体"/>
          <w:szCs w:val="21"/>
        </w:rPr>
        <w:t>本协议书由委托代理人签字的，应附法定代表人签字的授权委托书。</w:t>
      </w:r>
    </w:p>
    <w:p>
      <w:pPr>
        <w:spacing w:beforeLines="100" w:afterLines="50" w:line="360" w:lineRule="auto"/>
        <w:jc w:val="center"/>
        <w:outlineLvl w:val="1"/>
        <w:rPr>
          <w:rFonts w:ascii="宋体" w:hAnsi="宋体"/>
          <w:sz w:val="32"/>
          <w:szCs w:val="32"/>
        </w:rPr>
      </w:pPr>
      <w:r>
        <w:rPr>
          <w:rFonts w:ascii="宋体" w:hAnsi="宋体"/>
          <w:i/>
          <w:szCs w:val="21"/>
        </w:rPr>
        <w:br w:type="page"/>
      </w:r>
      <w:bookmarkStart w:id="306" w:name="_Toc489974896"/>
      <w:bookmarkStart w:id="307" w:name="_Toc490062163"/>
      <w:r>
        <w:rPr>
          <w:rFonts w:hint="eastAsia" w:ascii="宋体" w:hAnsi="宋体"/>
          <w:b/>
          <w:sz w:val="32"/>
          <w:szCs w:val="32"/>
        </w:rPr>
        <w:t>七、资格审查资料及相关资料</w:t>
      </w:r>
      <w:bookmarkEnd w:id="306"/>
      <w:bookmarkEnd w:id="307"/>
    </w:p>
    <w:p>
      <w:pPr>
        <w:spacing w:beforeLines="100" w:afterLines="50" w:line="360" w:lineRule="auto"/>
        <w:jc w:val="center"/>
        <w:rPr>
          <w:rFonts w:ascii="宋体" w:hAnsi="宋体"/>
          <w:sz w:val="28"/>
          <w:szCs w:val="28"/>
        </w:rPr>
      </w:pPr>
      <w:r>
        <w:rPr>
          <w:rFonts w:hint="eastAsia" w:ascii="宋体" w:hAnsi="宋体"/>
          <w:sz w:val="28"/>
          <w:szCs w:val="28"/>
        </w:rPr>
        <w:t>（一）投标人基本情况表</w:t>
      </w:r>
    </w:p>
    <w:tbl>
      <w:tblPr>
        <w:tblStyle w:val="60"/>
        <w:tblW w:w="8666" w:type="dxa"/>
        <w:jc w:val="center"/>
        <w:tblInd w:w="0" w:type="dxa"/>
        <w:tblLayout w:type="fixed"/>
        <w:tblCellMar>
          <w:top w:w="0" w:type="dxa"/>
          <w:left w:w="108" w:type="dxa"/>
          <w:bottom w:w="0" w:type="dxa"/>
          <w:right w:w="108" w:type="dxa"/>
        </w:tblCellMar>
      </w:tblPr>
      <w:tblGrid>
        <w:gridCol w:w="1467"/>
        <w:gridCol w:w="886"/>
        <w:gridCol w:w="1008"/>
        <w:gridCol w:w="981"/>
        <w:gridCol w:w="279"/>
        <w:gridCol w:w="193"/>
        <w:gridCol w:w="1231"/>
        <w:gridCol w:w="256"/>
        <w:gridCol w:w="700"/>
        <w:gridCol w:w="1665"/>
      </w:tblGrid>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投标人名称</w:t>
            </w:r>
          </w:p>
        </w:tc>
        <w:tc>
          <w:tcPr>
            <w:tcW w:w="71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注册地址</w:t>
            </w:r>
          </w:p>
        </w:tc>
        <w:tc>
          <w:tcPr>
            <w:tcW w:w="33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邮政编码</w:t>
            </w:r>
          </w:p>
        </w:tc>
        <w:tc>
          <w:tcPr>
            <w:tcW w:w="26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联系方式</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联系人</w:t>
            </w:r>
          </w:p>
        </w:tc>
        <w:tc>
          <w:tcPr>
            <w:tcW w:w="24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电话</w:t>
            </w:r>
          </w:p>
        </w:tc>
        <w:tc>
          <w:tcPr>
            <w:tcW w:w="26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传真</w:t>
            </w:r>
          </w:p>
        </w:tc>
        <w:tc>
          <w:tcPr>
            <w:tcW w:w="24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网址</w:t>
            </w:r>
          </w:p>
        </w:tc>
        <w:tc>
          <w:tcPr>
            <w:tcW w:w="26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组织结构</w:t>
            </w:r>
          </w:p>
        </w:tc>
        <w:tc>
          <w:tcPr>
            <w:tcW w:w="71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法定代表人</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姓名</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技术职称</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电话</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技术负责人</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姓名</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技术职称</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电话</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成立时间</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53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员工总人数：</w:t>
            </w: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企业资质等级</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其中</w:t>
            </w:r>
          </w:p>
        </w:tc>
        <w:tc>
          <w:tcPr>
            <w:tcW w:w="19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项目经理</w:t>
            </w:r>
          </w:p>
        </w:tc>
        <w:tc>
          <w:tcPr>
            <w:tcW w:w="2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营业执照号</w:t>
            </w:r>
          </w:p>
        </w:tc>
        <w:tc>
          <w:tcPr>
            <w:tcW w:w="1894" w:type="dxa"/>
            <w:gridSpan w:val="2"/>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9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高级职称人员</w:t>
            </w:r>
          </w:p>
        </w:tc>
        <w:tc>
          <w:tcPr>
            <w:tcW w:w="2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注册资金</w:t>
            </w:r>
          </w:p>
        </w:tc>
        <w:tc>
          <w:tcPr>
            <w:tcW w:w="1894" w:type="dxa"/>
            <w:gridSpan w:val="2"/>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9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中级职称人员</w:t>
            </w:r>
          </w:p>
        </w:tc>
        <w:tc>
          <w:tcPr>
            <w:tcW w:w="2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开户银行</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9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初级职称人员</w:t>
            </w:r>
          </w:p>
        </w:tc>
        <w:tc>
          <w:tcPr>
            <w:tcW w:w="2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64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账号</w:t>
            </w:r>
          </w:p>
        </w:tc>
        <w:tc>
          <w:tcPr>
            <w:tcW w:w="1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9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技工</w:t>
            </w:r>
          </w:p>
        </w:tc>
        <w:tc>
          <w:tcPr>
            <w:tcW w:w="2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1581"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经营范围</w:t>
            </w:r>
          </w:p>
        </w:tc>
        <w:tc>
          <w:tcPr>
            <w:tcW w:w="71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r>
        <w:tblPrEx>
          <w:tblLayout w:type="fixed"/>
          <w:tblCellMar>
            <w:top w:w="0" w:type="dxa"/>
            <w:left w:w="108" w:type="dxa"/>
            <w:bottom w:w="0" w:type="dxa"/>
            <w:right w:w="108" w:type="dxa"/>
          </w:tblCellMar>
        </w:tblPrEx>
        <w:trPr>
          <w:trHeight w:val="842"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r>
              <w:rPr>
                <w:rFonts w:hint="eastAsia" w:ascii="宋体" w:hAnsi="宋体"/>
                <w:szCs w:val="21"/>
              </w:rPr>
              <w:t>备注</w:t>
            </w:r>
          </w:p>
        </w:tc>
        <w:tc>
          <w:tcPr>
            <w:tcW w:w="71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r>
    </w:tbl>
    <w:p>
      <w:pPr>
        <w:spacing w:line="360" w:lineRule="auto"/>
        <w:ind w:left="949" w:hanging="949" w:hangingChars="450"/>
        <w:rPr>
          <w:rFonts w:ascii="宋体" w:hAnsi="宋体"/>
          <w:b/>
          <w:color w:val="FF0000"/>
          <w:szCs w:val="21"/>
        </w:rPr>
      </w:pPr>
      <w:r>
        <w:rPr>
          <w:rFonts w:hint="eastAsia" w:ascii="宋体" w:hAnsi="宋体"/>
          <w:b/>
          <w:color w:val="FF0000"/>
          <w:szCs w:val="21"/>
        </w:rPr>
        <w:t>备注：1、本表后应附企业法人营业执照及其年检合格的证明材料、本项目所要求的所有资质证书等材料的复印件。</w:t>
      </w:r>
    </w:p>
    <w:p>
      <w:pPr>
        <w:spacing w:beforeLines="100" w:afterLines="50" w:line="360" w:lineRule="auto"/>
        <w:jc w:val="center"/>
        <w:rPr>
          <w:rFonts w:ascii="宋体" w:hAnsi="宋体"/>
          <w:sz w:val="24"/>
        </w:rPr>
      </w:pPr>
      <w:r>
        <w:rPr>
          <w:rFonts w:hint="eastAsia" w:ascii="宋体" w:hAnsi="宋体"/>
          <w:sz w:val="28"/>
          <w:szCs w:val="28"/>
        </w:rPr>
        <w:t>（二）近年财务状况表</w:t>
      </w:r>
    </w:p>
    <w:p>
      <w:pPr>
        <w:spacing w:line="360" w:lineRule="auto"/>
        <w:ind w:left="2"/>
        <w:rPr>
          <w:rFonts w:ascii="宋体" w:hAnsi="宋体"/>
          <w:b/>
          <w:color w:val="FF0000"/>
          <w:szCs w:val="21"/>
        </w:rPr>
      </w:pPr>
      <w:r>
        <w:rPr>
          <w:rFonts w:hint="eastAsia" w:ascii="宋体" w:hAnsi="宋体"/>
          <w:b/>
          <w:color w:val="FF0000"/>
          <w:szCs w:val="21"/>
        </w:rPr>
        <w:t>备注：在此附经会计师事务所或审计机构（即：第三方）审计的财务会计报表，包括资产负债表、现金流量表、利润表和财务情况说明书的复印件，具体年份要求见第二章“投标人须知”的规定。</w:t>
      </w:r>
    </w:p>
    <w:p>
      <w:pPr>
        <w:spacing w:beforeLines="100" w:afterLines="50" w:line="360" w:lineRule="auto"/>
        <w:jc w:val="center"/>
        <w:rPr>
          <w:rFonts w:ascii="宋体" w:hAnsi="宋体"/>
          <w:sz w:val="28"/>
          <w:szCs w:val="28"/>
        </w:rPr>
      </w:pPr>
      <w:r>
        <w:rPr>
          <w:rFonts w:ascii="宋体" w:hAnsi="宋体"/>
          <w:szCs w:val="21"/>
        </w:rPr>
        <w:br w:type="page"/>
      </w:r>
    </w:p>
    <w:p>
      <w:pPr>
        <w:spacing w:line="360" w:lineRule="auto"/>
        <w:jc w:val="center"/>
        <w:rPr>
          <w:rFonts w:ascii="宋体" w:hAnsi="宋体"/>
          <w:b/>
          <w:sz w:val="24"/>
        </w:rPr>
      </w:pPr>
      <w:r>
        <w:rPr>
          <w:rFonts w:hint="eastAsia" w:ascii="宋体" w:hAnsi="宋体"/>
          <w:sz w:val="28"/>
          <w:szCs w:val="28"/>
        </w:rPr>
        <w:t>（三）信誉情况</w:t>
      </w:r>
    </w:p>
    <w:p>
      <w:pPr>
        <w:spacing w:line="360" w:lineRule="auto"/>
        <w:rPr>
          <w:rFonts w:ascii="宋体" w:hAnsi="宋体"/>
          <w:b/>
          <w:color w:val="FF0000"/>
          <w:szCs w:val="21"/>
        </w:rPr>
      </w:pPr>
    </w:p>
    <w:p>
      <w:pPr>
        <w:spacing w:line="360" w:lineRule="auto"/>
        <w:rPr>
          <w:rFonts w:ascii="宋体" w:hAnsi="宋体"/>
          <w:b/>
          <w:szCs w:val="21"/>
        </w:rPr>
      </w:pPr>
      <w:r>
        <w:rPr>
          <w:rFonts w:hint="eastAsia" w:ascii="宋体" w:hAnsi="宋体"/>
          <w:b/>
          <w:szCs w:val="21"/>
        </w:rPr>
        <w:t>备注：近三年（2016、2017、2018）内未发生安全生产事故、严重环境事件和较大及以上质量事故</w:t>
      </w: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rPr>
          <w:rFonts w:ascii="宋体" w:hAnsi="宋体"/>
          <w:b/>
          <w:color w:val="FF0000"/>
          <w:szCs w:val="21"/>
        </w:rPr>
      </w:pPr>
    </w:p>
    <w:p>
      <w:pPr>
        <w:spacing w:line="360" w:lineRule="auto"/>
        <w:jc w:val="right"/>
        <w:rPr>
          <w:rFonts w:ascii="宋体" w:hAnsi="宋体"/>
          <w:szCs w:val="21"/>
        </w:rPr>
      </w:pPr>
      <w:r>
        <w:rPr>
          <w:rFonts w:ascii="宋体" w:hAnsi="宋体"/>
          <w:szCs w:val="21"/>
        </w:rPr>
        <w:tab/>
      </w:r>
      <w:r>
        <w:rPr>
          <w:rFonts w:hint="eastAsia" w:ascii="宋体" w:hAnsi="宋体"/>
          <w:szCs w:val="21"/>
        </w:rPr>
        <w:t>投标人：（盖单位章）</w:t>
      </w:r>
    </w:p>
    <w:p>
      <w:pPr>
        <w:spacing w:line="360" w:lineRule="auto"/>
        <w:jc w:val="right"/>
        <w:rPr>
          <w:rFonts w:ascii="宋体" w:hAnsi="宋体"/>
          <w:b/>
          <w:color w:val="FF0000"/>
          <w:szCs w:val="21"/>
        </w:rPr>
      </w:pPr>
      <w:r>
        <w:rPr>
          <w:rFonts w:hint="eastAsia" w:ascii="宋体" w:hAnsi="宋体"/>
          <w:szCs w:val="21"/>
        </w:rPr>
        <w:t>年月日</w:t>
      </w:r>
    </w:p>
    <w:p>
      <w:pPr>
        <w:spacing w:line="360" w:lineRule="auto"/>
        <w:rPr>
          <w:rFonts w:ascii="宋体" w:hAnsi="宋体"/>
          <w:szCs w:val="21"/>
        </w:rPr>
      </w:pPr>
    </w:p>
    <w:p>
      <w:pPr>
        <w:widowControl/>
        <w:jc w:val="left"/>
        <w:rPr>
          <w:rFonts w:ascii="宋体" w:hAnsi="宋体"/>
          <w:sz w:val="28"/>
          <w:szCs w:val="28"/>
        </w:rPr>
      </w:pPr>
      <w:r>
        <w:rPr>
          <w:rFonts w:ascii="宋体" w:hAnsi="宋体"/>
          <w:sz w:val="28"/>
          <w:szCs w:val="28"/>
        </w:rPr>
        <w:br w:type="page"/>
      </w:r>
    </w:p>
    <w:p>
      <w:pPr>
        <w:spacing w:beforeLines="100" w:afterLines="50" w:line="360" w:lineRule="auto"/>
        <w:jc w:val="center"/>
        <w:rPr>
          <w:rFonts w:ascii="宋体" w:hAnsi="宋体"/>
          <w:sz w:val="28"/>
          <w:szCs w:val="28"/>
        </w:rPr>
      </w:pPr>
      <w:r>
        <w:rPr>
          <w:rFonts w:hint="eastAsia" w:ascii="宋体" w:hAnsi="宋体"/>
          <w:sz w:val="28"/>
          <w:szCs w:val="28"/>
        </w:rPr>
        <w:t>（四）商务条款偏离表</w:t>
      </w:r>
    </w:p>
    <w:p>
      <w:pPr>
        <w:spacing w:after="60" w:line="360" w:lineRule="auto"/>
        <w:rPr>
          <w:rFonts w:ascii="宋体" w:hAnsi="宋体" w:cs="Arial"/>
          <w:sz w:val="24"/>
        </w:rPr>
      </w:pPr>
    </w:p>
    <w:p>
      <w:pPr>
        <w:spacing w:after="60" w:line="360" w:lineRule="auto"/>
        <w:rPr>
          <w:rFonts w:ascii="宋体" w:hAnsi="宋体" w:cs="Arial"/>
          <w:szCs w:val="21"/>
          <w:u w:val="single"/>
        </w:rPr>
      </w:pPr>
      <w:r>
        <w:rPr>
          <w:rFonts w:hint="eastAsia" w:ascii="宋体" w:hAnsi="宋体" w:cs="Arial"/>
          <w:szCs w:val="21"/>
        </w:rPr>
        <w:t>投标人名称：</w:t>
      </w:r>
    </w:p>
    <w:p>
      <w:pPr>
        <w:spacing w:line="360" w:lineRule="auto"/>
        <w:rPr>
          <w:rFonts w:ascii="宋体" w:hAnsi="宋体"/>
          <w:b/>
          <w:szCs w:val="21"/>
        </w:rPr>
      </w:pPr>
      <w:r>
        <w:rPr>
          <w:rFonts w:hint="eastAsia" w:ascii="宋体" w:hAnsi="宋体" w:cs="Arial"/>
          <w:szCs w:val="21"/>
        </w:rPr>
        <w:t>招标编号：</w:t>
      </w:r>
      <w:r>
        <w:rPr>
          <w:rFonts w:ascii="宋体" w:hAnsi="宋体" w:cs="Arial"/>
          <w:szCs w:val="21"/>
          <w:u w:val="single"/>
        </w:rPr>
        <w:t xml:space="preserve">_ </w:t>
      </w:r>
      <w:r>
        <w:rPr>
          <w:rFonts w:ascii="宋体" w:hAnsi="宋体" w:cs="Arial"/>
          <w:szCs w:val="21"/>
        </w:rPr>
        <w:t>____</w:t>
      </w:r>
    </w:p>
    <w:tbl>
      <w:tblPr>
        <w:tblStyle w:val="60"/>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3420"/>
        <w:gridCol w:w="234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r>
              <w:rPr>
                <w:rFonts w:hint="eastAsia" w:ascii="宋体" w:hAnsi="宋体"/>
                <w:szCs w:val="21"/>
              </w:rPr>
              <w:t>招标文件条目号</w:t>
            </w:r>
          </w:p>
        </w:tc>
        <w:tc>
          <w:tcPr>
            <w:tcW w:w="3420" w:type="dxa"/>
            <w:shd w:val="clear" w:color="auto" w:fill="auto"/>
            <w:vAlign w:val="center"/>
          </w:tcPr>
          <w:p>
            <w:pPr>
              <w:spacing w:line="360" w:lineRule="auto"/>
              <w:jc w:val="center"/>
              <w:rPr>
                <w:rFonts w:ascii="宋体" w:hAnsi="宋体"/>
                <w:szCs w:val="21"/>
              </w:rPr>
            </w:pPr>
            <w:r>
              <w:rPr>
                <w:rFonts w:hint="eastAsia" w:ascii="宋体" w:hAnsi="宋体"/>
                <w:szCs w:val="21"/>
              </w:rPr>
              <w:t>招标文件商务条款</w:t>
            </w:r>
          </w:p>
        </w:tc>
        <w:tc>
          <w:tcPr>
            <w:tcW w:w="2340" w:type="dxa"/>
            <w:shd w:val="clear" w:color="auto" w:fill="auto"/>
            <w:vAlign w:val="center"/>
          </w:tcPr>
          <w:p>
            <w:pPr>
              <w:spacing w:line="360" w:lineRule="auto"/>
              <w:jc w:val="center"/>
              <w:rPr>
                <w:rFonts w:ascii="宋体" w:hAnsi="宋体"/>
                <w:szCs w:val="21"/>
              </w:rPr>
            </w:pPr>
            <w:r>
              <w:rPr>
                <w:rFonts w:hint="eastAsia" w:ascii="宋体" w:hAnsi="宋体"/>
                <w:szCs w:val="21"/>
              </w:rPr>
              <w:t>投标文件商务条款</w:t>
            </w:r>
          </w:p>
        </w:tc>
        <w:tc>
          <w:tcPr>
            <w:tcW w:w="1648" w:type="dxa"/>
            <w:shd w:val="clear" w:color="auto" w:fill="auto"/>
            <w:vAlign w:val="center"/>
          </w:tcPr>
          <w:p>
            <w:pPr>
              <w:spacing w:line="360" w:lineRule="auto"/>
              <w:jc w:val="center"/>
              <w:rPr>
                <w:rFonts w:ascii="宋体" w:hAnsi="宋体"/>
                <w:szCs w:val="21"/>
              </w:rPr>
            </w:pPr>
            <w:r>
              <w:rPr>
                <w:rFonts w:hint="eastAsia" w:ascii="宋体" w:hAnsi="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tcPr>
          <w:p>
            <w:pPr>
              <w:spacing w:line="360" w:lineRule="auto"/>
              <w:rPr>
                <w:rFonts w:ascii="宋体" w:hAnsi="宋体"/>
                <w:szCs w:val="21"/>
              </w:rPr>
            </w:pPr>
          </w:p>
        </w:tc>
        <w:tc>
          <w:tcPr>
            <w:tcW w:w="3420" w:type="dxa"/>
            <w:shd w:val="clear" w:color="auto" w:fill="auto"/>
          </w:tcPr>
          <w:p>
            <w:pPr>
              <w:spacing w:line="360" w:lineRule="auto"/>
              <w:rPr>
                <w:rFonts w:ascii="宋体" w:hAnsi="宋体"/>
                <w:szCs w:val="21"/>
              </w:rPr>
            </w:pPr>
          </w:p>
        </w:tc>
        <w:tc>
          <w:tcPr>
            <w:tcW w:w="2340" w:type="dxa"/>
            <w:shd w:val="clear" w:color="auto" w:fill="auto"/>
          </w:tcPr>
          <w:p>
            <w:pPr>
              <w:spacing w:line="360" w:lineRule="auto"/>
              <w:rPr>
                <w:rFonts w:ascii="宋体" w:hAnsi="宋体"/>
                <w:szCs w:val="21"/>
              </w:rPr>
            </w:pPr>
          </w:p>
        </w:tc>
        <w:tc>
          <w:tcPr>
            <w:tcW w:w="1648" w:type="dxa"/>
            <w:shd w:val="clear" w:color="auto" w:fill="auto"/>
          </w:tcPr>
          <w:p>
            <w:pPr>
              <w:spacing w:line="360" w:lineRule="auto"/>
              <w:rPr>
                <w:rFonts w:ascii="宋体" w:hAnsi="宋体"/>
                <w:szCs w:val="21"/>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注：如投标人提交的投标文件商务条款与招标文件的要求存在偏离，需逐项填写商务条款偏离表，否则认为投标人完全接受招标文件的要求。</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日期：年月日</w:t>
      </w:r>
    </w:p>
    <w:p>
      <w:pPr>
        <w:spacing w:line="360" w:lineRule="auto"/>
        <w:ind w:firstLine="420" w:firstLineChars="200"/>
        <w:rPr>
          <w:rFonts w:ascii="宋体" w:hAnsi="宋体"/>
          <w:szCs w:val="21"/>
        </w:rPr>
      </w:pPr>
      <w:r>
        <w:rPr>
          <w:rFonts w:hint="eastAsia" w:ascii="宋体" w:hAnsi="宋体"/>
          <w:szCs w:val="21"/>
        </w:rPr>
        <w:br w:type="page"/>
      </w:r>
    </w:p>
    <w:p>
      <w:pPr>
        <w:spacing w:beforeLines="100" w:afterLines="50" w:line="360" w:lineRule="auto"/>
        <w:jc w:val="center"/>
        <w:rPr>
          <w:rFonts w:ascii="宋体" w:hAnsi="宋体"/>
          <w:sz w:val="28"/>
          <w:szCs w:val="28"/>
        </w:rPr>
      </w:pPr>
      <w:r>
        <w:rPr>
          <w:rFonts w:hint="eastAsia" w:ascii="宋体" w:hAnsi="宋体"/>
          <w:sz w:val="28"/>
          <w:szCs w:val="28"/>
        </w:rPr>
        <w:t>（五）合同条款偏离表</w:t>
      </w:r>
    </w:p>
    <w:p>
      <w:pPr>
        <w:spacing w:after="60" w:line="360" w:lineRule="auto"/>
        <w:rPr>
          <w:rFonts w:ascii="宋体" w:hAnsi="宋体" w:cs="Arial"/>
          <w:sz w:val="24"/>
        </w:rPr>
      </w:pPr>
    </w:p>
    <w:p>
      <w:pPr>
        <w:spacing w:after="60" w:line="360" w:lineRule="auto"/>
        <w:rPr>
          <w:rFonts w:ascii="宋体" w:hAnsi="宋体" w:cs="Arial"/>
          <w:szCs w:val="21"/>
          <w:u w:val="single"/>
        </w:rPr>
      </w:pPr>
      <w:r>
        <w:rPr>
          <w:rFonts w:hint="eastAsia" w:ascii="宋体" w:hAnsi="宋体" w:cs="Arial"/>
          <w:szCs w:val="21"/>
        </w:rPr>
        <w:t>投标人名称：</w:t>
      </w:r>
    </w:p>
    <w:p>
      <w:pPr>
        <w:spacing w:line="360" w:lineRule="auto"/>
        <w:rPr>
          <w:rFonts w:ascii="宋体" w:hAnsi="宋体"/>
          <w:b/>
          <w:szCs w:val="21"/>
        </w:rPr>
      </w:pPr>
      <w:r>
        <w:rPr>
          <w:rFonts w:hint="eastAsia" w:ascii="宋体" w:hAnsi="宋体" w:cs="Arial"/>
          <w:szCs w:val="21"/>
        </w:rPr>
        <w:t>招标编号：</w:t>
      </w:r>
      <w:r>
        <w:rPr>
          <w:rFonts w:ascii="宋体" w:hAnsi="宋体" w:cs="Arial"/>
          <w:szCs w:val="21"/>
          <w:u w:val="single"/>
        </w:rPr>
        <w:t xml:space="preserve">_ </w:t>
      </w:r>
      <w:r>
        <w:rPr>
          <w:rFonts w:ascii="宋体" w:hAnsi="宋体" w:cs="Arial"/>
          <w:szCs w:val="21"/>
        </w:rPr>
        <w:t>____</w:t>
      </w:r>
    </w:p>
    <w:tbl>
      <w:tblPr>
        <w:tblStyle w:val="60"/>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3420"/>
        <w:gridCol w:w="234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r>
              <w:rPr>
                <w:rFonts w:hint="eastAsia" w:ascii="宋体" w:hAnsi="宋体"/>
                <w:szCs w:val="21"/>
              </w:rPr>
              <w:t>招标文件条目号</w:t>
            </w:r>
          </w:p>
        </w:tc>
        <w:tc>
          <w:tcPr>
            <w:tcW w:w="3420" w:type="dxa"/>
            <w:shd w:val="clear" w:color="auto" w:fill="auto"/>
            <w:vAlign w:val="center"/>
          </w:tcPr>
          <w:p>
            <w:pPr>
              <w:spacing w:line="360" w:lineRule="auto"/>
              <w:jc w:val="center"/>
              <w:rPr>
                <w:rFonts w:ascii="宋体" w:hAnsi="宋体"/>
                <w:szCs w:val="21"/>
              </w:rPr>
            </w:pPr>
            <w:r>
              <w:rPr>
                <w:rFonts w:hint="eastAsia" w:ascii="宋体" w:hAnsi="宋体"/>
                <w:szCs w:val="21"/>
              </w:rPr>
              <w:t>招标文件合同条款</w:t>
            </w:r>
          </w:p>
        </w:tc>
        <w:tc>
          <w:tcPr>
            <w:tcW w:w="2340" w:type="dxa"/>
            <w:shd w:val="clear" w:color="auto" w:fill="auto"/>
            <w:vAlign w:val="center"/>
          </w:tcPr>
          <w:p>
            <w:pPr>
              <w:spacing w:line="360" w:lineRule="auto"/>
              <w:jc w:val="center"/>
              <w:rPr>
                <w:rFonts w:ascii="宋体" w:hAnsi="宋体"/>
                <w:szCs w:val="21"/>
              </w:rPr>
            </w:pPr>
            <w:r>
              <w:rPr>
                <w:rFonts w:hint="eastAsia" w:ascii="宋体" w:hAnsi="宋体"/>
                <w:szCs w:val="21"/>
              </w:rPr>
              <w:t>投标文件合同条款</w:t>
            </w:r>
          </w:p>
        </w:tc>
        <w:tc>
          <w:tcPr>
            <w:tcW w:w="1648" w:type="dxa"/>
            <w:shd w:val="clear" w:color="auto" w:fill="auto"/>
            <w:vAlign w:val="center"/>
          </w:tcPr>
          <w:p>
            <w:pPr>
              <w:spacing w:line="360" w:lineRule="auto"/>
              <w:jc w:val="center"/>
              <w:rPr>
                <w:rFonts w:ascii="宋体" w:hAnsi="宋体"/>
                <w:szCs w:val="21"/>
              </w:rPr>
            </w:pPr>
            <w:r>
              <w:rPr>
                <w:rFonts w:hint="eastAsia" w:ascii="宋体" w:hAnsi="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tcPr>
          <w:p>
            <w:pPr>
              <w:spacing w:line="360" w:lineRule="auto"/>
              <w:rPr>
                <w:rFonts w:ascii="宋体" w:hAnsi="宋体"/>
                <w:szCs w:val="21"/>
              </w:rPr>
            </w:pPr>
          </w:p>
        </w:tc>
        <w:tc>
          <w:tcPr>
            <w:tcW w:w="3420" w:type="dxa"/>
            <w:shd w:val="clear" w:color="auto" w:fill="auto"/>
          </w:tcPr>
          <w:p>
            <w:pPr>
              <w:spacing w:line="360" w:lineRule="auto"/>
              <w:rPr>
                <w:rFonts w:ascii="宋体" w:hAnsi="宋体"/>
                <w:szCs w:val="21"/>
              </w:rPr>
            </w:pPr>
          </w:p>
        </w:tc>
        <w:tc>
          <w:tcPr>
            <w:tcW w:w="2340" w:type="dxa"/>
            <w:shd w:val="clear" w:color="auto" w:fill="auto"/>
          </w:tcPr>
          <w:p>
            <w:pPr>
              <w:spacing w:line="360" w:lineRule="auto"/>
              <w:rPr>
                <w:rFonts w:ascii="宋体" w:hAnsi="宋体"/>
                <w:szCs w:val="21"/>
              </w:rPr>
            </w:pPr>
          </w:p>
        </w:tc>
        <w:tc>
          <w:tcPr>
            <w:tcW w:w="1648" w:type="dxa"/>
            <w:shd w:val="clear" w:color="auto" w:fill="auto"/>
          </w:tcPr>
          <w:p>
            <w:pPr>
              <w:spacing w:line="360" w:lineRule="auto"/>
              <w:rPr>
                <w:rFonts w:ascii="宋体" w:hAnsi="宋体"/>
                <w:szCs w:val="21"/>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注：如投标人提交的投标文件</w:t>
      </w:r>
      <w:r>
        <w:rPr>
          <w:rFonts w:hint="eastAsia" w:ascii="宋体" w:hAnsi="宋体"/>
          <w:color w:val="000000"/>
          <w:szCs w:val="21"/>
        </w:rPr>
        <w:t>合同</w:t>
      </w:r>
      <w:r>
        <w:rPr>
          <w:rFonts w:ascii="宋体" w:hAnsi="宋体"/>
          <w:color w:val="000000"/>
          <w:szCs w:val="21"/>
        </w:rPr>
        <w:t>条款与招标文件的要求存在偏离，需逐项填写</w:t>
      </w:r>
      <w:r>
        <w:rPr>
          <w:rFonts w:hint="eastAsia" w:ascii="宋体" w:hAnsi="宋体"/>
          <w:color w:val="000000"/>
          <w:szCs w:val="21"/>
        </w:rPr>
        <w:t>合同</w:t>
      </w:r>
      <w:r>
        <w:rPr>
          <w:rFonts w:ascii="宋体" w:hAnsi="宋体"/>
          <w:color w:val="000000"/>
          <w:szCs w:val="21"/>
        </w:rPr>
        <w:t>条款偏离表，否则认为投标人完全接受招标文件的要求。</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日期：年月日</w:t>
      </w:r>
    </w:p>
    <w:p>
      <w:pPr>
        <w:spacing w:line="360" w:lineRule="auto"/>
        <w:ind w:firstLine="420" w:firstLineChars="200"/>
        <w:rPr>
          <w:rFonts w:ascii="宋体" w:hAnsi="宋体"/>
          <w:szCs w:val="21"/>
        </w:rPr>
      </w:pPr>
    </w:p>
    <w:p>
      <w:pPr>
        <w:widowControl/>
        <w:jc w:val="left"/>
        <w:rPr>
          <w:rFonts w:ascii="宋体" w:hAnsi="宋体"/>
          <w:b/>
          <w:sz w:val="32"/>
          <w:szCs w:val="32"/>
        </w:rPr>
      </w:pPr>
      <w:r>
        <w:rPr>
          <w:rFonts w:ascii="宋体" w:hAnsi="宋体"/>
          <w:b/>
          <w:sz w:val="32"/>
          <w:szCs w:val="32"/>
        </w:rPr>
        <w:br w:type="page"/>
      </w:r>
    </w:p>
    <w:p>
      <w:pPr>
        <w:spacing w:beforeLines="100" w:afterLines="50" w:line="360" w:lineRule="auto"/>
        <w:jc w:val="center"/>
        <w:outlineLvl w:val="1"/>
        <w:rPr>
          <w:rFonts w:ascii="宋体" w:hAnsi="宋体"/>
          <w:b/>
          <w:sz w:val="32"/>
          <w:szCs w:val="32"/>
        </w:rPr>
      </w:pPr>
      <w:bookmarkStart w:id="308" w:name="_Toc489974897"/>
      <w:bookmarkStart w:id="309" w:name="_Toc490062164"/>
      <w:r>
        <w:rPr>
          <w:rFonts w:hint="eastAsia" w:ascii="宋体" w:hAnsi="宋体"/>
          <w:b/>
          <w:sz w:val="32"/>
          <w:szCs w:val="32"/>
        </w:rPr>
        <w:t>八、招标代理服务费承诺书</w:t>
      </w:r>
      <w:bookmarkEnd w:id="308"/>
      <w:bookmarkEnd w:id="309"/>
    </w:p>
    <w:p>
      <w:pPr>
        <w:spacing w:before="240" w:after="240" w:line="360" w:lineRule="auto"/>
        <w:jc w:val="center"/>
        <w:rPr>
          <w:rFonts w:ascii="宋体" w:hAnsi="宋体"/>
          <w:b/>
          <w:sz w:val="24"/>
          <w:szCs w:val="21"/>
        </w:rPr>
      </w:pPr>
      <w:r>
        <w:rPr>
          <w:rFonts w:hint="eastAsia" w:ascii="宋体" w:hAnsi="宋体"/>
          <w:b/>
          <w:sz w:val="24"/>
          <w:szCs w:val="21"/>
        </w:rPr>
        <w:t>招标代理服务费承诺书</w:t>
      </w:r>
    </w:p>
    <w:p>
      <w:pPr>
        <w:spacing w:line="360" w:lineRule="auto"/>
        <w:rPr>
          <w:rFonts w:ascii="宋体" w:hAnsi="宋体"/>
          <w:szCs w:val="21"/>
        </w:rPr>
      </w:pPr>
      <w:r>
        <w:rPr>
          <w:rFonts w:hint="eastAsia" w:ascii="宋体" w:hAnsi="宋体"/>
          <w:szCs w:val="21"/>
        </w:rPr>
        <w:t>致：中国机电工程招标有限公司</w:t>
      </w:r>
    </w:p>
    <w:p>
      <w:pPr>
        <w:spacing w:line="360" w:lineRule="auto"/>
        <w:ind w:firstLine="525" w:firstLineChars="250"/>
        <w:rPr>
          <w:rFonts w:ascii="宋体" w:hAnsi="宋体"/>
          <w:szCs w:val="21"/>
        </w:rPr>
      </w:pPr>
      <w:r>
        <w:rPr>
          <w:rFonts w:hint="eastAsia" w:ascii="宋体" w:hAnsi="宋体"/>
          <w:szCs w:val="21"/>
        </w:rPr>
        <w:t>我公司同意采购人不向贵公司支付任何费用，而由中选方向贵公司支付代理服务费。我公司承诺如下：</w:t>
      </w:r>
    </w:p>
    <w:p>
      <w:pPr>
        <w:spacing w:line="360" w:lineRule="auto"/>
        <w:ind w:firstLine="525" w:firstLineChars="250"/>
        <w:rPr>
          <w:rFonts w:ascii="宋体" w:hAnsi="宋体"/>
          <w:szCs w:val="21"/>
        </w:rPr>
      </w:pPr>
      <w:r>
        <w:rPr>
          <w:rFonts w:hint="eastAsia" w:ascii="宋体" w:hAnsi="宋体"/>
          <w:szCs w:val="21"/>
        </w:rPr>
        <w:t>我公司在贵公司组织的</w:t>
      </w:r>
      <w:r>
        <w:rPr>
          <w:rFonts w:hint="eastAsia" w:ascii="宋体" w:hAnsi="宋体"/>
          <w:szCs w:val="21"/>
          <w:u w:val="single"/>
        </w:rPr>
        <w:t>（项目名称）（招标编号）</w:t>
      </w:r>
      <w:r>
        <w:rPr>
          <w:rFonts w:hint="eastAsia" w:ascii="宋体" w:hAnsi="宋体"/>
          <w:szCs w:val="21"/>
        </w:rPr>
        <w:t>招标项目中标，我方保证在贵公司发出中标通知书后7个日历日以内，按中华人民共和国国家发展计划委员会颁发的《招标代理服务收费管理暂行办法》及招标文件的有关规定，并以电汇形式向贵公司缴交代理服务费。</w:t>
      </w:r>
    </w:p>
    <w:p>
      <w:pPr>
        <w:spacing w:line="360" w:lineRule="auto"/>
        <w:ind w:firstLine="525" w:firstLineChars="250"/>
        <w:rPr>
          <w:rFonts w:ascii="宋体" w:hAnsi="宋体"/>
          <w:szCs w:val="21"/>
        </w:rPr>
      </w:pPr>
      <w:r>
        <w:rPr>
          <w:rFonts w:hint="eastAsia" w:ascii="宋体" w:hAnsi="宋体"/>
          <w:szCs w:val="21"/>
        </w:rPr>
        <w:t>我方如违约，愿凭贵司开出的违约通知，按上述承诺金额的200%支付给贵方。</w:t>
      </w:r>
    </w:p>
    <w:p>
      <w:pPr>
        <w:spacing w:line="360" w:lineRule="auto"/>
        <w:ind w:firstLine="525" w:firstLineChars="250"/>
        <w:rPr>
          <w:rFonts w:ascii="宋体" w:hAnsi="宋体"/>
          <w:szCs w:val="21"/>
        </w:rPr>
      </w:pPr>
      <w:r>
        <w:rPr>
          <w:rFonts w:hint="eastAsia" w:ascii="宋体" w:hAnsi="宋体"/>
          <w:szCs w:val="21"/>
        </w:rPr>
        <w:t>特此承诺！</w:t>
      </w:r>
    </w:p>
    <w:p>
      <w:pPr>
        <w:spacing w:line="360" w:lineRule="auto"/>
        <w:rPr>
          <w:rFonts w:ascii="宋体" w:hAnsi="宋体"/>
          <w:b/>
          <w:szCs w:val="21"/>
        </w:rPr>
      </w:pPr>
      <w:r>
        <w:rPr>
          <w:rFonts w:hint="eastAsia" w:ascii="宋体" w:hAnsi="宋体"/>
          <w:b/>
          <w:szCs w:val="21"/>
        </w:rPr>
        <w:t>代理机构：</w:t>
      </w:r>
    </w:p>
    <w:p>
      <w:pPr>
        <w:spacing w:line="360" w:lineRule="auto"/>
        <w:rPr>
          <w:rFonts w:ascii="宋体" w:hAnsi="宋体"/>
          <w:bCs/>
          <w:szCs w:val="21"/>
        </w:rPr>
      </w:pPr>
      <w:r>
        <w:rPr>
          <w:rFonts w:hint="eastAsia" w:ascii="宋体" w:hAnsi="宋体"/>
          <w:bCs/>
          <w:szCs w:val="21"/>
        </w:rPr>
        <w:t>账户名称：中国机电工程招标有限公司</w:t>
      </w:r>
    </w:p>
    <w:p>
      <w:pPr>
        <w:spacing w:line="360" w:lineRule="auto"/>
        <w:rPr>
          <w:rFonts w:ascii="宋体" w:hAnsi="宋体"/>
          <w:bCs/>
          <w:szCs w:val="21"/>
        </w:rPr>
      </w:pPr>
      <w:r>
        <w:rPr>
          <w:rFonts w:hint="eastAsia" w:ascii="宋体" w:hAnsi="宋体"/>
          <w:bCs/>
          <w:szCs w:val="21"/>
        </w:rPr>
        <w:t>账  号：9558 8502 0000 0599 881</w:t>
      </w:r>
    </w:p>
    <w:p>
      <w:pPr>
        <w:spacing w:line="360" w:lineRule="auto"/>
        <w:rPr>
          <w:rFonts w:ascii="宋体" w:hAnsi="宋体"/>
          <w:bCs/>
          <w:szCs w:val="21"/>
        </w:rPr>
      </w:pPr>
      <w:r>
        <w:rPr>
          <w:rFonts w:hint="eastAsia" w:ascii="宋体" w:hAnsi="宋体"/>
          <w:bCs/>
          <w:szCs w:val="21"/>
        </w:rPr>
        <w:t>开 户 行：中国工商银行股份有限公司北京海淀支行</w:t>
      </w:r>
    </w:p>
    <w:p>
      <w:pPr>
        <w:spacing w:line="360" w:lineRule="auto"/>
        <w:rPr>
          <w:rFonts w:ascii="宋体" w:hAnsi="宋体"/>
          <w:b/>
          <w:szCs w:val="21"/>
        </w:rPr>
      </w:pPr>
      <w:r>
        <w:rPr>
          <w:rFonts w:hint="eastAsia" w:ascii="宋体" w:hAnsi="宋体"/>
          <w:b/>
          <w:szCs w:val="21"/>
        </w:rPr>
        <w:t>供应商公司资料（须为对公账户）：</w:t>
      </w:r>
    </w:p>
    <w:p>
      <w:pPr>
        <w:spacing w:line="360" w:lineRule="auto"/>
        <w:rPr>
          <w:rFonts w:ascii="宋体" w:hAnsi="宋体"/>
          <w:szCs w:val="21"/>
        </w:rPr>
      </w:pPr>
      <w:r>
        <w:rPr>
          <w:rFonts w:hint="eastAsia" w:ascii="宋体" w:hAnsi="宋体"/>
          <w:szCs w:val="21"/>
        </w:rPr>
        <w:t>开户名：</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开户银行：</w:t>
      </w:r>
    </w:p>
    <w:p>
      <w:pPr>
        <w:spacing w:line="360" w:lineRule="auto"/>
        <w:rPr>
          <w:rFonts w:ascii="宋体" w:hAnsi="宋体"/>
          <w:szCs w:val="21"/>
        </w:rPr>
      </w:pPr>
      <w:r>
        <w:rPr>
          <w:rFonts w:hint="eastAsia" w:ascii="宋体" w:hAnsi="宋体"/>
          <w:szCs w:val="21"/>
        </w:rPr>
        <w:t>帐号：</w:t>
      </w:r>
    </w:p>
    <w:p>
      <w:pPr>
        <w:spacing w:line="360" w:lineRule="auto"/>
        <w:rPr>
          <w:rFonts w:ascii="宋体" w:hAnsi="宋体"/>
          <w:szCs w:val="21"/>
        </w:rPr>
      </w:pPr>
      <w:r>
        <w:rPr>
          <w:rFonts w:hint="eastAsia" w:ascii="宋体" w:hAnsi="宋体"/>
          <w:szCs w:val="21"/>
        </w:rPr>
        <w:t>承诺方授权代表签字：</w:t>
      </w:r>
    </w:p>
    <w:p>
      <w:pPr>
        <w:spacing w:line="360" w:lineRule="auto"/>
        <w:rPr>
          <w:rFonts w:ascii="宋体" w:hAnsi="宋体"/>
          <w:szCs w:val="21"/>
        </w:rPr>
      </w:pPr>
      <w:r>
        <w:rPr>
          <w:rFonts w:hint="eastAsia" w:ascii="宋体" w:hAnsi="宋体"/>
          <w:szCs w:val="21"/>
        </w:rPr>
        <w:t>承诺方盖章：</w:t>
      </w:r>
    </w:p>
    <w:p>
      <w:pPr>
        <w:spacing w:line="360" w:lineRule="auto"/>
      </w:pPr>
      <w:r>
        <w:rPr>
          <w:rFonts w:hint="eastAsia" w:ascii="宋体" w:hAnsi="宋体"/>
          <w:szCs w:val="21"/>
        </w:rPr>
        <w:t>承诺日期：</w:t>
      </w:r>
    </w:p>
    <w:p>
      <w:pPr>
        <w:spacing w:line="360" w:lineRule="auto"/>
        <w:jc w:val="center"/>
        <w:rPr>
          <w:rFonts w:ascii="宋体" w:hAnsi="宋体"/>
          <w:b/>
          <w:color w:val="000000"/>
          <w:sz w:val="36"/>
          <w:szCs w:val="36"/>
        </w:rPr>
      </w:pPr>
      <w:r>
        <w:rPr>
          <w:rFonts w:ascii="宋体" w:hAnsi="宋体"/>
          <w:szCs w:val="21"/>
        </w:rPr>
        <w:br w:type="page"/>
      </w:r>
    </w:p>
    <w:p>
      <w:pPr>
        <w:spacing w:line="360" w:lineRule="auto"/>
        <w:jc w:val="left"/>
        <w:rPr>
          <w:rFonts w:ascii="宋体" w:hAnsi="宋体"/>
          <w:sz w:val="32"/>
          <w:szCs w:val="32"/>
        </w:rPr>
      </w:pPr>
      <w:r>
        <w:rPr>
          <w:rFonts w:hint="eastAsia" w:ascii="宋体" w:hAnsi="宋体"/>
          <w:sz w:val="32"/>
          <w:szCs w:val="32"/>
        </w:rPr>
        <w:t>（封面格式）</w:t>
      </w:r>
    </w:p>
    <w:p>
      <w:pPr>
        <w:spacing w:line="360" w:lineRule="auto"/>
        <w:jc w:val="center"/>
        <w:rPr>
          <w:rFonts w:ascii="宋体" w:hAnsi="宋体"/>
          <w:sz w:val="32"/>
          <w:szCs w:val="32"/>
        </w:rPr>
      </w:pPr>
    </w:p>
    <w:p>
      <w:pPr>
        <w:spacing w:line="360" w:lineRule="auto"/>
        <w:jc w:val="center"/>
        <w:rPr>
          <w:rFonts w:hint="eastAsia" w:ascii="宋体" w:hAnsi="宋体"/>
          <w:b/>
          <w:bCs/>
          <w:sz w:val="44"/>
          <w:szCs w:val="44"/>
        </w:rPr>
      </w:pPr>
      <w:r>
        <w:rPr>
          <w:rFonts w:hint="eastAsia" w:ascii="宋体" w:hAnsi="宋体"/>
          <w:b/>
          <w:bCs/>
          <w:sz w:val="44"/>
          <w:szCs w:val="44"/>
        </w:rPr>
        <w:t>中理检验有限公司</w:t>
      </w:r>
    </w:p>
    <w:p>
      <w:pPr>
        <w:spacing w:line="360" w:lineRule="auto"/>
        <w:jc w:val="center"/>
        <w:rPr>
          <w:rFonts w:ascii="宋体" w:hAnsi="宋体"/>
          <w:b/>
          <w:sz w:val="32"/>
          <w:szCs w:val="32"/>
        </w:rPr>
      </w:pPr>
      <w:r>
        <w:rPr>
          <w:rFonts w:hint="eastAsia" w:ascii="宋体" w:hAnsi="宋体"/>
          <w:b/>
          <w:bCs/>
          <w:sz w:val="44"/>
          <w:szCs w:val="44"/>
        </w:rPr>
        <w:t>张家港实验室装修工程项目</w:t>
      </w:r>
    </w:p>
    <w:p>
      <w:pPr>
        <w:spacing w:line="360" w:lineRule="auto"/>
        <w:jc w:val="center"/>
        <w:rPr>
          <w:rFonts w:ascii="宋体" w:hAnsi="宋体"/>
          <w:sz w:val="32"/>
          <w:szCs w:val="32"/>
        </w:rPr>
      </w:pPr>
    </w:p>
    <w:p>
      <w:pPr>
        <w:spacing w:line="360" w:lineRule="auto"/>
        <w:jc w:val="center"/>
        <w:rPr>
          <w:rFonts w:ascii="宋体" w:hAnsi="宋体"/>
          <w:b/>
          <w:bCs/>
          <w:color w:val="000000"/>
          <w:sz w:val="18"/>
          <w:szCs w:val="18"/>
        </w:rPr>
      </w:pPr>
    </w:p>
    <w:p>
      <w:pPr>
        <w:spacing w:line="360" w:lineRule="auto"/>
        <w:jc w:val="center"/>
        <w:rPr>
          <w:rFonts w:ascii="宋体" w:hAnsi="宋体"/>
          <w:b/>
          <w:color w:val="000000"/>
          <w:sz w:val="20"/>
          <w:szCs w:val="21"/>
        </w:rPr>
      </w:pPr>
      <w:r>
        <w:rPr>
          <w:rFonts w:hint="eastAsia" w:ascii="宋体" w:hAnsi="宋体"/>
          <w:b/>
          <w:color w:val="000000"/>
          <w:sz w:val="72"/>
          <w:szCs w:val="84"/>
        </w:rPr>
        <w:t>投标文件</w:t>
      </w:r>
    </w:p>
    <w:p>
      <w:pPr>
        <w:pStyle w:val="3"/>
        <w:jc w:val="center"/>
        <w:rPr>
          <w:rFonts w:asciiTheme="minorEastAsia" w:hAnsiTheme="minorEastAsia" w:eastAsiaTheme="minorEastAsia"/>
          <w:sz w:val="36"/>
        </w:rPr>
      </w:pPr>
      <w:bookmarkStart w:id="310" w:name="_Toc490062165"/>
      <w:bookmarkStart w:id="311" w:name="_Toc489974898"/>
      <w:r>
        <w:rPr>
          <w:rFonts w:hint="eastAsia" w:asciiTheme="minorEastAsia" w:hAnsiTheme="minorEastAsia" w:eastAsiaTheme="minorEastAsia"/>
          <w:sz w:val="36"/>
        </w:rPr>
        <w:t>（第二册 技术部分）</w:t>
      </w:r>
      <w:bookmarkEnd w:id="310"/>
      <w:bookmarkEnd w:id="311"/>
    </w:p>
    <w:p>
      <w:pPr>
        <w:spacing w:line="360" w:lineRule="auto"/>
        <w:ind w:left="1438" w:leftChars="685" w:firstLine="955" w:firstLineChars="317"/>
        <w:jc w:val="left"/>
        <w:rPr>
          <w:rFonts w:ascii="宋体" w:hAnsi="宋体"/>
          <w:b/>
          <w:color w:val="000000"/>
          <w:sz w:val="30"/>
        </w:rPr>
      </w:pPr>
      <w:r>
        <w:rPr>
          <w:rFonts w:hint="eastAsia" w:ascii="宋体" w:hAnsi="宋体"/>
          <w:b/>
          <w:color w:val="000000"/>
          <w:sz w:val="30"/>
        </w:rPr>
        <w:t>招标</w:t>
      </w:r>
      <w:r>
        <w:rPr>
          <w:rFonts w:ascii="宋体" w:hAnsi="宋体"/>
          <w:b/>
          <w:color w:val="000000"/>
          <w:sz w:val="30"/>
        </w:rPr>
        <w:t>编号：</w:t>
      </w:r>
    </w:p>
    <w:p>
      <w:pPr>
        <w:spacing w:line="360" w:lineRule="auto"/>
        <w:jc w:val="center"/>
        <w:rPr>
          <w:rFonts w:ascii="宋体" w:hAnsi="宋体" w:cs="Arial"/>
          <w:b/>
          <w:color w:val="000000"/>
          <w:sz w:val="32"/>
          <w:szCs w:val="32"/>
        </w:rPr>
      </w:pPr>
    </w:p>
    <w:p>
      <w:pPr>
        <w:spacing w:line="360" w:lineRule="auto"/>
        <w:jc w:val="center"/>
        <w:rPr>
          <w:rFonts w:ascii="宋体" w:hAnsi="宋体" w:cs="Arial"/>
          <w:b/>
          <w:color w:val="000000"/>
          <w:sz w:val="32"/>
          <w:szCs w:val="32"/>
        </w:rPr>
      </w:pPr>
    </w:p>
    <w:p>
      <w:pPr>
        <w:spacing w:line="360" w:lineRule="auto"/>
        <w:jc w:val="center"/>
        <w:rPr>
          <w:rFonts w:ascii="宋体" w:hAnsi="宋体" w:cs="Arial"/>
          <w:b/>
          <w:color w:val="000000"/>
          <w:sz w:val="32"/>
          <w:szCs w:val="32"/>
        </w:rPr>
      </w:pPr>
    </w:p>
    <w:p>
      <w:pPr>
        <w:spacing w:line="360" w:lineRule="auto"/>
        <w:ind w:firstLine="180" w:firstLineChars="56"/>
        <w:jc w:val="center"/>
        <w:rPr>
          <w:rFonts w:ascii="宋体" w:hAnsi="宋体"/>
          <w:b/>
          <w:color w:val="000000"/>
          <w:sz w:val="32"/>
        </w:rPr>
      </w:pPr>
      <w:r>
        <w:rPr>
          <w:rFonts w:hint="eastAsia" w:ascii="宋体" w:hAnsi="宋体"/>
          <w:b/>
          <w:color w:val="000000"/>
          <w:sz w:val="32"/>
        </w:rPr>
        <w:t>投标人：（单位公章）</w:t>
      </w:r>
    </w:p>
    <w:p>
      <w:pPr>
        <w:spacing w:line="360" w:lineRule="auto"/>
        <w:jc w:val="center"/>
        <w:rPr>
          <w:rFonts w:ascii="宋体" w:hAnsi="宋体"/>
          <w:b/>
          <w:color w:val="000000"/>
          <w:sz w:val="32"/>
        </w:rPr>
      </w:pPr>
    </w:p>
    <w:p>
      <w:pPr>
        <w:spacing w:line="360" w:lineRule="auto"/>
        <w:ind w:firstLine="2091" w:firstLineChars="651"/>
        <w:rPr>
          <w:rFonts w:ascii="宋体" w:hAnsi="宋体"/>
          <w:b/>
          <w:color w:val="000000"/>
          <w:sz w:val="32"/>
        </w:rPr>
      </w:pPr>
      <w:r>
        <w:rPr>
          <w:rFonts w:hint="eastAsia" w:ascii="宋体" w:hAnsi="宋体"/>
          <w:b/>
          <w:color w:val="000000"/>
          <w:sz w:val="32"/>
        </w:rPr>
        <w:t>法人代表或委托代理人：（签字）</w:t>
      </w:r>
    </w:p>
    <w:p>
      <w:pPr>
        <w:spacing w:line="360" w:lineRule="auto"/>
        <w:jc w:val="center"/>
        <w:rPr>
          <w:rFonts w:ascii="宋体" w:hAnsi="宋体"/>
          <w:b/>
          <w:color w:val="000000"/>
          <w:sz w:val="32"/>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年</w:t>
      </w:r>
      <w:r>
        <w:rPr>
          <w:rFonts w:hint="eastAsia" w:ascii="宋体" w:hAnsi="宋体"/>
          <w:b/>
          <w:bCs/>
          <w:sz w:val="28"/>
          <w:szCs w:val="28"/>
        </w:rPr>
        <w:t>月</w:t>
      </w:r>
      <w:r>
        <w:rPr>
          <w:rFonts w:hint="eastAsia" w:ascii="宋体" w:hAnsi="宋体"/>
          <w:b/>
          <w:bCs/>
          <w:color w:val="000000"/>
          <w:sz w:val="28"/>
          <w:szCs w:val="28"/>
        </w:rPr>
        <w:t>日</w:t>
      </w:r>
    </w:p>
    <w:p>
      <w:pPr>
        <w:widowControl/>
        <w:jc w:val="left"/>
        <w:rPr>
          <w:rFonts w:ascii="宋体" w:hAnsi="宋体"/>
          <w:sz w:val="32"/>
          <w:szCs w:val="32"/>
        </w:rPr>
      </w:pPr>
      <w:r>
        <w:rPr>
          <w:rFonts w:ascii="宋体" w:hAnsi="宋体"/>
          <w:sz w:val="32"/>
          <w:szCs w:val="32"/>
        </w:rPr>
        <w:br w:type="page"/>
      </w:r>
    </w:p>
    <w:p>
      <w:pPr>
        <w:spacing w:beforeLines="100" w:afterLines="50" w:line="360" w:lineRule="auto"/>
        <w:jc w:val="center"/>
        <w:outlineLvl w:val="1"/>
        <w:rPr>
          <w:rFonts w:ascii="宋体" w:hAnsi="宋体"/>
          <w:b/>
          <w:sz w:val="32"/>
          <w:szCs w:val="32"/>
        </w:rPr>
      </w:pPr>
      <w:bookmarkStart w:id="312" w:name="_Toc477902748"/>
      <w:bookmarkStart w:id="313" w:name="_Toc489974899"/>
      <w:bookmarkStart w:id="314" w:name="_Toc490062166"/>
      <w:r>
        <w:rPr>
          <w:rFonts w:hint="eastAsia" w:ascii="宋体" w:hAnsi="宋体"/>
          <w:b/>
          <w:sz w:val="32"/>
          <w:szCs w:val="32"/>
        </w:rPr>
        <w:t>一、</w:t>
      </w:r>
      <w:bookmarkEnd w:id="312"/>
      <w:r>
        <w:rPr>
          <w:rFonts w:hint="eastAsia" w:ascii="宋体" w:hAnsi="宋体"/>
          <w:b/>
          <w:sz w:val="32"/>
          <w:szCs w:val="32"/>
        </w:rPr>
        <w:t>项目方案</w:t>
      </w:r>
      <w:bookmarkEnd w:id="313"/>
      <w:bookmarkEnd w:id="314"/>
    </w:p>
    <w:p>
      <w:pPr>
        <w:spacing w:line="360" w:lineRule="auto"/>
        <w:rPr>
          <w:b/>
        </w:rPr>
      </w:pPr>
      <w:r>
        <w:rPr>
          <w:rFonts w:hint="eastAsia"/>
          <w:b/>
        </w:rPr>
        <w:t>注：投标人须针对所投标包的技术要求及评标标准项，详细编制项目服务（施工）方案，须包含项目各环节的计划安排及方案阐述。</w:t>
      </w:r>
    </w:p>
    <w:p>
      <w:pPr>
        <w:widowControl/>
        <w:spacing w:line="360" w:lineRule="auto"/>
        <w:jc w:val="left"/>
        <w:rPr>
          <w:b/>
        </w:rPr>
      </w:pPr>
      <w:r>
        <w:rPr>
          <w:rFonts w:hint="eastAsia"/>
          <w:b/>
        </w:rPr>
        <w:t>按照本项目的要求，包括但不限于：</w:t>
      </w:r>
    </w:p>
    <w:p>
      <w:pPr>
        <w:widowControl/>
        <w:spacing w:line="360" w:lineRule="auto"/>
        <w:jc w:val="left"/>
        <w:rPr>
          <w:bCs/>
        </w:rPr>
      </w:pPr>
      <w:r>
        <w:rPr>
          <w:rFonts w:hint="eastAsia"/>
          <w:bCs/>
        </w:rPr>
        <w:t>A、实施方案（对产品供货实施方案进行详细描述，包含平面图、水路布局图、电路布局图、通风管路图）。</w:t>
      </w:r>
    </w:p>
    <w:p>
      <w:pPr>
        <w:widowControl/>
        <w:spacing w:line="360" w:lineRule="auto"/>
        <w:jc w:val="left"/>
        <w:rPr>
          <w:bCs/>
        </w:rPr>
      </w:pPr>
      <w:r>
        <w:rPr>
          <w:rFonts w:hint="eastAsia"/>
          <w:bCs/>
        </w:rPr>
        <w:t>B、施工组织人员机械配置。</w:t>
      </w:r>
    </w:p>
    <w:p>
      <w:pPr>
        <w:widowControl/>
        <w:spacing w:line="360" w:lineRule="auto"/>
        <w:jc w:val="left"/>
        <w:rPr>
          <w:bCs/>
        </w:rPr>
      </w:pPr>
      <w:r>
        <w:rPr>
          <w:rFonts w:hint="eastAsia"/>
          <w:bCs/>
        </w:rPr>
        <w:t>C、应急保障措施（当遇到项目临时增加需求量、资源紧张、发生紧急采购等特种情况）响应时间。</w:t>
      </w:r>
    </w:p>
    <w:p>
      <w:pPr>
        <w:widowControl/>
        <w:spacing w:line="360" w:lineRule="auto"/>
        <w:jc w:val="left"/>
        <w:rPr>
          <w:bCs/>
        </w:rPr>
      </w:pPr>
      <w:r>
        <w:rPr>
          <w:rFonts w:hint="eastAsia"/>
          <w:bCs/>
        </w:rPr>
        <w:t>D、安全制度及管理措施。</w:t>
      </w:r>
    </w:p>
    <w:p>
      <w:pPr>
        <w:widowControl/>
        <w:spacing w:line="360" w:lineRule="auto"/>
        <w:jc w:val="left"/>
        <w:rPr>
          <w:bCs/>
        </w:rPr>
      </w:pPr>
      <w:r>
        <w:rPr>
          <w:rFonts w:hint="eastAsia"/>
          <w:bCs/>
        </w:rPr>
        <w:t>E、产品数质量控制措施。</w:t>
      </w:r>
    </w:p>
    <w:p>
      <w:pPr>
        <w:widowControl/>
        <w:spacing w:line="360" w:lineRule="auto"/>
        <w:jc w:val="left"/>
        <w:rPr>
          <w:bCs/>
        </w:rPr>
      </w:pPr>
      <w:r>
        <w:rPr>
          <w:rFonts w:hint="eastAsia"/>
          <w:bCs/>
        </w:rPr>
        <w:t>F、服务承诺</w:t>
      </w:r>
    </w:p>
    <w:p>
      <w:pPr>
        <w:widowControl/>
        <w:spacing w:line="360" w:lineRule="auto"/>
        <w:jc w:val="left"/>
        <w:rPr>
          <w:bCs/>
        </w:rPr>
      </w:pPr>
      <w:r>
        <w:rPr>
          <w:rFonts w:hint="eastAsia"/>
          <w:bCs/>
        </w:rPr>
        <w:t>G、优惠条件。</w:t>
      </w:r>
    </w:p>
    <w:p>
      <w:pPr>
        <w:widowControl/>
        <w:jc w:val="left"/>
        <w:rPr>
          <w:rFonts w:ascii="宋体" w:hAnsi="宋体"/>
          <w:sz w:val="28"/>
          <w:szCs w:val="28"/>
        </w:rPr>
      </w:pPr>
      <w:r>
        <w:rPr>
          <w:rFonts w:ascii="宋体" w:hAnsi="宋体"/>
          <w:sz w:val="28"/>
          <w:szCs w:val="28"/>
        </w:rPr>
        <w:br w:type="page"/>
      </w:r>
    </w:p>
    <w:p>
      <w:pPr>
        <w:spacing w:beforeLines="100" w:afterLines="50" w:line="360" w:lineRule="auto"/>
        <w:rPr>
          <w:rFonts w:ascii="宋体" w:hAnsi="宋体"/>
          <w:sz w:val="28"/>
          <w:szCs w:val="28"/>
        </w:rPr>
      </w:pPr>
      <w:r>
        <w:rPr>
          <w:rFonts w:hint="eastAsia" w:ascii="宋体" w:hAnsi="宋体"/>
          <w:sz w:val="28"/>
          <w:szCs w:val="28"/>
        </w:rPr>
        <w:t>附表一：拟投入本工程的主要施工设备表（参考格式）</w:t>
      </w:r>
    </w:p>
    <w:tbl>
      <w:tblPr>
        <w:tblStyle w:val="6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shd w:val="clear" w:color="auto" w:fill="auto"/>
            <w:vAlign w:val="center"/>
          </w:tcPr>
          <w:p>
            <w:pPr>
              <w:spacing w:line="360" w:lineRule="auto"/>
              <w:jc w:val="center"/>
              <w:rPr>
                <w:rFonts w:ascii="宋体" w:hAnsi="宋体"/>
                <w:szCs w:val="21"/>
              </w:rPr>
            </w:pPr>
            <w:r>
              <w:rPr>
                <w:rFonts w:hint="eastAsia" w:ascii="宋体" w:hAnsi="宋体"/>
                <w:szCs w:val="21"/>
              </w:rPr>
              <w:t>序号</w:t>
            </w:r>
          </w:p>
        </w:tc>
        <w:tc>
          <w:tcPr>
            <w:tcW w:w="1064" w:type="dxa"/>
            <w:shd w:val="clear" w:color="auto" w:fill="auto"/>
            <w:vAlign w:val="center"/>
          </w:tcPr>
          <w:p>
            <w:pPr>
              <w:spacing w:line="360" w:lineRule="auto"/>
              <w:jc w:val="center"/>
              <w:rPr>
                <w:rFonts w:ascii="宋体" w:hAnsi="宋体"/>
                <w:szCs w:val="21"/>
              </w:rPr>
            </w:pPr>
            <w:r>
              <w:rPr>
                <w:rFonts w:hint="eastAsia" w:ascii="宋体" w:hAnsi="宋体"/>
                <w:szCs w:val="21"/>
              </w:rPr>
              <w:t>设备名称</w:t>
            </w:r>
          </w:p>
        </w:tc>
        <w:tc>
          <w:tcPr>
            <w:tcW w:w="672" w:type="dxa"/>
            <w:shd w:val="clear" w:color="auto" w:fill="auto"/>
            <w:vAlign w:val="center"/>
          </w:tcPr>
          <w:p>
            <w:pPr>
              <w:spacing w:line="360" w:lineRule="auto"/>
              <w:jc w:val="center"/>
              <w:rPr>
                <w:rFonts w:ascii="宋体" w:hAnsi="宋体"/>
                <w:szCs w:val="21"/>
              </w:rPr>
            </w:pPr>
            <w:r>
              <w:rPr>
                <w:rFonts w:hint="eastAsia" w:ascii="宋体" w:hAnsi="宋体"/>
                <w:szCs w:val="21"/>
              </w:rPr>
              <w:t>型号</w:t>
            </w:r>
          </w:p>
          <w:p>
            <w:pPr>
              <w:spacing w:line="360" w:lineRule="auto"/>
              <w:jc w:val="center"/>
              <w:rPr>
                <w:rFonts w:ascii="宋体" w:hAnsi="宋体"/>
                <w:szCs w:val="21"/>
              </w:rPr>
            </w:pPr>
            <w:r>
              <w:rPr>
                <w:rFonts w:hint="eastAsia" w:ascii="宋体" w:hAnsi="宋体"/>
                <w:szCs w:val="21"/>
              </w:rPr>
              <w:t>规格</w:t>
            </w:r>
          </w:p>
        </w:tc>
        <w:tc>
          <w:tcPr>
            <w:tcW w:w="1022" w:type="dxa"/>
            <w:shd w:val="clear" w:color="auto" w:fill="auto"/>
            <w:vAlign w:val="center"/>
          </w:tcPr>
          <w:p>
            <w:pPr>
              <w:spacing w:line="360" w:lineRule="auto"/>
              <w:jc w:val="center"/>
              <w:rPr>
                <w:rFonts w:ascii="宋体" w:hAnsi="宋体"/>
                <w:szCs w:val="21"/>
              </w:rPr>
            </w:pPr>
            <w:r>
              <w:rPr>
                <w:rFonts w:hint="eastAsia" w:ascii="宋体" w:hAnsi="宋体"/>
                <w:szCs w:val="21"/>
              </w:rPr>
              <w:t>数量</w:t>
            </w:r>
          </w:p>
        </w:tc>
        <w:tc>
          <w:tcPr>
            <w:tcW w:w="709" w:type="dxa"/>
            <w:shd w:val="clear" w:color="auto" w:fill="auto"/>
            <w:vAlign w:val="center"/>
          </w:tcPr>
          <w:p>
            <w:pPr>
              <w:spacing w:line="360" w:lineRule="auto"/>
              <w:jc w:val="center"/>
              <w:rPr>
                <w:rFonts w:ascii="宋体" w:hAnsi="宋体"/>
                <w:szCs w:val="21"/>
              </w:rPr>
            </w:pPr>
            <w:r>
              <w:rPr>
                <w:rFonts w:hint="eastAsia" w:ascii="宋体" w:hAnsi="宋体"/>
                <w:szCs w:val="21"/>
              </w:rPr>
              <w:t>国别</w:t>
            </w:r>
          </w:p>
          <w:p>
            <w:pPr>
              <w:spacing w:line="360" w:lineRule="auto"/>
              <w:jc w:val="center"/>
              <w:rPr>
                <w:rFonts w:ascii="宋体" w:hAnsi="宋体"/>
                <w:szCs w:val="21"/>
              </w:rPr>
            </w:pPr>
            <w:r>
              <w:rPr>
                <w:rFonts w:hint="eastAsia" w:ascii="宋体" w:hAnsi="宋体"/>
                <w:szCs w:val="21"/>
              </w:rPr>
              <w:t>产地</w:t>
            </w:r>
          </w:p>
        </w:tc>
        <w:tc>
          <w:tcPr>
            <w:tcW w:w="709" w:type="dxa"/>
            <w:shd w:val="clear" w:color="auto" w:fill="auto"/>
            <w:vAlign w:val="center"/>
          </w:tcPr>
          <w:p>
            <w:pPr>
              <w:spacing w:line="360" w:lineRule="auto"/>
              <w:jc w:val="center"/>
              <w:rPr>
                <w:rFonts w:ascii="宋体" w:hAnsi="宋体"/>
                <w:szCs w:val="21"/>
              </w:rPr>
            </w:pPr>
            <w:r>
              <w:rPr>
                <w:rFonts w:hint="eastAsia" w:ascii="宋体" w:hAnsi="宋体"/>
                <w:szCs w:val="21"/>
              </w:rPr>
              <w:t>制造</w:t>
            </w:r>
          </w:p>
          <w:p>
            <w:pPr>
              <w:spacing w:line="360" w:lineRule="auto"/>
              <w:jc w:val="center"/>
              <w:rPr>
                <w:rFonts w:ascii="宋体" w:hAnsi="宋体"/>
                <w:szCs w:val="21"/>
              </w:rPr>
            </w:pPr>
            <w:r>
              <w:rPr>
                <w:rFonts w:hint="eastAsia" w:ascii="宋体" w:hAnsi="宋体"/>
                <w:szCs w:val="21"/>
              </w:rPr>
              <w:t>年份</w:t>
            </w:r>
          </w:p>
        </w:tc>
        <w:tc>
          <w:tcPr>
            <w:tcW w:w="1176" w:type="dxa"/>
            <w:shd w:val="clear" w:color="auto" w:fill="auto"/>
            <w:vAlign w:val="center"/>
          </w:tcPr>
          <w:p>
            <w:pPr>
              <w:spacing w:line="360" w:lineRule="auto"/>
              <w:jc w:val="center"/>
              <w:rPr>
                <w:rFonts w:ascii="宋体" w:hAnsi="宋体"/>
                <w:szCs w:val="21"/>
              </w:rPr>
            </w:pPr>
            <w:r>
              <w:rPr>
                <w:rFonts w:hint="eastAsia" w:ascii="宋体" w:hAnsi="宋体"/>
                <w:szCs w:val="21"/>
              </w:rPr>
              <w:t>额定功率</w:t>
            </w:r>
          </w:p>
          <w:p>
            <w:pPr>
              <w:spacing w:line="360" w:lineRule="auto"/>
              <w:jc w:val="center"/>
              <w:rPr>
                <w:rFonts w:ascii="宋体" w:hAnsi="宋体"/>
                <w:szCs w:val="21"/>
              </w:rPr>
            </w:pPr>
            <w:r>
              <w:rPr>
                <w:rFonts w:hint="eastAsia" w:ascii="宋体" w:hAnsi="宋体"/>
                <w:szCs w:val="21"/>
              </w:rPr>
              <w:t>（</w:t>
            </w:r>
            <w:r>
              <w:rPr>
                <w:rFonts w:ascii="宋体" w:hAnsi="宋体"/>
                <w:szCs w:val="21"/>
              </w:rPr>
              <w:t>KW</w:t>
            </w:r>
            <w:r>
              <w:rPr>
                <w:rFonts w:hint="eastAsia" w:ascii="宋体" w:hAnsi="宋体"/>
                <w:szCs w:val="21"/>
              </w:rPr>
              <w:t>）</w:t>
            </w:r>
          </w:p>
        </w:tc>
        <w:tc>
          <w:tcPr>
            <w:tcW w:w="872" w:type="dxa"/>
            <w:shd w:val="clear" w:color="auto" w:fill="auto"/>
            <w:vAlign w:val="center"/>
          </w:tcPr>
          <w:p>
            <w:pPr>
              <w:spacing w:line="360" w:lineRule="auto"/>
              <w:jc w:val="center"/>
              <w:rPr>
                <w:rFonts w:ascii="宋体" w:hAnsi="宋体"/>
                <w:szCs w:val="21"/>
              </w:rPr>
            </w:pPr>
            <w:r>
              <w:rPr>
                <w:rFonts w:hint="eastAsia" w:ascii="宋体" w:hAnsi="宋体"/>
                <w:szCs w:val="21"/>
              </w:rPr>
              <w:t>生产</w:t>
            </w:r>
          </w:p>
          <w:p>
            <w:pPr>
              <w:spacing w:line="360" w:lineRule="auto"/>
              <w:jc w:val="center"/>
              <w:rPr>
                <w:rFonts w:ascii="宋体" w:hAnsi="宋体"/>
                <w:szCs w:val="21"/>
              </w:rPr>
            </w:pPr>
            <w:r>
              <w:rPr>
                <w:rFonts w:hint="eastAsia" w:ascii="宋体" w:hAnsi="宋体"/>
                <w:szCs w:val="21"/>
              </w:rPr>
              <w:t>能力</w:t>
            </w:r>
          </w:p>
        </w:tc>
        <w:tc>
          <w:tcPr>
            <w:tcW w:w="872" w:type="dxa"/>
            <w:shd w:val="clear" w:color="auto" w:fill="auto"/>
            <w:vAlign w:val="center"/>
          </w:tcPr>
          <w:p>
            <w:pPr>
              <w:spacing w:line="360" w:lineRule="auto"/>
              <w:jc w:val="center"/>
              <w:rPr>
                <w:rFonts w:ascii="宋体" w:hAnsi="宋体"/>
                <w:szCs w:val="21"/>
              </w:rPr>
            </w:pPr>
            <w:r>
              <w:rPr>
                <w:rFonts w:hint="eastAsia" w:ascii="宋体" w:hAnsi="宋体"/>
                <w:szCs w:val="21"/>
              </w:rPr>
              <w:t>用于施</w:t>
            </w:r>
          </w:p>
          <w:p>
            <w:pPr>
              <w:spacing w:line="360" w:lineRule="auto"/>
              <w:jc w:val="center"/>
              <w:rPr>
                <w:rFonts w:ascii="宋体" w:hAnsi="宋体"/>
                <w:szCs w:val="21"/>
              </w:rPr>
            </w:pPr>
            <w:r>
              <w:rPr>
                <w:rFonts w:hint="eastAsia" w:ascii="宋体" w:hAnsi="宋体"/>
                <w:szCs w:val="21"/>
              </w:rPr>
              <w:t>工部位</w:t>
            </w:r>
          </w:p>
        </w:tc>
        <w:tc>
          <w:tcPr>
            <w:tcW w:w="765" w:type="dxa"/>
            <w:shd w:val="clear" w:color="auto" w:fill="auto"/>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872" w:type="dxa"/>
            <w:shd w:val="clear" w:color="auto" w:fill="auto"/>
            <w:vAlign w:val="center"/>
          </w:tcPr>
          <w:p>
            <w:pPr>
              <w:spacing w:line="360" w:lineRule="auto"/>
              <w:jc w:val="center"/>
              <w:rPr>
                <w:rFonts w:ascii="宋体" w:hAnsi="宋体"/>
                <w:szCs w:val="21"/>
              </w:rPr>
            </w:pPr>
          </w:p>
        </w:tc>
        <w:tc>
          <w:tcPr>
            <w:tcW w:w="765" w:type="dxa"/>
            <w:shd w:val="clear" w:color="auto" w:fill="auto"/>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beforeLines="100" w:afterLines="50" w:line="360" w:lineRule="auto"/>
        <w:rPr>
          <w:rFonts w:ascii="宋体" w:hAnsi="宋体"/>
          <w:sz w:val="28"/>
          <w:szCs w:val="28"/>
        </w:rPr>
      </w:pPr>
      <w:r>
        <w:rPr>
          <w:rFonts w:ascii="宋体" w:hAnsi="宋体"/>
          <w:szCs w:val="21"/>
        </w:rPr>
        <w:br w:type="page"/>
      </w:r>
      <w:r>
        <w:rPr>
          <w:rFonts w:hint="eastAsia" w:ascii="宋体" w:hAnsi="宋体"/>
          <w:sz w:val="28"/>
          <w:szCs w:val="28"/>
        </w:rPr>
        <w:t>附表二：拟配备本工程的试验和检测仪器设备表（参考格式）</w:t>
      </w:r>
    </w:p>
    <w:tbl>
      <w:tblPr>
        <w:tblStyle w:val="6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shd w:val="clear" w:color="auto" w:fill="auto"/>
            <w:vAlign w:val="center"/>
          </w:tcPr>
          <w:p>
            <w:pPr>
              <w:spacing w:line="360" w:lineRule="auto"/>
              <w:jc w:val="center"/>
              <w:rPr>
                <w:rFonts w:ascii="宋体" w:hAnsi="宋体"/>
                <w:szCs w:val="21"/>
              </w:rPr>
            </w:pPr>
            <w:r>
              <w:rPr>
                <w:rFonts w:hint="eastAsia" w:ascii="宋体" w:hAnsi="宋体"/>
                <w:szCs w:val="21"/>
              </w:rPr>
              <w:t>序号</w:t>
            </w:r>
          </w:p>
        </w:tc>
        <w:tc>
          <w:tcPr>
            <w:tcW w:w="1064" w:type="dxa"/>
            <w:shd w:val="clear" w:color="auto" w:fill="auto"/>
            <w:vAlign w:val="center"/>
          </w:tcPr>
          <w:p>
            <w:pPr>
              <w:spacing w:line="360" w:lineRule="auto"/>
              <w:jc w:val="center"/>
              <w:rPr>
                <w:rFonts w:ascii="宋体" w:hAnsi="宋体"/>
                <w:szCs w:val="21"/>
              </w:rPr>
            </w:pPr>
            <w:r>
              <w:rPr>
                <w:rFonts w:hint="eastAsia" w:ascii="宋体" w:hAnsi="宋体"/>
                <w:szCs w:val="21"/>
              </w:rPr>
              <w:t>仪器设备</w:t>
            </w:r>
          </w:p>
          <w:p>
            <w:pPr>
              <w:spacing w:line="360" w:lineRule="auto"/>
              <w:jc w:val="center"/>
              <w:rPr>
                <w:rFonts w:ascii="宋体" w:hAnsi="宋体"/>
                <w:szCs w:val="21"/>
              </w:rPr>
            </w:pPr>
            <w:r>
              <w:rPr>
                <w:rFonts w:hint="eastAsia" w:ascii="宋体" w:hAnsi="宋体"/>
                <w:szCs w:val="21"/>
              </w:rPr>
              <w:t>名称</w:t>
            </w:r>
          </w:p>
        </w:tc>
        <w:tc>
          <w:tcPr>
            <w:tcW w:w="672" w:type="dxa"/>
            <w:shd w:val="clear" w:color="auto" w:fill="auto"/>
            <w:vAlign w:val="center"/>
          </w:tcPr>
          <w:p>
            <w:pPr>
              <w:spacing w:line="360" w:lineRule="auto"/>
              <w:jc w:val="center"/>
              <w:rPr>
                <w:rFonts w:ascii="宋体" w:hAnsi="宋体"/>
                <w:szCs w:val="21"/>
              </w:rPr>
            </w:pPr>
            <w:r>
              <w:rPr>
                <w:rFonts w:hint="eastAsia" w:ascii="宋体" w:hAnsi="宋体"/>
                <w:szCs w:val="21"/>
              </w:rPr>
              <w:t>型号</w:t>
            </w:r>
          </w:p>
          <w:p>
            <w:pPr>
              <w:spacing w:line="360" w:lineRule="auto"/>
              <w:jc w:val="center"/>
              <w:rPr>
                <w:rFonts w:ascii="宋体" w:hAnsi="宋体"/>
                <w:szCs w:val="21"/>
              </w:rPr>
            </w:pPr>
            <w:r>
              <w:rPr>
                <w:rFonts w:hint="eastAsia" w:ascii="宋体" w:hAnsi="宋体"/>
                <w:szCs w:val="21"/>
              </w:rPr>
              <w:t>规格</w:t>
            </w:r>
          </w:p>
        </w:tc>
        <w:tc>
          <w:tcPr>
            <w:tcW w:w="1022" w:type="dxa"/>
            <w:shd w:val="clear" w:color="auto" w:fill="auto"/>
            <w:vAlign w:val="center"/>
          </w:tcPr>
          <w:p>
            <w:pPr>
              <w:spacing w:line="360" w:lineRule="auto"/>
              <w:jc w:val="center"/>
              <w:rPr>
                <w:rFonts w:ascii="宋体" w:hAnsi="宋体"/>
                <w:szCs w:val="21"/>
              </w:rPr>
            </w:pPr>
            <w:r>
              <w:rPr>
                <w:rFonts w:hint="eastAsia" w:ascii="宋体" w:hAnsi="宋体"/>
                <w:szCs w:val="21"/>
              </w:rPr>
              <w:t>数量</w:t>
            </w:r>
          </w:p>
        </w:tc>
        <w:tc>
          <w:tcPr>
            <w:tcW w:w="709" w:type="dxa"/>
            <w:shd w:val="clear" w:color="auto" w:fill="auto"/>
            <w:vAlign w:val="center"/>
          </w:tcPr>
          <w:p>
            <w:pPr>
              <w:spacing w:line="360" w:lineRule="auto"/>
              <w:jc w:val="center"/>
              <w:rPr>
                <w:rFonts w:ascii="宋体" w:hAnsi="宋体"/>
                <w:szCs w:val="21"/>
              </w:rPr>
            </w:pPr>
            <w:r>
              <w:rPr>
                <w:rFonts w:hint="eastAsia" w:ascii="宋体" w:hAnsi="宋体"/>
                <w:szCs w:val="21"/>
              </w:rPr>
              <w:t>国别</w:t>
            </w:r>
          </w:p>
          <w:p>
            <w:pPr>
              <w:spacing w:line="360" w:lineRule="auto"/>
              <w:jc w:val="center"/>
              <w:rPr>
                <w:rFonts w:ascii="宋体" w:hAnsi="宋体"/>
                <w:szCs w:val="21"/>
              </w:rPr>
            </w:pPr>
            <w:r>
              <w:rPr>
                <w:rFonts w:hint="eastAsia" w:ascii="宋体" w:hAnsi="宋体"/>
                <w:szCs w:val="21"/>
              </w:rPr>
              <w:t>产地</w:t>
            </w:r>
          </w:p>
        </w:tc>
        <w:tc>
          <w:tcPr>
            <w:tcW w:w="709" w:type="dxa"/>
            <w:shd w:val="clear" w:color="auto" w:fill="auto"/>
            <w:vAlign w:val="center"/>
          </w:tcPr>
          <w:p>
            <w:pPr>
              <w:spacing w:line="360" w:lineRule="auto"/>
              <w:jc w:val="center"/>
              <w:rPr>
                <w:rFonts w:ascii="宋体" w:hAnsi="宋体"/>
                <w:szCs w:val="21"/>
              </w:rPr>
            </w:pPr>
            <w:r>
              <w:rPr>
                <w:rFonts w:hint="eastAsia" w:ascii="宋体" w:hAnsi="宋体"/>
                <w:szCs w:val="21"/>
              </w:rPr>
              <w:t>制造</w:t>
            </w:r>
          </w:p>
          <w:p>
            <w:pPr>
              <w:spacing w:line="360" w:lineRule="auto"/>
              <w:jc w:val="center"/>
              <w:rPr>
                <w:rFonts w:ascii="宋体" w:hAnsi="宋体"/>
                <w:szCs w:val="21"/>
              </w:rPr>
            </w:pPr>
            <w:r>
              <w:rPr>
                <w:rFonts w:hint="eastAsia" w:ascii="宋体" w:hAnsi="宋体"/>
                <w:szCs w:val="21"/>
              </w:rPr>
              <w:t>年份</w:t>
            </w:r>
          </w:p>
        </w:tc>
        <w:tc>
          <w:tcPr>
            <w:tcW w:w="1176" w:type="dxa"/>
            <w:shd w:val="clear" w:color="auto" w:fill="auto"/>
            <w:vAlign w:val="center"/>
          </w:tcPr>
          <w:p>
            <w:pPr>
              <w:spacing w:line="360" w:lineRule="auto"/>
              <w:jc w:val="center"/>
              <w:rPr>
                <w:rFonts w:ascii="宋体" w:hAnsi="宋体"/>
                <w:szCs w:val="21"/>
              </w:rPr>
            </w:pPr>
            <w:r>
              <w:rPr>
                <w:rFonts w:hint="eastAsia" w:ascii="宋体" w:hAnsi="宋体"/>
                <w:szCs w:val="21"/>
              </w:rPr>
              <w:t>已使用台</w:t>
            </w:r>
          </w:p>
          <w:p>
            <w:pPr>
              <w:spacing w:line="360" w:lineRule="auto"/>
              <w:jc w:val="center"/>
              <w:rPr>
                <w:rFonts w:ascii="宋体" w:hAnsi="宋体"/>
                <w:szCs w:val="21"/>
              </w:rPr>
            </w:pPr>
            <w:r>
              <w:rPr>
                <w:rFonts w:hint="eastAsia" w:ascii="宋体" w:hAnsi="宋体"/>
                <w:szCs w:val="21"/>
              </w:rPr>
              <w:t>时数</w:t>
            </w:r>
          </w:p>
        </w:tc>
        <w:tc>
          <w:tcPr>
            <w:tcW w:w="1659" w:type="dxa"/>
            <w:shd w:val="clear" w:color="auto" w:fill="auto"/>
            <w:vAlign w:val="center"/>
          </w:tcPr>
          <w:p>
            <w:pPr>
              <w:spacing w:line="360" w:lineRule="auto"/>
              <w:jc w:val="center"/>
              <w:rPr>
                <w:rFonts w:ascii="宋体" w:hAnsi="宋体"/>
                <w:szCs w:val="21"/>
              </w:rPr>
            </w:pPr>
            <w:r>
              <w:rPr>
                <w:rFonts w:hint="eastAsia" w:ascii="宋体" w:hAnsi="宋体"/>
                <w:szCs w:val="21"/>
              </w:rPr>
              <w:t>用途</w:t>
            </w:r>
          </w:p>
        </w:tc>
        <w:tc>
          <w:tcPr>
            <w:tcW w:w="850" w:type="dxa"/>
            <w:shd w:val="clear" w:color="auto" w:fill="auto"/>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shd w:val="clear" w:color="auto" w:fill="auto"/>
            <w:vAlign w:val="center"/>
          </w:tcPr>
          <w:p>
            <w:pPr>
              <w:spacing w:line="360" w:lineRule="auto"/>
              <w:jc w:val="center"/>
              <w:rPr>
                <w:rFonts w:ascii="宋体" w:hAnsi="宋体"/>
                <w:szCs w:val="21"/>
              </w:rPr>
            </w:pPr>
          </w:p>
        </w:tc>
        <w:tc>
          <w:tcPr>
            <w:tcW w:w="1064" w:type="dxa"/>
            <w:shd w:val="clear" w:color="auto" w:fill="auto"/>
            <w:vAlign w:val="center"/>
          </w:tcPr>
          <w:p>
            <w:pPr>
              <w:spacing w:line="360" w:lineRule="auto"/>
              <w:jc w:val="center"/>
              <w:rPr>
                <w:rFonts w:ascii="宋体" w:hAnsi="宋体"/>
                <w:szCs w:val="21"/>
              </w:rPr>
            </w:pPr>
          </w:p>
        </w:tc>
        <w:tc>
          <w:tcPr>
            <w:tcW w:w="672" w:type="dxa"/>
            <w:shd w:val="clear" w:color="auto" w:fill="auto"/>
            <w:vAlign w:val="center"/>
          </w:tcPr>
          <w:p>
            <w:pPr>
              <w:spacing w:line="360" w:lineRule="auto"/>
              <w:jc w:val="center"/>
              <w:rPr>
                <w:rFonts w:ascii="宋体" w:hAnsi="宋体"/>
                <w:szCs w:val="21"/>
              </w:rPr>
            </w:pPr>
          </w:p>
        </w:tc>
        <w:tc>
          <w:tcPr>
            <w:tcW w:w="1022"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709" w:type="dxa"/>
            <w:shd w:val="clear" w:color="auto" w:fill="auto"/>
            <w:vAlign w:val="center"/>
          </w:tcPr>
          <w:p>
            <w:pPr>
              <w:spacing w:line="360" w:lineRule="auto"/>
              <w:jc w:val="center"/>
              <w:rPr>
                <w:rFonts w:ascii="宋体" w:hAnsi="宋体"/>
                <w:szCs w:val="21"/>
              </w:rPr>
            </w:pPr>
          </w:p>
        </w:tc>
        <w:tc>
          <w:tcPr>
            <w:tcW w:w="1176" w:type="dxa"/>
            <w:shd w:val="clear" w:color="auto" w:fill="auto"/>
            <w:vAlign w:val="center"/>
          </w:tcPr>
          <w:p>
            <w:pPr>
              <w:spacing w:line="360" w:lineRule="auto"/>
              <w:jc w:val="center"/>
              <w:rPr>
                <w:rFonts w:ascii="宋体" w:hAnsi="宋体"/>
                <w:szCs w:val="21"/>
              </w:rPr>
            </w:pPr>
          </w:p>
        </w:tc>
        <w:tc>
          <w:tcPr>
            <w:tcW w:w="1659" w:type="dxa"/>
            <w:shd w:val="clear" w:color="auto" w:fill="auto"/>
            <w:vAlign w:val="center"/>
          </w:tcPr>
          <w:p>
            <w:pPr>
              <w:spacing w:line="360" w:lineRule="auto"/>
              <w:jc w:val="center"/>
              <w:rPr>
                <w:rFonts w:ascii="宋体" w:hAnsi="宋体"/>
                <w:szCs w:val="21"/>
              </w:rPr>
            </w:pPr>
          </w:p>
        </w:tc>
        <w:tc>
          <w:tcPr>
            <w:tcW w:w="850" w:type="dxa"/>
            <w:shd w:val="clear" w:color="auto" w:fill="auto"/>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beforeLines="100" w:afterLines="50" w:line="360" w:lineRule="auto"/>
        <w:rPr>
          <w:rFonts w:ascii="宋体" w:hAnsi="宋体"/>
          <w:sz w:val="28"/>
          <w:szCs w:val="28"/>
        </w:rPr>
      </w:pPr>
      <w:r>
        <w:rPr>
          <w:rFonts w:ascii="宋体" w:hAnsi="宋体"/>
          <w:szCs w:val="21"/>
        </w:rPr>
        <w:br w:type="page"/>
      </w:r>
      <w:r>
        <w:rPr>
          <w:rFonts w:hint="eastAsia" w:ascii="宋体" w:hAnsi="宋体"/>
          <w:sz w:val="28"/>
          <w:szCs w:val="28"/>
        </w:rPr>
        <w:t>附表三：劳动力计划表（参考格式）</w:t>
      </w:r>
    </w:p>
    <w:p>
      <w:pPr>
        <w:spacing w:line="360" w:lineRule="auto"/>
        <w:jc w:val="right"/>
        <w:rPr>
          <w:rFonts w:ascii="宋体" w:hAnsi="宋体"/>
          <w:szCs w:val="21"/>
        </w:rPr>
      </w:pPr>
      <w:r>
        <w:rPr>
          <w:rFonts w:hint="eastAsia" w:ascii="宋体" w:hAnsi="宋体"/>
          <w:szCs w:val="21"/>
        </w:rPr>
        <w:t xml:space="preserve">单位：人   </w:t>
      </w:r>
    </w:p>
    <w:tbl>
      <w:tblPr>
        <w:tblStyle w:val="60"/>
        <w:tblW w:w="86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93"/>
        <w:gridCol w:w="1044"/>
        <w:gridCol w:w="1044"/>
        <w:gridCol w:w="1044"/>
        <w:gridCol w:w="1044"/>
        <w:gridCol w:w="104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shd w:val="clear" w:color="auto" w:fill="auto"/>
            <w:vAlign w:val="center"/>
          </w:tcPr>
          <w:p>
            <w:pPr>
              <w:spacing w:line="360" w:lineRule="auto"/>
              <w:jc w:val="center"/>
              <w:rPr>
                <w:rFonts w:ascii="宋体" w:hAnsi="宋体"/>
                <w:szCs w:val="21"/>
              </w:rPr>
            </w:pPr>
            <w:r>
              <w:rPr>
                <w:rFonts w:hint="eastAsia" w:ascii="宋体" w:hAnsi="宋体"/>
                <w:szCs w:val="21"/>
              </w:rPr>
              <w:t>工种</w:t>
            </w:r>
          </w:p>
        </w:tc>
        <w:tc>
          <w:tcPr>
            <w:tcW w:w="7965" w:type="dxa"/>
            <w:gridSpan w:val="7"/>
            <w:shd w:val="clear" w:color="auto" w:fill="auto"/>
            <w:vAlign w:val="center"/>
          </w:tcPr>
          <w:p>
            <w:pPr>
              <w:spacing w:line="360" w:lineRule="auto"/>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shd w:val="clear" w:color="auto" w:fill="auto"/>
            <w:vAlign w:val="center"/>
          </w:tcPr>
          <w:p>
            <w:pPr>
              <w:spacing w:line="360" w:lineRule="auto"/>
              <w:jc w:val="center"/>
              <w:rPr>
                <w:rFonts w:ascii="宋体" w:hAnsi="宋体"/>
                <w:szCs w:val="21"/>
              </w:rPr>
            </w:pPr>
          </w:p>
        </w:tc>
        <w:tc>
          <w:tcPr>
            <w:tcW w:w="1393"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044" w:type="dxa"/>
            <w:shd w:val="clear" w:color="auto" w:fill="auto"/>
            <w:vAlign w:val="center"/>
          </w:tcPr>
          <w:p>
            <w:pPr>
              <w:spacing w:line="360" w:lineRule="auto"/>
              <w:jc w:val="center"/>
              <w:rPr>
                <w:rFonts w:ascii="宋体" w:hAnsi="宋体"/>
                <w:szCs w:val="21"/>
              </w:rPr>
            </w:pPr>
          </w:p>
        </w:tc>
        <w:tc>
          <w:tcPr>
            <w:tcW w:w="1352" w:type="dxa"/>
            <w:shd w:val="clear" w:color="auto" w:fill="auto"/>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beforeLines="100" w:afterLines="50" w:line="360" w:lineRule="auto"/>
        <w:rPr>
          <w:rFonts w:ascii="宋体" w:hAnsi="宋体"/>
          <w:sz w:val="24"/>
        </w:rPr>
      </w:pPr>
      <w:r>
        <w:rPr>
          <w:rFonts w:ascii="宋体" w:hAnsi="宋体"/>
          <w:szCs w:val="21"/>
        </w:rPr>
        <w:br w:type="page"/>
      </w:r>
      <w:r>
        <w:rPr>
          <w:rFonts w:hint="eastAsia" w:ascii="宋体" w:hAnsi="宋体"/>
          <w:sz w:val="28"/>
          <w:szCs w:val="28"/>
        </w:rPr>
        <w:t>附表四：计划开、竣工日期和施工进度网络图（参考格式）</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．投标人应递交施工进度网络图或施工进度表，说明按招标文件要求的计划工期进行施工的各个关键日期。</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．施工进度表可采用网络图和（或）横道图表示。</w:t>
      </w:r>
    </w:p>
    <w:p>
      <w:pPr>
        <w:spacing w:beforeLines="100" w:afterLines="50" w:line="360" w:lineRule="auto"/>
        <w:rPr>
          <w:rFonts w:ascii="宋体" w:hAnsi="宋体"/>
          <w:szCs w:val="21"/>
        </w:rPr>
      </w:pPr>
      <w:r>
        <w:rPr>
          <w:rFonts w:ascii="宋体" w:hAnsi="宋体"/>
          <w:szCs w:val="21"/>
        </w:rPr>
        <w:br w:type="page"/>
      </w:r>
      <w:r>
        <w:rPr>
          <w:rFonts w:hint="eastAsia" w:ascii="宋体" w:hAnsi="宋体"/>
          <w:sz w:val="28"/>
          <w:szCs w:val="28"/>
        </w:rPr>
        <w:t>附表五：施工总平面图（参考格式）</w:t>
      </w:r>
    </w:p>
    <w:p>
      <w:pPr>
        <w:spacing w:line="360" w:lineRule="auto"/>
        <w:ind w:firstLine="420" w:firstLineChars="200"/>
        <w:rPr>
          <w:rFonts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beforeLines="100" w:afterLines="50" w:line="360" w:lineRule="auto"/>
        <w:rPr>
          <w:rFonts w:ascii="宋体" w:hAnsi="宋体"/>
          <w:sz w:val="24"/>
        </w:rPr>
      </w:pPr>
      <w:r>
        <w:rPr>
          <w:rFonts w:ascii="宋体" w:hAnsi="宋体"/>
          <w:szCs w:val="21"/>
        </w:rPr>
        <w:br w:type="page"/>
      </w:r>
      <w:r>
        <w:rPr>
          <w:rFonts w:hint="eastAsia" w:ascii="宋体" w:hAnsi="宋体"/>
          <w:sz w:val="28"/>
          <w:szCs w:val="28"/>
        </w:rPr>
        <w:t>附表六：临时用地表（参考格式）</w:t>
      </w:r>
    </w:p>
    <w:tbl>
      <w:tblPr>
        <w:tblStyle w:val="6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vAlign w:val="center"/>
          </w:tcPr>
          <w:p>
            <w:pPr>
              <w:spacing w:line="360" w:lineRule="auto"/>
              <w:jc w:val="center"/>
              <w:rPr>
                <w:rFonts w:ascii="宋体" w:hAnsi="宋体"/>
                <w:szCs w:val="21"/>
              </w:rPr>
            </w:pPr>
            <w:r>
              <w:rPr>
                <w:rFonts w:hint="eastAsia" w:ascii="宋体" w:hAnsi="宋体"/>
                <w:szCs w:val="21"/>
              </w:rPr>
              <w:t>用途</w:t>
            </w:r>
          </w:p>
        </w:tc>
        <w:tc>
          <w:tcPr>
            <w:tcW w:w="2079" w:type="dxa"/>
            <w:shd w:val="clear" w:color="auto" w:fill="auto"/>
            <w:vAlign w:val="center"/>
          </w:tcPr>
          <w:p>
            <w:pPr>
              <w:spacing w:line="360" w:lineRule="auto"/>
              <w:jc w:val="center"/>
              <w:rPr>
                <w:rFonts w:ascii="宋体" w:hAnsi="宋体"/>
                <w:szCs w:val="21"/>
              </w:rPr>
            </w:pPr>
            <w:r>
              <w:rPr>
                <w:rFonts w:hint="eastAsia" w:ascii="宋体" w:hAnsi="宋体"/>
                <w:szCs w:val="21"/>
              </w:rPr>
              <w:t>面积（平方米）</w:t>
            </w:r>
          </w:p>
        </w:tc>
        <w:tc>
          <w:tcPr>
            <w:tcW w:w="2079" w:type="dxa"/>
            <w:shd w:val="clear" w:color="auto" w:fill="auto"/>
            <w:vAlign w:val="center"/>
          </w:tcPr>
          <w:p>
            <w:pPr>
              <w:spacing w:line="360" w:lineRule="auto"/>
              <w:jc w:val="center"/>
              <w:rPr>
                <w:rFonts w:ascii="宋体" w:hAnsi="宋体"/>
                <w:szCs w:val="21"/>
              </w:rPr>
            </w:pPr>
            <w:r>
              <w:rPr>
                <w:rFonts w:hint="eastAsia" w:ascii="宋体" w:hAnsi="宋体"/>
                <w:szCs w:val="21"/>
              </w:rPr>
              <w:t>位置</w:t>
            </w:r>
          </w:p>
        </w:tc>
        <w:tc>
          <w:tcPr>
            <w:tcW w:w="2079" w:type="dxa"/>
            <w:shd w:val="clear" w:color="auto" w:fill="auto"/>
            <w:vAlign w:val="center"/>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vAlign w:val="center"/>
          </w:tcPr>
          <w:p>
            <w:pPr>
              <w:spacing w:line="360" w:lineRule="auto"/>
              <w:jc w:val="center"/>
              <w:rPr>
                <w:rFonts w:ascii="宋体" w:hAnsi="宋体"/>
                <w:szCs w:val="21"/>
              </w:rPr>
            </w:pPr>
          </w:p>
        </w:tc>
        <w:tc>
          <w:tcPr>
            <w:tcW w:w="2079" w:type="dxa"/>
            <w:shd w:val="clear" w:color="auto" w:fill="auto"/>
            <w:vAlign w:val="center"/>
          </w:tcPr>
          <w:p>
            <w:pPr>
              <w:spacing w:line="360" w:lineRule="auto"/>
              <w:jc w:val="center"/>
              <w:rPr>
                <w:rFonts w:ascii="宋体" w:hAnsi="宋体"/>
                <w:szCs w:val="21"/>
              </w:rPr>
            </w:pPr>
          </w:p>
        </w:tc>
        <w:tc>
          <w:tcPr>
            <w:tcW w:w="2079" w:type="dxa"/>
            <w:shd w:val="clear" w:color="auto" w:fill="auto"/>
            <w:vAlign w:val="center"/>
          </w:tcPr>
          <w:p>
            <w:pPr>
              <w:spacing w:line="360" w:lineRule="auto"/>
              <w:jc w:val="center"/>
              <w:rPr>
                <w:rFonts w:ascii="宋体" w:hAnsi="宋体"/>
                <w:szCs w:val="21"/>
              </w:rPr>
            </w:pPr>
          </w:p>
        </w:tc>
        <w:tc>
          <w:tcPr>
            <w:tcW w:w="2079"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c>
          <w:tcPr>
            <w:tcW w:w="2079" w:type="dxa"/>
            <w:shd w:val="clear" w:color="auto" w:fill="auto"/>
          </w:tcPr>
          <w:p>
            <w:pPr>
              <w:spacing w:line="360" w:lineRule="auto"/>
              <w:rPr>
                <w:rFonts w:ascii="宋体" w:hAnsi="宋体"/>
                <w:szCs w:val="21"/>
              </w:rPr>
            </w:pPr>
          </w:p>
        </w:tc>
      </w:tr>
    </w:tbl>
    <w:p>
      <w:pPr>
        <w:spacing w:line="360" w:lineRule="auto"/>
        <w:rPr>
          <w:rFonts w:ascii="宋体" w:hAnsi="宋体"/>
          <w:szCs w:val="21"/>
        </w:rPr>
      </w:pPr>
    </w:p>
    <w:p>
      <w:pPr>
        <w:spacing w:beforeLines="100" w:afterLines="50" w:line="360" w:lineRule="auto"/>
        <w:rPr>
          <w:rFonts w:ascii="宋体" w:hAnsi="宋体"/>
          <w:szCs w:val="21"/>
        </w:rPr>
      </w:pPr>
    </w:p>
    <w:p>
      <w:pPr>
        <w:widowControl/>
        <w:jc w:val="left"/>
        <w:rPr>
          <w:rFonts w:ascii="宋体" w:hAnsi="宋体"/>
          <w:szCs w:val="21"/>
        </w:rPr>
      </w:pPr>
      <w:r>
        <w:rPr>
          <w:rFonts w:ascii="宋体" w:hAnsi="宋体"/>
          <w:szCs w:val="21"/>
        </w:rPr>
        <w:br w:type="page"/>
      </w:r>
    </w:p>
    <w:p>
      <w:pPr>
        <w:spacing w:beforeLines="100" w:afterLines="50" w:line="360" w:lineRule="auto"/>
        <w:jc w:val="left"/>
        <w:rPr>
          <w:rFonts w:ascii="宋体" w:hAnsi="宋体"/>
          <w:sz w:val="28"/>
          <w:szCs w:val="28"/>
        </w:rPr>
      </w:pPr>
      <w:r>
        <w:rPr>
          <w:rFonts w:hint="eastAsia" w:ascii="宋体" w:hAnsi="宋体"/>
          <w:sz w:val="28"/>
          <w:szCs w:val="28"/>
        </w:rPr>
        <w:t>附表七 技术条款偏离表</w:t>
      </w:r>
    </w:p>
    <w:p>
      <w:pPr>
        <w:spacing w:after="60" w:line="360" w:lineRule="auto"/>
        <w:rPr>
          <w:rFonts w:ascii="宋体" w:hAnsi="宋体" w:cs="Arial"/>
          <w:sz w:val="24"/>
        </w:rPr>
      </w:pPr>
    </w:p>
    <w:p>
      <w:pPr>
        <w:spacing w:after="60" w:line="360" w:lineRule="auto"/>
        <w:rPr>
          <w:rFonts w:ascii="宋体" w:hAnsi="宋体" w:cs="Arial"/>
          <w:sz w:val="24"/>
          <w:u w:val="single"/>
        </w:rPr>
      </w:pPr>
      <w:r>
        <w:rPr>
          <w:rFonts w:hint="eastAsia" w:ascii="宋体" w:hAnsi="宋体" w:cs="Arial"/>
          <w:sz w:val="24"/>
        </w:rPr>
        <w:t>投标人名称：</w:t>
      </w:r>
    </w:p>
    <w:p>
      <w:pPr>
        <w:spacing w:line="360" w:lineRule="auto"/>
        <w:rPr>
          <w:rFonts w:ascii="宋体" w:hAnsi="宋体"/>
          <w:b/>
          <w:sz w:val="30"/>
          <w:szCs w:val="30"/>
        </w:rPr>
      </w:pPr>
      <w:r>
        <w:rPr>
          <w:rFonts w:hint="eastAsia" w:ascii="宋体" w:hAnsi="宋体" w:cs="Arial"/>
          <w:sz w:val="24"/>
        </w:rPr>
        <w:t>招标编号：</w:t>
      </w:r>
      <w:r>
        <w:rPr>
          <w:rFonts w:ascii="宋体" w:hAnsi="宋体" w:cs="Arial"/>
          <w:sz w:val="24"/>
          <w:u w:val="single"/>
        </w:rPr>
        <w:t xml:space="preserve">_ </w:t>
      </w:r>
      <w:r>
        <w:rPr>
          <w:rFonts w:ascii="宋体" w:hAnsi="宋体" w:cs="Arial"/>
          <w:sz w:val="24"/>
        </w:rPr>
        <w:t>____</w:t>
      </w:r>
    </w:p>
    <w:tbl>
      <w:tblPr>
        <w:tblStyle w:val="60"/>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3420"/>
        <w:gridCol w:w="234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r>
              <w:rPr>
                <w:rFonts w:hint="eastAsia" w:ascii="宋体" w:hAnsi="宋体"/>
                <w:szCs w:val="21"/>
              </w:rPr>
              <w:t>招标文件条目号</w:t>
            </w:r>
          </w:p>
        </w:tc>
        <w:tc>
          <w:tcPr>
            <w:tcW w:w="3420" w:type="dxa"/>
            <w:shd w:val="clear" w:color="auto" w:fill="auto"/>
            <w:vAlign w:val="center"/>
          </w:tcPr>
          <w:p>
            <w:pPr>
              <w:spacing w:line="360" w:lineRule="auto"/>
              <w:jc w:val="center"/>
              <w:rPr>
                <w:rFonts w:ascii="宋体" w:hAnsi="宋体"/>
                <w:szCs w:val="21"/>
              </w:rPr>
            </w:pPr>
            <w:r>
              <w:rPr>
                <w:rFonts w:hint="eastAsia" w:ascii="宋体" w:hAnsi="宋体"/>
                <w:szCs w:val="21"/>
              </w:rPr>
              <w:t>招标文件技术条款</w:t>
            </w:r>
          </w:p>
        </w:tc>
        <w:tc>
          <w:tcPr>
            <w:tcW w:w="2340" w:type="dxa"/>
            <w:shd w:val="clear" w:color="auto" w:fill="auto"/>
            <w:vAlign w:val="center"/>
          </w:tcPr>
          <w:p>
            <w:pPr>
              <w:spacing w:line="360" w:lineRule="auto"/>
              <w:jc w:val="center"/>
              <w:rPr>
                <w:rFonts w:ascii="宋体" w:hAnsi="宋体"/>
                <w:szCs w:val="21"/>
              </w:rPr>
            </w:pPr>
            <w:r>
              <w:rPr>
                <w:rFonts w:hint="eastAsia" w:ascii="宋体" w:hAnsi="宋体"/>
                <w:szCs w:val="21"/>
              </w:rPr>
              <w:t>投标文件技术条款</w:t>
            </w:r>
          </w:p>
        </w:tc>
        <w:tc>
          <w:tcPr>
            <w:tcW w:w="1648" w:type="dxa"/>
            <w:shd w:val="clear" w:color="auto" w:fill="auto"/>
            <w:vAlign w:val="center"/>
          </w:tcPr>
          <w:p>
            <w:pPr>
              <w:spacing w:line="360" w:lineRule="auto"/>
              <w:jc w:val="center"/>
              <w:rPr>
                <w:rFonts w:ascii="宋体" w:hAnsi="宋体"/>
                <w:szCs w:val="21"/>
              </w:rPr>
            </w:pPr>
            <w:r>
              <w:rPr>
                <w:rFonts w:hint="eastAsia" w:ascii="宋体" w:hAnsi="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vAlign w:val="center"/>
          </w:tcPr>
          <w:p>
            <w:pPr>
              <w:spacing w:line="360" w:lineRule="auto"/>
              <w:jc w:val="center"/>
              <w:rPr>
                <w:rFonts w:ascii="宋体" w:hAnsi="宋体"/>
                <w:szCs w:val="21"/>
              </w:rPr>
            </w:pPr>
          </w:p>
        </w:tc>
        <w:tc>
          <w:tcPr>
            <w:tcW w:w="3420" w:type="dxa"/>
            <w:shd w:val="clear" w:color="auto" w:fill="auto"/>
            <w:vAlign w:val="center"/>
          </w:tcPr>
          <w:p>
            <w:pPr>
              <w:spacing w:line="360" w:lineRule="auto"/>
              <w:jc w:val="center"/>
              <w:rPr>
                <w:rFonts w:ascii="宋体" w:hAnsi="宋体"/>
                <w:szCs w:val="21"/>
              </w:rPr>
            </w:pPr>
          </w:p>
        </w:tc>
        <w:tc>
          <w:tcPr>
            <w:tcW w:w="2340" w:type="dxa"/>
            <w:shd w:val="clear" w:color="auto" w:fill="auto"/>
            <w:vAlign w:val="center"/>
          </w:tcPr>
          <w:p>
            <w:pPr>
              <w:spacing w:line="360" w:lineRule="auto"/>
              <w:jc w:val="center"/>
              <w:rPr>
                <w:rFonts w:ascii="宋体" w:hAnsi="宋体"/>
                <w:szCs w:val="21"/>
              </w:rPr>
            </w:pPr>
          </w:p>
        </w:tc>
        <w:tc>
          <w:tcPr>
            <w:tcW w:w="1648"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4" w:type="dxa"/>
            <w:shd w:val="clear" w:color="auto" w:fill="auto"/>
          </w:tcPr>
          <w:p>
            <w:pPr>
              <w:spacing w:line="360" w:lineRule="auto"/>
              <w:rPr>
                <w:rFonts w:ascii="宋体" w:hAnsi="宋体"/>
                <w:szCs w:val="21"/>
              </w:rPr>
            </w:pPr>
          </w:p>
        </w:tc>
        <w:tc>
          <w:tcPr>
            <w:tcW w:w="3420" w:type="dxa"/>
            <w:shd w:val="clear" w:color="auto" w:fill="auto"/>
          </w:tcPr>
          <w:p>
            <w:pPr>
              <w:spacing w:line="360" w:lineRule="auto"/>
              <w:rPr>
                <w:rFonts w:ascii="宋体" w:hAnsi="宋体"/>
                <w:szCs w:val="21"/>
              </w:rPr>
            </w:pPr>
          </w:p>
        </w:tc>
        <w:tc>
          <w:tcPr>
            <w:tcW w:w="2340" w:type="dxa"/>
            <w:shd w:val="clear" w:color="auto" w:fill="auto"/>
          </w:tcPr>
          <w:p>
            <w:pPr>
              <w:spacing w:line="360" w:lineRule="auto"/>
              <w:rPr>
                <w:rFonts w:ascii="宋体" w:hAnsi="宋体"/>
                <w:szCs w:val="21"/>
              </w:rPr>
            </w:pPr>
          </w:p>
        </w:tc>
        <w:tc>
          <w:tcPr>
            <w:tcW w:w="1648" w:type="dxa"/>
            <w:shd w:val="clear" w:color="auto" w:fill="auto"/>
          </w:tcPr>
          <w:p>
            <w:pPr>
              <w:spacing w:line="360" w:lineRule="auto"/>
              <w:rPr>
                <w:rFonts w:ascii="宋体" w:hAnsi="宋体"/>
                <w:szCs w:val="21"/>
              </w:rPr>
            </w:pPr>
          </w:p>
        </w:tc>
      </w:tr>
    </w:tbl>
    <w:p>
      <w:pPr>
        <w:spacing w:line="360" w:lineRule="auto"/>
        <w:ind w:left="718" w:hanging="718" w:hangingChars="342"/>
        <w:rPr>
          <w:rFonts w:ascii="宋体" w:hAnsi="宋体"/>
          <w:szCs w:val="21"/>
        </w:rPr>
      </w:pPr>
    </w:p>
    <w:p>
      <w:pPr>
        <w:spacing w:line="360" w:lineRule="auto"/>
        <w:ind w:left="718" w:hanging="718" w:hangingChars="342"/>
        <w:rPr>
          <w:rFonts w:ascii="宋体" w:hAnsi="宋体"/>
          <w:szCs w:val="21"/>
        </w:rPr>
      </w:pPr>
    </w:p>
    <w:p>
      <w:pPr>
        <w:spacing w:line="360" w:lineRule="auto"/>
        <w:ind w:left="821" w:hanging="820" w:hangingChars="342"/>
        <w:rPr>
          <w:rFonts w:ascii="宋体" w:hAnsi="宋体"/>
          <w:sz w:val="24"/>
          <w:szCs w:val="21"/>
        </w:rPr>
      </w:pPr>
      <w:r>
        <w:rPr>
          <w:rFonts w:hint="eastAsia" w:ascii="宋体" w:hAnsi="宋体"/>
          <w:sz w:val="24"/>
          <w:szCs w:val="21"/>
        </w:rPr>
        <w:t>注：1、如果投标人在技术偏离表中声明无偏离，则认为投标人完全接受招标文件的内容，且提供的投标内容完全满足招标文件的技术需求。</w:t>
      </w:r>
    </w:p>
    <w:p>
      <w:pPr>
        <w:spacing w:line="360" w:lineRule="auto"/>
        <w:ind w:left="731" w:leftChars="228" w:hanging="252" w:hangingChars="120"/>
        <w:rPr>
          <w:rFonts w:ascii="宋体" w:hAnsi="宋体"/>
          <w:szCs w:val="21"/>
        </w:rPr>
      </w:pPr>
      <w:r>
        <w:rPr>
          <w:rFonts w:hint="eastAsia" w:ascii="宋体" w:hAnsi="宋体"/>
          <w:szCs w:val="21"/>
        </w:rPr>
        <w:t>2、如果投标人在投标文件中所承诺的技术响应与招标文件的技术需求发生偏离或偏离程度与技术规格偏离表中声明不一致，则应以投标文件所承诺的技术响应为准，且将作为评标因素考虑。</w:t>
      </w: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日期：年月日</w:t>
      </w:r>
    </w:p>
    <w:p>
      <w:pPr>
        <w:spacing w:beforeLines="100" w:afterLines="50" w:line="360" w:lineRule="auto"/>
        <w:rPr>
          <w:rFonts w:ascii="宋体" w:hAnsi="宋体"/>
          <w:szCs w:val="21"/>
        </w:rPr>
      </w:pPr>
    </w:p>
    <w:p>
      <w:pPr>
        <w:spacing w:line="360" w:lineRule="auto"/>
        <w:rPr>
          <w:b/>
          <w:color w:val="FF0000"/>
        </w:rPr>
      </w:pPr>
    </w:p>
    <w:p>
      <w:pPr>
        <w:spacing w:beforeLines="100" w:afterLines="50" w:line="360" w:lineRule="auto"/>
        <w:jc w:val="left"/>
        <w:rPr>
          <w:rFonts w:ascii="宋体" w:hAnsi="宋体"/>
          <w:sz w:val="28"/>
          <w:szCs w:val="28"/>
        </w:rPr>
      </w:pPr>
      <w:r>
        <w:rPr>
          <w:b/>
          <w:color w:val="FF0000"/>
        </w:rPr>
        <w:br w:type="page"/>
      </w:r>
      <w:r>
        <w:rPr>
          <w:rFonts w:hint="eastAsia" w:ascii="宋体" w:hAnsi="宋体"/>
          <w:sz w:val="28"/>
          <w:szCs w:val="28"/>
        </w:rPr>
        <w:t>附表八 拟分包计划表</w:t>
      </w:r>
    </w:p>
    <w:tbl>
      <w:tblPr>
        <w:tblStyle w:val="60"/>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restart"/>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序号</w:t>
            </w:r>
          </w:p>
        </w:tc>
        <w:tc>
          <w:tcPr>
            <w:tcW w:w="1843" w:type="dxa"/>
            <w:vMerge w:val="restart"/>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拟分包项目名称、范围及理由</w:t>
            </w:r>
          </w:p>
        </w:tc>
        <w:tc>
          <w:tcPr>
            <w:tcW w:w="5111" w:type="dxa"/>
            <w:gridSpan w:val="5"/>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拟选分包人</w:t>
            </w:r>
          </w:p>
        </w:tc>
        <w:tc>
          <w:tcPr>
            <w:tcW w:w="983" w:type="dxa"/>
            <w:vMerge w:val="restart"/>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701" w:type="dxa"/>
            <w:gridSpan w:val="2"/>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拟选分包人名称</w:t>
            </w:r>
          </w:p>
        </w:tc>
        <w:tc>
          <w:tcPr>
            <w:tcW w:w="1123" w:type="dxa"/>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注册地点</w:t>
            </w:r>
          </w:p>
        </w:tc>
        <w:tc>
          <w:tcPr>
            <w:tcW w:w="1090" w:type="dxa"/>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企业资质</w:t>
            </w:r>
          </w:p>
        </w:tc>
        <w:tc>
          <w:tcPr>
            <w:tcW w:w="1197" w:type="dxa"/>
            <w:shd w:val="clear" w:color="auto" w:fill="auto"/>
            <w:tcMar>
              <w:left w:w="108" w:type="dxa"/>
              <w:right w:w="108" w:type="dxa"/>
            </w:tcMar>
            <w:vAlign w:val="center"/>
          </w:tcPr>
          <w:p>
            <w:pPr>
              <w:spacing w:line="360" w:lineRule="auto"/>
              <w:jc w:val="center"/>
              <w:rPr>
                <w:rFonts w:ascii="宋体" w:hAnsi="宋体"/>
                <w:szCs w:val="21"/>
              </w:rPr>
            </w:pPr>
            <w:r>
              <w:rPr>
                <w:rFonts w:hint="eastAsia" w:ascii="宋体" w:hAnsi="宋体"/>
                <w:szCs w:val="21"/>
              </w:rPr>
              <w:t>有关业绩</w:t>
            </w:r>
          </w:p>
        </w:tc>
        <w:tc>
          <w:tcPr>
            <w:tcW w:w="983" w:type="dxa"/>
            <w:vMerge w:val="continue"/>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1</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2</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3</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1</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2</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3</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1</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2</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3</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restart"/>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1</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2</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4"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1843" w:type="dxa"/>
            <w:vMerge w:val="continue"/>
            <w:shd w:val="clear" w:color="auto" w:fill="auto"/>
            <w:tcMar>
              <w:left w:w="108" w:type="dxa"/>
              <w:right w:w="108" w:type="dxa"/>
            </w:tcMar>
            <w:vAlign w:val="center"/>
          </w:tcPr>
          <w:p>
            <w:pPr>
              <w:spacing w:line="360" w:lineRule="auto"/>
              <w:jc w:val="center"/>
              <w:rPr>
                <w:rFonts w:ascii="宋体" w:hAnsi="宋体"/>
                <w:szCs w:val="21"/>
              </w:rPr>
            </w:pPr>
          </w:p>
        </w:tc>
        <w:tc>
          <w:tcPr>
            <w:tcW w:w="751" w:type="dxa"/>
            <w:shd w:val="clear" w:color="auto" w:fill="auto"/>
            <w:tcMar>
              <w:left w:w="108" w:type="dxa"/>
              <w:right w:w="108" w:type="dxa"/>
            </w:tcMar>
            <w:vAlign w:val="center"/>
          </w:tcPr>
          <w:p>
            <w:pPr>
              <w:spacing w:line="360" w:lineRule="auto"/>
              <w:jc w:val="center"/>
              <w:rPr>
                <w:rFonts w:ascii="宋体" w:hAnsi="宋体"/>
                <w:szCs w:val="21"/>
              </w:rPr>
            </w:pPr>
            <w:r>
              <w:rPr>
                <w:rFonts w:ascii="宋体" w:hAnsi="宋体"/>
                <w:szCs w:val="21"/>
              </w:rPr>
              <w:t>3</w:t>
            </w:r>
          </w:p>
        </w:tc>
        <w:tc>
          <w:tcPr>
            <w:tcW w:w="950" w:type="dxa"/>
            <w:shd w:val="clear" w:color="auto" w:fill="auto"/>
            <w:tcMar>
              <w:left w:w="108" w:type="dxa"/>
              <w:right w:w="108" w:type="dxa"/>
            </w:tcMar>
            <w:vAlign w:val="center"/>
          </w:tcPr>
          <w:p>
            <w:pPr>
              <w:spacing w:line="360" w:lineRule="auto"/>
              <w:jc w:val="center"/>
              <w:rPr>
                <w:rFonts w:ascii="宋体" w:hAnsi="宋体"/>
                <w:szCs w:val="21"/>
              </w:rPr>
            </w:pPr>
          </w:p>
        </w:tc>
        <w:tc>
          <w:tcPr>
            <w:tcW w:w="1123" w:type="dxa"/>
            <w:shd w:val="clear" w:color="auto" w:fill="auto"/>
            <w:tcMar>
              <w:left w:w="108" w:type="dxa"/>
              <w:right w:w="108" w:type="dxa"/>
            </w:tcMar>
            <w:vAlign w:val="center"/>
          </w:tcPr>
          <w:p>
            <w:pPr>
              <w:spacing w:line="360" w:lineRule="auto"/>
              <w:jc w:val="center"/>
              <w:rPr>
                <w:rFonts w:ascii="宋体" w:hAnsi="宋体"/>
                <w:szCs w:val="21"/>
              </w:rPr>
            </w:pPr>
          </w:p>
        </w:tc>
        <w:tc>
          <w:tcPr>
            <w:tcW w:w="1090" w:type="dxa"/>
            <w:shd w:val="clear" w:color="auto" w:fill="auto"/>
            <w:tcMar>
              <w:left w:w="108" w:type="dxa"/>
              <w:right w:w="108" w:type="dxa"/>
            </w:tcMar>
            <w:vAlign w:val="center"/>
          </w:tcPr>
          <w:p>
            <w:pPr>
              <w:spacing w:line="360" w:lineRule="auto"/>
              <w:jc w:val="center"/>
              <w:rPr>
                <w:rFonts w:ascii="宋体" w:hAnsi="宋体"/>
                <w:szCs w:val="21"/>
              </w:rPr>
            </w:pPr>
          </w:p>
        </w:tc>
        <w:tc>
          <w:tcPr>
            <w:tcW w:w="1197" w:type="dxa"/>
            <w:shd w:val="clear" w:color="auto" w:fill="auto"/>
            <w:tcMar>
              <w:left w:w="108" w:type="dxa"/>
              <w:right w:w="108" w:type="dxa"/>
            </w:tcMar>
            <w:vAlign w:val="center"/>
          </w:tcPr>
          <w:p>
            <w:pPr>
              <w:spacing w:line="360" w:lineRule="auto"/>
              <w:jc w:val="center"/>
              <w:rPr>
                <w:rFonts w:ascii="宋体" w:hAnsi="宋体"/>
                <w:szCs w:val="21"/>
              </w:rPr>
            </w:pPr>
          </w:p>
        </w:tc>
        <w:tc>
          <w:tcPr>
            <w:tcW w:w="983" w:type="dxa"/>
            <w:shd w:val="clear" w:color="auto" w:fill="auto"/>
            <w:tcMar>
              <w:left w:w="108" w:type="dxa"/>
              <w:right w:w="108" w:type="dxa"/>
            </w:tcMar>
            <w:vAlign w:val="center"/>
          </w:tcPr>
          <w:p>
            <w:pPr>
              <w:spacing w:line="360" w:lineRule="auto"/>
              <w:jc w:val="center"/>
              <w:rPr>
                <w:rFonts w:ascii="宋体" w:hAnsi="宋体"/>
                <w:szCs w:val="21"/>
              </w:rPr>
            </w:pPr>
          </w:p>
        </w:tc>
      </w:tr>
    </w:tbl>
    <w:p>
      <w:pPr>
        <w:spacing w:line="360" w:lineRule="auto"/>
        <w:ind w:right="420"/>
        <w:rPr>
          <w:rFonts w:ascii="宋体" w:hAnsi="宋体"/>
          <w:szCs w:val="21"/>
        </w:rPr>
      </w:pPr>
    </w:p>
    <w:p>
      <w:pPr>
        <w:spacing w:line="360" w:lineRule="auto"/>
        <w:ind w:right="420"/>
        <w:rPr>
          <w:rFonts w:ascii="宋体" w:hAnsi="宋体"/>
          <w:szCs w:val="21"/>
        </w:rPr>
      </w:pPr>
      <w:r>
        <w:rPr>
          <w:rFonts w:hint="eastAsia" w:ascii="宋体" w:hAnsi="宋体"/>
          <w:b/>
          <w:szCs w:val="21"/>
        </w:rPr>
        <w:t>备注：</w:t>
      </w:r>
      <w:r>
        <w:rPr>
          <w:rFonts w:hint="eastAsia" w:ascii="宋体" w:hAnsi="宋体"/>
          <w:szCs w:val="21"/>
        </w:rPr>
        <w:t>本表所列分包仅限于承包人自行施工范围内的非主体、非关键工程。</w:t>
      </w:r>
    </w:p>
    <w:p>
      <w:pPr>
        <w:spacing w:line="360" w:lineRule="auto"/>
        <w:ind w:right="420"/>
        <w:jc w:val="right"/>
        <w:rPr>
          <w:rFonts w:ascii="宋体" w:hAnsi="宋体"/>
          <w:szCs w:val="21"/>
        </w:rPr>
      </w:pPr>
    </w:p>
    <w:p>
      <w:pPr>
        <w:spacing w:line="360" w:lineRule="auto"/>
        <w:ind w:right="420"/>
        <w:jc w:val="right"/>
        <w:rPr>
          <w:rFonts w:ascii="宋体" w:hAnsi="宋体"/>
          <w:szCs w:val="21"/>
        </w:rPr>
      </w:pPr>
      <w:r>
        <w:rPr>
          <w:rFonts w:hint="eastAsia" w:ascii="宋体" w:hAnsi="宋体"/>
          <w:szCs w:val="21"/>
        </w:rPr>
        <w:t>日期：年月日</w:t>
      </w:r>
    </w:p>
    <w:p>
      <w:pPr>
        <w:widowControl/>
        <w:jc w:val="left"/>
        <w:rPr>
          <w:b/>
          <w:color w:val="FF0000"/>
        </w:rPr>
      </w:pPr>
      <w:r>
        <w:rPr>
          <w:rFonts w:ascii="宋体" w:hAnsi="宋体"/>
          <w:b/>
          <w:sz w:val="28"/>
          <w:szCs w:val="28"/>
        </w:rPr>
        <w:br w:type="page"/>
      </w:r>
    </w:p>
    <w:p>
      <w:pPr>
        <w:spacing w:beforeLines="100" w:afterLines="50" w:line="360" w:lineRule="auto"/>
        <w:jc w:val="center"/>
        <w:outlineLvl w:val="1"/>
        <w:rPr>
          <w:sz w:val="32"/>
          <w:szCs w:val="32"/>
        </w:rPr>
      </w:pPr>
      <w:bookmarkStart w:id="315" w:name="_Toc489974900"/>
      <w:bookmarkStart w:id="316" w:name="_Toc490062167"/>
      <w:r>
        <w:rPr>
          <w:rFonts w:hint="eastAsia"/>
          <w:sz w:val="32"/>
          <w:szCs w:val="32"/>
        </w:rPr>
        <w:t>二、业绩汇总</w:t>
      </w:r>
      <w:bookmarkEnd w:id="315"/>
      <w:bookmarkEnd w:id="316"/>
    </w:p>
    <w:p>
      <w:pPr>
        <w:spacing w:beforeLines="100" w:afterLines="50" w:line="360" w:lineRule="auto"/>
        <w:jc w:val="left"/>
        <w:rPr>
          <w:rFonts w:ascii="宋体" w:hAnsi="宋体"/>
          <w:sz w:val="24"/>
        </w:rPr>
      </w:pPr>
      <w:r>
        <w:rPr>
          <w:rFonts w:hint="eastAsia" w:ascii="宋体" w:hAnsi="宋体"/>
          <w:sz w:val="28"/>
          <w:szCs w:val="28"/>
        </w:rPr>
        <w:t>（一）近年完成的类似项目情况表</w:t>
      </w:r>
    </w:p>
    <w:tbl>
      <w:tblPr>
        <w:tblStyle w:val="60"/>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项目名称</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项目所在地</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发包人名称</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发包人地址</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发包人联系人及电话</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合同价格</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开工（开始）日期</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竣工（完成）日期</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承担的工作</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工程质量</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项目经理</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技术负责人</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项目描述</w:t>
            </w:r>
          </w:p>
        </w:tc>
        <w:tc>
          <w:tcPr>
            <w:tcW w:w="60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shd w:val="clear" w:color="auto" w:fill="auto"/>
            <w:vAlign w:val="center"/>
          </w:tcPr>
          <w:p>
            <w:pPr>
              <w:spacing w:line="360" w:lineRule="auto"/>
              <w:jc w:val="center"/>
              <w:rPr>
                <w:rFonts w:ascii="宋体" w:hAnsi="宋体"/>
                <w:szCs w:val="21"/>
              </w:rPr>
            </w:pPr>
            <w:r>
              <w:rPr>
                <w:rFonts w:hint="eastAsia" w:ascii="宋体" w:hAnsi="宋体"/>
                <w:szCs w:val="21"/>
              </w:rPr>
              <w:t>备注</w:t>
            </w:r>
          </w:p>
        </w:tc>
        <w:tc>
          <w:tcPr>
            <w:tcW w:w="6094" w:type="dxa"/>
            <w:shd w:val="clear" w:color="auto" w:fill="auto"/>
            <w:vAlign w:val="center"/>
          </w:tcPr>
          <w:p>
            <w:pPr>
              <w:spacing w:line="360" w:lineRule="auto"/>
              <w:jc w:val="center"/>
              <w:rPr>
                <w:rFonts w:ascii="宋体" w:hAnsi="宋体"/>
                <w:szCs w:val="21"/>
              </w:rPr>
            </w:pPr>
          </w:p>
        </w:tc>
      </w:tr>
    </w:tbl>
    <w:p>
      <w:pPr>
        <w:spacing w:line="360" w:lineRule="auto"/>
        <w:ind w:left="630" w:leftChars="100" w:hanging="420" w:hangingChars="199"/>
        <w:rPr>
          <w:rFonts w:ascii="宋体" w:hAnsi="宋体"/>
          <w:b/>
          <w:szCs w:val="21"/>
        </w:rPr>
      </w:pPr>
    </w:p>
    <w:p>
      <w:pPr>
        <w:spacing w:line="360" w:lineRule="auto"/>
        <w:ind w:left="630" w:leftChars="100" w:hanging="420" w:hangingChars="199"/>
        <w:rPr>
          <w:rFonts w:ascii="宋体" w:hAnsi="宋体"/>
          <w:b/>
          <w:color w:val="FF0000"/>
          <w:szCs w:val="21"/>
        </w:rPr>
      </w:pPr>
      <w:r>
        <w:rPr>
          <w:rFonts w:hint="eastAsia" w:ascii="宋体" w:hAnsi="宋体"/>
          <w:b/>
          <w:color w:val="FF0000"/>
          <w:szCs w:val="21"/>
        </w:rPr>
        <w:t>备注：</w:t>
      </w:r>
      <w:r>
        <w:rPr>
          <w:rFonts w:ascii="宋体" w:hAnsi="宋体"/>
          <w:b/>
          <w:color w:val="FF0000"/>
          <w:szCs w:val="21"/>
        </w:rPr>
        <w:t>1</w:t>
      </w:r>
      <w:r>
        <w:rPr>
          <w:rFonts w:hint="eastAsia" w:ascii="宋体" w:hAnsi="宋体"/>
          <w:b/>
          <w:color w:val="FF0000"/>
          <w:szCs w:val="21"/>
        </w:rPr>
        <w:t>、类似项目指</w:t>
      </w:r>
      <w:r>
        <w:rPr>
          <w:rFonts w:hint="eastAsia" w:ascii="宋体" w:hAnsi="宋体"/>
          <w:b/>
          <w:color w:val="FF0000"/>
          <w:szCs w:val="21"/>
          <w:u w:val="single"/>
        </w:rPr>
        <w:t>【见投标人须知前附表】</w:t>
      </w:r>
      <w:r>
        <w:rPr>
          <w:rFonts w:hint="eastAsia" w:ascii="宋体" w:hAnsi="宋体"/>
          <w:b/>
          <w:color w:val="FF0000"/>
          <w:szCs w:val="21"/>
        </w:rPr>
        <w:t>项目。</w:t>
      </w:r>
    </w:p>
    <w:p>
      <w:pPr>
        <w:spacing w:line="360" w:lineRule="auto"/>
        <w:ind w:firstLine="780" w:firstLineChars="370"/>
        <w:rPr>
          <w:rFonts w:ascii="宋体" w:hAnsi="宋体"/>
          <w:b/>
          <w:color w:val="FF0000"/>
          <w:szCs w:val="21"/>
        </w:rPr>
      </w:pPr>
      <w:r>
        <w:rPr>
          <w:rFonts w:ascii="宋体" w:hAnsi="宋体"/>
          <w:b/>
          <w:color w:val="FF0000"/>
          <w:szCs w:val="21"/>
        </w:rPr>
        <w:t>2</w:t>
      </w:r>
      <w:r>
        <w:rPr>
          <w:rFonts w:hint="eastAsia" w:ascii="宋体" w:hAnsi="宋体"/>
          <w:b/>
          <w:color w:val="FF0000"/>
          <w:szCs w:val="21"/>
        </w:rPr>
        <w:t>、本表后附中标通知书或合同首页及签字页复印件，具体年份要求见投标人须知前附表。每张表格只填写一个项目，并标明序号。</w:t>
      </w:r>
    </w:p>
    <w:p>
      <w:pPr>
        <w:spacing w:beforeLines="100" w:afterLines="50" w:line="360" w:lineRule="auto"/>
        <w:jc w:val="left"/>
        <w:rPr>
          <w:rFonts w:ascii="宋体" w:hAnsi="宋体"/>
          <w:sz w:val="24"/>
        </w:rPr>
      </w:pPr>
      <w:r>
        <w:rPr>
          <w:rFonts w:ascii="宋体" w:hAnsi="宋体"/>
          <w:szCs w:val="21"/>
        </w:rPr>
        <w:br w:type="page"/>
      </w:r>
      <w:r>
        <w:rPr>
          <w:rFonts w:hint="eastAsia" w:ascii="宋体" w:hAnsi="宋体"/>
          <w:sz w:val="28"/>
          <w:szCs w:val="28"/>
        </w:rPr>
        <w:t>（二）正在施工的和新承接的项目情况表</w:t>
      </w:r>
    </w:p>
    <w:tbl>
      <w:tblPr>
        <w:tblStyle w:val="60"/>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项目名称</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项目所在地</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发包人名称</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发包人地址</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发包人电话</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签约合同价</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开工（开始）日期</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计划竣工（结束）日期</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承担的工作</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工程质量</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项目经理</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技术负责人</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项目描述</w:t>
            </w:r>
          </w:p>
        </w:tc>
        <w:tc>
          <w:tcPr>
            <w:tcW w:w="6095"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shd w:val="clear" w:color="auto" w:fill="auto"/>
            <w:vAlign w:val="center"/>
          </w:tcPr>
          <w:p>
            <w:pPr>
              <w:spacing w:line="360" w:lineRule="auto"/>
              <w:jc w:val="center"/>
              <w:rPr>
                <w:rFonts w:ascii="宋体" w:hAnsi="宋体"/>
                <w:szCs w:val="21"/>
              </w:rPr>
            </w:pPr>
            <w:r>
              <w:rPr>
                <w:rFonts w:hint="eastAsia" w:ascii="宋体" w:hAnsi="宋体"/>
                <w:szCs w:val="21"/>
              </w:rPr>
              <w:t>备注</w:t>
            </w:r>
          </w:p>
        </w:tc>
        <w:tc>
          <w:tcPr>
            <w:tcW w:w="6095" w:type="dxa"/>
            <w:shd w:val="clear" w:color="auto" w:fill="auto"/>
            <w:vAlign w:val="center"/>
          </w:tcPr>
          <w:p>
            <w:pPr>
              <w:spacing w:line="360" w:lineRule="auto"/>
              <w:jc w:val="center"/>
              <w:rPr>
                <w:rFonts w:ascii="宋体" w:hAnsi="宋体"/>
                <w:szCs w:val="21"/>
              </w:rPr>
            </w:pPr>
          </w:p>
        </w:tc>
      </w:tr>
    </w:tbl>
    <w:p>
      <w:pPr>
        <w:spacing w:line="360" w:lineRule="auto"/>
        <w:rPr>
          <w:rFonts w:ascii="宋体" w:hAnsi="宋体"/>
          <w:b/>
          <w:szCs w:val="21"/>
        </w:rPr>
      </w:pPr>
    </w:p>
    <w:p>
      <w:pPr>
        <w:spacing w:line="360" w:lineRule="auto"/>
        <w:rPr>
          <w:rFonts w:ascii="宋体" w:hAnsi="宋体"/>
          <w:b/>
          <w:color w:val="FF0000"/>
          <w:szCs w:val="21"/>
        </w:rPr>
      </w:pPr>
      <w:r>
        <w:rPr>
          <w:rFonts w:hint="eastAsia" w:ascii="宋体" w:hAnsi="宋体"/>
          <w:b/>
          <w:color w:val="FF0000"/>
          <w:szCs w:val="21"/>
        </w:rPr>
        <w:t>备注：本表后附中标通知书或合同首页及签字页复印件。每张表格只填写一个项目，并标明序号。</w:t>
      </w:r>
    </w:p>
    <w:p>
      <w:pPr>
        <w:spacing w:line="360" w:lineRule="auto"/>
        <w:rPr>
          <w:b/>
          <w:color w:val="FF0000"/>
        </w:rPr>
      </w:pPr>
    </w:p>
    <w:p>
      <w:pPr>
        <w:spacing w:line="360" w:lineRule="auto"/>
        <w:rPr>
          <w:rFonts w:ascii="宋体" w:hAnsi="宋体"/>
          <w:b/>
          <w:color w:val="FF0000"/>
          <w:szCs w:val="21"/>
        </w:rPr>
      </w:pPr>
    </w:p>
    <w:p>
      <w:pPr>
        <w:spacing w:beforeLines="100" w:afterLines="50" w:line="360" w:lineRule="auto"/>
        <w:jc w:val="center"/>
        <w:outlineLvl w:val="1"/>
        <w:rPr>
          <w:rFonts w:ascii="宋体" w:hAnsi="宋体"/>
          <w:sz w:val="32"/>
          <w:szCs w:val="32"/>
        </w:rPr>
      </w:pPr>
      <w:bookmarkStart w:id="317" w:name="_Toc477902749"/>
      <w:bookmarkStart w:id="318" w:name="_Toc490062168"/>
      <w:bookmarkStart w:id="319" w:name="_Toc489974901"/>
      <w:r>
        <w:rPr>
          <w:rFonts w:hint="eastAsia" w:ascii="宋体" w:hAnsi="宋体"/>
          <w:sz w:val="32"/>
          <w:szCs w:val="32"/>
        </w:rPr>
        <w:t>三、项目管理机构</w:t>
      </w:r>
      <w:bookmarkEnd w:id="317"/>
      <w:bookmarkEnd w:id="318"/>
      <w:bookmarkEnd w:id="319"/>
    </w:p>
    <w:p>
      <w:pPr>
        <w:spacing w:afterLines="100" w:line="360" w:lineRule="auto"/>
        <w:rPr>
          <w:rFonts w:ascii="宋体" w:hAnsi="宋体"/>
          <w:sz w:val="24"/>
        </w:rPr>
      </w:pPr>
      <w:r>
        <w:rPr>
          <w:rFonts w:hint="eastAsia" w:ascii="宋体" w:hAnsi="宋体"/>
          <w:sz w:val="24"/>
        </w:rPr>
        <w:t>（一）项目管理机构组成表</w:t>
      </w:r>
    </w:p>
    <w:tbl>
      <w:tblPr>
        <w:tblStyle w:val="60"/>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76"/>
        <w:gridCol w:w="976"/>
        <w:gridCol w:w="1561"/>
        <w:gridCol w:w="1060"/>
        <w:gridCol w:w="1085"/>
        <w:gridCol w:w="116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vMerge w:val="restart"/>
            <w:shd w:val="clear" w:color="auto" w:fill="auto"/>
            <w:vAlign w:val="center"/>
          </w:tcPr>
          <w:p>
            <w:pPr>
              <w:spacing w:line="360" w:lineRule="auto"/>
              <w:jc w:val="center"/>
              <w:rPr>
                <w:rFonts w:ascii="宋体" w:hAnsi="宋体"/>
                <w:szCs w:val="21"/>
              </w:rPr>
            </w:pPr>
            <w:r>
              <w:rPr>
                <w:rFonts w:hint="eastAsia" w:ascii="宋体" w:hAnsi="宋体"/>
                <w:szCs w:val="21"/>
              </w:rPr>
              <w:t>职务</w:t>
            </w:r>
          </w:p>
        </w:tc>
        <w:tc>
          <w:tcPr>
            <w:tcW w:w="976" w:type="dxa"/>
            <w:vMerge w:val="restart"/>
            <w:shd w:val="clear" w:color="auto" w:fill="auto"/>
            <w:vAlign w:val="center"/>
          </w:tcPr>
          <w:p>
            <w:pPr>
              <w:spacing w:line="360" w:lineRule="auto"/>
              <w:jc w:val="center"/>
              <w:rPr>
                <w:rFonts w:ascii="宋体" w:hAnsi="宋体"/>
                <w:szCs w:val="21"/>
              </w:rPr>
            </w:pPr>
            <w:r>
              <w:rPr>
                <w:rFonts w:hint="eastAsia" w:ascii="宋体" w:hAnsi="宋体"/>
                <w:szCs w:val="21"/>
              </w:rPr>
              <w:t>姓名</w:t>
            </w:r>
          </w:p>
        </w:tc>
        <w:tc>
          <w:tcPr>
            <w:tcW w:w="976" w:type="dxa"/>
            <w:vMerge w:val="restart"/>
            <w:shd w:val="clear" w:color="auto" w:fill="auto"/>
            <w:vAlign w:val="center"/>
          </w:tcPr>
          <w:p>
            <w:pPr>
              <w:spacing w:line="360" w:lineRule="auto"/>
              <w:jc w:val="center"/>
              <w:rPr>
                <w:rFonts w:ascii="宋体" w:hAnsi="宋体"/>
                <w:szCs w:val="21"/>
              </w:rPr>
            </w:pPr>
            <w:r>
              <w:rPr>
                <w:rFonts w:hint="eastAsia" w:ascii="宋体" w:hAnsi="宋体"/>
                <w:szCs w:val="21"/>
              </w:rPr>
              <w:t>职称</w:t>
            </w:r>
          </w:p>
        </w:tc>
        <w:tc>
          <w:tcPr>
            <w:tcW w:w="4875" w:type="dxa"/>
            <w:gridSpan w:val="4"/>
            <w:shd w:val="clear" w:color="auto" w:fill="auto"/>
            <w:vAlign w:val="center"/>
          </w:tcPr>
          <w:p>
            <w:pPr>
              <w:spacing w:line="360" w:lineRule="auto"/>
              <w:jc w:val="center"/>
              <w:rPr>
                <w:rFonts w:ascii="宋体" w:hAnsi="宋体"/>
                <w:szCs w:val="21"/>
              </w:rPr>
            </w:pPr>
            <w:r>
              <w:rPr>
                <w:rFonts w:hint="eastAsia" w:ascii="宋体" w:hAnsi="宋体"/>
                <w:szCs w:val="21"/>
              </w:rPr>
              <w:t>执业或职业资格证明</w:t>
            </w:r>
          </w:p>
        </w:tc>
        <w:tc>
          <w:tcPr>
            <w:tcW w:w="974" w:type="dxa"/>
            <w:vMerge w:val="restart"/>
            <w:shd w:val="clear" w:color="auto" w:fill="auto"/>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vMerge w:val="continue"/>
            <w:shd w:val="clear" w:color="auto" w:fill="auto"/>
            <w:vAlign w:val="center"/>
          </w:tcPr>
          <w:p>
            <w:pPr>
              <w:spacing w:line="360" w:lineRule="auto"/>
              <w:jc w:val="center"/>
              <w:rPr>
                <w:rFonts w:ascii="宋体" w:hAnsi="宋体"/>
                <w:szCs w:val="21"/>
              </w:rPr>
            </w:pPr>
          </w:p>
        </w:tc>
        <w:tc>
          <w:tcPr>
            <w:tcW w:w="976" w:type="dxa"/>
            <w:vMerge w:val="continue"/>
            <w:shd w:val="clear" w:color="auto" w:fill="auto"/>
            <w:vAlign w:val="center"/>
          </w:tcPr>
          <w:p>
            <w:pPr>
              <w:spacing w:line="360" w:lineRule="auto"/>
              <w:jc w:val="center"/>
              <w:rPr>
                <w:rFonts w:ascii="宋体" w:hAnsi="宋体"/>
                <w:szCs w:val="21"/>
              </w:rPr>
            </w:pPr>
          </w:p>
        </w:tc>
        <w:tc>
          <w:tcPr>
            <w:tcW w:w="976" w:type="dxa"/>
            <w:vMerge w:val="continue"/>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r>
              <w:rPr>
                <w:rFonts w:hint="eastAsia" w:ascii="宋体" w:hAnsi="宋体"/>
                <w:szCs w:val="21"/>
              </w:rPr>
              <w:t>证书名称</w:t>
            </w:r>
          </w:p>
        </w:tc>
        <w:tc>
          <w:tcPr>
            <w:tcW w:w="1060" w:type="dxa"/>
            <w:shd w:val="clear" w:color="auto" w:fill="auto"/>
            <w:vAlign w:val="center"/>
          </w:tcPr>
          <w:p>
            <w:pPr>
              <w:spacing w:line="360" w:lineRule="auto"/>
              <w:jc w:val="center"/>
              <w:rPr>
                <w:rFonts w:ascii="宋体" w:hAnsi="宋体"/>
                <w:szCs w:val="21"/>
              </w:rPr>
            </w:pPr>
            <w:r>
              <w:rPr>
                <w:rFonts w:hint="eastAsia" w:ascii="宋体" w:hAnsi="宋体"/>
                <w:szCs w:val="21"/>
              </w:rPr>
              <w:t>级别</w:t>
            </w:r>
          </w:p>
        </w:tc>
        <w:tc>
          <w:tcPr>
            <w:tcW w:w="1085" w:type="dxa"/>
            <w:shd w:val="clear" w:color="auto" w:fill="auto"/>
            <w:vAlign w:val="center"/>
          </w:tcPr>
          <w:p>
            <w:pPr>
              <w:spacing w:line="360" w:lineRule="auto"/>
              <w:jc w:val="center"/>
              <w:rPr>
                <w:rFonts w:ascii="宋体" w:hAnsi="宋体"/>
                <w:szCs w:val="21"/>
              </w:rPr>
            </w:pPr>
            <w:r>
              <w:rPr>
                <w:rFonts w:hint="eastAsia" w:ascii="宋体" w:hAnsi="宋体"/>
                <w:szCs w:val="21"/>
              </w:rPr>
              <w:t>证号</w:t>
            </w:r>
          </w:p>
        </w:tc>
        <w:tc>
          <w:tcPr>
            <w:tcW w:w="1169" w:type="dxa"/>
            <w:shd w:val="clear" w:color="auto" w:fill="auto"/>
            <w:vAlign w:val="center"/>
          </w:tcPr>
          <w:p>
            <w:pPr>
              <w:spacing w:line="360" w:lineRule="auto"/>
              <w:jc w:val="center"/>
              <w:rPr>
                <w:rFonts w:ascii="宋体" w:hAnsi="宋体"/>
                <w:szCs w:val="21"/>
              </w:rPr>
            </w:pPr>
            <w:r>
              <w:rPr>
                <w:rFonts w:hint="eastAsia" w:ascii="宋体" w:hAnsi="宋体"/>
                <w:szCs w:val="21"/>
              </w:rPr>
              <w:t>专业</w:t>
            </w:r>
          </w:p>
        </w:tc>
        <w:tc>
          <w:tcPr>
            <w:tcW w:w="974" w:type="dxa"/>
            <w:vMerge w:val="continue"/>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976" w:type="dxa"/>
            <w:shd w:val="clear" w:color="auto" w:fill="auto"/>
            <w:vAlign w:val="center"/>
          </w:tcPr>
          <w:p>
            <w:pPr>
              <w:spacing w:line="360" w:lineRule="auto"/>
              <w:jc w:val="center"/>
              <w:rPr>
                <w:rFonts w:ascii="宋体" w:hAnsi="宋体"/>
                <w:szCs w:val="21"/>
              </w:rPr>
            </w:pPr>
          </w:p>
        </w:tc>
        <w:tc>
          <w:tcPr>
            <w:tcW w:w="1561" w:type="dxa"/>
            <w:shd w:val="clear" w:color="auto" w:fill="auto"/>
            <w:vAlign w:val="center"/>
          </w:tcPr>
          <w:p>
            <w:pPr>
              <w:spacing w:line="360" w:lineRule="auto"/>
              <w:jc w:val="center"/>
              <w:rPr>
                <w:rFonts w:ascii="宋体" w:hAnsi="宋体"/>
                <w:szCs w:val="21"/>
              </w:rPr>
            </w:pPr>
          </w:p>
        </w:tc>
        <w:tc>
          <w:tcPr>
            <w:tcW w:w="1060" w:type="dxa"/>
            <w:shd w:val="clear" w:color="auto" w:fill="auto"/>
            <w:vAlign w:val="center"/>
          </w:tcPr>
          <w:p>
            <w:pPr>
              <w:spacing w:line="360" w:lineRule="auto"/>
              <w:jc w:val="center"/>
              <w:rPr>
                <w:rFonts w:ascii="宋体" w:hAnsi="宋体"/>
                <w:szCs w:val="21"/>
              </w:rPr>
            </w:pPr>
          </w:p>
        </w:tc>
        <w:tc>
          <w:tcPr>
            <w:tcW w:w="1085" w:type="dxa"/>
            <w:shd w:val="clear" w:color="auto" w:fill="auto"/>
            <w:vAlign w:val="center"/>
          </w:tcPr>
          <w:p>
            <w:pPr>
              <w:spacing w:line="360" w:lineRule="auto"/>
              <w:jc w:val="center"/>
              <w:rPr>
                <w:rFonts w:ascii="宋体" w:hAnsi="宋体"/>
                <w:szCs w:val="21"/>
              </w:rPr>
            </w:pPr>
          </w:p>
        </w:tc>
        <w:tc>
          <w:tcPr>
            <w:tcW w:w="1169" w:type="dxa"/>
            <w:shd w:val="clear" w:color="auto" w:fill="auto"/>
            <w:vAlign w:val="center"/>
          </w:tcPr>
          <w:p>
            <w:pPr>
              <w:spacing w:line="360" w:lineRule="auto"/>
              <w:jc w:val="center"/>
              <w:rPr>
                <w:rFonts w:ascii="宋体" w:hAnsi="宋体"/>
                <w:szCs w:val="21"/>
              </w:rPr>
            </w:pPr>
          </w:p>
        </w:tc>
        <w:tc>
          <w:tcPr>
            <w:tcW w:w="974" w:type="dxa"/>
            <w:shd w:val="clear" w:color="auto" w:fill="auto"/>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beforeLines="100" w:afterLines="50" w:line="360" w:lineRule="auto"/>
        <w:rPr>
          <w:rFonts w:ascii="宋体" w:hAnsi="宋体"/>
          <w:sz w:val="24"/>
        </w:rPr>
      </w:pPr>
      <w:r>
        <w:rPr>
          <w:rFonts w:ascii="宋体" w:hAnsi="宋体"/>
          <w:b/>
          <w:color w:val="FF0000"/>
          <w:szCs w:val="21"/>
        </w:rPr>
        <w:t>注</w:t>
      </w:r>
      <w:r>
        <w:rPr>
          <w:rFonts w:hint="eastAsia" w:ascii="宋体" w:hAnsi="宋体"/>
          <w:b/>
          <w:color w:val="FF0000"/>
          <w:szCs w:val="21"/>
        </w:rPr>
        <w:t>：须附项目经理的劳动合同或者社保证明作为供职与本单位的证明文件。</w:t>
      </w:r>
      <w:r>
        <w:rPr>
          <w:rFonts w:ascii="宋体" w:hAnsi="宋体"/>
          <w:b/>
          <w:color w:val="FF0000"/>
          <w:szCs w:val="21"/>
        </w:rPr>
        <w:br w:type="page"/>
      </w:r>
      <w:r>
        <w:rPr>
          <w:rFonts w:hint="eastAsia" w:ascii="宋体" w:hAnsi="宋体"/>
          <w:sz w:val="28"/>
          <w:szCs w:val="28"/>
        </w:rPr>
        <w:t>（二）主要人员简历表</w:t>
      </w:r>
    </w:p>
    <w:p>
      <w:pPr>
        <w:spacing w:beforeLines="100" w:afterLines="50" w:line="360" w:lineRule="auto"/>
        <w:jc w:val="left"/>
        <w:rPr>
          <w:rFonts w:ascii="宋体" w:hAnsi="宋体"/>
          <w:sz w:val="24"/>
          <w:szCs w:val="28"/>
        </w:rPr>
      </w:pPr>
      <w:r>
        <w:rPr>
          <w:rFonts w:hint="eastAsia" w:ascii="宋体" w:hAnsi="宋体"/>
          <w:sz w:val="24"/>
          <w:szCs w:val="28"/>
        </w:rPr>
        <w:t>附件</w:t>
      </w:r>
      <w:r>
        <w:rPr>
          <w:rFonts w:ascii="宋体" w:hAnsi="宋体"/>
          <w:sz w:val="24"/>
          <w:szCs w:val="28"/>
        </w:rPr>
        <w:t>1</w:t>
      </w:r>
      <w:r>
        <w:rPr>
          <w:rFonts w:hint="eastAsia" w:ascii="宋体" w:hAnsi="宋体"/>
          <w:sz w:val="24"/>
          <w:szCs w:val="28"/>
        </w:rPr>
        <w:t>：项目经理简历表</w:t>
      </w:r>
    </w:p>
    <w:p>
      <w:pPr>
        <w:spacing w:line="360" w:lineRule="auto"/>
        <w:ind w:firstLine="422" w:firstLineChars="200"/>
        <w:rPr>
          <w:rFonts w:ascii="宋体" w:hAnsi="宋体"/>
          <w:b/>
          <w:color w:val="FF0000"/>
          <w:szCs w:val="21"/>
        </w:rPr>
      </w:pPr>
      <w:r>
        <w:rPr>
          <w:rFonts w:hint="eastAsia" w:ascii="宋体" w:hAnsi="宋体"/>
          <w:b/>
          <w:color w:val="FF0000"/>
          <w:szCs w:val="21"/>
        </w:rPr>
        <w:t>项目经理应附相应执业资格证书、注册证书、安全生产考核合格证书（若适用）、身份证、职称证、学历证，管理过的项目业绩须附合同协议书（类似项目限于以项目经理身份参与的项目），还应附项目经理与投标单位的劳动合同或者社保证明。</w:t>
      </w:r>
    </w:p>
    <w:tbl>
      <w:tblPr>
        <w:tblStyle w:val="60"/>
        <w:tblW w:w="86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16"/>
        <w:gridCol w:w="1117"/>
        <w:gridCol w:w="1255"/>
        <w:gridCol w:w="181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7" w:type="dxa"/>
            <w:shd w:val="clear" w:color="auto" w:fill="auto"/>
            <w:vAlign w:val="center"/>
          </w:tcPr>
          <w:p>
            <w:pPr>
              <w:spacing w:line="360" w:lineRule="auto"/>
              <w:jc w:val="center"/>
              <w:rPr>
                <w:rFonts w:ascii="宋体" w:hAnsi="宋体"/>
                <w:szCs w:val="21"/>
              </w:rPr>
            </w:pPr>
            <w:r>
              <w:rPr>
                <w:rFonts w:hint="eastAsia" w:ascii="宋体" w:hAnsi="宋体"/>
                <w:szCs w:val="21"/>
              </w:rPr>
              <w:t>姓名</w:t>
            </w: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r>
              <w:rPr>
                <w:rFonts w:hint="eastAsia" w:ascii="宋体" w:hAnsi="宋体"/>
                <w:szCs w:val="21"/>
              </w:rPr>
              <w:t>年龄</w:t>
            </w: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r>
              <w:rPr>
                <w:rFonts w:hint="eastAsia" w:ascii="宋体" w:hAnsi="宋体"/>
                <w:szCs w:val="21"/>
              </w:rPr>
              <w:t>学历</w:t>
            </w: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7" w:type="dxa"/>
            <w:shd w:val="clear" w:color="auto" w:fill="auto"/>
            <w:vAlign w:val="center"/>
          </w:tcPr>
          <w:p>
            <w:pPr>
              <w:spacing w:line="360" w:lineRule="auto"/>
              <w:jc w:val="center"/>
              <w:rPr>
                <w:rFonts w:ascii="宋体" w:hAnsi="宋体"/>
                <w:szCs w:val="21"/>
              </w:rPr>
            </w:pPr>
            <w:r>
              <w:rPr>
                <w:rFonts w:hint="eastAsia" w:ascii="宋体" w:hAnsi="宋体"/>
                <w:szCs w:val="21"/>
              </w:rPr>
              <w:t>职称</w:t>
            </w: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r>
              <w:rPr>
                <w:rFonts w:hint="eastAsia" w:ascii="宋体" w:hAnsi="宋体"/>
                <w:szCs w:val="21"/>
              </w:rPr>
              <w:t>职务</w:t>
            </w: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r>
              <w:rPr>
                <w:rFonts w:hint="eastAsia" w:ascii="宋体" w:hAnsi="宋体"/>
                <w:szCs w:val="21"/>
              </w:rPr>
              <w:t>拟在本工程任职</w:t>
            </w:r>
          </w:p>
        </w:tc>
        <w:tc>
          <w:tcPr>
            <w:tcW w:w="2394" w:type="dxa"/>
            <w:shd w:val="clear" w:color="auto" w:fill="auto"/>
            <w:vAlign w:val="center"/>
          </w:tcPr>
          <w:p>
            <w:pPr>
              <w:spacing w:line="360" w:lineRule="auto"/>
              <w:jc w:val="center"/>
              <w:rPr>
                <w:rFonts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10"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注册建造师执业资格等级</w:t>
            </w:r>
          </w:p>
        </w:tc>
        <w:tc>
          <w:tcPr>
            <w:tcW w:w="1255" w:type="dxa"/>
            <w:shd w:val="clear" w:color="auto" w:fill="auto"/>
            <w:vAlign w:val="center"/>
          </w:tcPr>
          <w:p>
            <w:pPr>
              <w:spacing w:line="360" w:lineRule="auto"/>
              <w:jc w:val="center"/>
              <w:rPr>
                <w:rFonts w:ascii="宋体" w:hAnsi="宋体"/>
                <w:szCs w:val="21"/>
              </w:rPr>
            </w:pPr>
            <w:r>
              <w:rPr>
                <w:rFonts w:hint="eastAsia" w:ascii="宋体" w:hAnsi="宋体"/>
                <w:szCs w:val="21"/>
              </w:rPr>
              <w:t>级</w:t>
            </w:r>
          </w:p>
        </w:tc>
        <w:tc>
          <w:tcPr>
            <w:tcW w:w="1810" w:type="dxa"/>
            <w:shd w:val="clear" w:color="auto" w:fill="auto"/>
            <w:vAlign w:val="center"/>
          </w:tcPr>
          <w:p>
            <w:pPr>
              <w:spacing w:line="360" w:lineRule="auto"/>
              <w:jc w:val="center"/>
              <w:rPr>
                <w:rFonts w:ascii="宋体" w:hAnsi="宋体"/>
                <w:szCs w:val="21"/>
              </w:rPr>
            </w:pPr>
            <w:r>
              <w:rPr>
                <w:rFonts w:hint="eastAsia" w:ascii="宋体" w:hAnsi="宋体"/>
                <w:szCs w:val="21"/>
              </w:rPr>
              <w:t>建造师专业</w:t>
            </w: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10"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安全生产考核合格证书</w:t>
            </w:r>
          </w:p>
        </w:tc>
        <w:tc>
          <w:tcPr>
            <w:tcW w:w="5459" w:type="dxa"/>
            <w:gridSpan w:val="3"/>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7" w:type="dxa"/>
            <w:shd w:val="clear" w:color="auto" w:fill="auto"/>
            <w:vAlign w:val="center"/>
          </w:tcPr>
          <w:p>
            <w:pPr>
              <w:spacing w:line="360" w:lineRule="auto"/>
              <w:jc w:val="center"/>
              <w:rPr>
                <w:rFonts w:ascii="宋体" w:hAnsi="宋体"/>
                <w:szCs w:val="21"/>
              </w:rPr>
            </w:pPr>
            <w:r>
              <w:rPr>
                <w:rFonts w:hint="eastAsia" w:ascii="宋体" w:hAnsi="宋体"/>
                <w:szCs w:val="21"/>
              </w:rPr>
              <w:t>毕业学校</w:t>
            </w:r>
          </w:p>
        </w:tc>
        <w:tc>
          <w:tcPr>
            <w:tcW w:w="7592" w:type="dxa"/>
            <w:gridSpan w:val="5"/>
            <w:shd w:val="clear" w:color="auto" w:fill="auto"/>
            <w:vAlign w:val="center"/>
          </w:tcPr>
          <w:p>
            <w:pPr>
              <w:spacing w:line="360" w:lineRule="auto"/>
              <w:ind w:firstLine="840" w:firstLineChars="400"/>
              <w:rPr>
                <w:rFonts w:ascii="宋体" w:hAnsi="宋体"/>
                <w:szCs w:val="21"/>
              </w:rPr>
            </w:pPr>
            <w:r>
              <w:rPr>
                <w:rFonts w:hint="eastAsia" w:ascii="宋体" w:hAnsi="宋体"/>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69" w:type="dxa"/>
            <w:gridSpan w:val="6"/>
            <w:shd w:val="clear" w:color="auto" w:fill="auto"/>
            <w:vAlign w:val="center"/>
          </w:tcPr>
          <w:p>
            <w:pPr>
              <w:spacing w:line="360" w:lineRule="auto"/>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7" w:type="dxa"/>
            <w:shd w:val="clear" w:color="auto" w:fill="auto"/>
            <w:vAlign w:val="center"/>
          </w:tcPr>
          <w:p>
            <w:pPr>
              <w:spacing w:line="360" w:lineRule="auto"/>
              <w:jc w:val="center"/>
              <w:rPr>
                <w:rFonts w:ascii="宋体" w:hAnsi="宋体"/>
                <w:szCs w:val="21"/>
              </w:rPr>
            </w:pPr>
            <w:r>
              <w:rPr>
                <w:rFonts w:hint="eastAsia" w:ascii="宋体" w:hAnsi="宋体"/>
                <w:szCs w:val="21"/>
              </w:rPr>
              <w:t>时间</w:t>
            </w:r>
          </w:p>
        </w:tc>
        <w:tc>
          <w:tcPr>
            <w:tcW w:w="3388"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参加过的类似项目名称</w:t>
            </w:r>
          </w:p>
        </w:tc>
        <w:tc>
          <w:tcPr>
            <w:tcW w:w="1810" w:type="dxa"/>
            <w:shd w:val="clear" w:color="auto" w:fill="auto"/>
            <w:vAlign w:val="center"/>
          </w:tcPr>
          <w:p>
            <w:pPr>
              <w:spacing w:line="360" w:lineRule="auto"/>
              <w:jc w:val="center"/>
              <w:rPr>
                <w:rFonts w:ascii="宋体" w:hAnsi="宋体"/>
                <w:szCs w:val="21"/>
              </w:rPr>
            </w:pPr>
            <w:r>
              <w:rPr>
                <w:rFonts w:hint="eastAsia" w:ascii="宋体" w:hAnsi="宋体"/>
                <w:szCs w:val="21"/>
              </w:rPr>
              <w:t>工程概况说明</w:t>
            </w:r>
          </w:p>
        </w:tc>
        <w:tc>
          <w:tcPr>
            <w:tcW w:w="2394" w:type="dxa"/>
            <w:shd w:val="clear" w:color="auto" w:fill="auto"/>
            <w:vAlign w:val="center"/>
          </w:tcPr>
          <w:p>
            <w:pPr>
              <w:spacing w:line="360" w:lineRule="auto"/>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7" w:type="dxa"/>
            <w:shd w:val="clear" w:color="auto" w:fill="auto"/>
            <w:vAlign w:val="center"/>
          </w:tcPr>
          <w:p>
            <w:pPr>
              <w:spacing w:line="360" w:lineRule="auto"/>
              <w:jc w:val="center"/>
              <w:rPr>
                <w:rFonts w:ascii="宋体" w:hAnsi="宋体"/>
                <w:szCs w:val="21"/>
              </w:rPr>
            </w:pPr>
          </w:p>
        </w:tc>
        <w:tc>
          <w:tcPr>
            <w:tcW w:w="1016" w:type="dxa"/>
            <w:shd w:val="clear" w:color="auto" w:fill="auto"/>
            <w:vAlign w:val="center"/>
          </w:tcPr>
          <w:p>
            <w:pPr>
              <w:spacing w:line="360" w:lineRule="auto"/>
              <w:jc w:val="center"/>
              <w:rPr>
                <w:rFonts w:ascii="宋体" w:hAnsi="宋体"/>
                <w:szCs w:val="21"/>
              </w:rPr>
            </w:pPr>
          </w:p>
        </w:tc>
        <w:tc>
          <w:tcPr>
            <w:tcW w:w="1117" w:type="dxa"/>
            <w:shd w:val="clear" w:color="auto" w:fill="auto"/>
            <w:vAlign w:val="center"/>
          </w:tcPr>
          <w:p>
            <w:pPr>
              <w:spacing w:line="360" w:lineRule="auto"/>
              <w:jc w:val="center"/>
              <w:rPr>
                <w:rFonts w:ascii="宋体" w:hAnsi="宋体"/>
                <w:szCs w:val="21"/>
              </w:rPr>
            </w:pPr>
          </w:p>
        </w:tc>
        <w:tc>
          <w:tcPr>
            <w:tcW w:w="1255" w:type="dxa"/>
            <w:shd w:val="clear" w:color="auto" w:fill="auto"/>
            <w:vAlign w:val="center"/>
          </w:tcPr>
          <w:p>
            <w:pPr>
              <w:spacing w:line="360" w:lineRule="auto"/>
              <w:jc w:val="center"/>
              <w:rPr>
                <w:rFonts w:ascii="宋体" w:hAnsi="宋体"/>
                <w:szCs w:val="21"/>
              </w:rPr>
            </w:pPr>
          </w:p>
        </w:tc>
        <w:tc>
          <w:tcPr>
            <w:tcW w:w="1810" w:type="dxa"/>
            <w:shd w:val="clear" w:color="auto" w:fill="auto"/>
            <w:vAlign w:val="center"/>
          </w:tcPr>
          <w:p>
            <w:pPr>
              <w:spacing w:line="360" w:lineRule="auto"/>
              <w:jc w:val="center"/>
              <w:rPr>
                <w:rFonts w:ascii="宋体" w:hAnsi="宋体"/>
                <w:szCs w:val="21"/>
              </w:rPr>
            </w:pPr>
          </w:p>
        </w:tc>
        <w:tc>
          <w:tcPr>
            <w:tcW w:w="2394" w:type="dxa"/>
            <w:shd w:val="clear" w:color="auto" w:fill="auto"/>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 w:val="24"/>
        </w:rPr>
      </w:pPr>
      <w:r>
        <w:rPr>
          <w:rFonts w:ascii="宋体" w:hAnsi="宋体"/>
          <w:szCs w:val="21"/>
        </w:rPr>
        <w:br w:type="page"/>
      </w:r>
      <w:r>
        <w:rPr>
          <w:rFonts w:hint="eastAsia" w:ascii="宋体" w:hAnsi="宋体"/>
          <w:sz w:val="24"/>
        </w:rPr>
        <w:t>附件</w:t>
      </w:r>
      <w:r>
        <w:rPr>
          <w:rFonts w:ascii="宋体" w:hAnsi="宋体"/>
          <w:sz w:val="24"/>
        </w:rPr>
        <w:t>2</w:t>
      </w:r>
      <w:r>
        <w:rPr>
          <w:rFonts w:hint="eastAsia" w:ascii="宋体" w:hAnsi="宋体"/>
          <w:sz w:val="24"/>
        </w:rPr>
        <w:t>：主要项目管理人员简历表</w:t>
      </w:r>
    </w:p>
    <w:p>
      <w:pPr>
        <w:spacing w:line="360" w:lineRule="auto"/>
        <w:ind w:firstLine="420" w:firstLineChars="200"/>
        <w:rPr>
          <w:rFonts w:ascii="宋体" w:hAnsi="宋体"/>
          <w:szCs w:val="21"/>
        </w:rPr>
      </w:pPr>
      <w:r>
        <w:rPr>
          <w:rFonts w:hint="eastAsia" w:ascii="宋体" w:hAnsi="宋体"/>
          <w:szCs w:val="21"/>
        </w:rPr>
        <w:t>主要项目管理人员指包括但不限于项目副经理、技术负责人、合同商务负责人、专职安全生产管理人员等岗位人员。应附注册资格证书、身份证、职称证、学历证、，专职安全生产管理人员应附安全生产考核合格证书，主要业绩须附合同协议书。</w:t>
      </w:r>
    </w:p>
    <w:p>
      <w:pPr>
        <w:spacing w:line="360" w:lineRule="auto"/>
        <w:ind w:firstLine="630" w:firstLineChars="300"/>
        <w:rPr>
          <w:rFonts w:ascii="宋体" w:hAnsi="宋体"/>
          <w:szCs w:val="21"/>
        </w:rPr>
      </w:pPr>
    </w:p>
    <w:p>
      <w:pPr>
        <w:spacing w:line="360" w:lineRule="auto"/>
        <w:ind w:firstLine="630" w:firstLineChars="300"/>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岗位名称</w:t>
      </w:r>
    </w:p>
    <w:p>
      <w:pPr>
        <w:spacing w:line="360" w:lineRule="auto"/>
        <w:ind w:firstLine="630" w:firstLineChars="300"/>
        <w:rPr>
          <w:rFonts w:ascii="宋体" w:hAnsi="宋体"/>
          <w:szCs w:val="21"/>
        </w:rPr>
      </w:pPr>
      <w:r>
        <w:rPr>
          <w:rFonts w:hint="eastAsia" w:ascii="宋体" w:hAnsi="宋体"/>
          <w:szCs w:val="21"/>
        </w:rPr>
        <w:t>姓名年龄</w:t>
      </w:r>
    </w:p>
    <w:p>
      <w:pPr>
        <w:spacing w:line="360" w:lineRule="auto"/>
        <w:ind w:firstLine="630" w:firstLineChars="300"/>
        <w:rPr>
          <w:rFonts w:ascii="宋体" w:hAnsi="宋体"/>
          <w:szCs w:val="21"/>
        </w:rPr>
      </w:pPr>
      <w:r>
        <w:rPr>
          <w:rFonts w:hint="eastAsia" w:ascii="宋体" w:hAnsi="宋体"/>
          <w:szCs w:val="21"/>
        </w:rPr>
        <w:t>性别毕业学校</w:t>
      </w:r>
    </w:p>
    <w:p>
      <w:pPr>
        <w:spacing w:line="360" w:lineRule="auto"/>
        <w:ind w:firstLine="630" w:firstLineChars="300"/>
        <w:rPr>
          <w:rFonts w:ascii="宋体" w:hAnsi="宋体"/>
          <w:szCs w:val="21"/>
        </w:rPr>
      </w:pPr>
      <w:r>
        <w:rPr>
          <w:rFonts w:hint="eastAsia" w:ascii="宋体" w:hAnsi="宋体"/>
          <w:szCs w:val="21"/>
        </w:rPr>
        <w:t>学历和专业毕业时间</w:t>
      </w:r>
    </w:p>
    <w:p>
      <w:pPr>
        <w:spacing w:line="360" w:lineRule="auto"/>
        <w:ind w:firstLine="420" w:firstLineChars="200"/>
        <w:rPr>
          <w:rFonts w:ascii="宋体" w:hAnsi="宋体"/>
          <w:szCs w:val="21"/>
        </w:rPr>
      </w:pPr>
      <w:r>
        <w:rPr>
          <w:rFonts w:hint="eastAsia" w:ascii="宋体" w:hAnsi="宋体"/>
          <w:szCs w:val="21"/>
        </w:rPr>
        <w:t>拥有的执业资格专业职称</w:t>
      </w:r>
    </w:p>
    <w:p>
      <w:pPr>
        <w:spacing w:line="360" w:lineRule="auto"/>
        <w:ind w:firstLine="315" w:firstLineChars="150"/>
        <w:rPr>
          <w:rFonts w:ascii="宋体" w:hAnsi="宋体"/>
          <w:szCs w:val="21"/>
        </w:rPr>
      </w:pPr>
      <w:r>
        <w:rPr>
          <w:rFonts w:hint="eastAsia" w:ascii="宋体" w:hAnsi="宋体"/>
          <w:szCs w:val="21"/>
        </w:rPr>
        <w:t>执业资格证书编号工作年限</w:t>
      </w:r>
    </w:p>
    <w:p>
      <w:pPr>
        <w:spacing w:line="360" w:lineRule="auto"/>
        <w:rPr>
          <w:rFonts w:ascii="宋体" w:hAnsi="宋体"/>
          <w:szCs w:val="21"/>
        </w:rPr>
      </w:pPr>
    </w:p>
    <w:p>
      <w:pPr>
        <w:spacing w:line="360" w:lineRule="auto"/>
        <w:rPr>
          <w:rFonts w:ascii="宋体" w:hAnsi="宋体"/>
          <w:szCs w:val="21"/>
        </w:rPr>
      </w:pPr>
    </w:p>
    <w:p>
      <w:pPr>
        <w:spacing w:line="360" w:lineRule="auto"/>
        <w:ind w:firstLine="1050" w:firstLineChars="500"/>
        <w:rPr>
          <w:rFonts w:ascii="宋体" w:hAnsi="宋体"/>
          <w:szCs w:val="21"/>
        </w:rPr>
      </w:pPr>
      <w:r>
        <w:rPr>
          <w:rFonts w:hint="eastAsia" w:ascii="宋体" w:hAnsi="宋体"/>
          <w:szCs w:val="21"/>
        </w:rPr>
        <w:t>主要工作业绩及担任的主要工作</w:t>
      </w:r>
    </w:p>
    <w:p>
      <w:pPr>
        <w:spacing w:line="360" w:lineRule="auto"/>
        <w:rPr>
          <w:rFonts w:ascii="宋体" w:hAnsi="宋体"/>
          <w:sz w:val="24"/>
        </w:rPr>
      </w:pPr>
      <w:r>
        <w:rPr>
          <w:rFonts w:ascii="宋体" w:hAnsi="宋体"/>
          <w:szCs w:val="21"/>
        </w:rPr>
        <w:br w:type="page"/>
      </w:r>
      <w:r>
        <w:rPr>
          <w:rFonts w:hint="eastAsia" w:ascii="宋体" w:hAnsi="宋体"/>
          <w:sz w:val="24"/>
        </w:rPr>
        <w:t>附件</w:t>
      </w:r>
      <w:r>
        <w:rPr>
          <w:rFonts w:ascii="宋体" w:hAnsi="宋体"/>
          <w:sz w:val="24"/>
        </w:rPr>
        <w:t>3</w:t>
      </w:r>
      <w:r>
        <w:rPr>
          <w:rFonts w:hint="eastAsia" w:ascii="宋体" w:hAnsi="宋体"/>
          <w:sz w:val="24"/>
        </w:rPr>
        <w:t>：承诺书</w:t>
      </w:r>
    </w:p>
    <w:p>
      <w:pPr>
        <w:spacing w:beforeLines="100" w:afterLines="100" w:line="360" w:lineRule="auto"/>
        <w:jc w:val="center"/>
        <w:rPr>
          <w:rFonts w:ascii="黑体" w:hAnsi="宋体" w:eastAsia="黑体"/>
          <w:sz w:val="32"/>
          <w:szCs w:val="32"/>
        </w:rPr>
      </w:pPr>
      <w:r>
        <w:rPr>
          <w:rFonts w:hint="eastAsia" w:ascii="黑体" w:hAnsi="宋体" w:eastAsia="黑体"/>
          <w:sz w:val="32"/>
          <w:szCs w:val="32"/>
        </w:rPr>
        <w:t>项目管理人员承诺书</w:t>
      </w:r>
    </w:p>
    <w:p>
      <w:pPr>
        <w:spacing w:afterLines="100" w:line="360" w:lineRule="auto"/>
        <w:rPr>
          <w:rFonts w:ascii="宋体" w:hAnsi="宋体"/>
          <w:szCs w:val="21"/>
        </w:rPr>
      </w:pP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我方在此声明，我方拟派往（</w:t>
      </w:r>
      <w:r>
        <w:rPr>
          <w:rFonts w:hint="eastAsia" w:ascii="宋体" w:hAnsi="宋体"/>
          <w:i/>
          <w:szCs w:val="21"/>
        </w:rPr>
        <w:t>项目名称</w:t>
      </w:r>
      <w:r>
        <w:rPr>
          <w:rFonts w:hint="eastAsia" w:ascii="宋体" w:hAnsi="宋体"/>
          <w:szCs w:val="21"/>
        </w:rPr>
        <w:t>）</w:t>
      </w:r>
      <w:r>
        <w:rPr>
          <w:rFonts w:hint="eastAsia" w:ascii="宋体" w:hAnsi="宋体"/>
          <w:szCs w:val="21"/>
          <w:u w:val="single"/>
        </w:rPr>
        <w:t xml:space="preserve">      （</w:t>
      </w:r>
      <w:r>
        <w:rPr>
          <w:rFonts w:hint="eastAsia" w:ascii="宋体" w:hAnsi="宋体"/>
          <w:i/>
          <w:szCs w:val="21"/>
          <w:u w:val="single"/>
        </w:rPr>
        <w:t>招标编号</w:t>
      </w:r>
      <w:r>
        <w:rPr>
          <w:rFonts w:hint="eastAsia" w:ascii="宋体" w:hAnsi="宋体"/>
          <w:szCs w:val="21"/>
          <w:u w:val="single"/>
        </w:rPr>
        <w:t xml:space="preserve">）     </w:t>
      </w:r>
      <w:r>
        <w:rPr>
          <w:rFonts w:hint="eastAsia" w:ascii="宋体" w:hAnsi="宋体"/>
          <w:szCs w:val="21"/>
        </w:rPr>
        <w:t>项目（以下简称“本工程”）的项目管理人员</w:t>
      </w:r>
      <w:r>
        <w:rPr>
          <w:rFonts w:hint="eastAsia" w:ascii="宋体" w:hAnsi="宋体"/>
          <w:szCs w:val="21"/>
          <w:u w:val="single"/>
        </w:rPr>
        <w:t xml:space="preserve">   （</w:t>
      </w:r>
      <w:r>
        <w:rPr>
          <w:rFonts w:hint="eastAsia" w:ascii="宋体" w:hAnsi="宋体"/>
          <w:i/>
          <w:szCs w:val="21"/>
          <w:u w:val="single"/>
        </w:rPr>
        <w:t>项目管理人员名字</w:t>
      </w:r>
      <w:r>
        <w:rPr>
          <w:rFonts w:hint="eastAsia" w:ascii="宋体" w:hAnsi="宋体"/>
          <w:szCs w:val="21"/>
          <w:u w:val="single"/>
        </w:rPr>
        <w:t xml:space="preserve">）  </w:t>
      </w:r>
      <w:r>
        <w:rPr>
          <w:rFonts w:ascii="宋体" w:hAnsi="宋体"/>
        </w:rPr>
        <w:t>全程参与项目现场管理，且不</w:t>
      </w:r>
      <w:r>
        <w:rPr>
          <w:rFonts w:hint="eastAsia" w:ascii="宋体" w:hAnsi="宋体"/>
        </w:rPr>
        <w:t>会</w:t>
      </w:r>
      <w:r>
        <w:rPr>
          <w:rFonts w:ascii="宋体" w:hAnsi="宋体"/>
        </w:rPr>
        <w:t>参与其他在建项目</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jc w:val="right"/>
        <w:rPr>
          <w:rFonts w:ascii="宋体" w:hAnsi="宋体"/>
          <w:szCs w:val="21"/>
        </w:rPr>
      </w:pPr>
      <w:r>
        <w:rPr>
          <w:rFonts w:hint="eastAsia" w:ascii="宋体" w:hAnsi="宋体"/>
          <w:szCs w:val="21"/>
        </w:rPr>
        <w:t>投标人：（盖单位章）</w:t>
      </w:r>
    </w:p>
    <w:p>
      <w:pPr>
        <w:spacing w:line="360" w:lineRule="auto"/>
        <w:jc w:val="right"/>
        <w:rPr>
          <w:rFonts w:ascii="宋体" w:hAnsi="宋体"/>
          <w:szCs w:val="21"/>
        </w:rPr>
      </w:pPr>
      <w:r>
        <w:rPr>
          <w:rFonts w:hint="eastAsia" w:ascii="宋体" w:hAnsi="宋体"/>
          <w:szCs w:val="21"/>
        </w:rPr>
        <w:t>法定代表人或其委托代理人：（签字）</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年月日</w:t>
      </w:r>
    </w:p>
    <w:p>
      <w:pPr>
        <w:widowControl/>
        <w:jc w:val="left"/>
        <w:rPr>
          <w:rFonts w:ascii="宋体" w:hAnsi="宋体"/>
          <w:sz w:val="32"/>
          <w:szCs w:val="32"/>
        </w:rPr>
      </w:pPr>
    </w:p>
    <w:p>
      <w:pPr>
        <w:widowControl/>
        <w:jc w:val="left"/>
        <w:rPr>
          <w:rFonts w:ascii="宋体" w:hAnsi="宋体"/>
          <w:sz w:val="32"/>
          <w:szCs w:val="32"/>
        </w:rPr>
      </w:pPr>
      <w:r>
        <w:rPr>
          <w:rFonts w:ascii="宋体" w:hAnsi="宋体"/>
          <w:sz w:val="32"/>
          <w:szCs w:val="32"/>
        </w:rPr>
        <w:br w:type="page"/>
      </w:r>
    </w:p>
    <w:p>
      <w:pPr>
        <w:spacing w:beforeLines="100" w:afterLines="100" w:line="360" w:lineRule="auto"/>
        <w:jc w:val="center"/>
        <w:rPr>
          <w:rFonts w:ascii="宋体" w:hAnsi="宋体"/>
          <w:sz w:val="32"/>
          <w:szCs w:val="32"/>
        </w:rPr>
      </w:pPr>
      <w:r>
        <w:rPr>
          <w:rFonts w:hint="eastAsia" w:ascii="宋体" w:hAnsi="宋体"/>
          <w:sz w:val="32"/>
          <w:szCs w:val="32"/>
        </w:rPr>
        <w:t>承诺书</w:t>
      </w:r>
    </w:p>
    <w:p>
      <w:pPr>
        <w:spacing w:afterLines="100" w:line="360" w:lineRule="auto"/>
        <w:rPr>
          <w:rFonts w:ascii="宋体" w:hAnsi="宋体"/>
          <w:szCs w:val="21"/>
        </w:rPr>
      </w:pPr>
      <w:r>
        <w:rPr>
          <w:rFonts w:hint="eastAsia" w:ascii="宋体" w:hAnsi="宋体"/>
          <w:position w:val="-7"/>
          <w:szCs w:val="21"/>
        </w:rPr>
        <w:t>——————</w:t>
      </w: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我方在此声明，在为本项目服务期间，严格遵守贵公司项目、施工、质量和HSE管理等所有相关管理制度。</w:t>
      </w:r>
    </w:p>
    <w:p>
      <w:pPr>
        <w:spacing w:line="360" w:lineRule="auto"/>
        <w:ind w:firstLine="420" w:firstLineChars="200"/>
        <w:rPr>
          <w:rFonts w:ascii="宋体" w:hAnsi="宋体"/>
          <w:szCs w:val="21"/>
        </w:rPr>
      </w:pPr>
      <w:r>
        <w:rPr>
          <w:rFonts w:hint="eastAsia" w:ascii="宋体" w:hAnsi="宋体"/>
          <w:szCs w:val="21"/>
        </w:rPr>
        <w:t>我方因违反贵公司相关制度造成的一切损失、法律后果等由我方自行承担。</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jc w:val="right"/>
        <w:rPr>
          <w:rFonts w:ascii="宋体" w:hAnsi="宋体"/>
          <w:szCs w:val="21"/>
        </w:rPr>
      </w:pPr>
      <w:r>
        <w:rPr>
          <w:rFonts w:hint="eastAsia" w:ascii="宋体" w:hAnsi="宋体"/>
          <w:szCs w:val="21"/>
        </w:rPr>
        <w:t>投标人：（盖单位章）</w:t>
      </w:r>
    </w:p>
    <w:p>
      <w:pPr>
        <w:spacing w:line="360" w:lineRule="auto"/>
        <w:jc w:val="right"/>
        <w:rPr>
          <w:rFonts w:ascii="宋体" w:hAnsi="宋体"/>
          <w:szCs w:val="21"/>
        </w:rPr>
      </w:pPr>
      <w:r>
        <w:rPr>
          <w:rFonts w:hint="eastAsia" w:ascii="宋体" w:hAnsi="宋体"/>
          <w:szCs w:val="21"/>
        </w:rPr>
        <w:t>法定代表人或其委托代理人：（签字）</w:t>
      </w:r>
    </w:p>
    <w:p>
      <w:pPr>
        <w:spacing w:line="360" w:lineRule="auto"/>
        <w:jc w:val="right"/>
        <w:rPr>
          <w:rFonts w:ascii="宋体" w:hAnsi="宋体"/>
          <w:szCs w:val="21"/>
        </w:rPr>
      </w:pPr>
    </w:p>
    <w:p>
      <w:pPr>
        <w:spacing w:line="360" w:lineRule="auto"/>
        <w:jc w:val="right"/>
        <w:rPr>
          <w:rFonts w:ascii="宋体" w:hAnsi="宋体"/>
          <w:color w:val="FF0000"/>
          <w:szCs w:val="21"/>
        </w:rPr>
      </w:pPr>
      <w:r>
        <w:rPr>
          <w:rFonts w:hint="eastAsia" w:ascii="宋体" w:hAnsi="宋体"/>
          <w:szCs w:val="21"/>
        </w:rPr>
        <w:t>年月日</w:t>
      </w:r>
    </w:p>
    <w:p/>
    <w:p>
      <w:pPr>
        <w:spacing w:line="360" w:lineRule="auto"/>
        <w:rPr>
          <w:rFonts w:ascii="宋体" w:hAnsi="宋体"/>
          <w:szCs w:val="21"/>
        </w:rPr>
      </w:pPr>
    </w:p>
    <w:sectPr>
      <w:headerReference r:id="rId20" w:type="default"/>
      <w:footerReference r:id="rId21" w:type="default"/>
      <w:pgSz w:w="11906" w:h="16838"/>
      <w:pgMar w:top="1418" w:right="1474" w:bottom="1418" w:left="1474" w:header="851" w:footer="851" w:gutter="397"/>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Bold">
    <w:altName w:val="Arial"/>
    <w:panose1 w:val="020B07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仿宋体">
    <w:altName w:val="宋体"/>
    <w:panose1 w:val="00000000000000000000"/>
    <w:charset w:val="86"/>
    <w:family w:val="auto"/>
    <w:pitch w:val="default"/>
    <w:sig w:usb0="00000000" w:usb1="00000000" w:usb2="00000010" w:usb3="00000000" w:csb0="00140000" w:csb1="00000000"/>
  </w:font>
  <w:font w:name="华文细黑">
    <w:altName w:val="微软雅黑"/>
    <w:panose1 w:val="00000000000000000000"/>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2</w:t>
    </w:r>
    <w:r>
      <w:rPr>
        <w:lang w:val="zh-C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5"/>
      </w:rPr>
    </w:pPr>
    <w:r>
      <w:rPr>
        <w:rStyle w:val="65"/>
      </w:rPr>
      <w:fldChar w:fldCharType="begin"/>
    </w:r>
    <w:r>
      <w:rPr>
        <w:rStyle w:val="65"/>
      </w:rPr>
      <w:instrText xml:space="preserve">PAGE  </w:instrText>
    </w:r>
    <w:r>
      <w:rPr>
        <w:rStyle w:val="65"/>
      </w:rPr>
      <w:fldChar w:fldCharType="separate"/>
    </w:r>
    <w:r>
      <w:rPr>
        <w:rStyle w:val="65"/>
      </w:rPr>
      <w:t>48</w:t>
    </w:r>
    <w:r>
      <w:rPr>
        <w:rStyle w:val="65"/>
      </w:rPr>
      <w:fldChar w:fldCharType="end"/>
    </w:r>
  </w:p>
  <w:p>
    <w:pPr>
      <w:pStyle w:val="4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5"/>
      </w:rPr>
    </w:pPr>
    <w:r>
      <w:rPr>
        <w:rStyle w:val="65"/>
      </w:rPr>
      <w:fldChar w:fldCharType="begin"/>
    </w:r>
    <w:r>
      <w:rPr>
        <w:rStyle w:val="65"/>
      </w:rPr>
      <w:instrText xml:space="preserve">PAGE  </w:instrText>
    </w:r>
    <w:r>
      <w:rPr>
        <w:rStyle w:val="65"/>
      </w:rPr>
      <w:fldChar w:fldCharType="separate"/>
    </w:r>
    <w:r>
      <w:rPr>
        <w:rStyle w:val="65"/>
      </w:rPr>
      <w:t>85</w:t>
    </w:r>
    <w:r>
      <w:rPr>
        <w:rStyle w:val="65"/>
      </w:rPr>
      <w:fldChar w:fldCharType="end"/>
    </w:r>
  </w:p>
  <w:p>
    <w:pPr>
      <w:pStyle w:val="40"/>
      <w:ind w:right="360" w:firstLine="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5"/>
      </w:rPr>
    </w:pPr>
    <w:r>
      <w:fldChar w:fldCharType="begin"/>
    </w:r>
    <w:r>
      <w:rPr>
        <w:rStyle w:val="65"/>
      </w:rPr>
      <w:instrText xml:space="preserve">PAGE  </w:instrText>
    </w:r>
    <w:r>
      <w:fldChar w:fldCharType="separate"/>
    </w:r>
    <w:r>
      <w:rPr>
        <w:rStyle w:val="65"/>
      </w:rPr>
      <w:t>2</w:t>
    </w:r>
    <w: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5941"/>
    </w:sdtPr>
    <w:sdtContent>
      <w:p>
        <w:pPr>
          <w:pStyle w:val="4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5"/>
      </w:rPr>
    </w:pPr>
    <w:r>
      <w:fldChar w:fldCharType="begin"/>
    </w:r>
    <w:r>
      <w:rPr>
        <w:rStyle w:val="65"/>
      </w:rPr>
      <w:instrText xml:space="preserve">PAGE  </w:instrText>
    </w:r>
    <w:r>
      <w:fldChar w:fldCharType="separate"/>
    </w:r>
    <w:r>
      <w:rPr>
        <w:rStyle w:val="65"/>
      </w:rPr>
      <w:t>44</w:t>
    </w:r>
    <w:r>
      <w:fldChar w:fldCharType="end"/>
    </w:r>
  </w:p>
  <w:p>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5"/>
      </w:rPr>
    </w:pPr>
    <w:r>
      <w:fldChar w:fldCharType="begin"/>
    </w:r>
    <w:r>
      <w:rPr>
        <w:rStyle w:val="65"/>
      </w:rPr>
      <w:instrText xml:space="preserve">PAGE  </w:instrText>
    </w:r>
    <w:r>
      <w:fldChar w:fldCharType="separate"/>
    </w:r>
    <w:r>
      <w:rPr>
        <w:rStyle w:val="65"/>
      </w:rPr>
      <w:t>24</w:t>
    </w:r>
    <w:r>
      <w:fldChar w:fldCharType="end"/>
    </w:r>
  </w:p>
  <w:p>
    <w:pPr>
      <w:pStyle w:val="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PowerPlusWaterMarkObject31555930" o:spid="_x0000_s4097" o:spt="136" type="#_x0000_t136" style="position:absolute;left:0pt;height:126.3pt;width:505.2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v:textpath on="t" fitshape="t" fitpath="t" trim="t" xscale="f" string="中国机电"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PowerPlusWaterMarkObject31555936" o:spid="_x0000_s4098" o:spt="136" type="#_x0000_t136" style="position:absolute;left:0pt;height:126.3pt;width:505.2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中国机电"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CFE04"/>
    <w:multiLevelType w:val="singleLevel"/>
    <w:tmpl w:val="C59CFE04"/>
    <w:lvl w:ilvl="0" w:tentative="0">
      <w:start w:val="1"/>
      <w:numFmt w:val="decimal"/>
      <w:suff w:val="nothing"/>
      <w:lvlText w:val="%1、"/>
      <w:lvlJc w:val="left"/>
    </w:lvl>
  </w:abstractNum>
  <w:abstractNum w:abstractNumId="1">
    <w:nsid w:val="EED1AA31"/>
    <w:multiLevelType w:val="multilevel"/>
    <w:tmpl w:val="EED1AA3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000005"/>
    <w:multiLevelType w:val="singleLevel"/>
    <w:tmpl w:val="00000005"/>
    <w:lvl w:ilvl="0" w:tentative="0">
      <w:start w:val="12"/>
      <w:numFmt w:val="chineseCounting"/>
      <w:suff w:val="space"/>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53208E"/>
    <w:multiLevelType w:val="multilevel"/>
    <w:tmpl w:val="0053208E"/>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3E73A3"/>
    <w:multiLevelType w:val="multilevel"/>
    <w:tmpl w:val="0B3E73A3"/>
    <w:lvl w:ilvl="0" w:tentative="0">
      <w:start w:val="1"/>
      <w:numFmt w:val="chineseCountingThousand"/>
      <w:pStyle w:val="173"/>
      <w:lvlText w:val="%1、"/>
      <w:lvlJc w:val="left"/>
      <w:pPr>
        <w:tabs>
          <w:tab w:val="left" w:pos="567"/>
        </w:tabs>
        <w:ind w:left="567" w:hanging="567"/>
      </w:pPr>
      <w:rPr>
        <w:rFonts w:hint="default"/>
      </w:rPr>
    </w:lvl>
    <w:lvl w:ilvl="1" w:tentative="0">
      <w:start w:val="1"/>
      <w:numFmt w:val="decimal"/>
      <w:pStyle w:val="174"/>
      <w:lvlText w:val="%2."/>
      <w:lvlJc w:val="left"/>
      <w:pPr>
        <w:tabs>
          <w:tab w:val="left" w:pos="1134"/>
        </w:tabs>
        <w:ind w:left="1134" w:hanging="567"/>
      </w:pPr>
      <w:rPr>
        <w:rFonts w:hint="eastAsia"/>
        <w:b w:val="0"/>
        <w:bCs w:val="0"/>
        <w:color w:val="000000"/>
      </w:rPr>
    </w:lvl>
    <w:lvl w:ilvl="2" w:tentative="0">
      <w:start w:val="1"/>
      <w:numFmt w:val="lowerLetter"/>
      <w:pStyle w:val="175"/>
      <w:lvlText w:val="(%3)"/>
      <w:lvlJc w:val="left"/>
      <w:pPr>
        <w:tabs>
          <w:tab w:val="left" w:pos="1701"/>
        </w:tabs>
        <w:ind w:left="1701" w:hanging="567"/>
      </w:pPr>
      <w:rPr>
        <w:rFonts w:hint="default" w:ascii="Arial" w:hAnsi="Arial" w:cs="Arial"/>
        <w:sz w:val="24"/>
        <w:szCs w:val="24"/>
      </w:rPr>
    </w:lvl>
    <w:lvl w:ilvl="3" w:tentative="0">
      <w:start w:val="1"/>
      <w:numFmt w:val="lowerRoman"/>
      <w:pStyle w:val="176"/>
      <w:lvlText w:val="(%4)"/>
      <w:lvlJc w:val="left"/>
      <w:pPr>
        <w:tabs>
          <w:tab w:val="left" w:pos="2268"/>
        </w:tabs>
        <w:ind w:left="2268" w:hanging="567"/>
      </w:pPr>
      <w:rPr>
        <w:rFonts w:hint="default" w:ascii="Arial" w:hAnsi="Arial" w:cs="Arial"/>
        <w:b w:val="0"/>
        <w:bCs w:val="0"/>
        <w:i w:val="0"/>
        <w:iCs w:val="0"/>
        <w:sz w:val="20"/>
        <w:szCs w:val="20"/>
      </w:rPr>
    </w:lvl>
    <w:lvl w:ilvl="4" w:tentative="0">
      <w:start w:val="1"/>
      <w:numFmt w:val="upperLetter"/>
      <w:pStyle w:val="177"/>
      <w:lvlText w:val="(%5)"/>
      <w:lvlJc w:val="left"/>
      <w:pPr>
        <w:tabs>
          <w:tab w:val="left" w:pos="2835"/>
        </w:tabs>
        <w:ind w:left="2835" w:hanging="567"/>
      </w:pPr>
      <w:rPr>
        <w:rFonts w:hint="default" w:ascii="Arial" w:hAnsi="Arial" w:cs="Arial"/>
        <w:sz w:val="20"/>
        <w:szCs w:val="20"/>
      </w:rPr>
    </w:lvl>
    <w:lvl w:ilvl="5" w:tentative="0">
      <w:start w:val="1"/>
      <w:numFmt w:val="chineseCountingThousand"/>
      <w:pStyle w:val="178"/>
      <w:lvlText w:val="附录 %6"/>
      <w:lvlJc w:val="left"/>
      <w:pPr>
        <w:tabs>
          <w:tab w:val="left" w:pos="567"/>
        </w:tabs>
        <w:ind w:left="567" w:hanging="567"/>
      </w:pPr>
      <w:rPr>
        <w:rFonts w:hint="eastAsia"/>
      </w:rPr>
    </w:lvl>
    <w:lvl w:ilvl="6" w:tentative="0">
      <w:start w:val="1"/>
      <w:numFmt w:val="decimal"/>
      <w:pStyle w:val="179"/>
      <w:lvlText w:val="%7"/>
      <w:lvlJc w:val="left"/>
      <w:pPr>
        <w:tabs>
          <w:tab w:val="left" w:pos="567"/>
        </w:tabs>
        <w:ind w:left="1134" w:hanging="567"/>
      </w:pPr>
      <w:rPr>
        <w:rFonts w:hint="eastAsia"/>
      </w:rPr>
    </w:lvl>
    <w:lvl w:ilvl="7" w:tentative="0">
      <w:start w:val="1"/>
      <w:numFmt w:val="upperLetter"/>
      <w:pStyle w:val="180"/>
      <w:lvlText w:val="附件 %8"/>
      <w:lvlJc w:val="left"/>
      <w:pPr>
        <w:tabs>
          <w:tab w:val="left" w:pos="567"/>
        </w:tabs>
      </w:pPr>
      <w:rPr>
        <w:rFonts w:hint="eastAsia"/>
      </w:rPr>
    </w:lvl>
    <w:lvl w:ilvl="8" w:tentative="0">
      <w:start w:val="1"/>
      <w:numFmt w:val="chineseCountingThousand"/>
      <w:pStyle w:val="181"/>
      <w:lvlText w:val="第%9部分"/>
      <w:lvlJc w:val="left"/>
      <w:pPr>
        <w:tabs>
          <w:tab w:val="left" w:pos="567"/>
        </w:tabs>
        <w:ind w:left="567" w:hanging="567"/>
      </w:pPr>
      <w:rPr>
        <w:rFonts w:hint="eastAsia"/>
      </w:rPr>
    </w:lvl>
  </w:abstractNum>
  <w:abstractNum w:abstractNumId="6">
    <w:nsid w:val="1A0029B7"/>
    <w:multiLevelType w:val="multilevel"/>
    <w:tmpl w:val="1A0029B7"/>
    <w:lvl w:ilvl="0" w:tentative="0">
      <w:start w:val="1"/>
      <w:numFmt w:val="decimal"/>
      <w:pStyle w:val="40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D14197"/>
    <w:multiLevelType w:val="multilevel"/>
    <w:tmpl w:val="2ED14197"/>
    <w:lvl w:ilvl="0" w:tentative="0">
      <w:start w:val="1"/>
      <w:numFmt w:val="decimal"/>
      <w:pStyle w:val="329"/>
      <w:lvlText w:val="%1."/>
      <w:lvlJc w:val="left"/>
      <w:pPr>
        <w:ind w:left="420" w:hanging="420"/>
      </w:pPr>
      <w:rPr>
        <w:rFonts w:hint="default"/>
        <w:sz w:val="21"/>
        <w:szCs w:val="21"/>
      </w:rPr>
    </w:lvl>
    <w:lvl w:ilvl="1" w:tentative="0">
      <w:start w:val="1"/>
      <w:numFmt w:val="lowerLetter"/>
      <w:pStyle w:val="26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08694F"/>
    <w:multiLevelType w:val="multilevel"/>
    <w:tmpl w:val="3308694F"/>
    <w:lvl w:ilvl="0" w:tentative="0">
      <w:start w:val="1"/>
      <w:numFmt w:val="decimal"/>
      <w:pStyle w:val="362"/>
      <w:lvlText w:val="%1."/>
      <w:lvlJc w:val="left"/>
      <w:pPr>
        <w:tabs>
          <w:tab w:val="left" w:pos="1134"/>
        </w:tabs>
        <w:ind w:left="1134" w:hanging="1134"/>
      </w:pPr>
      <w:rPr>
        <w:rFonts w:hint="default" w:ascii="Arial" w:hAnsi="Arial"/>
        <w:b/>
        <w:i w:val="0"/>
        <w:caps/>
        <w:sz w:val="24"/>
      </w:rPr>
    </w:lvl>
    <w:lvl w:ilvl="1" w:tentative="0">
      <w:start w:val="1"/>
      <w:numFmt w:val="decimal"/>
      <w:lvlText w:val="%1.%2"/>
      <w:lvlJc w:val="left"/>
      <w:pPr>
        <w:tabs>
          <w:tab w:val="left" w:pos="1134"/>
        </w:tabs>
        <w:ind w:left="1134" w:hanging="1134"/>
      </w:pPr>
      <w:rPr>
        <w:rFonts w:hint="default" w:ascii="Arial" w:hAnsi="Arial"/>
        <w:b/>
        <w:i w:val="0"/>
        <w:sz w:val="22"/>
      </w:rPr>
    </w:lvl>
    <w:lvl w:ilvl="2" w:tentative="0">
      <w:start w:val="1"/>
      <w:numFmt w:val="decimal"/>
      <w:lvlText w:val="%1.%2.%3"/>
      <w:lvlJc w:val="left"/>
      <w:pPr>
        <w:tabs>
          <w:tab w:val="left" w:pos="1134"/>
        </w:tabs>
        <w:ind w:left="1134" w:hanging="1134"/>
      </w:pPr>
      <w:rPr>
        <w:rFonts w:hint="default" w:ascii="Arial" w:hAnsi="Arial"/>
        <w:b/>
        <w:i w:val="0"/>
        <w:sz w:val="22"/>
      </w:rPr>
    </w:lvl>
    <w:lvl w:ilvl="3" w:tentative="0">
      <w:start w:val="1"/>
      <w:numFmt w:val="decimal"/>
      <w:pStyle w:val="6"/>
      <w:lvlText w:val="%1.%2.%3.%4"/>
      <w:lvlJc w:val="left"/>
      <w:pPr>
        <w:tabs>
          <w:tab w:val="left" w:pos="720"/>
        </w:tabs>
        <w:ind w:left="0" w:firstLine="0"/>
      </w:pPr>
      <w:rPr>
        <w:rFonts w:hint="default" w:ascii="Arial" w:hAnsi="Arial"/>
        <w:b/>
        <w:i/>
        <w:caps w:val="0"/>
        <w:sz w:val="22"/>
      </w:rPr>
    </w:lvl>
    <w:lvl w:ilvl="4" w:tentative="0">
      <w:start w:val="1"/>
      <w:numFmt w:val="decimal"/>
      <w:lvlText w:val="%1.%2.%3.%4.%5"/>
      <w:lvlJc w:val="left"/>
      <w:pPr>
        <w:tabs>
          <w:tab w:val="left" w:pos="1080"/>
        </w:tabs>
        <w:ind w:left="0" w:firstLine="0"/>
      </w:pPr>
    </w:lvl>
    <w:lvl w:ilvl="5" w:tentative="0">
      <w:start w:val="1"/>
      <w:numFmt w:val="decimal"/>
      <w:lvlText w:val="%1.%2.%3.%4.%5.%6"/>
      <w:lvlJc w:val="left"/>
      <w:pPr>
        <w:tabs>
          <w:tab w:val="left" w:pos="0"/>
        </w:tabs>
        <w:ind w:left="0" w:firstLine="0"/>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9">
    <w:nsid w:val="35565B5D"/>
    <w:multiLevelType w:val="multilevel"/>
    <w:tmpl w:val="35565B5D"/>
    <w:lvl w:ilvl="0" w:tentative="0">
      <w:start w:val="1"/>
      <w:numFmt w:val="decimal"/>
      <w:pStyle w:val="336"/>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DE07AF"/>
    <w:multiLevelType w:val="multilevel"/>
    <w:tmpl w:val="37DE07AF"/>
    <w:lvl w:ilvl="0" w:tentative="0">
      <w:start w:val="1"/>
      <w:numFmt w:val="decimal"/>
      <w:pStyle w:val="410"/>
      <w:lvlText w:val="%1"/>
      <w:lvlJc w:val="left"/>
      <w:pPr>
        <w:tabs>
          <w:tab w:val="left" w:pos="567"/>
        </w:tabs>
        <w:ind w:left="1701" w:hanging="567"/>
      </w:pPr>
      <w:rPr>
        <w:rFonts w:hint="default"/>
      </w:rPr>
    </w:lvl>
    <w:lvl w:ilvl="1" w:tentative="0">
      <w:start w:val="1"/>
      <w:numFmt w:val="decimal"/>
      <w:pStyle w:val="463"/>
      <w:lvlText w:val="%1.%2"/>
      <w:lvlJc w:val="left"/>
      <w:pPr>
        <w:tabs>
          <w:tab w:val="left" w:pos="567"/>
        </w:tabs>
        <w:ind w:left="1701" w:hanging="567"/>
      </w:pPr>
      <w:rPr>
        <w:rFonts w:hint="default"/>
      </w:rPr>
    </w:lvl>
    <w:lvl w:ilvl="2" w:tentative="0">
      <w:start w:val="1"/>
      <w:numFmt w:val="none"/>
      <w:pStyle w:val="466"/>
      <w:lvlText w:val=""/>
      <w:lvlJc w:val="left"/>
      <w:pPr>
        <w:tabs>
          <w:tab w:val="left" w:pos="0"/>
        </w:tabs>
        <w:ind w:left="1134"/>
      </w:pPr>
      <w:rPr>
        <w:rFonts w:hint="default"/>
      </w:rPr>
    </w:lvl>
    <w:lvl w:ilvl="3" w:tentative="0">
      <w:start w:val="1"/>
      <w:numFmt w:val="none"/>
      <w:pStyle w:val="370"/>
      <w:lvlText w:val=""/>
      <w:lvlJc w:val="left"/>
      <w:pPr>
        <w:tabs>
          <w:tab w:val="left" w:pos="0"/>
        </w:tabs>
        <w:ind w:left="1134"/>
      </w:pPr>
      <w:rPr>
        <w:rFonts w:hint="default"/>
      </w:rPr>
    </w:lvl>
    <w:lvl w:ilvl="4" w:tentative="0">
      <w:start w:val="1"/>
      <w:numFmt w:val="none"/>
      <w:pStyle w:val="369"/>
      <w:lvlText w:val=""/>
      <w:lvlJc w:val="left"/>
      <w:pPr>
        <w:tabs>
          <w:tab w:val="left" w:pos="0"/>
        </w:tabs>
        <w:ind w:left="1134"/>
      </w:pPr>
      <w:rPr>
        <w:rFonts w:hint="default"/>
      </w:rPr>
    </w:lvl>
    <w:lvl w:ilvl="5" w:tentative="0">
      <w:start w:val="1"/>
      <w:numFmt w:val="none"/>
      <w:lvlText w:val=""/>
      <w:lvlJc w:val="left"/>
      <w:pPr>
        <w:tabs>
          <w:tab w:val="left" w:pos="0"/>
        </w:tabs>
        <w:ind w:left="1134"/>
      </w:pPr>
      <w:rPr>
        <w:rFonts w:hint="default"/>
      </w:rPr>
    </w:lvl>
    <w:lvl w:ilvl="6" w:tentative="0">
      <w:start w:val="1"/>
      <w:numFmt w:val="none"/>
      <w:lvlText w:val=""/>
      <w:lvlJc w:val="left"/>
      <w:pPr>
        <w:tabs>
          <w:tab w:val="left" w:pos="0"/>
        </w:tabs>
        <w:ind w:left="1134"/>
      </w:pPr>
      <w:rPr>
        <w:rFonts w:hint="default"/>
      </w:rPr>
    </w:lvl>
    <w:lvl w:ilvl="7" w:tentative="0">
      <w:start w:val="1"/>
      <w:numFmt w:val="none"/>
      <w:lvlText w:val=""/>
      <w:lvlJc w:val="left"/>
      <w:pPr>
        <w:tabs>
          <w:tab w:val="left" w:pos="0"/>
        </w:tabs>
        <w:ind w:left="1134"/>
      </w:pPr>
      <w:rPr>
        <w:rFonts w:hint="default"/>
      </w:rPr>
    </w:lvl>
    <w:lvl w:ilvl="8" w:tentative="0">
      <w:start w:val="1"/>
      <w:numFmt w:val="none"/>
      <w:lvlText w:val=""/>
      <w:lvlJc w:val="left"/>
      <w:pPr>
        <w:tabs>
          <w:tab w:val="left" w:pos="0"/>
        </w:tabs>
        <w:ind w:left="1134"/>
      </w:pPr>
      <w:rPr>
        <w:rFonts w:hint="default"/>
      </w:rPr>
    </w:lvl>
  </w:abstractNum>
  <w:abstractNum w:abstractNumId="11">
    <w:nsid w:val="3F0C72AB"/>
    <w:multiLevelType w:val="multilevel"/>
    <w:tmpl w:val="3F0C72AB"/>
    <w:lvl w:ilvl="0" w:tentative="0">
      <w:start w:val="4"/>
      <w:numFmt w:val="decimal"/>
      <w:pStyle w:val="34"/>
      <w:lvlText w:val="%1"/>
      <w:lvlJc w:val="left"/>
      <w:pPr>
        <w:ind w:left="360" w:hanging="360"/>
      </w:pPr>
      <w:rPr>
        <w:rFonts w:hint="default"/>
        <w:b/>
      </w:rPr>
    </w:lvl>
    <w:lvl w:ilvl="1" w:tentative="0">
      <w:start w:val="4"/>
      <w:numFmt w:val="decimal"/>
      <w:lvlText w:val="%1.%2"/>
      <w:lvlJc w:val="left"/>
      <w:pPr>
        <w:ind w:left="1105" w:hanging="720"/>
      </w:pPr>
      <w:rPr>
        <w:rFonts w:hint="default"/>
        <w:b/>
      </w:rPr>
    </w:lvl>
    <w:lvl w:ilvl="2" w:tentative="0">
      <w:start w:val="1"/>
      <w:numFmt w:val="decimal"/>
      <w:lvlText w:val="%1.%2.%3"/>
      <w:lvlJc w:val="left"/>
      <w:pPr>
        <w:ind w:left="1490" w:hanging="720"/>
      </w:pPr>
      <w:rPr>
        <w:rFonts w:hint="default"/>
        <w:b/>
      </w:rPr>
    </w:lvl>
    <w:lvl w:ilvl="3" w:tentative="0">
      <w:start w:val="1"/>
      <w:numFmt w:val="decimal"/>
      <w:lvlText w:val="%1.%2.%3.%4"/>
      <w:lvlJc w:val="left"/>
      <w:pPr>
        <w:ind w:left="2235" w:hanging="1080"/>
      </w:pPr>
      <w:rPr>
        <w:rFonts w:hint="default"/>
        <w:b/>
      </w:rPr>
    </w:lvl>
    <w:lvl w:ilvl="4" w:tentative="0">
      <w:start w:val="1"/>
      <w:numFmt w:val="decimal"/>
      <w:lvlText w:val="%1.%2.%3.%4.%5"/>
      <w:lvlJc w:val="left"/>
      <w:pPr>
        <w:ind w:left="2980" w:hanging="1440"/>
      </w:pPr>
      <w:rPr>
        <w:rFonts w:hint="default"/>
        <w:b/>
      </w:rPr>
    </w:lvl>
    <w:lvl w:ilvl="5" w:tentative="0">
      <w:start w:val="1"/>
      <w:numFmt w:val="decimal"/>
      <w:lvlText w:val="%1.%2.%3.%4.%5.%6"/>
      <w:lvlJc w:val="left"/>
      <w:pPr>
        <w:ind w:left="3365" w:hanging="1440"/>
      </w:pPr>
      <w:rPr>
        <w:rFonts w:hint="default"/>
        <w:b/>
      </w:rPr>
    </w:lvl>
    <w:lvl w:ilvl="6" w:tentative="0">
      <w:start w:val="1"/>
      <w:numFmt w:val="decimal"/>
      <w:lvlText w:val="%1.%2.%3.%4.%5.%6.%7"/>
      <w:lvlJc w:val="left"/>
      <w:pPr>
        <w:ind w:left="4110" w:hanging="1800"/>
      </w:pPr>
      <w:rPr>
        <w:rFonts w:hint="default"/>
        <w:b/>
      </w:rPr>
    </w:lvl>
    <w:lvl w:ilvl="7" w:tentative="0">
      <w:start w:val="1"/>
      <w:numFmt w:val="decimal"/>
      <w:lvlText w:val="%1.%2.%3.%4.%5.%6.%7.%8"/>
      <w:lvlJc w:val="left"/>
      <w:pPr>
        <w:ind w:left="4855" w:hanging="2160"/>
      </w:pPr>
      <w:rPr>
        <w:rFonts w:hint="default"/>
        <w:b/>
      </w:rPr>
    </w:lvl>
    <w:lvl w:ilvl="8" w:tentative="0">
      <w:start w:val="1"/>
      <w:numFmt w:val="decimal"/>
      <w:lvlText w:val="%1.%2.%3.%4.%5.%6.%7.%8.%9"/>
      <w:lvlJc w:val="left"/>
      <w:pPr>
        <w:ind w:left="5240" w:hanging="2160"/>
      </w:pPr>
      <w:rPr>
        <w:rFonts w:hint="default"/>
        <w:b/>
      </w:rPr>
    </w:lvl>
  </w:abstractNum>
  <w:abstractNum w:abstractNumId="12">
    <w:nsid w:val="3F653FD5"/>
    <w:multiLevelType w:val="multilevel"/>
    <w:tmpl w:val="3F653FD5"/>
    <w:lvl w:ilvl="0" w:tentative="0">
      <w:start w:val="1"/>
      <w:numFmt w:val="decimal"/>
      <w:pStyle w:val="46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AC21F2"/>
    <w:multiLevelType w:val="multilevel"/>
    <w:tmpl w:val="45AC21F2"/>
    <w:lvl w:ilvl="0" w:tentative="0">
      <w:start w:val="1"/>
      <w:numFmt w:val="decimal"/>
      <w:pStyle w:val="1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FC1A34"/>
    <w:multiLevelType w:val="multilevel"/>
    <w:tmpl w:val="45FC1A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pStyle w:val="45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AC762D"/>
    <w:multiLevelType w:val="multilevel"/>
    <w:tmpl w:val="4DAC762D"/>
    <w:lvl w:ilvl="0" w:tentative="0">
      <w:start w:val="1"/>
      <w:numFmt w:val="decimal"/>
      <w:pStyle w:val="303"/>
      <w:lvlText w:val="%1"/>
      <w:lvlJc w:val="left"/>
      <w:pPr>
        <w:tabs>
          <w:tab w:val="left" w:pos="432"/>
        </w:tabs>
        <w:ind w:left="432" w:hanging="432"/>
      </w:pPr>
      <w:rPr>
        <w:rFonts w:hint="eastAsia"/>
      </w:rPr>
    </w:lvl>
    <w:lvl w:ilvl="1" w:tentative="0">
      <w:start w:val="1"/>
      <w:numFmt w:val="decimal"/>
      <w:pStyle w:val="30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5B437084"/>
    <w:multiLevelType w:val="multilevel"/>
    <w:tmpl w:val="5B437084"/>
    <w:lvl w:ilvl="0" w:tentative="0">
      <w:start w:val="1"/>
      <w:numFmt w:val="decimal"/>
      <w:pStyle w:val="397"/>
      <w:lvlText w:val="%1、"/>
      <w:lvlJc w:val="left"/>
      <w:pPr>
        <w:tabs>
          <w:tab w:val="left" w:pos="1320"/>
        </w:tabs>
        <w:ind w:left="1320" w:hanging="8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8"/>
  </w:num>
  <w:num w:numId="2">
    <w:abstractNumId w:val="13"/>
  </w:num>
  <w:num w:numId="3">
    <w:abstractNumId w:val="11"/>
  </w:num>
  <w:num w:numId="4">
    <w:abstractNumId w:val="5"/>
  </w:num>
  <w:num w:numId="5">
    <w:abstractNumId w:val="7"/>
  </w:num>
  <w:num w:numId="6">
    <w:abstractNumId w:val="15"/>
  </w:num>
  <w:num w:numId="7">
    <w:abstractNumId w:val="9"/>
  </w:num>
  <w:num w:numId="8">
    <w:abstractNumId w:val="10"/>
  </w:num>
  <w:num w:numId="9">
    <w:abstractNumId w:val="16"/>
  </w:num>
  <w:num w:numId="10">
    <w:abstractNumId w:val="6"/>
  </w:num>
  <w:num w:numId="11">
    <w:abstractNumId w:val="14"/>
  </w:num>
  <w:num w:numId="12">
    <w:abstractNumId w:val="12"/>
  </w:num>
  <w:num w:numId="13">
    <w:abstractNumId w:val="0"/>
  </w:num>
  <w:num w:numId="14">
    <w:abstractNumId w:val="1"/>
  </w:num>
  <w:num w:numId="15">
    <w:abstractNumId w:val="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6C42"/>
    <w:rsid w:val="00000A91"/>
    <w:rsid w:val="00001628"/>
    <w:rsid w:val="0000175D"/>
    <w:rsid w:val="000022E3"/>
    <w:rsid w:val="00002E23"/>
    <w:rsid w:val="00004A65"/>
    <w:rsid w:val="00004D27"/>
    <w:rsid w:val="00005F2B"/>
    <w:rsid w:val="0000666E"/>
    <w:rsid w:val="00006EFB"/>
    <w:rsid w:val="00010649"/>
    <w:rsid w:val="00010A8C"/>
    <w:rsid w:val="00011107"/>
    <w:rsid w:val="000111F4"/>
    <w:rsid w:val="00011356"/>
    <w:rsid w:val="00014513"/>
    <w:rsid w:val="00014815"/>
    <w:rsid w:val="00014F11"/>
    <w:rsid w:val="00015824"/>
    <w:rsid w:val="0001709D"/>
    <w:rsid w:val="00017985"/>
    <w:rsid w:val="000226C6"/>
    <w:rsid w:val="00022761"/>
    <w:rsid w:val="00022CCC"/>
    <w:rsid w:val="0002311E"/>
    <w:rsid w:val="0002420B"/>
    <w:rsid w:val="000243F0"/>
    <w:rsid w:val="000245F7"/>
    <w:rsid w:val="000247A1"/>
    <w:rsid w:val="0002486D"/>
    <w:rsid w:val="00024AF9"/>
    <w:rsid w:val="000251A3"/>
    <w:rsid w:val="0002573D"/>
    <w:rsid w:val="00025D93"/>
    <w:rsid w:val="0002742D"/>
    <w:rsid w:val="00027B82"/>
    <w:rsid w:val="000302B5"/>
    <w:rsid w:val="00031B73"/>
    <w:rsid w:val="00031C12"/>
    <w:rsid w:val="00032332"/>
    <w:rsid w:val="000323C3"/>
    <w:rsid w:val="000331EA"/>
    <w:rsid w:val="0003348E"/>
    <w:rsid w:val="000336A9"/>
    <w:rsid w:val="000336BD"/>
    <w:rsid w:val="00033A5F"/>
    <w:rsid w:val="00033F63"/>
    <w:rsid w:val="00034F6C"/>
    <w:rsid w:val="000352AC"/>
    <w:rsid w:val="00035E7C"/>
    <w:rsid w:val="000363AB"/>
    <w:rsid w:val="00037023"/>
    <w:rsid w:val="00037289"/>
    <w:rsid w:val="00037A84"/>
    <w:rsid w:val="00040B1E"/>
    <w:rsid w:val="00041CF5"/>
    <w:rsid w:val="00041E41"/>
    <w:rsid w:val="0004358A"/>
    <w:rsid w:val="000438CB"/>
    <w:rsid w:val="0004393F"/>
    <w:rsid w:val="00043ACF"/>
    <w:rsid w:val="00044E3F"/>
    <w:rsid w:val="00045ABD"/>
    <w:rsid w:val="00045D71"/>
    <w:rsid w:val="0004653F"/>
    <w:rsid w:val="000473C3"/>
    <w:rsid w:val="00047AB2"/>
    <w:rsid w:val="00047B62"/>
    <w:rsid w:val="00051172"/>
    <w:rsid w:val="00051327"/>
    <w:rsid w:val="00051415"/>
    <w:rsid w:val="0005152B"/>
    <w:rsid w:val="0005328F"/>
    <w:rsid w:val="00054854"/>
    <w:rsid w:val="000549E1"/>
    <w:rsid w:val="00054ACD"/>
    <w:rsid w:val="000557D0"/>
    <w:rsid w:val="00055FD2"/>
    <w:rsid w:val="00056244"/>
    <w:rsid w:val="000563E6"/>
    <w:rsid w:val="00056DDC"/>
    <w:rsid w:val="00060EB0"/>
    <w:rsid w:val="00061E83"/>
    <w:rsid w:val="000621B9"/>
    <w:rsid w:val="000626A5"/>
    <w:rsid w:val="00062BFF"/>
    <w:rsid w:val="00062D4D"/>
    <w:rsid w:val="00062ED5"/>
    <w:rsid w:val="000649F6"/>
    <w:rsid w:val="00064E87"/>
    <w:rsid w:val="00064F7A"/>
    <w:rsid w:val="00066925"/>
    <w:rsid w:val="000669AE"/>
    <w:rsid w:val="000670A6"/>
    <w:rsid w:val="00070198"/>
    <w:rsid w:val="00070BED"/>
    <w:rsid w:val="00070F49"/>
    <w:rsid w:val="0007143B"/>
    <w:rsid w:val="00071BB3"/>
    <w:rsid w:val="0007212B"/>
    <w:rsid w:val="000724D9"/>
    <w:rsid w:val="00072978"/>
    <w:rsid w:val="0007312C"/>
    <w:rsid w:val="000731B7"/>
    <w:rsid w:val="000737B3"/>
    <w:rsid w:val="00073F00"/>
    <w:rsid w:val="00074609"/>
    <w:rsid w:val="00074A67"/>
    <w:rsid w:val="0007518B"/>
    <w:rsid w:val="00075F6F"/>
    <w:rsid w:val="00077925"/>
    <w:rsid w:val="00080987"/>
    <w:rsid w:val="00080B33"/>
    <w:rsid w:val="00081346"/>
    <w:rsid w:val="000814F3"/>
    <w:rsid w:val="00081B1C"/>
    <w:rsid w:val="00082400"/>
    <w:rsid w:val="0008293E"/>
    <w:rsid w:val="00083387"/>
    <w:rsid w:val="000836ED"/>
    <w:rsid w:val="000839A9"/>
    <w:rsid w:val="00084182"/>
    <w:rsid w:val="00085B9A"/>
    <w:rsid w:val="000863C2"/>
    <w:rsid w:val="00086B7F"/>
    <w:rsid w:val="000875E7"/>
    <w:rsid w:val="00087871"/>
    <w:rsid w:val="000901AF"/>
    <w:rsid w:val="00090E29"/>
    <w:rsid w:val="000925AE"/>
    <w:rsid w:val="00092A37"/>
    <w:rsid w:val="00092D52"/>
    <w:rsid w:val="00093D42"/>
    <w:rsid w:val="000952A0"/>
    <w:rsid w:val="00097347"/>
    <w:rsid w:val="000A1E76"/>
    <w:rsid w:val="000A2C21"/>
    <w:rsid w:val="000A3191"/>
    <w:rsid w:val="000A3893"/>
    <w:rsid w:val="000A4464"/>
    <w:rsid w:val="000A4E80"/>
    <w:rsid w:val="000A68B7"/>
    <w:rsid w:val="000A6B59"/>
    <w:rsid w:val="000A7E1B"/>
    <w:rsid w:val="000B0D77"/>
    <w:rsid w:val="000B0DC8"/>
    <w:rsid w:val="000B0EC8"/>
    <w:rsid w:val="000B12D7"/>
    <w:rsid w:val="000B201B"/>
    <w:rsid w:val="000B3102"/>
    <w:rsid w:val="000B4151"/>
    <w:rsid w:val="000B504E"/>
    <w:rsid w:val="000B70EF"/>
    <w:rsid w:val="000B78B3"/>
    <w:rsid w:val="000B78F3"/>
    <w:rsid w:val="000B799C"/>
    <w:rsid w:val="000C0053"/>
    <w:rsid w:val="000C070E"/>
    <w:rsid w:val="000C0D4E"/>
    <w:rsid w:val="000C0DDB"/>
    <w:rsid w:val="000C1208"/>
    <w:rsid w:val="000C174C"/>
    <w:rsid w:val="000C1BE3"/>
    <w:rsid w:val="000C22F3"/>
    <w:rsid w:val="000C2904"/>
    <w:rsid w:val="000C3124"/>
    <w:rsid w:val="000C3912"/>
    <w:rsid w:val="000C3D71"/>
    <w:rsid w:val="000C40FB"/>
    <w:rsid w:val="000C4DE1"/>
    <w:rsid w:val="000C5346"/>
    <w:rsid w:val="000C5885"/>
    <w:rsid w:val="000C5DE6"/>
    <w:rsid w:val="000C6A79"/>
    <w:rsid w:val="000C6BE2"/>
    <w:rsid w:val="000C6C73"/>
    <w:rsid w:val="000C6FF7"/>
    <w:rsid w:val="000D1A9F"/>
    <w:rsid w:val="000D20C7"/>
    <w:rsid w:val="000D3CA7"/>
    <w:rsid w:val="000D441B"/>
    <w:rsid w:val="000D4AAE"/>
    <w:rsid w:val="000E006C"/>
    <w:rsid w:val="000E0F5C"/>
    <w:rsid w:val="000E18C6"/>
    <w:rsid w:val="000E292E"/>
    <w:rsid w:val="000E2D57"/>
    <w:rsid w:val="000E31F9"/>
    <w:rsid w:val="000E41F5"/>
    <w:rsid w:val="000E4D52"/>
    <w:rsid w:val="000E5737"/>
    <w:rsid w:val="000E61ED"/>
    <w:rsid w:val="000E6B2A"/>
    <w:rsid w:val="000E6E53"/>
    <w:rsid w:val="000E72DD"/>
    <w:rsid w:val="000F00D6"/>
    <w:rsid w:val="000F0EF4"/>
    <w:rsid w:val="000F0F80"/>
    <w:rsid w:val="000F10D2"/>
    <w:rsid w:val="000F2566"/>
    <w:rsid w:val="000F29D7"/>
    <w:rsid w:val="000F357D"/>
    <w:rsid w:val="000F3A35"/>
    <w:rsid w:val="000F3ACE"/>
    <w:rsid w:val="000F499D"/>
    <w:rsid w:val="000F4AF5"/>
    <w:rsid w:val="000F5764"/>
    <w:rsid w:val="000F5AF2"/>
    <w:rsid w:val="000F629A"/>
    <w:rsid w:val="000F6C86"/>
    <w:rsid w:val="000F6E0A"/>
    <w:rsid w:val="000F6F15"/>
    <w:rsid w:val="000F7E9D"/>
    <w:rsid w:val="00100558"/>
    <w:rsid w:val="00102548"/>
    <w:rsid w:val="001040DF"/>
    <w:rsid w:val="0010432C"/>
    <w:rsid w:val="00104F99"/>
    <w:rsid w:val="00105C7B"/>
    <w:rsid w:val="0010600E"/>
    <w:rsid w:val="00106233"/>
    <w:rsid w:val="001066D4"/>
    <w:rsid w:val="00106FB3"/>
    <w:rsid w:val="001070A5"/>
    <w:rsid w:val="00107233"/>
    <w:rsid w:val="00107BD4"/>
    <w:rsid w:val="00110170"/>
    <w:rsid w:val="001104BA"/>
    <w:rsid w:val="001109B3"/>
    <w:rsid w:val="00110D1D"/>
    <w:rsid w:val="00111D41"/>
    <w:rsid w:val="00111FE4"/>
    <w:rsid w:val="00112418"/>
    <w:rsid w:val="00114B2E"/>
    <w:rsid w:val="00114EEC"/>
    <w:rsid w:val="001151E9"/>
    <w:rsid w:val="00115552"/>
    <w:rsid w:val="00117629"/>
    <w:rsid w:val="00117AF5"/>
    <w:rsid w:val="00120013"/>
    <w:rsid w:val="00121157"/>
    <w:rsid w:val="00122223"/>
    <w:rsid w:val="001222ED"/>
    <w:rsid w:val="00122431"/>
    <w:rsid w:val="0012293F"/>
    <w:rsid w:val="00122E28"/>
    <w:rsid w:val="00124017"/>
    <w:rsid w:val="00124E39"/>
    <w:rsid w:val="0012657C"/>
    <w:rsid w:val="00126E73"/>
    <w:rsid w:val="00127584"/>
    <w:rsid w:val="00127677"/>
    <w:rsid w:val="00130756"/>
    <w:rsid w:val="0013275C"/>
    <w:rsid w:val="00133102"/>
    <w:rsid w:val="001340BA"/>
    <w:rsid w:val="0013436B"/>
    <w:rsid w:val="0013469B"/>
    <w:rsid w:val="001347F9"/>
    <w:rsid w:val="001355EC"/>
    <w:rsid w:val="00135910"/>
    <w:rsid w:val="00135C6B"/>
    <w:rsid w:val="0013632A"/>
    <w:rsid w:val="0013661C"/>
    <w:rsid w:val="0013720B"/>
    <w:rsid w:val="0014152F"/>
    <w:rsid w:val="0014264C"/>
    <w:rsid w:val="00142808"/>
    <w:rsid w:val="001431FF"/>
    <w:rsid w:val="00143E13"/>
    <w:rsid w:val="00143EBC"/>
    <w:rsid w:val="001441CE"/>
    <w:rsid w:val="001443D9"/>
    <w:rsid w:val="00145417"/>
    <w:rsid w:val="00145912"/>
    <w:rsid w:val="00145B69"/>
    <w:rsid w:val="00147EAF"/>
    <w:rsid w:val="00150630"/>
    <w:rsid w:val="00150D83"/>
    <w:rsid w:val="00151052"/>
    <w:rsid w:val="00151543"/>
    <w:rsid w:val="00151D28"/>
    <w:rsid w:val="00152397"/>
    <w:rsid w:val="00152A29"/>
    <w:rsid w:val="00153033"/>
    <w:rsid w:val="00154323"/>
    <w:rsid w:val="0015457D"/>
    <w:rsid w:val="00154C51"/>
    <w:rsid w:val="00155905"/>
    <w:rsid w:val="00156A3A"/>
    <w:rsid w:val="00156A8E"/>
    <w:rsid w:val="00156B7E"/>
    <w:rsid w:val="00156F31"/>
    <w:rsid w:val="00157E13"/>
    <w:rsid w:val="001615A1"/>
    <w:rsid w:val="001627C7"/>
    <w:rsid w:val="0016319F"/>
    <w:rsid w:val="0016396B"/>
    <w:rsid w:val="00163C79"/>
    <w:rsid w:val="00164F0E"/>
    <w:rsid w:val="0016600A"/>
    <w:rsid w:val="001668DC"/>
    <w:rsid w:val="0016691F"/>
    <w:rsid w:val="0016795B"/>
    <w:rsid w:val="00167CB6"/>
    <w:rsid w:val="00167F9D"/>
    <w:rsid w:val="001708AC"/>
    <w:rsid w:val="00170DB3"/>
    <w:rsid w:val="0017114F"/>
    <w:rsid w:val="001714E1"/>
    <w:rsid w:val="00171C9C"/>
    <w:rsid w:val="001725EB"/>
    <w:rsid w:val="00172782"/>
    <w:rsid w:val="00172AD4"/>
    <w:rsid w:val="00173AB8"/>
    <w:rsid w:val="00174302"/>
    <w:rsid w:val="0017592C"/>
    <w:rsid w:val="00176DF1"/>
    <w:rsid w:val="00180225"/>
    <w:rsid w:val="001813A0"/>
    <w:rsid w:val="001815EE"/>
    <w:rsid w:val="00181BD8"/>
    <w:rsid w:val="00182078"/>
    <w:rsid w:val="001828A4"/>
    <w:rsid w:val="00182961"/>
    <w:rsid w:val="00182A1D"/>
    <w:rsid w:val="001831D2"/>
    <w:rsid w:val="001851B0"/>
    <w:rsid w:val="001857D9"/>
    <w:rsid w:val="0018592B"/>
    <w:rsid w:val="001866B5"/>
    <w:rsid w:val="00186C81"/>
    <w:rsid w:val="001876DA"/>
    <w:rsid w:val="00187989"/>
    <w:rsid w:val="001909D6"/>
    <w:rsid w:val="00190E8A"/>
    <w:rsid w:val="001910E2"/>
    <w:rsid w:val="001931B2"/>
    <w:rsid w:val="00193298"/>
    <w:rsid w:val="00193B42"/>
    <w:rsid w:val="001943F3"/>
    <w:rsid w:val="00194B1F"/>
    <w:rsid w:val="00194D6F"/>
    <w:rsid w:val="001960BB"/>
    <w:rsid w:val="001978C5"/>
    <w:rsid w:val="001A0112"/>
    <w:rsid w:val="001A052A"/>
    <w:rsid w:val="001A1746"/>
    <w:rsid w:val="001A1839"/>
    <w:rsid w:val="001A1950"/>
    <w:rsid w:val="001A1B79"/>
    <w:rsid w:val="001A1E15"/>
    <w:rsid w:val="001A26B1"/>
    <w:rsid w:val="001A2CC4"/>
    <w:rsid w:val="001A3EF4"/>
    <w:rsid w:val="001A5BD6"/>
    <w:rsid w:val="001A6435"/>
    <w:rsid w:val="001A6BDD"/>
    <w:rsid w:val="001A71A7"/>
    <w:rsid w:val="001A71E4"/>
    <w:rsid w:val="001A7823"/>
    <w:rsid w:val="001A782C"/>
    <w:rsid w:val="001B02C3"/>
    <w:rsid w:val="001B08C5"/>
    <w:rsid w:val="001B0A90"/>
    <w:rsid w:val="001B0CC3"/>
    <w:rsid w:val="001B1AE1"/>
    <w:rsid w:val="001B26C3"/>
    <w:rsid w:val="001B326A"/>
    <w:rsid w:val="001B3EBE"/>
    <w:rsid w:val="001B419E"/>
    <w:rsid w:val="001B49AF"/>
    <w:rsid w:val="001B71CC"/>
    <w:rsid w:val="001B752B"/>
    <w:rsid w:val="001B7A6D"/>
    <w:rsid w:val="001B7BC2"/>
    <w:rsid w:val="001C046E"/>
    <w:rsid w:val="001C1C1A"/>
    <w:rsid w:val="001C1FC1"/>
    <w:rsid w:val="001C28A9"/>
    <w:rsid w:val="001C35EE"/>
    <w:rsid w:val="001C367E"/>
    <w:rsid w:val="001C3976"/>
    <w:rsid w:val="001C438B"/>
    <w:rsid w:val="001C4671"/>
    <w:rsid w:val="001C513C"/>
    <w:rsid w:val="001C5FFD"/>
    <w:rsid w:val="001C636B"/>
    <w:rsid w:val="001C6669"/>
    <w:rsid w:val="001C709E"/>
    <w:rsid w:val="001C766F"/>
    <w:rsid w:val="001C7F31"/>
    <w:rsid w:val="001D0E02"/>
    <w:rsid w:val="001D187E"/>
    <w:rsid w:val="001D31C7"/>
    <w:rsid w:val="001D37F0"/>
    <w:rsid w:val="001D387A"/>
    <w:rsid w:val="001D4445"/>
    <w:rsid w:val="001D523B"/>
    <w:rsid w:val="001D58E0"/>
    <w:rsid w:val="001D5F5D"/>
    <w:rsid w:val="001D7DEC"/>
    <w:rsid w:val="001E0BB8"/>
    <w:rsid w:val="001E0FCA"/>
    <w:rsid w:val="001E1B57"/>
    <w:rsid w:val="001E25DA"/>
    <w:rsid w:val="001E271B"/>
    <w:rsid w:val="001E3097"/>
    <w:rsid w:val="001E324F"/>
    <w:rsid w:val="001E3A29"/>
    <w:rsid w:val="001E4C7A"/>
    <w:rsid w:val="001E4D14"/>
    <w:rsid w:val="001E59C2"/>
    <w:rsid w:val="001E5D6B"/>
    <w:rsid w:val="001E7BE1"/>
    <w:rsid w:val="001F03BD"/>
    <w:rsid w:val="001F0A0A"/>
    <w:rsid w:val="001F0EC8"/>
    <w:rsid w:val="001F1413"/>
    <w:rsid w:val="001F16CE"/>
    <w:rsid w:val="001F1DA4"/>
    <w:rsid w:val="001F263F"/>
    <w:rsid w:val="001F2662"/>
    <w:rsid w:val="001F3054"/>
    <w:rsid w:val="001F33DF"/>
    <w:rsid w:val="001F3854"/>
    <w:rsid w:val="001F42A9"/>
    <w:rsid w:val="001F49ED"/>
    <w:rsid w:val="001F5163"/>
    <w:rsid w:val="001F5898"/>
    <w:rsid w:val="001F6B6B"/>
    <w:rsid w:val="001F77BC"/>
    <w:rsid w:val="001F7EF9"/>
    <w:rsid w:val="002004E6"/>
    <w:rsid w:val="00200B7A"/>
    <w:rsid w:val="00200FAE"/>
    <w:rsid w:val="00201833"/>
    <w:rsid w:val="00201A94"/>
    <w:rsid w:val="002028CD"/>
    <w:rsid w:val="00202963"/>
    <w:rsid w:val="00202E63"/>
    <w:rsid w:val="002031FF"/>
    <w:rsid w:val="00203E02"/>
    <w:rsid w:val="0020405B"/>
    <w:rsid w:val="002042C3"/>
    <w:rsid w:val="002048AE"/>
    <w:rsid w:val="00204ABC"/>
    <w:rsid w:val="002056BF"/>
    <w:rsid w:val="00205C8D"/>
    <w:rsid w:val="00206A1E"/>
    <w:rsid w:val="00206C0D"/>
    <w:rsid w:val="002072F1"/>
    <w:rsid w:val="002074DE"/>
    <w:rsid w:val="00207B12"/>
    <w:rsid w:val="00210139"/>
    <w:rsid w:val="00211627"/>
    <w:rsid w:val="00211E72"/>
    <w:rsid w:val="00212591"/>
    <w:rsid w:val="002130BD"/>
    <w:rsid w:val="00214036"/>
    <w:rsid w:val="0021471B"/>
    <w:rsid w:val="00216FC7"/>
    <w:rsid w:val="0021722A"/>
    <w:rsid w:val="002173CB"/>
    <w:rsid w:val="00220593"/>
    <w:rsid w:val="00220C4C"/>
    <w:rsid w:val="00220EE7"/>
    <w:rsid w:val="0022107C"/>
    <w:rsid w:val="002217B5"/>
    <w:rsid w:val="0022194D"/>
    <w:rsid w:val="00223311"/>
    <w:rsid w:val="002235C5"/>
    <w:rsid w:val="00223721"/>
    <w:rsid w:val="00223B45"/>
    <w:rsid w:val="00223FEA"/>
    <w:rsid w:val="0022423C"/>
    <w:rsid w:val="00224E19"/>
    <w:rsid w:val="00224E1F"/>
    <w:rsid w:val="002253A5"/>
    <w:rsid w:val="00225C53"/>
    <w:rsid w:val="00227038"/>
    <w:rsid w:val="002300C4"/>
    <w:rsid w:val="002307DC"/>
    <w:rsid w:val="00230A25"/>
    <w:rsid w:val="00231801"/>
    <w:rsid w:val="00234281"/>
    <w:rsid w:val="0023433B"/>
    <w:rsid w:val="002348CB"/>
    <w:rsid w:val="00234C7D"/>
    <w:rsid w:val="0023785F"/>
    <w:rsid w:val="00240D57"/>
    <w:rsid w:val="00243679"/>
    <w:rsid w:val="00243B8B"/>
    <w:rsid w:val="0024467A"/>
    <w:rsid w:val="002447CA"/>
    <w:rsid w:val="00244E39"/>
    <w:rsid w:val="00244F63"/>
    <w:rsid w:val="00245CD4"/>
    <w:rsid w:val="00246598"/>
    <w:rsid w:val="00246E4A"/>
    <w:rsid w:val="00251487"/>
    <w:rsid w:val="00251E75"/>
    <w:rsid w:val="00252458"/>
    <w:rsid w:val="00252689"/>
    <w:rsid w:val="002526CC"/>
    <w:rsid w:val="00252B36"/>
    <w:rsid w:val="00253532"/>
    <w:rsid w:val="0025361C"/>
    <w:rsid w:val="00253960"/>
    <w:rsid w:val="0025404A"/>
    <w:rsid w:val="0025493A"/>
    <w:rsid w:val="00255DAD"/>
    <w:rsid w:val="0025616B"/>
    <w:rsid w:val="0025653A"/>
    <w:rsid w:val="00260CFA"/>
    <w:rsid w:val="00261A61"/>
    <w:rsid w:val="00261EAC"/>
    <w:rsid w:val="002628F6"/>
    <w:rsid w:val="00263883"/>
    <w:rsid w:val="002649AA"/>
    <w:rsid w:val="00264F68"/>
    <w:rsid w:val="00265558"/>
    <w:rsid w:val="0026568F"/>
    <w:rsid w:val="002665D3"/>
    <w:rsid w:val="00266CB1"/>
    <w:rsid w:val="00266DED"/>
    <w:rsid w:val="002671E3"/>
    <w:rsid w:val="00267242"/>
    <w:rsid w:val="002673BA"/>
    <w:rsid w:val="00270E9F"/>
    <w:rsid w:val="002711C3"/>
    <w:rsid w:val="002715D9"/>
    <w:rsid w:val="00271807"/>
    <w:rsid w:val="0027195A"/>
    <w:rsid w:val="00272C8B"/>
    <w:rsid w:val="00272DEE"/>
    <w:rsid w:val="0027445C"/>
    <w:rsid w:val="00274B70"/>
    <w:rsid w:val="002767DE"/>
    <w:rsid w:val="0027753B"/>
    <w:rsid w:val="00277BB9"/>
    <w:rsid w:val="00277EA9"/>
    <w:rsid w:val="002809F7"/>
    <w:rsid w:val="00281AB6"/>
    <w:rsid w:val="0028244B"/>
    <w:rsid w:val="0028263F"/>
    <w:rsid w:val="002832FA"/>
    <w:rsid w:val="002836EF"/>
    <w:rsid w:val="00283DF7"/>
    <w:rsid w:val="00283FC3"/>
    <w:rsid w:val="00284587"/>
    <w:rsid w:val="002871D3"/>
    <w:rsid w:val="002874B9"/>
    <w:rsid w:val="00287D37"/>
    <w:rsid w:val="00290C2C"/>
    <w:rsid w:val="00291B26"/>
    <w:rsid w:val="0029424E"/>
    <w:rsid w:val="0029532D"/>
    <w:rsid w:val="00295C25"/>
    <w:rsid w:val="00296844"/>
    <w:rsid w:val="00296F33"/>
    <w:rsid w:val="00297532"/>
    <w:rsid w:val="0029759C"/>
    <w:rsid w:val="002A1BD5"/>
    <w:rsid w:val="002A2270"/>
    <w:rsid w:val="002A266D"/>
    <w:rsid w:val="002A32E4"/>
    <w:rsid w:val="002A39C4"/>
    <w:rsid w:val="002A3A95"/>
    <w:rsid w:val="002A42F8"/>
    <w:rsid w:val="002A43B2"/>
    <w:rsid w:val="002A440C"/>
    <w:rsid w:val="002A57D3"/>
    <w:rsid w:val="002A5C0D"/>
    <w:rsid w:val="002A637A"/>
    <w:rsid w:val="002B0453"/>
    <w:rsid w:val="002B089B"/>
    <w:rsid w:val="002B08D3"/>
    <w:rsid w:val="002B0AB1"/>
    <w:rsid w:val="002B23A1"/>
    <w:rsid w:val="002B2639"/>
    <w:rsid w:val="002B30B0"/>
    <w:rsid w:val="002B3C4E"/>
    <w:rsid w:val="002B3DEF"/>
    <w:rsid w:val="002B43BB"/>
    <w:rsid w:val="002B57D2"/>
    <w:rsid w:val="002C11AD"/>
    <w:rsid w:val="002C2EF7"/>
    <w:rsid w:val="002C32C9"/>
    <w:rsid w:val="002C4136"/>
    <w:rsid w:val="002C439D"/>
    <w:rsid w:val="002C4433"/>
    <w:rsid w:val="002C5B9A"/>
    <w:rsid w:val="002C5BFA"/>
    <w:rsid w:val="002C6920"/>
    <w:rsid w:val="002C7A92"/>
    <w:rsid w:val="002D28B8"/>
    <w:rsid w:val="002D2B08"/>
    <w:rsid w:val="002D3054"/>
    <w:rsid w:val="002D339C"/>
    <w:rsid w:val="002D4312"/>
    <w:rsid w:val="002D436A"/>
    <w:rsid w:val="002D47EE"/>
    <w:rsid w:val="002D4F69"/>
    <w:rsid w:val="002D57D1"/>
    <w:rsid w:val="002D6193"/>
    <w:rsid w:val="002D64E9"/>
    <w:rsid w:val="002D6788"/>
    <w:rsid w:val="002D68ED"/>
    <w:rsid w:val="002D6E16"/>
    <w:rsid w:val="002D718D"/>
    <w:rsid w:val="002D731B"/>
    <w:rsid w:val="002D7EEE"/>
    <w:rsid w:val="002E1660"/>
    <w:rsid w:val="002E1B6E"/>
    <w:rsid w:val="002E245C"/>
    <w:rsid w:val="002E2C90"/>
    <w:rsid w:val="002E3556"/>
    <w:rsid w:val="002E40F9"/>
    <w:rsid w:val="002E47A1"/>
    <w:rsid w:val="002E495E"/>
    <w:rsid w:val="002E4C31"/>
    <w:rsid w:val="002E538F"/>
    <w:rsid w:val="002E567F"/>
    <w:rsid w:val="002E58C3"/>
    <w:rsid w:val="002E64A9"/>
    <w:rsid w:val="002E694E"/>
    <w:rsid w:val="002E71B2"/>
    <w:rsid w:val="002F0864"/>
    <w:rsid w:val="002F1092"/>
    <w:rsid w:val="002F1A99"/>
    <w:rsid w:val="002F36A8"/>
    <w:rsid w:val="002F4709"/>
    <w:rsid w:val="002F6020"/>
    <w:rsid w:val="002F729B"/>
    <w:rsid w:val="00300499"/>
    <w:rsid w:val="003013F3"/>
    <w:rsid w:val="00302248"/>
    <w:rsid w:val="00303D24"/>
    <w:rsid w:val="003046C8"/>
    <w:rsid w:val="00304B54"/>
    <w:rsid w:val="0030699D"/>
    <w:rsid w:val="00306E33"/>
    <w:rsid w:val="00307326"/>
    <w:rsid w:val="00307A16"/>
    <w:rsid w:val="00307CD7"/>
    <w:rsid w:val="00310BF2"/>
    <w:rsid w:val="00310C6D"/>
    <w:rsid w:val="0031109E"/>
    <w:rsid w:val="003113A4"/>
    <w:rsid w:val="0031144A"/>
    <w:rsid w:val="003115BD"/>
    <w:rsid w:val="00311712"/>
    <w:rsid w:val="0031250F"/>
    <w:rsid w:val="00312FD9"/>
    <w:rsid w:val="0031355F"/>
    <w:rsid w:val="00313564"/>
    <w:rsid w:val="0031365D"/>
    <w:rsid w:val="00313882"/>
    <w:rsid w:val="00313C29"/>
    <w:rsid w:val="00314541"/>
    <w:rsid w:val="00314B86"/>
    <w:rsid w:val="003151C1"/>
    <w:rsid w:val="003163BD"/>
    <w:rsid w:val="003171D7"/>
    <w:rsid w:val="0031762D"/>
    <w:rsid w:val="00317799"/>
    <w:rsid w:val="00320086"/>
    <w:rsid w:val="003201BF"/>
    <w:rsid w:val="003208BC"/>
    <w:rsid w:val="00321193"/>
    <w:rsid w:val="00321F88"/>
    <w:rsid w:val="00324013"/>
    <w:rsid w:val="00324661"/>
    <w:rsid w:val="00325437"/>
    <w:rsid w:val="00325826"/>
    <w:rsid w:val="00325B28"/>
    <w:rsid w:val="00327833"/>
    <w:rsid w:val="00330D55"/>
    <w:rsid w:val="00330E48"/>
    <w:rsid w:val="00331639"/>
    <w:rsid w:val="003319E9"/>
    <w:rsid w:val="00332221"/>
    <w:rsid w:val="00332682"/>
    <w:rsid w:val="003335FD"/>
    <w:rsid w:val="00333685"/>
    <w:rsid w:val="00333949"/>
    <w:rsid w:val="00333CC5"/>
    <w:rsid w:val="003349E2"/>
    <w:rsid w:val="003353C8"/>
    <w:rsid w:val="003363ED"/>
    <w:rsid w:val="00337199"/>
    <w:rsid w:val="0033739A"/>
    <w:rsid w:val="00340399"/>
    <w:rsid w:val="00341530"/>
    <w:rsid w:val="003421AB"/>
    <w:rsid w:val="003421CD"/>
    <w:rsid w:val="0034236B"/>
    <w:rsid w:val="003426D8"/>
    <w:rsid w:val="00342B98"/>
    <w:rsid w:val="00343C64"/>
    <w:rsid w:val="00343E5C"/>
    <w:rsid w:val="0034458E"/>
    <w:rsid w:val="00344AC9"/>
    <w:rsid w:val="00345B84"/>
    <w:rsid w:val="003460E1"/>
    <w:rsid w:val="00346E18"/>
    <w:rsid w:val="00347141"/>
    <w:rsid w:val="00350610"/>
    <w:rsid w:val="00352B14"/>
    <w:rsid w:val="00352E83"/>
    <w:rsid w:val="00353127"/>
    <w:rsid w:val="003544F7"/>
    <w:rsid w:val="00354557"/>
    <w:rsid w:val="00354912"/>
    <w:rsid w:val="00354DAB"/>
    <w:rsid w:val="00355725"/>
    <w:rsid w:val="00355734"/>
    <w:rsid w:val="0035635A"/>
    <w:rsid w:val="00356CCC"/>
    <w:rsid w:val="00356D01"/>
    <w:rsid w:val="00357B4D"/>
    <w:rsid w:val="003602C0"/>
    <w:rsid w:val="00360BE5"/>
    <w:rsid w:val="003613EC"/>
    <w:rsid w:val="00361805"/>
    <w:rsid w:val="0036198D"/>
    <w:rsid w:val="00361A51"/>
    <w:rsid w:val="00362F1B"/>
    <w:rsid w:val="003630FD"/>
    <w:rsid w:val="003642B9"/>
    <w:rsid w:val="00365383"/>
    <w:rsid w:val="003658D7"/>
    <w:rsid w:val="00366244"/>
    <w:rsid w:val="003663B2"/>
    <w:rsid w:val="00366542"/>
    <w:rsid w:val="00367660"/>
    <w:rsid w:val="00367D56"/>
    <w:rsid w:val="00370D0A"/>
    <w:rsid w:val="00371EA8"/>
    <w:rsid w:val="00372DFD"/>
    <w:rsid w:val="00372E0F"/>
    <w:rsid w:val="0037301D"/>
    <w:rsid w:val="00373C00"/>
    <w:rsid w:val="003747E8"/>
    <w:rsid w:val="00374B4A"/>
    <w:rsid w:val="00375B5F"/>
    <w:rsid w:val="00375E63"/>
    <w:rsid w:val="00377389"/>
    <w:rsid w:val="003778A1"/>
    <w:rsid w:val="0037791A"/>
    <w:rsid w:val="00377F7F"/>
    <w:rsid w:val="0038002A"/>
    <w:rsid w:val="0038041A"/>
    <w:rsid w:val="00380D46"/>
    <w:rsid w:val="0038111E"/>
    <w:rsid w:val="0038163F"/>
    <w:rsid w:val="003822A9"/>
    <w:rsid w:val="0038270D"/>
    <w:rsid w:val="00384CFA"/>
    <w:rsid w:val="00384E4A"/>
    <w:rsid w:val="00385264"/>
    <w:rsid w:val="00385361"/>
    <w:rsid w:val="00385838"/>
    <w:rsid w:val="00385928"/>
    <w:rsid w:val="003859DA"/>
    <w:rsid w:val="00385B77"/>
    <w:rsid w:val="003863CB"/>
    <w:rsid w:val="003870A6"/>
    <w:rsid w:val="00387695"/>
    <w:rsid w:val="00387C1B"/>
    <w:rsid w:val="003900E7"/>
    <w:rsid w:val="003907B1"/>
    <w:rsid w:val="00391A39"/>
    <w:rsid w:val="0039308E"/>
    <w:rsid w:val="00393C59"/>
    <w:rsid w:val="00394368"/>
    <w:rsid w:val="00395045"/>
    <w:rsid w:val="003955B7"/>
    <w:rsid w:val="00395896"/>
    <w:rsid w:val="00396020"/>
    <w:rsid w:val="003961D3"/>
    <w:rsid w:val="003A04F5"/>
    <w:rsid w:val="003A155B"/>
    <w:rsid w:val="003A1FFC"/>
    <w:rsid w:val="003A2B08"/>
    <w:rsid w:val="003A35A2"/>
    <w:rsid w:val="003A35C5"/>
    <w:rsid w:val="003A4069"/>
    <w:rsid w:val="003A4290"/>
    <w:rsid w:val="003A466D"/>
    <w:rsid w:val="003A4EE0"/>
    <w:rsid w:val="003A53AF"/>
    <w:rsid w:val="003A671D"/>
    <w:rsid w:val="003A6F64"/>
    <w:rsid w:val="003A7200"/>
    <w:rsid w:val="003A74AE"/>
    <w:rsid w:val="003A75D8"/>
    <w:rsid w:val="003A7C66"/>
    <w:rsid w:val="003B003D"/>
    <w:rsid w:val="003B033B"/>
    <w:rsid w:val="003B0E9E"/>
    <w:rsid w:val="003B1A1F"/>
    <w:rsid w:val="003B20A2"/>
    <w:rsid w:val="003B20F5"/>
    <w:rsid w:val="003B22F9"/>
    <w:rsid w:val="003B313E"/>
    <w:rsid w:val="003B3887"/>
    <w:rsid w:val="003B4C3B"/>
    <w:rsid w:val="003B4D18"/>
    <w:rsid w:val="003B71D2"/>
    <w:rsid w:val="003B72F3"/>
    <w:rsid w:val="003B7B36"/>
    <w:rsid w:val="003B7B47"/>
    <w:rsid w:val="003C026F"/>
    <w:rsid w:val="003C0F23"/>
    <w:rsid w:val="003C1A61"/>
    <w:rsid w:val="003C2196"/>
    <w:rsid w:val="003C2924"/>
    <w:rsid w:val="003C29E1"/>
    <w:rsid w:val="003C4253"/>
    <w:rsid w:val="003C4FD3"/>
    <w:rsid w:val="003C5161"/>
    <w:rsid w:val="003C516E"/>
    <w:rsid w:val="003C51E3"/>
    <w:rsid w:val="003C559A"/>
    <w:rsid w:val="003C6502"/>
    <w:rsid w:val="003C6ABC"/>
    <w:rsid w:val="003C6FEC"/>
    <w:rsid w:val="003C7307"/>
    <w:rsid w:val="003D01BA"/>
    <w:rsid w:val="003D18CE"/>
    <w:rsid w:val="003D2730"/>
    <w:rsid w:val="003D45B5"/>
    <w:rsid w:val="003D4A82"/>
    <w:rsid w:val="003D7748"/>
    <w:rsid w:val="003D7F4B"/>
    <w:rsid w:val="003E126C"/>
    <w:rsid w:val="003E1934"/>
    <w:rsid w:val="003E20ED"/>
    <w:rsid w:val="003E29A9"/>
    <w:rsid w:val="003E2B24"/>
    <w:rsid w:val="003E2CD4"/>
    <w:rsid w:val="003E31BE"/>
    <w:rsid w:val="003E3ECA"/>
    <w:rsid w:val="003E5A13"/>
    <w:rsid w:val="003E5AFB"/>
    <w:rsid w:val="003E5EF6"/>
    <w:rsid w:val="003E6235"/>
    <w:rsid w:val="003E6A51"/>
    <w:rsid w:val="003F009D"/>
    <w:rsid w:val="003F015E"/>
    <w:rsid w:val="003F0752"/>
    <w:rsid w:val="003F08A0"/>
    <w:rsid w:val="003F0FD3"/>
    <w:rsid w:val="003F1118"/>
    <w:rsid w:val="003F1281"/>
    <w:rsid w:val="003F12B4"/>
    <w:rsid w:val="003F1C44"/>
    <w:rsid w:val="003F1F9A"/>
    <w:rsid w:val="003F23C8"/>
    <w:rsid w:val="003F24D3"/>
    <w:rsid w:val="003F275A"/>
    <w:rsid w:val="003F29E4"/>
    <w:rsid w:val="003F4105"/>
    <w:rsid w:val="003F41B6"/>
    <w:rsid w:val="003F474C"/>
    <w:rsid w:val="003F5EBA"/>
    <w:rsid w:val="003F650C"/>
    <w:rsid w:val="003F6882"/>
    <w:rsid w:val="003F690F"/>
    <w:rsid w:val="003F712E"/>
    <w:rsid w:val="003F77B5"/>
    <w:rsid w:val="00400186"/>
    <w:rsid w:val="00401BBD"/>
    <w:rsid w:val="004025D9"/>
    <w:rsid w:val="004028E7"/>
    <w:rsid w:val="00402AD9"/>
    <w:rsid w:val="00403157"/>
    <w:rsid w:val="00403E61"/>
    <w:rsid w:val="00405BAE"/>
    <w:rsid w:val="00405D6A"/>
    <w:rsid w:val="00405D7F"/>
    <w:rsid w:val="00406D21"/>
    <w:rsid w:val="004070BD"/>
    <w:rsid w:val="004079D4"/>
    <w:rsid w:val="00407C8C"/>
    <w:rsid w:val="004104D6"/>
    <w:rsid w:val="00411471"/>
    <w:rsid w:val="00411911"/>
    <w:rsid w:val="00412CE5"/>
    <w:rsid w:val="0041366C"/>
    <w:rsid w:val="00414009"/>
    <w:rsid w:val="00415857"/>
    <w:rsid w:val="00416328"/>
    <w:rsid w:val="0041635C"/>
    <w:rsid w:val="004163AB"/>
    <w:rsid w:val="004164E6"/>
    <w:rsid w:val="00416D34"/>
    <w:rsid w:val="00417855"/>
    <w:rsid w:val="00420BC0"/>
    <w:rsid w:val="00420FCE"/>
    <w:rsid w:val="0042131F"/>
    <w:rsid w:val="00421CB0"/>
    <w:rsid w:val="00423A5B"/>
    <w:rsid w:val="00423B94"/>
    <w:rsid w:val="00423D30"/>
    <w:rsid w:val="00424D65"/>
    <w:rsid w:val="00425318"/>
    <w:rsid w:val="004259E9"/>
    <w:rsid w:val="00425CF9"/>
    <w:rsid w:val="00425F51"/>
    <w:rsid w:val="00426E6D"/>
    <w:rsid w:val="00427018"/>
    <w:rsid w:val="0042701C"/>
    <w:rsid w:val="00427049"/>
    <w:rsid w:val="00427532"/>
    <w:rsid w:val="00427700"/>
    <w:rsid w:val="0043157B"/>
    <w:rsid w:val="00431F85"/>
    <w:rsid w:val="00432A6D"/>
    <w:rsid w:val="00433534"/>
    <w:rsid w:val="00434D66"/>
    <w:rsid w:val="00434E24"/>
    <w:rsid w:val="00435EEC"/>
    <w:rsid w:val="0043605A"/>
    <w:rsid w:val="0043679C"/>
    <w:rsid w:val="00436938"/>
    <w:rsid w:val="00436B47"/>
    <w:rsid w:val="00440ADA"/>
    <w:rsid w:val="00441D72"/>
    <w:rsid w:val="00442A74"/>
    <w:rsid w:val="00442FD9"/>
    <w:rsid w:val="00443082"/>
    <w:rsid w:val="0044451A"/>
    <w:rsid w:val="0044463A"/>
    <w:rsid w:val="0044632E"/>
    <w:rsid w:val="00446AD8"/>
    <w:rsid w:val="00447B1C"/>
    <w:rsid w:val="004503F2"/>
    <w:rsid w:val="00450814"/>
    <w:rsid w:val="00450840"/>
    <w:rsid w:val="00450978"/>
    <w:rsid w:val="00450B45"/>
    <w:rsid w:val="00452FF1"/>
    <w:rsid w:val="00453823"/>
    <w:rsid w:val="00454014"/>
    <w:rsid w:val="00454634"/>
    <w:rsid w:val="00455B53"/>
    <w:rsid w:val="00455D65"/>
    <w:rsid w:val="0045617E"/>
    <w:rsid w:val="004561C3"/>
    <w:rsid w:val="00456779"/>
    <w:rsid w:val="00456D76"/>
    <w:rsid w:val="00457213"/>
    <w:rsid w:val="00457B8B"/>
    <w:rsid w:val="00460341"/>
    <w:rsid w:val="00460DE9"/>
    <w:rsid w:val="004614D7"/>
    <w:rsid w:val="00461E6E"/>
    <w:rsid w:val="0046246E"/>
    <w:rsid w:val="00462D71"/>
    <w:rsid w:val="004632D6"/>
    <w:rsid w:val="00464DA9"/>
    <w:rsid w:val="004652F3"/>
    <w:rsid w:val="00467335"/>
    <w:rsid w:val="0046755E"/>
    <w:rsid w:val="0046774E"/>
    <w:rsid w:val="004679D9"/>
    <w:rsid w:val="004703E1"/>
    <w:rsid w:val="00470FBE"/>
    <w:rsid w:val="00471159"/>
    <w:rsid w:val="004713EE"/>
    <w:rsid w:val="00471D31"/>
    <w:rsid w:val="00471DA6"/>
    <w:rsid w:val="00472A14"/>
    <w:rsid w:val="00473277"/>
    <w:rsid w:val="0047392F"/>
    <w:rsid w:val="0047606D"/>
    <w:rsid w:val="00476AF8"/>
    <w:rsid w:val="00480600"/>
    <w:rsid w:val="00480A43"/>
    <w:rsid w:val="00481786"/>
    <w:rsid w:val="00481E7C"/>
    <w:rsid w:val="00482382"/>
    <w:rsid w:val="0048260E"/>
    <w:rsid w:val="00483845"/>
    <w:rsid w:val="00484185"/>
    <w:rsid w:val="0048441A"/>
    <w:rsid w:val="0048510A"/>
    <w:rsid w:val="004857E6"/>
    <w:rsid w:val="00485DAD"/>
    <w:rsid w:val="00485E4F"/>
    <w:rsid w:val="00486F53"/>
    <w:rsid w:val="00487AEE"/>
    <w:rsid w:val="00490374"/>
    <w:rsid w:val="00490F0F"/>
    <w:rsid w:val="00491E84"/>
    <w:rsid w:val="00492007"/>
    <w:rsid w:val="0049216D"/>
    <w:rsid w:val="004922AE"/>
    <w:rsid w:val="00492350"/>
    <w:rsid w:val="00493AD3"/>
    <w:rsid w:val="00493CB5"/>
    <w:rsid w:val="0049425F"/>
    <w:rsid w:val="004949DB"/>
    <w:rsid w:val="004952D0"/>
    <w:rsid w:val="004955D1"/>
    <w:rsid w:val="0049579A"/>
    <w:rsid w:val="00496305"/>
    <w:rsid w:val="0049667B"/>
    <w:rsid w:val="00496E9C"/>
    <w:rsid w:val="0049713A"/>
    <w:rsid w:val="0049713E"/>
    <w:rsid w:val="00497E82"/>
    <w:rsid w:val="004A0146"/>
    <w:rsid w:val="004A0C0E"/>
    <w:rsid w:val="004A11F6"/>
    <w:rsid w:val="004A1AA8"/>
    <w:rsid w:val="004A273D"/>
    <w:rsid w:val="004A29FA"/>
    <w:rsid w:val="004A35E4"/>
    <w:rsid w:val="004A3D11"/>
    <w:rsid w:val="004A3DAE"/>
    <w:rsid w:val="004A4499"/>
    <w:rsid w:val="004A5D08"/>
    <w:rsid w:val="004A64EA"/>
    <w:rsid w:val="004A7ACA"/>
    <w:rsid w:val="004B0125"/>
    <w:rsid w:val="004B0984"/>
    <w:rsid w:val="004B29DC"/>
    <w:rsid w:val="004B2E50"/>
    <w:rsid w:val="004B3292"/>
    <w:rsid w:val="004B3522"/>
    <w:rsid w:val="004B43FF"/>
    <w:rsid w:val="004B4409"/>
    <w:rsid w:val="004B4A04"/>
    <w:rsid w:val="004B4E7C"/>
    <w:rsid w:val="004B50A7"/>
    <w:rsid w:val="004C0AD0"/>
    <w:rsid w:val="004C2E6F"/>
    <w:rsid w:val="004C4073"/>
    <w:rsid w:val="004C4BA5"/>
    <w:rsid w:val="004C7315"/>
    <w:rsid w:val="004C7837"/>
    <w:rsid w:val="004C79CD"/>
    <w:rsid w:val="004C7F3C"/>
    <w:rsid w:val="004D0038"/>
    <w:rsid w:val="004D078D"/>
    <w:rsid w:val="004D0E6F"/>
    <w:rsid w:val="004D242D"/>
    <w:rsid w:val="004D3388"/>
    <w:rsid w:val="004D34DA"/>
    <w:rsid w:val="004D39F8"/>
    <w:rsid w:val="004D3E9A"/>
    <w:rsid w:val="004D5EE6"/>
    <w:rsid w:val="004D633A"/>
    <w:rsid w:val="004D6604"/>
    <w:rsid w:val="004D7D05"/>
    <w:rsid w:val="004E086C"/>
    <w:rsid w:val="004E1727"/>
    <w:rsid w:val="004E1D6A"/>
    <w:rsid w:val="004E20BF"/>
    <w:rsid w:val="004E3952"/>
    <w:rsid w:val="004E42A2"/>
    <w:rsid w:val="004E4427"/>
    <w:rsid w:val="004E464B"/>
    <w:rsid w:val="004E4675"/>
    <w:rsid w:val="004E498D"/>
    <w:rsid w:val="004E529E"/>
    <w:rsid w:val="004E5779"/>
    <w:rsid w:val="004E65B1"/>
    <w:rsid w:val="004E6D61"/>
    <w:rsid w:val="004F00CE"/>
    <w:rsid w:val="004F0497"/>
    <w:rsid w:val="004F0D71"/>
    <w:rsid w:val="004F1657"/>
    <w:rsid w:val="004F2350"/>
    <w:rsid w:val="004F27CA"/>
    <w:rsid w:val="004F2AEC"/>
    <w:rsid w:val="004F2CA1"/>
    <w:rsid w:val="004F2F3F"/>
    <w:rsid w:val="004F372B"/>
    <w:rsid w:val="004F3F46"/>
    <w:rsid w:val="004F40DB"/>
    <w:rsid w:val="004F487E"/>
    <w:rsid w:val="004F57BE"/>
    <w:rsid w:val="004F5947"/>
    <w:rsid w:val="004F62B5"/>
    <w:rsid w:val="004F6B45"/>
    <w:rsid w:val="004F7A1E"/>
    <w:rsid w:val="00500586"/>
    <w:rsid w:val="0050063D"/>
    <w:rsid w:val="0050132C"/>
    <w:rsid w:val="00501F24"/>
    <w:rsid w:val="00502999"/>
    <w:rsid w:val="005030F6"/>
    <w:rsid w:val="005042AD"/>
    <w:rsid w:val="005044C0"/>
    <w:rsid w:val="00504E8D"/>
    <w:rsid w:val="00505607"/>
    <w:rsid w:val="0050564D"/>
    <w:rsid w:val="00506865"/>
    <w:rsid w:val="00506A07"/>
    <w:rsid w:val="00507197"/>
    <w:rsid w:val="005100CE"/>
    <w:rsid w:val="00511652"/>
    <w:rsid w:val="00511AA0"/>
    <w:rsid w:val="005121C7"/>
    <w:rsid w:val="005125D4"/>
    <w:rsid w:val="00512CBB"/>
    <w:rsid w:val="0051312E"/>
    <w:rsid w:val="005134CD"/>
    <w:rsid w:val="00514424"/>
    <w:rsid w:val="00515795"/>
    <w:rsid w:val="005158EB"/>
    <w:rsid w:val="00520EAC"/>
    <w:rsid w:val="00521C75"/>
    <w:rsid w:val="00522B2E"/>
    <w:rsid w:val="0052437A"/>
    <w:rsid w:val="005245D8"/>
    <w:rsid w:val="0052483F"/>
    <w:rsid w:val="005248D9"/>
    <w:rsid w:val="00524994"/>
    <w:rsid w:val="00525A7A"/>
    <w:rsid w:val="00525F9B"/>
    <w:rsid w:val="00526071"/>
    <w:rsid w:val="0052640C"/>
    <w:rsid w:val="00526C68"/>
    <w:rsid w:val="00527268"/>
    <w:rsid w:val="00527483"/>
    <w:rsid w:val="00527583"/>
    <w:rsid w:val="00530157"/>
    <w:rsid w:val="0053073C"/>
    <w:rsid w:val="00530896"/>
    <w:rsid w:val="005308C7"/>
    <w:rsid w:val="00531770"/>
    <w:rsid w:val="00531944"/>
    <w:rsid w:val="00531964"/>
    <w:rsid w:val="00532877"/>
    <w:rsid w:val="00532A10"/>
    <w:rsid w:val="00533829"/>
    <w:rsid w:val="00534933"/>
    <w:rsid w:val="00534EE9"/>
    <w:rsid w:val="0053671D"/>
    <w:rsid w:val="00537AD9"/>
    <w:rsid w:val="00537B51"/>
    <w:rsid w:val="005400AE"/>
    <w:rsid w:val="0054021B"/>
    <w:rsid w:val="00543369"/>
    <w:rsid w:val="005433A6"/>
    <w:rsid w:val="005436C3"/>
    <w:rsid w:val="0054444D"/>
    <w:rsid w:val="00544973"/>
    <w:rsid w:val="00544A6A"/>
    <w:rsid w:val="00544BDB"/>
    <w:rsid w:val="005453C2"/>
    <w:rsid w:val="00545BB7"/>
    <w:rsid w:val="00546ABC"/>
    <w:rsid w:val="00546B72"/>
    <w:rsid w:val="0055067B"/>
    <w:rsid w:val="0055156F"/>
    <w:rsid w:val="00552227"/>
    <w:rsid w:val="005531BB"/>
    <w:rsid w:val="0055334C"/>
    <w:rsid w:val="005533F8"/>
    <w:rsid w:val="00553898"/>
    <w:rsid w:val="00553A2C"/>
    <w:rsid w:val="005557F7"/>
    <w:rsid w:val="005558B7"/>
    <w:rsid w:val="00555DD7"/>
    <w:rsid w:val="00557D65"/>
    <w:rsid w:val="00560696"/>
    <w:rsid w:val="00560A71"/>
    <w:rsid w:val="005624D6"/>
    <w:rsid w:val="00562EFF"/>
    <w:rsid w:val="00563CEF"/>
    <w:rsid w:val="00564B32"/>
    <w:rsid w:val="0056580B"/>
    <w:rsid w:val="00566134"/>
    <w:rsid w:val="00566236"/>
    <w:rsid w:val="00566E54"/>
    <w:rsid w:val="00567E19"/>
    <w:rsid w:val="00570C14"/>
    <w:rsid w:val="005718FD"/>
    <w:rsid w:val="00572299"/>
    <w:rsid w:val="00572CA6"/>
    <w:rsid w:val="00573A0C"/>
    <w:rsid w:val="00575911"/>
    <w:rsid w:val="00576111"/>
    <w:rsid w:val="00576332"/>
    <w:rsid w:val="00576821"/>
    <w:rsid w:val="00576950"/>
    <w:rsid w:val="00580A00"/>
    <w:rsid w:val="00581401"/>
    <w:rsid w:val="005823E6"/>
    <w:rsid w:val="00582874"/>
    <w:rsid w:val="00583457"/>
    <w:rsid w:val="00583F26"/>
    <w:rsid w:val="00584132"/>
    <w:rsid w:val="00584DA0"/>
    <w:rsid w:val="0058581F"/>
    <w:rsid w:val="00586455"/>
    <w:rsid w:val="005868BF"/>
    <w:rsid w:val="00586B08"/>
    <w:rsid w:val="00590358"/>
    <w:rsid w:val="0059239F"/>
    <w:rsid w:val="005931C4"/>
    <w:rsid w:val="005940B4"/>
    <w:rsid w:val="005942D7"/>
    <w:rsid w:val="0059496F"/>
    <w:rsid w:val="00594C42"/>
    <w:rsid w:val="00594EBA"/>
    <w:rsid w:val="0059564C"/>
    <w:rsid w:val="00595CE7"/>
    <w:rsid w:val="00596095"/>
    <w:rsid w:val="00596178"/>
    <w:rsid w:val="005961B5"/>
    <w:rsid w:val="005966C8"/>
    <w:rsid w:val="0059672F"/>
    <w:rsid w:val="005972D4"/>
    <w:rsid w:val="00597366"/>
    <w:rsid w:val="00597D56"/>
    <w:rsid w:val="005A0DF7"/>
    <w:rsid w:val="005A1D65"/>
    <w:rsid w:val="005A1DC3"/>
    <w:rsid w:val="005A30B9"/>
    <w:rsid w:val="005A4E05"/>
    <w:rsid w:val="005A503B"/>
    <w:rsid w:val="005A5776"/>
    <w:rsid w:val="005A58A6"/>
    <w:rsid w:val="005A5FA5"/>
    <w:rsid w:val="005A680E"/>
    <w:rsid w:val="005A7435"/>
    <w:rsid w:val="005B1BE1"/>
    <w:rsid w:val="005B2424"/>
    <w:rsid w:val="005B243F"/>
    <w:rsid w:val="005B2D25"/>
    <w:rsid w:val="005B2EC5"/>
    <w:rsid w:val="005B3802"/>
    <w:rsid w:val="005B3836"/>
    <w:rsid w:val="005B3E6A"/>
    <w:rsid w:val="005B3F9F"/>
    <w:rsid w:val="005B48C5"/>
    <w:rsid w:val="005B49AE"/>
    <w:rsid w:val="005B4BDB"/>
    <w:rsid w:val="005B4DF4"/>
    <w:rsid w:val="005B4F64"/>
    <w:rsid w:val="005B5557"/>
    <w:rsid w:val="005B580E"/>
    <w:rsid w:val="005B5CC9"/>
    <w:rsid w:val="005B6503"/>
    <w:rsid w:val="005B663A"/>
    <w:rsid w:val="005B75E0"/>
    <w:rsid w:val="005B78D5"/>
    <w:rsid w:val="005B7911"/>
    <w:rsid w:val="005C00D5"/>
    <w:rsid w:val="005C16D2"/>
    <w:rsid w:val="005C1927"/>
    <w:rsid w:val="005C2D94"/>
    <w:rsid w:val="005C337B"/>
    <w:rsid w:val="005C3422"/>
    <w:rsid w:val="005C3B69"/>
    <w:rsid w:val="005C41AF"/>
    <w:rsid w:val="005C46B3"/>
    <w:rsid w:val="005C4DC3"/>
    <w:rsid w:val="005C5305"/>
    <w:rsid w:val="005C5662"/>
    <w:rsid w:val="005C6325"/>
    <w:rsid w:val="005C6A28"/>
    <w:rsid w:val="005C6BA5"/>
    <w:rsid w:val="005C70B7"/>
    <w:rsid w:val="005C74D8"/>
    <w:rsid w:val="005D1B42"/>
    <w:rsid w:val="005D2970"/>
    <w:rsid w:val="005D3BE0"/>
    <w:rsid w:val="005D50EC"/>
    <w:rsid w:val="005D5AC6"/>
    <w:rsid w:val="005D6BA4"/>
    <w:rsid w:val="005D756B"/>
    <w:rsid w:val="005D7C21"/>
    <w:rsid w:val="005D7E49"/>
    <w:rsid w:val="005E0198"/>
    <w:rsid w:val="005E0403"/>
    <w:rsid w:val="005E0D25"/>
    <w:rsid w:val="005E1799"/>
    <w:rsid w:val="005E1C0E"/>
    <w:rsid w:val="005E1F0C"/>
    <w:rsid w:val="005E27F2"/>
    <w:rsid w:val="005E2884"/>
    <w:rsid w:val="005E2B09"/>
    <w:rsid w:val="005E3273"/>
    <w:rsid w:val="005E443E"/>
    <w:rsid w:val="005E4498"/>
    <w:rsid w:val="005E52CA"/>
    <w:rsid w:val="005F07D0"/>
    <w:rsid w:val="005F0F8E"/>
    <w:rsid w:val="005F11F7"/>
    <w:rsid w:val="005F354A"/>
    <w:rsid w:val="005F4E79"/>
    <w:rsid w:val="005F5037"/>
    <w:rsid w:val="005F535E"/>
    <w:rsid w:val="005F5C57"/>
    <w:rsid w:val="005F7078"/>
    <w:rsid w:val="0060017D"/>
    <w:rsid w:val="006009DD"/>
    <w:rsid w:val="00602292"/>
    <w:rsid w:val="00602840"/>
    <w:rsid w:val="00602F71"/>
    <w:rsid w:val="006043C3"/>
    <w:rsid w:val="00606324"/>
    <w:rsid w:val="00606812"/>
    <w:rsid w:val="00606846"/>
    <w:rsid w:val="00606BBB"/>
    <w:rsid w:val="00606CEC"/>
    <w:rsid w:val="00606E74"/>
    <w:rsid w:val="00607001"/>
    <w:rsid w:val="00607327"/>
    <w:rsid w:val="006074FB"/>
    <w:rsid w:val="00607D73"/>
    <w:rsid w:val="00610257"/>
    <w:rsid w:val="006104E7"/>
    <w:rsid w:val="00610BE8"/>
    <w:rsid w:val="00611605"/>
    <w:rsid w:val="00611892"/>
    <w:rsid w:val="00612876"/>
    <w:rsid w:val="00613122"/>
    <w:rsid w:val="0061346F"/>
    <w:rsid w:val="0061380D"/>
    <w:rsid w:val="006143E4"/>
    <w:rsid w:val="0061444E"/>
    <w:rsid w:val="0061445E"/>
    <w:rsid w:val="00614903"/>
    <w:rsid w:val="006165F2"/>
    <w:rsid w:val="00616956"/>
    <w:rsid w:val="00617216"/>
    <w:rsid w:val="0061791D"/>
    <w:rsid w:val="00620D65"/>
    <w:rsid w:val="006222F4"/>
    <w:rsid w:val="0062236F"/>
    <w:rsid w:val="00622515"/>
    <w:rsid w:val="00622776"/>
    <w:rsid w:val="006233A9"/>
    <w:rsid w:val="0062469A"/>
    <w:rsid w:val="00625DE6"/>
    <w:rsid w:val="00626E4B"/>
    <w:rsid w:val="006279E4"/>
    <w:rsid w:val="00630AEE"/>
    <w:rsid w:val="00631102"/>
    <w:rsid w:val="006317E1"/>
    <w:rsid w:val="00632277"/>
    <w:rsid w:val="0063366F"/>
    <w:rsid w:val="00633E67"/>
    <w:rsid w:val="00634352"/>
    <w:rsid w:val="00636488"/>
    <w:rsid w:val="00640093"/>
    <w:rsid w:val="00640490"/>
    <w:rsid w:val="00643566"/>
    <w:rsid w:val="00643858"/>
    <w:rsid w:val="00643951"/>
    <w:rsid w:val="00643E25"/>
    <w:rsid w:val="00643E37"/>
    <w:rsid w:val="00644053"/>
    <w:rsid w:val="00644488"/>
    <w:rsid w:val="00647330"/>
    <w:rsid w:val="00647C03"/>
    <w:rsid w:val="0065041C"/>
    <w:rsid w:val="00652495"/>
    <w:rsid w:val="00652D81"/>
    <w:rsid w:val="00653CFA"/>
    <w:rsid w:val="00654860"/>
    <w:rsid w:val="00655329"/>
    <w:rsid w:val="00655588"/>
    <w:rsid w:val="006556E6"/>
    <w:rsid w:val="006561D3"/>
    <w:rsid w:val="0065663D"/>
    <w:rsid w:val="00656AF7"/>
    <w:rsid w:val="00656C59"/>
    <w:rsid w:val="0066311D"/>
    <w:rsid w:val="006635A3"/>
    <w:rsid w:val="00663B2C"/>
    <w:rsid w:val="00663E0B"/>
    <w:rsid w:val="00663F0E"/>
    <w:rsid w:val="006650BB"/>
    <w:rsid w:val="00665CE1"/>
    <w:rsid w:val="006666AE"/>
    <w:rsid w:val="00666F32"/>
    <w:rsid w:val="00667594"/>
    <w:rsid w:val="006709D2"/>
    <w:rsid w:val="00670CA5"/>
    <w:rsid w:val="0067162D"/>
    <w:rsid w:val="00671B5C"/>
    <w:rsid w:val="006725CD"/>
    <w:rsid w:val="00672A46"/>
    <w:rsid w:val="0067320A"/>
    <w:rsid w:val="006737AE"/>
    <w:rsid w:val="0067469E"/>
    <w:rsid w:val="00674ED4"/>
    <w:rsid w:val="00674F8F"/>
    <w:rsid w:val="00677208"/>
    <w:rsid w:val="00677504"/>
    <w:rsid w:val="00677B8D"/>
    <w:rsid w:val="00680A1C"/>
    <w:rsid w:val="00680D60"/>
    <w:rsid w:val="00680FC8"/>
    <w:rsid w:val="006825D3"/>
    <w:rsid w:val="006826C5"/>
    <w:rsid w:val="0068287D"/>
    <w:rsid w:val="0068499D"/>
    <w:rsid w:val="00685BA5"/>
    <w:rsid w:val="00686EA0"/>
    <w:rsid w:val="0069124B"/>
    <w:rsid w:val="00691256"/>
    <w:rsid w:val="00691AC9"/>
    <w:rsid w:val="00693E7E"/>
    <w:rsid w:val="00694585"/>
    <w:rsid w:val="00694CFD"/>
    <w:rsid w:val="00695019"/>
    <w:rsid w:val="00695B08"/>
    <w:rsid w:val="00696782"/>
    <w:rsid w:val="006968E2"/>
    <w:rsid w:val="00697254"/>
    <w:rsid w:val="006979DC"/>
    <w:rsid w:val="006A19D3"/>
    <w:rsid w:val="006A285A"/>
    <w:rsid w:val="006A3151"/>
    <w:rsid w:val="006A38B4"/>
    <w:rsid w:val="006A3C20"/>
    <w:rsid w:val="006A4BDB"/>
    <w:rsid w:val="006A5D01"/>
    <w:rsid w:val="006A5F80"/>
    <w:rsid w:val="006A6062"/>
    <w:rsid w:val="006A6082"/>
    <w:rsid w:val="006A6C98"/>
    <w:rsid w:val="006A7CC6"/>
    <w:rsid w:val="006A7DEA"/>
    <w:rsid w:val="006B0853"/>
    <w:rsid w:val="006B14C9"/>
    <w:rsid w:val="006B1A2A"/>
    <w:rsid w:val="006B4339"/>
    <w:rsid w:val="006B58FB"/>
    <w:rsid w:val="006B5B23"/>
    <w:rsid w:val="006B5BF0"/>
    <w:rsid w:val="006B5FA9"/>
    <w:rsid w:val="006B60AF"/>
    <w:rsid w:val="006B64F8"/>
    <w:rsid w:val="006B6ACE"/>
    <w:rsid w:val="006C0377"/>
    <w:rsid w:val="006C0613"/>
    <w:rsid w:val="006C133C"/>
    <w:rsid w:val="006C1464"/>
    <w:rsid w:val="006C1E00"/>
    <w:rsid w:val="006C2D23"/>
    <w:rsid w:val="006C2D2E"/>
    <w:rsid w:val="006C343E"/>
    <w:rsid w:val="006C35A5"/>
    <w:rsid w:val="006C4118"/>
    <w:rsid w:val="006C4147"/>
    <w:rsid w:val="006C4D9C"/>
    <w:rsid w:val="006C572D"/>
    <w:rsid w:val="006C64A9"/>
    <w:rsid w:val="006C6B99"/>
    <w:rsid w:val="006C74D8"/>
    <w:rsid w:val="006D19F6"/>
    <w:rsid w:val="006D25E9"/>
    <w:rsid w:val="006D29C9"/>
    <w:rsid w:val="006D2DC0"/>
    <w:rsid w:val="006D3D5B"/>
    <w:rsid w:val="006D5E0E"/>
    <w:rsid w:val="006D5EAE"/>
    <w:rsid w:val="006D5F55"/>
    <w:rsid w:val="006D6C2A"/>
    <w:rsid w:val="006E0285"/>
    <w:rsid w:val="006E0407"/>
    <w:rsid w:val="006E046C"/>
    <w:rsid w:val="006E178D"/>
    <w:rsid w:val="006E1960"/>
    <w:rsid w:val="006E2F4B"/>
    <w:rsid w:val="006E3119"/>
    <w:rsid w:val="006E3BE4"/>
    <w:rsid w:val="006E4084"/>
    <w:rsid w:val="006E5799"/>
    <w:rsid w:val="006E5A79"/>
    <w:rsid w:val="006E5BC7"/>
    <w:rsid w:val="006E6BF6"/>
    <w:rsid w:val="006E7E76"/>
    <w:rsid w:val="006F06A3"/>
    <w:rsid w:val="006F0A23"/>
    <w:rsid w:val="006F0CB2"/>
    <w:rsid w:val="006F159B"/>
    <w:rsid w:val="006F1620"/>
    <w:rsid w:val="006F1795"/>
    <w:rsid w:val="006F22D6"/>
    <w:rsid w:val="006F24F4"/>
    <w:rsid w:val="006F3251"/>
    <w:rsid w:val="006F3279"/>
    <w:rsid w:val="006F365C"/>
    <w:rsid w:val="006F400A"/>
    <w:rsid w:val="006F5034"/>
    <w:rsid w:val="006F6FD9"/>
    <w:rsid w:val="0070045B"/>
    <w:rsid w:val="0070076B"/>
    <w:rsid w:val="00701290"/>
    <w:rsid w:val="007030DC"/>
    <w:rsid w:val="007033F3"/>
    <w:rsid w:val="00703A27"/>
    <w:rsid w:val="00703EA9"/>
    <w:rsid w:val="00704480"/>
    <w:rsid w:val="0070450A"/>
    <w:rsid w:val="0070565F"/>
    <w:rsid w:val="00705AAE"/>
    <w:rsid w:val="00705E2A"/>
    <w:rsid w:val="00710191"/>
    <w:rsid w:val="00710BC2"/>
    <w:rsid w:val="00711ABC"/>
    <w:rsid w:val="00712086"/>
    <w:rsid w:val="007123E6"/>
    <w:rsid w:val="00713E4C"/>
    <w:rsid w:val="007141CC"/>
    <w:rsid w:val="007141CE"/>
    <w:rsid w:val="007147B2"/>
    <w:rsid w:val="007147C0"/>
    <w:rsid w:val="00714C65"/>
    <w:rsid w:val="007163E3"/>
    <w:rsid w:val="00716B24"/>
    <w:rsid w:val="00716EAC"/>
    <w:rsid w:val="00717073"/>
    <w:rsid w:val="00717D10"/>
    <w:rsid w:val="007202D7"/>
    <w:rsid w:val="007206E5"/>
    <w:rsid w:val="00720AC6"/>
    <w:rsid w:val="007210F9"/>
    <w:rsid w:val="00721A09"/>
    <w:rsid w:val="007223A8"/>
    <w:rsid w:val="0072254F"/>
    <w:rsid w:val="00722949"/>
    <w:rsid w:val="00722BBA"/>
    <w:rsid w:val="00722EC2"/>
    <w:rsid w:val="00723D1F"/>
    <w:rsid w:val="00724029"/>
    <w:rsid w:val="007258CB"/>
    <w:rsid w:val="00725AAF"/>
    <w:rsid w:val="00725CE2"/>
    <w:rsid w:val="00726226"/>
    <w:rsid w:val="0072685D"/>
    <w:rsid w:val="007274FD"/>
    <w:rsid w:val="00727550"/>
    <w:rsid w:val="007277A7"/>
    <w:rsid w:val="00730941"/>
    <w:rsid w:val="00730A03"/>
    <w:rsid w:val="007337EA"/>
    <w:rsid w:val="00733CA0"/>
    <w:rsid w:val="00734274"/>
    <w:rsid w:val="0073434A"/>
    <w:rsid w:val="00734A37"/>
    <w:rsid w:val="00735676"/>
    <w:rsid w:val="00735A33"/>
    <w:rsid w:val="00735B39"/>
    <w:rsid w:val="00737A5A"/>
    <w:rsid w:val="00740C24"/>
    <w:rsid w:val="00740F12"/>
    <w:rsid w:val="0074176E"/>
    <w:rsid w:val="00742FE0"/>
    <w:rsid w:val="00743212"/>
    <w:rsid w:val="00743887"/>
    <w:rsid w:val="00743DCB"/>
    <w:rsid w:val="00744B33"/>
    <w:rsid w:val="007454AF"/>
    <w:rsid w:val="0074607A"/>
    <w:rsid w:val="00746718"/>
    <w:rsid w:val="00746F14"/>
    <w:rsid w:val="00746F69"/>
    <w:rsid w:val="00747343"/>
    <w:rsid w:val="007478DC"/>
    <w:rsid w:val="0075026F"/>
    <w:rsid w:val="007505FB"/>
    <w:rsid w:val="00750A89"/>
    <w:rsid w:val="007513B9"/>
    <w:rsid w:val="00752374"/>
    <w:rsid w:val="00752B42"/>
    <w:rsid w:val="007541CC"/>
    <w:rsid w:val="00754CA5"/>
    <w:rsid w:val="007558AF"/>
    <w:rsid w:val="00755F64"/>
    <w:rsid w:val="0075672D"/>
    <w:rsid w:val="00756EE8"/>
    <w:rsid w:val="0076047D"/>
    <w:rsid w:val="00760AD0"/>
    <w:rsid w:val="007613FD"/>
    <w:rsid w:val="00761F82"/>
    <w:rsid w:val="007620EB"/>
    <w:rsid w:val="0076210B"/>
    <w:rsid w:val="00762776"/>
    <w:rsid w:val="00762A63"/>
    <w:rsid w:val="00763176"/>
    <w:rsid w:val="00763DC9"/>
    <w:rsid w:val="00764858"/>
    <w:rsid w:val="00765DD0"/>
    <w:rsid w:val="00766095"/>
    <w:rsid w:val="00766944"/>
    <w:rsid w:val="00766A19"/>
    <w:rsid w:val="00766C82"/>
    <w:rsid w:val="00770061"/>
    <w:rsid w:val="007726F3"/>
    <w:rsid w:val="00772D31"/>
    <w:rsid w:val="0077307C"/>
    <w:rsid w:val="00773677"/>
    <w:rsid w:val="00773AF3"/>
    <w:rsid w:val="00773E2C"/>
    <w:rsid w:val="00774AD8"/>
    <w:rsid w:val="00780158"/>
    <w:rsid w:val="00780950"/>
    <w:rsid w:val="00780B05"/>
    <w:rsid w:val="00780C8C"/>
    <w:rsid w:val="007812E9"/>
    <w:rsid w:val="00781FE2"/>
    <w:rsid w:val="00782004"/>
    <w:rsid w:val="0078205E"/>
    <w:rsid w:val="00782DE6"/>
    <w:rsid w:val="00785232"/>
    <w:rsid w:val="0078559E"/>
    <w:rsid w:val="007862C3"/>
    <w:rsid w:val="00786DD9"/>
    <w:rsid w:val="00787F47"/>
    <w:rsid w:val="00790189"/>
    <w:rsid w:val="00790E99"/>
    <w:rsid w:val="00791483"/>
    <w:rsid w:val="00791701"/>
    <w:rsid w:val="00792A85"/>
    <w:rsid w:val="00792C09"/>
    <w:rsid w:val="007943D1"/>
    <w:rsid w:val="00796D7B"/>
    <w:rsid w:val="00797999"/>
    <w:rsid w:val="007A0669"/>
    <w:rsid w:val="007A10ED"/>
    <w:rsid w:val="007A1DBA"/>
    <w:rsid w:val="007A1EE6"/>
    <w:rsid w:val="007A1FBD"/>
    <w:rsid w:val="007A22AC"/>
    <w:rsid w:val="007A252F"/>
    <w:rsid w:val="007A2CEC"/>
    <w:rsid w:val="007A33F9"/>
    <w:rsid w:val="007A3466"/>
    <w:rsid w:val="007A34E9"/>
    <w:rsid w:val="007A3C33"/>
    <w:rsid w:val="007A5AE6"/>
    <w:rsid w:val="007A5EE0"/>
    <w:rsid w:val="007A642B"/>
    <w:rsid w:val="007A6A90"/>
    <w:rsid w:val="007A71CB"/>
    <w:rsid w:val="007A743E"/>
    <w:rsid w:val="007A76A8"/>
    <w:rsid w:val="007B0DCA"/>
    <w:rsid w:val="007B1A89"/>
    <w:rsid w:val="007B1C8D"/>
    <w:rsid w:val="007B224F"/>
    <w:rsid w:val="007B48BB"/>
    <w:rsid w:val="007B4B30"/>
    <w:rsid w:val="007B5CB4"/>
    <w:rsid w:val="007B5D06"/>
    <w:rsid w:val="007B6497"/>
    <w:rsid w:val="007B6B92"/>
    <w:rsid w:val="007B7BFB"/>
    <w:rsid w:val="007C0E42"/>
    <w:rsid w:val="007C150A"/>
    <w:rsid w:val="007C1A35"/>
    <w:rsid w:val="007C1F38"/>
    <w:rsid w:val="007C29C9"/>
    <w:rsid w:val="007C2D0B"/>
    <w:rsid w:val="007C4620"/>
    <w:rsid w:val="007C49E4"/>
    <w:rsid w:val="007C4EDA"/>
    <w:rsid w:val="007C7A10"/>
    <w:rsid w:val="007C7DC6"/>
    <w:rsid w:val="007D022E"/>
    <w:rsid w:val="007D083D"/>
    <w:rsid w:val="007D0C5C"/>
    <w:rsid w:val="007D1B49"/>
    <w:rsid w:val="007D26A7"/>
    <w:rsid w:val="007D35B1"/>
    <w:rsid w:val="007D5234"/>
    <w:rsid w:val="007D5596"/>
    <w:rsid w:val="007D5EB4"/>
    <w:rsid w:val="007D6A85"/>
    <w:rsid w:val="007D6FA2"/>
    <w:rsid w:val="007D7701"/>
    <w:rsid w:val="007D79B3"/>
    <w:rsid w:val="007D7D22"/>
    <w:rsid w:val="007E0080"/>
    <w:rsid w:val="007E06C1"/>
    <w:rsid w:val="007E0EE4"/>
    <w:rsid w:val="007E24D7"/>
    <w:rsid w:val="007E49DD"/>
    <w:rsid w:val="007E4F33"/>
    <w:rsid w:val="007E6162"/>
    <w:rsid w:val="007E66F2"/>
    <w:rsid w:val="007E7064"/>
    <w:rsid w:val="007F00A9"/>
    <w:rsid w:val="007F018B"/>
    <w:rsid w:val="007F1F8E"/>
    <w:rsid w:val="007F24A2"/>
    <w:rsid w:val="007F2A0C"/>
    <w:rsid w:val="007F2A49"/>
    <w:rsid w:val="007F33B7"/>
    <w:rsid w:val="007F3D40"/>
    <w:rsid w:val="007F4176"/>
    <w:rsid w:val="007F4DCA"/>
    <w:rsid w:val="007F5501"/>
    <w:rsid w:val="007F5DC3"/>
    <w:rsid w:val="007F618E"/>
    <w:rsid w:val="007F6D00"/>
    <w:rsid w:val="007F7A8C"/>
    <w:rsid w:val="00801DBC"/>
    <w:rsid w:val="0080292B"/>
    <w:rsid w:val="00806046"/>
    <w:rsid w:val="00806EBD"/>
    <w:rsid w:val="008071C5"/>
    <w:rsid w:val="008102DC"/>
    <w:rsid w:val="00810A49"/>
    <w:rsid w:val="00811560"/>
    <w:rsid w:val="008116BC"/>
    <w:rsid w:val="008127A9"/>
    <w:rsid w:val="00812C25"/>
    <w:rsid w:val="00812F70"/>
    <w:rsid w:val="00813A62"/>
    <w:rsid w:val="00813CE0"/>
    <w:rsid w:val="008140A2"/>
    <w:rsid w:val="008154CF"/>
    <w:rsid w:val="008163B8"/>
    <w:rsid w:val="00816481"/>
    <w:rsid w:val="0081679A"/>
    <w:rsid w:val="00817C5E"/>
    <w:rsid w:val="00821A4F"/>
    <w:rsid w:val="0082240B"/>
    <w:rsid w:val="008224BB"/>
    <w:rsid w:val="008229EF"/>
    <w:rsid w:val="008230C3"/>
    <w:rsid w:val="008235F0"/>
    <w:rsid w:val="00823DF0"/>
    <w:rsid w:val="008242F6"/>
    <w:rsid w:val="008243D2"/>
    <w:rsid w:val="00825391"/>
    <w:rsid w:val="0082550B"/>
    <w:rsid w:val="008259E2"/>
    <w:rsid w:val="00825C30"/>
    <w:rsid w:val="0082646F"/>
    <w:rsid w:val="008268D6"/>
    <w:rsid w:val="008273AD"/>
    <w:rsid w:val="00827467"/>
    <w:rsid w:val="00827909"/>
    <w:rsid w:val="00830371"/>
    <w:rsid w:val="008303F6"/>
    <w:rsid w:val="008309C4"/>
    <w:rsid w:val="0083229E"/>
    <w:rsid w:val="008337DA"/>
    <w:rsid w:val="00833FEE"/>
    <w:rsid w:val="00835F7F"/>
    <w:rsid w:val="008371FD"/>
    <w:rsid w:val="00840DC9"/>
    <w:rsid w:val="00841057"/>
    <w:rsid w:val="00841538"/>
    <w:rsid w:val="00841975"/>
    <w:rsid w:val="00842D26"/>
    <w:rsid w:val="00842E13"/>
    <w:rsid w:val="008434A9"/>
    <w:rsid w:val="008437C8"/>
    <w:rsid w:val="0084417C"/>
    <w:rsid w:val="008441FC"/>
    <w:rsid w:val="008447E1"/>
    <w:rsid w:val="008448EC"/>
    <w:rsid w:val="00844FB1"/>
    <w:rsid w:val="00845067"/>
    <w:rsid w:val="008454AC"/>
    <w:rsid w:val="008457F5"/>
    <w:rsid w:val="00845C27"/>
    <w:rsid w:val="00845DC1"/>
    <w:rsid w:val="00845DCA"/>
    <w:rsid w:val="0084645C"/>
    <w:rsid w:val="00846A44"/>
    <w:rsid w:val="00846B97"/>
    <w:rsid w:val="00846BB3"/>
    <w:rsid w:val="00846CAA"/>
    <w:rsid w:val="00846EA8"/>
    <w:rsid w:val="00847BE4"/>
    <w:rsid w:val="00847C9B"/>
    <w:rsid w:val="00850A4D"/>
    <w:rsid w:val="008527B5"/>
    <w:rsid w:val="00854467"/>
    <w:rsid w:val="0085494C"/>
    <w:rsid w:val="00854D45"/>
    <w:rsid w:val="00855C9B"/>
    <w:rsid w:val="00856209"/>
    <w:rsid w:val="00856C2A"/>
    <w:rsid w:val="00857BE3"/>
    <w:rsid w:val="00857BF2"/>
    <w:rsid w:val="00857C7D"/>
    <w:rsid w:val="00860A55"/>
    <w:rsid w:val="00860CB4"/>
    <w:rsid w:val="008620F3"/>
    <w:rsid w:val="00862674"/>
    <w:rsid w:val="00862758"/>
    <w:rsid w:val="0086338B"/>
    <w:rsid w:val="00864926"/>
    <w:rsid w:val="00864A84"/>
    <w:rsid w:val="00864D58"/>
    <w:rsid w:val="00864D6D"/>
    <w:rsid w:val="008655C6"/>
    <w:rsid w:val="00865823"/>
    <w:rsid w:val="00865D55"/>
    <w:rsid w:val="00865E0C"/>
    <w:rsid w:val="00866D74"/>
    <w:rsid w:val="00867103"/>
    <w:rsid w:val="00870137"/>
    <w:rsid w:val="008712FD"/>
    <w:rsid w:val="00871601"/>
    <w:rsid w:val="008717D9"/>
    <w:rsid w:val="00871CD6"/>
    <w:rsid w:val="008726F2"/>
    <w:rsid w:val="00872B55"/>
    <w:rsid w:val="00872E72"/>
    <w:rsid w:val="0087372B"/>
    <w:rsid w:val="0087523E"/>
    <w:rsid w:val="0087555D"/>
    <w:rsid w:val="00875C00"/>
    <w:rsid w:val="0087674B"/>
    <w:rsid w:val="00876CBE"/>
    <w:rsid w:val="00876EBE"/>
    <w:rsid w:val="0087721E"/>
    <w:rsid w:val="0087769A"/>
    <w:rsid w:val="008779B2"/>
    <w:rsid w:val="00877BC9"/>
    <w:rsid w:val="008809A4"/>
    <w:rsid w:val="00881769"/>
    <w:rsid w:val="00881B0C"/>
    <w:rsid w:val="00881D81"/>
    <w:rsid w:val="0088441A"/>
    <w:rsid w:val="008845E5"/>
    <w:rsid w:val="00884785"/>
    <w:rsid w:val="00884810"/>
    <w:rsid w:val="00884964"/>
    <w:rsid w:val="008849BE"/>
    <w:rsid w:val="00884DEA"/>
    <w:rsid w:val="0088514B"/>
    <w:rsid w:val="00885298"/>
    <w:rsid w:val="00885E1A"/>
    <w:rsid w:val="00885E69"/>
    <w:rsid w:val="00886DE6"/>
    <w:rsid w:val="008870D0"/>
    <w:rsid w:val="00887616"/>
    <w:rsid w:val="00887D19"/>
    <w:rsid w:val="008908F5"/>
    <w:rsid w:val="00892536"/>
    <w:rsid w:val="008927FB"/>
    <w:rsid w:val="00892AB2"/>
    <w:rsid w:val="0089311F"/>
    <w:rsid w:val="008934BB"/>
    <w:rsid w:val="00893D6E"/>
    <w:rsid w:val="00894EEA"/>
    <w:rsid w:val="008951AB"/>
    <w:rsid w:val="00896843"/>
    <w:rsid w:val="008974C0"/>
    <w:rsid w:val="008A0754"/>
    <w:rsid w:val="008A0F17"/>
    <w:rsid w:val="008A172F"/>
    <w:rsid w:val="008A1E16"/>
    <w:rsid w:val="008A23D8"/>
    <w:rsid w:val="008A2E5F"/>
    <w:rsid w:val="008A2EDC"/>
    <w:rsid w:val="008A40A8"/>
    <w:rsid w:val="008A4103"/>
    <w:rsid w:val="008A42FB"/>
    <w:rsid w:val="008A461F"/>
    <w:rsid w:val="008A476B"/>
    <w:rsid w:val="008A499F"/>
    <w:rsid w:val="008A5A76"/>
    <w:rsid w:val="008A6622"/>
    <w:rsid w:val="008A72B7"/>
    <w:rsid w:val="008B0D8B"/>
    <w:rsid w:val="008B0F4E"/>
    <w:rsid w:val="008B0F62"/>
    <w:rsid w:val="008B227E"/>
    <w:rsid w:val="008B2758"/>
    <w:rsid w:val="008B2C74"/>
    <w:rsid w:val="008B2D74"/>
    <w:rsid w:val="008B33C1"/>
    <w:rsid w:val="008B371E"/>
    <w:rsid w:val="008B455D"/>
    <w:rsid w:val="008B4962"/>
    <w:rsid w:val="008B4BC1"/>
    <w:rsid w:val="008B5669"/>
    <w:rsid w:val="008B5B81"/>
    <w:rsid w:val="008C0A3D"/>
    <w:rsid w:val="008C0FAC"/>
    <w:rsid w:val="008C13BF"/>
    <w:rsid w:val="008C1751"/>
    <w:rsid w:val="008C379C"/>
    <w:rsid w:val="008C3DCB"/>
    <w:rsid w:val="008C4466"/>
    <w:rsid w:val="008C4D15"/>
    <w:rsid w:val="008C4E6D"/>
    <w:rsid w:val="008C527E"/>
    <w:rsid w:val="008C6264"/>
    <w:rsid w:val="008C75DE"/>
    <w:rsid w:val="008D096D"/>
    <w:rsid w:val="008D0A03"/>
    <w:rsid w:val="008D3F40"/>
    <w:rsid w:val="008D49DB"/>
    <w:rsid w:val="008D536C"/>
    <w:rsid w:val="008D5683"/>
    <w:rsid w:val="008D56BB"/>
    <w:rsid w:val="008D680E"/>
    <w:rsid w:val="008D7DED"/>
    <w:rsid w:val="008E1929"/>
    <w:rsid w:val="008E19E7"/>
    <w:rsid w:val="008E2820"/>
    <w:rsid w:val="008E3197"/>
    <w:rsid w:val="008E32FF"/>
    <w:rsid w:val="008E43EB"/>
    <w:rsid w:val="008E4D2D"/>
    <w:rsid w:val="008E53A2"/>
    <w:rsid w:val="008E792E"/>
    <w:rsid w:val="008E7CCE"/>
    <w:rsid w:val="008F06F8"/>
    <w:rsid w:val="008F0E7B"/>
    <w:rsid w:val="008F2A28"/>
    <w:rsid w:val="008F3371"/>
    <w:rsid w:val="008F3C5A"/>
    <w:rsid w:val="008F4BD2"/>
    <w:rsid w:val="008F4DB8"/>
    <w:rsid w:val="008F566A"/>
    <w:rsid w:val="008F72BE"/>
    <w:rsid w:val="008F76B7"/>
    <w:rsid w:val="009001D1"/>
    <w:rsid w:val="009002A3"/>
    <w:rsid w:val="009015DB"/>
    <w:rsid w:val="00901FD2"/>
    <w:rsid w:val="009026AF"/>
    <w:rsid w:val="00902B9E"/>
    <w:rsid w:val="00903743"/>
    <w:rsid w:val="009059EA"/>
    <w:rsid w:val="00905C80"/>
    <w:rsid w:val="00905EDB"/>
    <w:rsid w:val="009072F3"/>
    <w:rsid w:val="00907474"/>
    <w:rsid w:val="009109C0"/>
    <w:rsid w:val="00910E30"/>
    <w:rsid w:val="00911ABD"/>
    <w:rsid w:val="00912188"/>
    <w:rsid w:val="00912633"/>
    <w:rsid w:val="00913181"/>
    <w:rsid w:val="0091326C"/>
    <w:rsid w:val="009147CD"/>
    <w:rsid w:val="00914DF8"/>
    <w:rsid w:val="0091525B"/>
    <w:rsid w:val="00916A59"/>
    <w:rsid w:val="00917699"/>
    <w:rsid w:val="00917EEC"/>
    <w:rsid w:val="009200F2"/>
    <w:rsid w:val="00920591"/>
    <w:rsid w:val="0092098C"/>
    <w:rsid w:val="00920FAA"/>
    <w:rsid w:val="00921EC4"/>
    <w:rsid w:val="009221F4"/>
    <w:rsid w:val="009229AC"/>
    <w:rsid w:val="00922C73"/>
    <w:rsid w:val="00923569"/>
    <w:rsid w:val="00924054"/>
    <w:rsid w:val="00925AF3"/>
    <w:rsid w:val="00925B95"/>
    <w:rsid w:val="00926818"/>
    <w:rsid w:val="00927106"/>
    <w:rsid w:val="009307DB"/>
    <w:rsid w:val="0093090C"/>
    <w:rsid w:val="009309BF"/>
    <w:rsid w:val="00930DA7"/>
    <w:rsid w:val="0093114A"/>
    <w:rsid w:val="00931A67"/>
    <w:rsid w:val="00931C36"/>
    <w:rsid w:val="0093234B"/>
    <w:rsid w:val="009333D7"/>
    <w:rsid w:val="009339BA"/>
    <w:rsid w:val="00934034"/>
    <w:rsid w:val="00934104"/>
    <w:rsid w:val="00934290"/>
    <w:rsid w:val="009357C7"/>
    <w:rsid w:val="00935CD8"/>
    <w:rsid w:val="00937B8A"/>
    <w:rsid w:val="00940B36"/>
    <w:rsid w:val="0094130B"/>
    <w:rsid w:val="009416BA"/>
    <w:rsid w:val="00942A9C"/>
    <w:rsid w:val="0094312F"/>
    <w:rsid w:val="009434F2"/>
    <w:rsid w:val="00943777"/>
    <w:rsid w:val="0094393A"/>
    <w:rsid w:val="00943ABC"/>
    <w:rsid w:val="00943B77"/>
    <w:rsid w:val="00943C33"/>
    <w:rsid w:val="0094401E"/>
    <w:rsid w:val="009458ED"/>
    <w:rsid w:val="00952A63"/>
    <w:rsid w:val="00953DCB"/>
    <w:rsid w:val="00954574"/>
    <w:rsid w:val="009549D7"/>
    <w:rsid w:val="009550B4"/>
    <w:rsid w:val="009550C2"/>
    <w:rsid w:val="0095552D"/>
    <w:rsid w:val="00955F60"/>
    <w:rsid w:val="009565E5"/>
    <w:rsid w:val="00956DFD"/>
    <w:rsid w:val="00957CC0"/>
    <w:rsid w:val="00960396"/>
    <w:rsid w:val="009603B0"/>
    <w:rsid w:val="00960B3B"/>
    <w:rsid w:val="00960DC7"/>
    <w:rsid w:val="009613C4"/>
    <w:rsid w:val="009619CE"/>
    <w:rsid w:val="00961DA7"/>
    <w:rsid w:val="00962D93"/>
    <w:rsid w:val="0096340F"/>
    <w:rsid w:val="009644F7"/>
    <w:rsid w:val="00964719"/>
    <w:rsid w:val="009651D9"/>
    <w:rsid w:val="009663A9"/>
    <w:rsid w:val="0096710F"/>
    <w:rsid w:val="00967379"/>
    <w:rsid w:val="0096760D"/>
    <w:rsid w:val="009679A9"/>
    <w:rsid w:val="00967FA3"/>
    <w:rsid w:val="009703E3"/>
    <w:rsid w:val="00970810"/>
    <w:rsid w:val="00971337"/>
    <w:rsid w:val="00971456"/>
    <w:rsid w:val="009739B5"/>
    <w:rsid w:val="009749ED"/>
    <w:rsid w:val="00974AE7"/>
    <w:rsid w:val="00974B06"/>
    <w:rsid w:val="0097647C"/>
    <w:rsid w:val="00976564"/>
    <w:rsid w:val="00976641"/>
    <w:rsid w:val="00977B67"/>
    <w:rsid w:val="009800B3"/>
    <w:rsid w:val="0098103D"/>
    <w:rsid w:val="00981066"/>
    <w:rsid w:val="0098142D"/>
    <w:rsid w:val="00981B0A"/>
    <w:rsid w:val="00982C74"/>
    <w:rsid w:val="00982DA0"/>
    <w:rsid w:val="00983027"/>
    <w:rsid w:val="009831EC"/>
    <w:rsid w:val="0098358B"/>
    <w:rsid w:val="00983728"/>
    <w:rsid w:val="00983B2A"/>
    <w:rsid w:val="00983BD3"/>
    <w:rsid w:val="00984655"/>
    <w:rsid w:val="00985F66"/>
    <w:rsid w:val="00987AC7"/>
    <w:rsid w:val="0099020D"/>
    <w:rsid w:val="00991092"/>
    <w:rsid w:val="0099136F"/>
    <w:rsid w:val="009916B2"/>
    <w:rsid w:val="00991AA0"/>
    <w:rsid w:val="00991AD3"/>
    <w:rsid w:val="00991E69"/>
    <w:rsid w:val="00992F6C"/>
    <w:rsid w:val="00993510"/>
    <w:rsid w:val="009940A7"/>
    <w:rsid w:val="00994D5D"/>
    <w:rsid w:val="0099665E"/>
    <w:rsid w:val="0099708F"/>
    <w:rsid w:val="0099725A"/>
    <w:rsid w:val="00997772"/>
    <w:rsid w:val="00997BA7"/>
    <w:rsid w:val="00997EB2"/>
    <w:rsid w:val="009A07A7"/>
    <w:rsid w:val="009A0C15"/>
    <w:rsid w:val="009A12D2"/>
    <w:rsid w:val="009A1799"/>
    <w:rsid w:val="009A3C59"/>
    <w:rsid w:val="009A3DCB"/>
    <w:rsid w:val="009A4A85"/>
    <w:rsid w:val="009A5205"/>
    <w:rsid w:val="009A5B79"/>
    <w:rsid w:val="009A682C"/>
    <w:rsid w:val="009A7436"/>
    <w:rsid w:val="009A788E"/>
    <w:rsid w:val="009A7A29"/>
    <w:rsid w:val="009A7A2D"/>
    <w:rsid w:val="009B0FBE"/>
    <w:rsid w:val="009B1552"/>
    <w:rsid w:val="009B1591"/>
    <w:rsid w:val="009B2C78"/>
    <w:rsid w:val="009B3453"/>
    <w:rsid w:val="009B369B"/>
    <w:rsid w:val="009B38EF"/>
    <w:rsid w:val="009B3F18"/>
    <w:rsid w:val="009B52C9"/>
    <w:rsid w:val="009B55CA"/>
    <w:rsid w:val="009B6741"/>
    <w:rsid w:val="009B681B"/>
    <w:rsid w:val="009B6A0E"/>
    <w:rsid w:val="009C3094"/>
    <w:rsid w:val="009C3872"/>
    <w:rsid w:val="009C42C8"/>
    <w:rsid w:val="009C435E"/>
    <w:rsid w:val="009C4555"/>
    <w:rsid w:val="009C5120"/>
    <w:rsid w:val="009C6CF0"/>
    <w:rsid w:val="009C6D36"/>
    <w:rsid w:val="009D033A"/>
    <w:rsid w:val="009D0964"/>
    <w:rsid w:val="009D0A2A"/>
    <w:rsid w:val="009D119B"/>
    <w:rsid w:val="009D15E2"/>
    <w:rsid w:val="009D1B33"/>
    <w:rsid w:val="009D2334"/>
    <w:rsid w:val="009D2975"/>
    <w:rsid w:val="009D2F24"/>
    <w:rsid w:val="009D3388"/>
    <w:rsid w:val="009D3C07"/>
    <w:rsid w:val="009D3E84"/>
    <w:rsid w:val="009D3EFB"/>
    <w:rsid w:val="009D50E7"/>
    <w:rsid w:val="009D5161"/>
    <w:rsid w:val="009D51BA"/>
    <w:rsid w:val="009D51BB"/>
    <w:rsid w:val="009D5C9F"/>
    <w:rsid w:val="009D608D"/>
    <w:rsid w:val="009D71B1"/>
    <w:rsid w:val="009D7574"/>
    <w:rsid w:val="009D78EE"/>
    <w:rsid w:val="009E1201"/>
    <w:rsid w:val="009E17BC"/>
    <w:rsid w:val="009E1B72"/>
    <w:rsid w:val="009E65E9"/>
    <w:rsid w:val="009E7233"/>
    <w:rsid w:val="009E7FFE"/>
    <w:rsid w:val="009F1160"/>
    <w:rsid w:val="009F22F8"/>
    <w:rsid w:val="009F2B9A"/>
    <w:rsid w:val="009F337F"/>
    <w:rsid w:val="009F3795"/>
    <w:rsid w:val="009F383B"/>
    <w:rsid w:val="009F3D83"/>
    <w:rsid w:val="009F40F8"/>
    <w:rsid w:val="009F4303"/>
    <w:rsid w:val="009F4FA7"/>
    <w:rsid w:val="009F50E4"/>
    <w:rsid w:val="009F5AE0"/>
    <w:rsid w:val="009F6C4B"/>
    <w:rsid w:val="009F76D0"/>
    <w:rsid w:val="009F7EFB"/>
    <w:rsid w:val="00A00335"/>
    <w:rsid w:val="00A0078D"/>
    <w:rsid w:val="00A01434"/>
    <w:rsid w:val="00A02091"/>
    <w:rsid w:val="00A028B4"/>
    <w:rsid w:val="00A03FB9"/>
    <w:rsid w:val="00A04C96"/>
    <w:rsid w:val="00A068E4"/>
    <w:rsid w:val="00A0758C"/>
    <w:rsid w:val="00A07BAE"/>
    <w:rsid w:val="00A11343"/>
    <w:rsid w:val="00A11D28"/>
    <w:rsid w:val="00A123B7"/>
    <w:rsid w:val="00A12AAB"/>
    <w:rsid w:val="00A13517"/>
    <w:rsid w:val="00A14154"/>
    <w:rsid w:val="00A1427E"/>
    <w:rsid w:val="00A142BF"/>
    <w:rsid w:val="00A15477"/>
    <w:rsid w:val="00A15969"/>
    <w:rsid w:val="00A16F37"/>
    <w:rsid w:val="00A173C6"/>
    <w:rsid w:val="00A17F13"/>
    <w:rsid w:val="00A20118"/>
    <w:rsid w:val="00A21AA2"/>
    <w:rsid w:val="00A22D59"/>
    <w:rsid w:val="00A23BAC"/>
    <w:rsid w:val="00A24292"/>
    <w:rsid w:val="00A254C8"/>
    <w:rsid w:val="00A259A5"/>
    <w:rsid w:val="00A2654E"/>
    <w:rsid w:val="00A2660B"/>
    <w:rsid w:val="00A26709"/>
    <w:rsid w:val="00A30BDE"/>
    <w:rsid w:val="00A3249B"/>
    <w:rsid w:val="00A32B65"/>
    <w:rsid w:val="00A33071"/>
    <w:rsid w:val="00A331B6"/>
    <w:rsid w:val="00A34620"/>
    <w:rsid w:val="00A34A8C"/>
    <w:rsid w:val="00A3616A"/>
    <w:rsid w:val="00A366AC"/>
    <w:rsid w:val="00A37412"/>
    <w:rsid w:val="00A37C15"/>
    <w:rsid w:val="00A40B30"/>
    <w:rsid w:val="00A40EAD"/>
    <w:rsid w:val="00A42BDE"/>
    <w:rsid w:val="00A43C7C"/>
    <w:rsid w:val="00A44D92"/>
    <w:rsid w:val="00A44ECE"/>
    <w:rsid w:val="00A4500E"/>
    <w:rsid w:val="00A45EFF"/>
    <w:rsid w:val="00A46BBE"/>
    <w:rsid w:val="00A46FF4"/>
    <w:rsid w:val="00A477FC"/>
    <w:rsid w:val="00A478D5"/>
    <w:rsid w:val="00A479E6"/>
    <w:rsid w:val="00A47FE9"/>
    <w:rsid w:val="00A50127"/>
    <w:rsid w:val="00A50D22"/>
    <w:rsid w:val="00A51397"/>
    <w:rsid w:val="00A5181F"/>
    <w:rsid w:val="00A521BD"/>
    <w:rsid w:val="00A523D1"/>
    <w:rsid w:val="00A5244D"/>
    <w:rsid w:val="00A52473"/>
    <w:rsid w:val="00A529C4"/>
    <w:rsid w:val="00A52ECB"/>
    <w:rsid w:val="00A533C6"/>
    <w:rsid w:val="00A53A17"/>
    <w:rsid w:val="00A53AE6"/>
    <w:rsid w:val="00A54255"/>
    <w:rsid w:val="00A557E9"/>
    <w:rsid w:val="00A56DC6"/>
    <w:rsid w:val="00A578B6"/>
    <w:rsid w:val="00A60B7F"/>
    <w:rsid w:val="00A6207E"/>
    <w:rsid w:val="00A623B3"/>
    <w:rsid w:val="00A63522"/>
    <w:rsid w:val="00A63966"/>
    <w:rsid w:val="00A65CFE"/>
    <w:rsid w:val="00A65E29"/>
    <w:rsid w:val="00A67694"/>
    <w:rsid w:val="00A67725"/>
    <w:rsid w:val="00A70405"/>
    <w:rsid w:val="00A70F4C"/>
    <w:rsid w:val="00A73C56"/>
    <w:rsid w:val="00A7448C"/>
    <w:rsid w:val="00A746AE"/>
    <w:rsid w:val="00A74E1E"/>
    <w:rsid w:val="00A753A3"/>
    <w:rsid w:val="00A76FF9"/>
    <w:rsid w:val="00A771CD"/>
    <w:rsid w:val="00A77913"/>
    <w:rsid w:val="00A779B8"/>
    <w:rsid w:val="00A77AF0"/>
    <w:rsid w:val="00A77EBF"/>
    <w:rsid w:val="00A80D77"/>
    <w:rsid w:val="00A81160"/>
    <w:rsid w:val="00A812ED"/>
    <w:rsid w:val="00A81A5A"/>
    <w:rsid w:val="00A821E4"/>
    <w:rsid w:val="00A824CF"/>
    <w:rsid w:val="00A82639"/>
    <w:rsid w:val="00A8292D"/>
    <w:rsid w:val="00A82B49"/>
    <w:rsid w:val="00A84659"/>
    <w:rsid w:val="00A854BC"/>
    <w:rsid w:val="00A858EA"/>
    <w:rsid w:val="00A86BD9"/>
    <w:rsid w:val="00A87496"/>
    <w:rsid w:val="00A90421"/>
    <w:rsid w:val="00A90D7A"/>
    <w:rsid w:val="00A917C1"/>
    <w:rsid w:val="00A933A5"/>
    <w:rsid w:val="00A93E3D"/>
    <w:rsid w:val="00A93EC4"/>
    <w:rsid w:val="00A94F38"/>
    <w:rsid w:val="00A95183"/>
    <w:rsid w:val="00A97FE8"/>
    <w:rsid w:val="00AA0767"/>
    <w:rsid w:val="00AA135B"/>
    <w:rsid w:val="00AA1EA0"/>
    <w:rsid w:val="00AA4198"/>
    <w:rsid w:val="00AA505A"/>
    <w:rsid w:val="00AA54A2"/>
    <w:rsid w:val="00AA5787"/>
    <w:rsid w:val="00AA5B6F"/>
    <w:rsid w:val="00AA5F97"/>
    <w:rsid w:val="00AA6475"/>
    <w:rsid w:val="00AA77D8"/>
    <w:rsid w:val="00AA7C56"/>
    <w:rsid w:val="00AB0497"/>
    <w:rsid w:val="00AB09C1"/>
    <w:rsid w:val="00AB120B"/>
    <w:rsid w:val="00AB2686"/>
    <w:rsid w:val="00AB2F51"/>
    <w:rsid w:val="00AB3042"/>
    <w:rsid w:val="00AB396D"/>
    <w:rsid w:val="00AB4B70"/>
    <w:rsid w:val="00AB4F4A"/>
    <w:rsid w:val="00AB4F89"/>
    <w:rsid w:val="00AB5F46"/>
    <w:rsid w:val="00AB61F4"/>
    <w:rsid w:val="00AB7116"/>
    <w:rsid w:val="00AB79C7"/>
    <w:rsid w:val="00AC18F6"/>
    <w:rsid w:val="00AC2939"/>
    <w:rsid w:val="00AC3190"/>
    <w:rsid w:val="00AC3819"/>
    <w:rsid w:val="00AC3869"/>
    <w:rsid w:val="00AC5742"/>
    <w:rsid w:val="00AC6579"/>
    <w:rsid w:val="00AC6A64"/>
    <w:rsid w:val="00AC6FC1"/>
    <w:rsid w:val="00AD339E"/>
    <w:rsid w:val="00AD6110"/>
    <w:rsid w:val="00AD6C77"/>
    <w:rsid w:val="00AD6ED5"/>
    <w:rsid w:val="00AE06BB"/>
    <w:rsid w:val="00AE2784"/>
    <w:rsid w:val="00AE4F49"/>
    <w:rsid w:val="00AE62BA"/>
    <w:rsid w:val="00AE63FB"/>
    <w:rsid w:val="00AE6488"/>
    <w:rsid w:val="00AE6B1A"/>
    <w:rsid w:val="00AE6BCD"/>
    <w:rsid w:val="00AE7BD6"/>
    <w:rsid w:val="00AF1498"/>
    <w:rsid w:val="00AF1536"/>
    <w:rsid w:val="00AF2003"/>
    <w:rsid w:val="00AF2278"/>
    <w:rsid w:val="00AF2B23"/>
    <w:rsid w:val="00AF2BD5"/>
    <w:rsid w:val="00AF313B"/>
    <w:rsid w:val="00AF3352"/>
    <w:rsid w:val="00AF35AB"/>
    <w:rsid w:val="00AF4684"/>
    <w:rsid w:val="00AF53DD"/>
    <w:rsid w:val="00AF5B6E"/>
    <w:rsid w:val="00AF6559"/>
    <w:rsid w:val="00AF667C"/>
    <w:rsid w:val="00AF6C12"/>
    <w:rsid w:val="00AF7059"/>
    <w:rsid w:val="00AF724B"/>
    <w:rsid w:val="00AF7B2D"/>
    <w:rsid w:val="00B0014F"/>
    <w:rsid w:val="00B01E39"/>
    <w:rsid w:val="00B01EC5"/>
    <w:rsid w:val="00B02E2E"/>
    <w:rsid w:val="00B03700"/>
    <w:rsid w:val="00B05249"/>
    <w:rsid w:val="00B05A07"/>
    <w:rsid w:val="00B06687"/>
    <w:rsid w:val="00B10829"/>
    <w:rsid w:val="00B108A2"/>
    <w:rsid w:val="00B1278F"/>
    <w:rsid w:val="00B132B3"/>
    <w:rsid w:val="00B13535"/>
    <w:rsid w:val="00B1458A"/>
    <w:rsid w:val="00B1494C"/>
    <w:rsid w:val="00B1509B"/>
    <w:rsid w:val="00B15403"/>
    <w:rsid w:val="00B160D2"/>
    <w:rsid w:val="00B16102"/>
    <w:rsid w:val="00B16850"/>
    <w:rsid w:val="00B16C93"/>
    <w:rsid w:val="00B20079"/>
    <w:rsid w:val="00B20A0D"/>
    <w:rsid w:val="00B22864"/>
    <w:rsid w:val="00B22955"/>
    <w:rsid w:val="00B231CF"/>
    <w:rsid w:val="00B23C92"/>
    <w:rsid w:val="00B24964"/>
    <w:rsid w:val="00B257CB"/>
    <w:rsid w:val="00B259E7"/>
    <w:rsid w:val="00B25D43"/>
    <w:rsid w:val="00B25F0A"/>
    <w:rsid w:val="00B2642B"/>
    <w:rsid w:val="00B27C75"/>
    <w:rsid w:val="00B27E00"/>
    <w:rsid w:val="00B30A91"/>
    <w:rsid w:val="00B32471"/>
    <w:rsid w:val="00B330D3"/>
    <w:rsid w:val="00B334BF"/>
    <w:rsid w:val="00B336F1"/>
    <w:rsid w:val="00B3408C"/>
    <w:rsid w:val="00B342CA"/>
    <w:rsid w:val="00B35569"/>
    <w:rsid w:val="00B355BD"/>
    <w:rsid w:val="00B36D5A"/>
    <w:rsid w:val="00B404FA"/>
    <w:rsid w:val="00B40E1D"/>
    <w:rsid w:val="00B40EC1"/>
    <w:rsid w:val="00B414F8"/>
    <w:rsid w:val="00B4189F"/>
    <w:rsid w:val="00B42637"/>
    <w:rsid w:val="00B4278E"/>
    <w:rsid w:val="00B433CD"/>
    <w:rsid w:val="00B43944"/>
    <w:rsid w:val="00B43B47"/>
    <w:rsid w:val="00B43BBA"/>
    <w:rsid w:val="00B4400D"/>
    <w:rsid w:val="00B44520"/>
    <w:rsid w:val="00B44E35"/>
    <w:rsid w:val="00B4782D"/>
    <w:rsid w:val="00B51137"/>
    <w:rsid w:val="00B51311"/>
    <w:rsid w:val="00B51A32"/>
    <w:rsid w:val="00B5275D"/>
    <w:rsid w:val="00B528B2"/>
    <w:rsid w:val="00B547CD"/>
    <w:rsid w:val="00B54E4B"/>
    <w:rsid w:val="00B55B3D"/>
    <w:rsid w:val="00B55C52"/>
    <w:rsid w:val="00B56151"/>
    <w:rsid w:val="00B56385"/>
    <w:rsid w:val="00B568F4"/>
    <w:rsid w:val="00B56DD1"/>
    <w:rsid w:val="00B57EAC"/>
    <w:rsid w:val="00B61191"/>
    <w:rsid w:val="00B615E3"/>
    <w:rsid w:val="00B62060"/>
    <w:rsid w:val="00B620F8"/>
    <w:rsid w:val="00B629B6"/>
    <w:rsid w:val="00B629F2"/>
    <w:rsid w:val="00B62A09"/>
    <w:rsid w:val="00B62C03"/>
    <w:rsid w:val="00B632E1"/>
    <w:rsid w:val="00B63C45"/>
    <w:rsid w:val="00B63EBD"/>
    <w:rsid w:val="00B670F5"/>
    <w:rsid w:val="00B67570"/>
    <w:rsid w:val="00B70BD6"/>
    <w:rsid w:val="00B710E0"/>
    <w:rsid w:val="00B713F6"/>
    <w:rsid w:val="00B714BE"/>
    <w:rsid w:val="00B724F0"/>
    <w:rsid w:val="00B72AE7"/>
    <w:rsid w:val="00B72B1C"/>
    <w:rsid w:val="00B72DEE"/>
    <w:rsid w:val="00B75912"/>
    <w:rsid w:val="00B76555"/>
    <w:rsid w:val="00B76741"/>
    <w:rsid w:val="00B77BB4"/>
    <w:rsid w:val="00B800FE"/>
    <w:rsid w:val="00B8011F"/>
    <w:rsid w:val="00B80E2B"/>
    <w:rsid w:val="00B80F26"/>
    <w:rsid w:val="00B817B5"/>
    <w:rsid w:val="00B81A85"/>
    <w:rsid w:val="00B81C41"/>
    <w:rsid w:val="00B83E45"/>
    <w:rsid w:val="00B8411F"/>
    <w:rsid w:val="00B8441B"/>
    <w:rsid w:val="00B84A96"/>
    <w:rsid w:val="00B8549C"/>
    <w:rsid w:val="00B85664"/>
    <w:rsid w:val="00B86F39"/>
    <w:rsid w:val="00B87103"/>
    <w:rsid w:val="00B87280"/>
    <w:rsid w:val="00B90ADB"/>
    <w:rsid w:val="00B90E28"/>
    <w:rsid w:val="00B91CAB"/>
    <w:rsid w:val="00B91E9F"/>
    <w:rsid w:val="00B92523"/>
    <w:rsid w:val="00B92E5B"/>
    <w:rsid w:val="00B931CC"/>
    <w:rsid w:val="00B939AD"/>
    <w:rsid w:val="00B93B39"/>
    <w:rsid w:val="00B93EBE"/>
    <w:rsid w:val="00B94FCF"/>
    <w:rsid w:val="00B9608F"/>
    <w:rsid w:val="00B978A6"/>
    <w:rsid w:val="00B97BA8"/>
    <w:rsid w:val="00BA01E1"/>
    <w:rsid w:val="00BA1E60"/>
    <w:rsid w:val="00BA1F64"/>
    <w:rsid w:val="00BA37AE"/>
    <w:rsid w:val="00BA46ED"/>
    <w:rsid w:val="00BA5212"/>
    <w:rsid w:val="00BA5D6E"/>
    <w:rsid w:val="00BA677B"/>
    <w:rsid w:val="00BA6A3F"/>
    <w:rsid w:val="00BB0174"/>
    <w:rsid w:val="00BB13B3"/>
    <w:rsid w:val="00BB15CB"/>
    <w:rsid w:val="00BB2A2E"/>
    <w:rsid w:val="00BB2D10"/>
    <w:rsid w:val="00BB38A6"/>
    <w:rsid w:val="00BB41F9"/>
    <w:rsid w:val="00BB4445"/>
    <w:rsid w:val="00BB4A66"/>
    <w:rsid w:val="00BB6240"/>
    <w:rsid w:val="00BB7F47"/>
    <w:rsid w:val="00BB7F63"/>
    <w:rsid w:val="00BC06C9"/>
    <w:rsid w:val="00BC0BE8"/>
    <w:rsid w:val="00BC1019"/>
    <w:rsid w:val="00BC1174"/>
    <w:rsid w:val="00BC1312"/>
    <w:rsid w:val="00BC1B32"/>
    <w:rsid w:val="00BC1E86"/>
    <w:rsid w:val="00BC26A8"/>
    <w:rsid w:val="00BC3A05"/>
    <w:rsid w:val="00BC3E56"/>
    <w:rsid w:val="00BC5242"/>
    <w:rsid w:val="00BC61EF"/>
    <w:rsid w:val="00BC6D18"/>
    <w:rsid w:val="00BC7557"/>
    <w:rsid w:val="00BC78F2"/>
    <w:rsid w:val="00BC7B12"/>
    <w:rsid w:val="00BD08B1"/>
    <w:rsid w:val="00BD2198"/>
    <w:rsid w:val="00BD2AC9"/>
    <w:rsid w:val="00BD43EF"/>
    <w:rsid w:val="00BD49D5"/>
    <w:rsid w:val="00BD4E07"/>
    <w:rsid w:val="00BD560B"/>
    <w:rsid w:val="00BD5E70"/>
    <w:rsid w:val="00BD7A49"/>
    <w:rsid w:val="00BD7C84"/>
    <w:rsid w:val="00BD7E37"/>
    <w:rsid w:val="00BD7FB8"/>
    <w:rsid w:val="00BE24DA"/>
    <w:rsid w:val="00BE299A"/>
    <w:rsid w:val="00BE3580"/>
    <w:rsid w:val="00BE3AE9"/>
    <w:rsid w:val="00BE4164"/>
    <w:rsid w:val="00BE488F"/>
    <w:rsid w:val="00BE5762"/>
    <w:rsid w:val="00BE65C0"/>
    <w:rsid w:val="00BE6C3A"/>
    <w:rsid w:val="00BE761A"/>
    <w:rsid w:val="00BE7874"/>
    <w:rsid w:val="00BE79C2"/>
    <w:rsid w:val="00BF081E"/>
    <w:rsid w:val="00BF1181"/>
    <w:rsid w:val="00BF1822"/>
    <w:rsid w:val="00BF18D2"/>
    <w:rsid w:val="00BF21DE"/>
    <w:rsid w:val="00BF239B"/>
    <w:rsid w:val="00BF23FB"/>
    <w:rsid w:val="00BF40DB"/>
    <w:rsid w:val="00BF4EB1"/>
    <w:rsid w:val="00BF5652"/>
    <w:rsid w:val="00BF5A3C"/>
    <w:rsid w:val="00BF5CFD"/>
    <w:rsid w:val="00BF5E15"/>
    <w:rsid w:val="00BF65DE"/>
    <w:rsid w:val="00BF671D"/>
    <w:rsid w:val="00BF76C3"/>
    <w:rsid w:val="00BF76CA"/>
    <w:rsid w:val="00C00A16"/>
    <w:rsid w:val="00C01EDA"/>
    <w:rsid w:val="00C02164"/>
    <w:rsid w:val="00C02DFE"/>
    <w:rsid w:val="00C03849"/>
    <w:rsid w:val="00C043EA"/>
    <w:rsid w:val="00C0479A"/>
    <w:rsid w:val="00C048C5"/>
    <w:rsid w:val="00C05115"/>
    <w:rsid w:val="00C05810"/>
    <w:rsid w:val="00C05AA2"/>
    <w:rsid w:val="00C063AB"/>
    <w:rsid w:val="00C06514"/>
    <w:rsid w:val="00C06650"/>
    <w:rsid w:val="00C070F3"/>
    <w:rsid w:val="00C07AE2"/>
    <w:rsid w:val="00C119DF"/>
    <w:rsid w:val="00C1260B"/>
    <w:rsid w:val="00C12ACC"/>
    <w:rsid w:val="00C13650"/>
    <w:rsid w:val="00C13847"/>
    <w:rsid w:val="00C16A80"/>
    <w:rsid w:val="00C17371"/>
    <w:rsid w:val="00C1791C"/>
    <w:rsid w:val="00C17D45"/>
    <w:rsid w:val="00C200D0"/>
    <w:rsid w:val="00C2024F"/>
    <w:rsid w:val="00C20447"/>
    <w:rsid w:val="00C20F49"/>
    <w:rsid w:val="00C2230A"/>
    <w:rsid w:val="00C22579"/>
    <w:rsid w:val="00C23465"/>
    <w:rsid w:val="00C2486A"/>
    <w:rsid w:val="00C251A0"/>
    <w:rsid w:val="00C26677"/>
    <w:rsid w:val="00C27B5C"/>
    <w:rsid w:val="00C3067D"/>
    <w:rsid w:val="00C30AF8"/>
    <w:rsid w:val="00C3183C"/>
    <w:rsid w:val="00C32684"/>
    <w:rsid w:val="00C339DB"/>
    <w:rsid w:val="00C34BF2"/>
    <w:rsid w:val="00C34BFD"/>
    <w:rsid w:val="00C34E82"/>
    <w:rsid w:val="00C3625E"/>
    <w:rsid w:val="00C36B0C"/>
    <w:rsid w:val="00C415CB"/>
    <w:rsid w:val="00C41EC4"/>
    <w:rsid w:val="00C42BAF"/>
    <w:rsid w:val="00C42F12"/>
    <w:rsid w:val="00C43A45"/>
    <w:rsid w:val="00C4406C"/>
    <w:rsid w:val="00C446FE"/>
    <w:rsid w:val="00C448F3"/>
    <w:rsid w:val="00C4569D"/>
    <w:rsid w:val="00C45C3B"/>
    <w:rsid w:val="00C47091"/>
    <w:rsid w:val="00C47492"/>
    <w:rsid w:val="00C47B57"/>
    <w:rsid w:val="00C50784"/>
    <w:rsid w:val="00C50BF1"/>
    <w:rsid w:val="00C526BE"/>
    <w:rsid w:val="00C52780"/>
    <w:rsid w:val="00C52F4A"/>
    <w:rsid w:val="00C5373A"/>
    <w:rsid w:val="00C53D29"/>
    <w:rsid w:val="00C543A1"/>
    <w:rsid w:val="00C54721"/>
    <w:rsid w:val="00C5499D"/>
    <w:rsid w:val="00C5501F"/>
    <w:rsid w:val="00C55C37"/>
    <w:rsid w:val="00C56664"/>
    <w:rsid w:val="00C56877"/>
    <w:rsid w:val="00C57BF2"/>
    <w:rsid w:val="00C61105"/>
    <w:rsid w:val="00C62CB8"/>
    <w:rsid w:val="00C63AB8"/>
    <w:rsid w:val="00C63E6B"/>
    <w:rsid w:val="00C64474"/>
    <w:rsid w:val="00C64BA5"/>
    <w:rsid w:val="00C6574F"/>
    <w:rsid w:val="00C67054"/>
    <w:rsid w:val="00C67644"/>
    <w:rsid w:val="00C679CC"/>
    <w:rsid w:val="00C706C3"/>
    <w:rsid w:val="00C70D71"/>
    <w:rsid w:val="00C7174D"/>
    <w:rsid w:val="00C73CC4"/>
    <w:rsid w:val="00C75B35"/>
    <w:rsid w:val="00C75EF1"/>
    <w:rsid w:val="00C76253"/>
    <w:rsid w:val="00C764D1"/>
    <w:rsid w:val="00C7653E"/>
    <w:rsid w:val="00C77E2D"/>
    <w:rsid w:val="00C80228"/>
    <w:rsid w:val="00C80A2D"/>
    <w:rsid w:val="00C80C5F"/>
    <w:rsid w:val="00C8131B"/>
    <w:rsid w:val="00C8234C"/>
    <w:rsid w:val="00C83487"/>
    <w:rsid w:val="00C84375"/>
    <w:rsid w:val="00C84CDA"/>
    <w:rsid w:val="00C8526A"/>
    <w:rsid w:val="00C85CCF"/>
    <w:rsid w:val="00C87722"/>
    <w:rsid w:val="00C87DF1"/>
    <w:rsid w:val="00C90F0B"/>
    <w:rsid w:val="00C91E86"/>
    <w:rsid w:val="00C92A83"/>
    <w:rsid w:val="00C92EE5"/>
    <w:rsid w:val="00C93140"/>
    <w:rsid w:val="00C932BD"/>
    <w:rsid w:val="00C94C49"/>
    <w:rsid w:val="00C952CC"/>
    <w:rsid w:val="00C954A4"/>
    <w:rsid w:val="00C9581B"/>
    <w:rsid w:val="00C97888"/>
    <w:rsid w:val="00C97E15"/>
    <w:rsid w:val="00CA01F7"/>
    <w:rsid w:val="00CA069A"/>
    <w:rsid w:val="00CA0DAC"/>
    <w:rsid w:val="00CA1140"/>
    <w:rsid w:val="00CA2588"/>
    <w:rsid w:val="00CA2CB6"/>
    <w:rsid w:val="00CA3453"/>
    <w:rsid w:val="00CA3C0A"/>
    <w:rsid w:val="00CA41AD"/>
    <w:rsid w:val="00CA493F"/>
    <w:rsid w:val="00CA4A3D"/>
    <w:rsid w:val="00CA56BF"/>
    <w:rsid w:val="00CA714C"/>
    <w:rsid w:val="00CB0AB1"/>
    <w:rsid w:val="00CB2065"/>
    <w:rsid w:val="00CB207A"/>
    <w:rsid w:val="00CB42EB"/>
    <w:rsid w:val="00CB4804"/>
    <w:rsid w:val="00CB53D5"/>
    <w:rsid w:val="00CB57BD"/>
    <w:rsid w:val="00CB62D8"/>
    <w:rsid w:val="00CB7383"/>
    <w:rsid w:val="00CB73D5"/>
    <w:rsid w:val="00CC1410"/>
    <w:rsid w:val="00CC1C33"/>
    <w:rsid w:val="00CC1FE6"/>
    <w:rsid w:val="00CC3518"/>
    <w:rsid w:val="00CC3D5A"/>
    <w:rsid w:val="00CC421C"/>
    <w:rsid w:val="00CC4E29"/>
    <w:rsid w:val="00CC5820"/>
    <w:rsid w:val="00CC58DE"/>
    <w:rsid w:val="00CC6289"/>
    <w:rsid w:val="00CC6636"/>
    <w:rsid w:val="00CC70FA"/>
    <w:rsid w:val="00CD00A7"/>
    <w:rsid w:val="00CD17AB"/>
    <w:rsid w:val="00CD2713"/>
    <w:rsid w:val="00CD2AEF"/>
    <w:rsid w:val="00CD2FC4"/>
    <w:rsid w:val="00CD67F1"/>
    <w:rsid w:val="00CD6810"/>
    <w:rsid w:val="00CD6E6D"/>
    <w:rsid w:val="00CD6F8E"/>
    <w:rsid w:val="00CD7F51"/>
    <w:rsid w:val="00CE09C0"/>
    <w:rsid w:val="00CE1E03"/>
    <w:rsid w:val="00CE3043"/>
    <w:rsid w:val="00CE334C"/>
    <w:rsid w:val="00CE3DC9"/>
    <w:rsid w:val="00CE60E1"/>
    <w:rsid w:val="00CF0460"/>
    <w:rsid w:val="00CF11BF"/>
    <w:rsid w:val="00CF176B"/>
    <w:rsid w:val="00CF1BDE"/>
    <w:rsid w:val="00CF1DB3"/>
    <w:rsid w:val="00CF1F14"/>
    <w:rsid w:val="00CF20B4"/>
    <w:rsid w:val="00CF35E3"/>
    <w:rsid w:val="00CF373B"/>
    <w:rsid w:val="00CF3D34"/>
    <w:rsid w:val="00CF4B4E"/>
    <w:rsid w:val="00CF4BBA"/>
    <w:rsid w:val="00CF5FB4"/>
    <w:rsid w:val="00CF6CCB"/>
    <w:rsid w:val="00D02379"/>
    <w:rsid w:val="00D032D8"/>
    <w:rsid w:val="00D033B7"/>
    <w:rsid w:val="00D03F60"/>
    <w:rsid w:val="00D06079"/>
    <w:rsid w:val="00D0751F"/>
    <w:rsid w:val="00D10050"/>
    <w:rsid w:val="00D106B9"/>
    <w:rsid w:val="00D114C1"/>
    <w:rsid w:val="00D119E8"/>
    <w:rsid w:val="00D11D30"/>
    <w:rsid w:val="00D12E11"/>
    <w:rsid w:val="00D12EA1"/>
    <w:rsid w:val="00D13D62"/>
    <w:rsid w:val="00D14559"/>
    <w:rsid w:val="00D14726"/>
    <w:rsid w:val="00D1492A"/>
    <w:rsid w:val="00D1536C"/>
    <w:rsid w:val="00D160F4"/>
    <w:rsid w:val="00D17694"/>
    <w:rsid w:val="00D17749"/>
    <w:rsid w:val="00D200EA"/>
    <w:rsid w:val="00D20EEF"/>
    <w:rsid w:val="00D2119B"/>
    <w:rsid w:val="00D212A5"/>
    <w:rsid w:val="00D21E94"/>
    <w:rsid w:val="00D2218D"/>
    <w:rsid w:val="00D2288B"/>
    <w:rsid w:val="00D22B1C"/>
    <w:rsid w:val="00D22BF4"/>
    <w:rsid w:val="00D2335F"/>
    <w:rsid w:val="00D237BD"/>
    <w:rsid w:val="00D23AE9"/>
    <w:rsid w:val="00D23B06"/>
    <w:rsid w:val="00D23ED0"/>
    <w:rsid w:val="00D2666A"/>
    <w:rsid w:val="00D26EFA"/>
    <w:rsid w:val="00D27012"/>
    <w:rsid w:val="00D278DF"/>
    <w:rsid w:val="00D27C67"/>
    <w:rsid w:val="00D27E33"/>
    <w:rsid w:val="00D27EDD"/>
    <w:rsid w:val="00D30379"/>
    <w:rsid w:val="00D30EDD"/>
    <w:rsid w:val="00D31239"/>
    <w:rsid w:val="00D316C9"/>
    <w:rsid w:val="00D31702"/>
    <w:rsid w:val="00D32AEC"/>
    <w:rsid w:val="00D32D80"/>
    <w:rsid w:val="00D32FC7"/>
    <w:rsid w:val="00D33976"/>
    <w:rsid w:val="00D33ACA"/>
    <w:rsid w:val="00D33F62"/>
    <w:rsid w:val="00D34A8E"/>
    <w:rsid w:val="00D34FD3"/>
    <w:rsid w:val="00D36AA1"/>
    <w:rsid w:val="00D37D57"/>
    <w:rsid w:val="00D40116"/>
    <w:rsid w:val="00D425BE"/>
    <w:rsid w:val="00D44E56"/>
    <w:rsid w:val="00D45778"/>
    <w:rsid w:val="00D4703B"/>
    <w:rsid w:val="00D5049D"/>
    <w:rsid w:val="00D51453"/>
    <w:rsid w:val="00D5176A"/>
    <w:rsid w:val="00D557B3"/>
    <w:rsid w:val="00D60100"/>
    <w:rsid w:val="00D60A0E"/>
    <w:rsid w:val="00D6115F"/>
    <w:rsid w:val="00D61233"/>
    <w:rsid w:val="00D61431"/>
    <w:rsid w:val="00D61F17"/>
    <w:rsid w:val="00D6318F"/>
    <w:rsid w:val="00D6356C"/>
    <w:rsid w:val="00D65235"/>
    <w:rsid w:val="00D65E5E"/>
    <w:rsid w:val="00D66AD7"/>
    <w:rsid w:val="00D67942"/>
    <w:rsid w:val="00D700C5"/>
    <w:rsid w:val="00D7085A"/>
    <w:rsid w:val="00D71B82"/>
    <w:rsid w:val="00D71C12"/>
    <w:rsid w:val="00D72119"/>
    <w:rsid w:val="00D729FA"/>
    <w:rsid w:val="00D72CEF"/>
    <w:rsid w:val="00D72F09"/>
    <w:rsid w:val="00D73DD4"/>
    <w:rsid w:val="00D7423D"/>
    <w:rsid w:val="00D745FC"/>
    <w:rsid w:val="00D758FE"/>
    <w:rsid w:val="00D75A56"/>
    <w:rsid w:val="00D75C0C"/>
    <w:rsid w:val="00D75C1A"/>
    <w:rsid w:val="00D76B6B"/>
    <w:rsid w:val="00D8026F"/>
    <w:rsid w:val="00D807E3"/>
    <w:rsid w:val="00D8080B"/>
    <w:rsid w:val="00D80AED"/>
    <w:rsid w:val="00D80EB0"/>
    <w:rsid w:val="00D816AA"/>
    <w:rsid w:val="00D8182B"/>
    <w:rsid w:val="00D82953"/>
    <w:rsid w:val="00D8303B"/>
    <w:rsid w:val="00D83AB1"/>
    <w:rsid w:val="00D83D43"/>
    <w:rsid w:val="00D83F04"/>
    <w:rsid w:val="00D8428C"/>
    <w:rsid w:val="00D848F2"/>
    <w:rsid w:val="00D84A1A"/>
    <w:rsid w:val="00D84EAE"/>
    <w:rsid w:val="00D85151"/>
    <w:rsid w:val="00D85962"/>
    <w:rsid w:val="00D85FB8"/>
    <w:rsid w:val="00D87546"/>
    <w:rsid w:val="00D87AE6"/>
    <w:rsid w:val="00D900E6"/>
    <w:rsid w:val="00D902A4"/>
    <w:rsid w:val="00D904F4"/>
    <w:rsid w:val="00D90798"/>
    <w:rsid w:val="00D910F2"/>
    <w:rsid w:val="00D91B2C"/>
    <w:rsid w:val="00D93D18"/>
    <w:rsid w:val="00D941CA"/>
    <w:rsid w:val="00D94E5F"/>
    <w:rsid w:val="00D95783"/>
    <w:rsid w:val="00D95AB9"/>
    <w:rsid w:val="00D95F2B"/>
    <w:rsid w:val="00D96D79"/>
    <w:rsid w:val="00DA0652"/>
    <w:rsid w:val="00DA109F"/>
    <w:rsid w:val="00DA1E33"/>
    <w:rsid w:val="00DA1F04"/>
    <w:rsid w:val="00DA297C"/>
    <w:rsid w:val="00DA3872"/>
    <w:rsid w:val="00DA4775"/>
    <w:rsid w:val="00DA5253"/>
    <w:rsid w:val="00DA5271"/>
    <w:rsid w:val="00DA7245"/>
    <w:rsid w:val="00DB2F08"/>
    <w:rsid w:val="00DB5493"/>
    <w:rsid w:val="00DB68EF"/>
    <w:rsid w:val="00DC0239"/>
    <w:rsid w:val="00DC0597"/>
    <w:rsid w:val="00DC0969"/>
    <w:rsid w:val="00DC193F"/>
    <w:rsid w:val="00DC2833"/>
    <w:rsid w:val="00DC2B13"/>
    <w:rsid w:val="00DC2D9C"/>
    <w:rsid w:val="00DC4908"/>
    <w:rsid w:val="00DC4B3B"/>
    <w:rsid w:val="00DC6667"/>
    <w:rsid w:val="00DC7792"/>
    <w:rsid w:val="00DD0DB1"/>
    <w:rsid w:val="00DD2377"/>
    <w:rsid w:val="00DD399D"/>
    <w:rsid w:val="00DD4519"/>
    <w:rsid w:val="00DD4D6C"/>
    <w:rsid w:val="00DD55A3"/>
    <w:rsid w:val="00DD56C7"/>
    <w:rsid w:val="00DD6088"/>
    <w:rsid w:val="00DD6807"/>
    <w:rsid w:val="00DD6B2A"/>
    <w:rsid w:val="00DD7AEA"/>
    <w:rsid w:val="00DD7E8C"/>
    <w:rsid w:val="00DE0BD4"/>
    <w:rsid w:val="00DE1A1C"/>
    <w:rsid w:val="00DE1C67"/>
    <w:rsid w:val="00DE2217"/>
    <w:rsid w:val="00DE330E"/>
    <w:rsid w:val="00DE3AC6"/>
    <w:rsid w:val="00DE44B7"/>
    <w:rsid w:val="00DE480F"/>
    <w:rsid w:val="00DE481F"/>
    <w:rsid w:val="00DE5096"/>
    <w:rsid w:val="00DE53DD"/>
    <w:rsid w:val="00DE71EB"/>
    <w:rsid w:val="00DE7456"/>
    <w:rsid w:val="00DF07C1"/>
    <w:rsid w:val="00DF080B"/>
    <w:rsid w:val="00DF0BCC"/>
    <w:rsid w:val="00DF0C0A"/>
    <w:rsid w:val="00DF133D"/>
    <w:rsid w:val="00DF14F4"/>
    <w:rsid w:val="00DF1708"/>
    <w:rsid w:val="00DF24D3"/>
    <w:rsid w:val="00DF29E3"/>
    <w:rsid w:val="00DF3C93"/>
    <w:rsid w:val="00DF6518"/>
    <w:rsid w:val="00DF66D6"/>
    <w:rsid w:val="00DF70A8"/>
    <w:rsid w:val="00DF78C1"/>
    <w:rsid w:val="00DF7953"/>
    <w:rsid w:val="00DF7ED6"/>
    <w:rsid w:val="00DF7F51"/>
    <w:rsid w:val="00E000DB"/>
    <w:rsid w:val="00E00165"/>
    <w:rsid w:val="00E022B5"/>
    <w:rsid w:val="00E02FC9"/>
    <w:rsid w:val="00E03784"/>
    <w:rsid w:val="00E047C8"/>
    <w:rsid w:val="00E04BA7"/>
    <w:rsid w:val="00E05766"/>
    <w:rsid w:val="00E07242"/>
    <w:rsid w:val="00E07C16"/>
    <w:rsid w:val="00E1099C"/>
    <w:rsid w:val="00E10DFB"/>
    <w:rsid w:val="00E11B21"/>
    <w:rsid w:val="00E127E9"/>
    <w:rsid w:val="00E13020"/>
    <w:rsid w:val="00E1378D"/>
    <w:rsid w:val="00E13D3C"/>
    <w:rsid w:val="00E13E60"/>
    <w:rsid w:val="00E14137"/>
    <w:rsid w:val="00E14470"/>
    <w:rsid w:val="00E1562C"/>
    <w:rsid w:val="00E16A46"/>
    <w:rsid w:val="00E177FA"/>
    <w:rsid w:val="00E17876"/>
    <w:rsid w:val="00E17974"/>
    <w:rsid w:val="00E17C88"/>
    <w:rsid w:val="00E2017D"/>
    <w:rsid w:val="00E2031E"/>
    <w:rsid w:val="00E2048B"/>
    <w:rsid w:val="00E2062B"/>
    <w:rsid w:val="00E212D9"/>
    <w:rsid w:val="00E2134F"/>
    <w:rsid w:val="00E21923"/>
    <w:rsid w:val="00E21D7A"/>
    <w:rsid w:val="00E2205B"/>
    <w:rsid w:val="00E22AB5"/>
    <w:rsid w:val="00E25A28"/>
    <w:rsid w:val="00E25F6A"/>
    <w:rsid w:val="00E265BE"/>
    <w:rsid w:val="00E26DB1"/>
    <w:rsid w:val="00E2760C"/>
    <w:rsid w:val="00E27C76"/>
    <w:rsid w:val="00E30F77"/>
    <w:rsid w:val="00E31A96"/>
    <w:rsid w:val="00E31B5E"/>
    <w:rsid w:val="00E31FFF"/>
    <w:rsid w:val="00E323C5"/>
    <w:rsid w:val="00E32532"/>
    <w:rsid w:val="00E326A4"/>
    <w:rsid w:val="00E335A3"/>
    <w:rsid w:val="00E33CE6"/>
    <w:rsid w:val="00E33FBB"/>
    <w:rsid w:val="00E34D1E"/>
    <w:rsid w:val="00E37580"/>
    <w:rsid w:val="00E402A1"/>
    <w:rsid w:val="00E403BB"/>
    <w:rsid w:val="00E4060E"/>
    <w:rsid w:val="00E41817"/>
    <w:rsid w:val="00E449BF"/>
    <w:rsid w:val="00E44E00"/>
    <w:rsid w:val="00E45B49"/>
    <w:rsid w:val="00E45D98"/>
    <w:rsid w:val="00E46094"/>
    <w:rsid w:val="00E5092E"/>
    <w:rsid w:val="00E50A96"/>
    <w:rsid w:val="00E50F7B"/>
    <w:rsid w:val="00E51077"/>
    <w:rsid w:val="00E51D80"/>
    <w:rsid w:val="00E525AB"/>
    <w:rsid w:val="00E529F1"/>
    <w:rsid w:val="00E52BC1"/>
    <w:rsid w:val="00E536C4"/>
    <w:rsid w:val="00E551F7"/>
    <w:rsid w:val="00E553D1"/>
    <w:rsid w:val="00E560A3"/>
    <w:rsid w:val="00E5610E"/>
    <w:rsid w:val="00E579B3"/>
    <w:rsid w:val="00E613B0"/>
    <w:rsid w:val="00E628AC"/>
    <w:rsid w:val="00E62935"/>
    <w:rsid w:val="00E629F9"/>
    <w:rsid w:val="00E63488"/>
    <w:rsid w:val="00E64AEA"/>
    <w:rsid w:val="00E64CB2"/>
    <w:rsid w:val="00E64D09"/>
    <w:rsid w:val="00E6520C"/>
    <w:rsid w:val="00E65325"/>
    <w:rsid w:val="00E65CB8"/>
    <w:rsid w:val="00E660AF"/>
    <w:rsid w:val="00E671B2"/>
    <w:rsid w:val="00E676CC"/>
    <w:rsid w:val="00E70575"/>
    <w:rsid w:val="00E71419"/>
    <w:rsid w:val="00E71B7D"/>
    <w:rsid w:val="00E71E39"/>
    <w:rsid w:val="00E72E3B"/>
    <w:rsid w:val="00E73197"/>
    <w:rsid w:val="00E73E0C"/>
    <w:rsid w:val="00E7405B"/>
    <w:rsid w:val="00E7505F"/>
    <w:rsid w:val="00E75AE6"/>
    <w:rsid w:val="00E762F2"/>
    <w:rsid w:val="00E76CED"/>
    <w:rsid w:val="00E76E8D"/>
    <w:rsid w:val="00E801C6"/>
    <w:rsid w:val="00E8067A"/>
    <w:rsid w:val="00E806F5"/>
    <w:rsid w:val="00E8131D"/>
    <w:rsid w:val="00E81571"/>
    <w:rsid w:val="00E8378E"/>
    <w:rsid w:val="00E83B63"/>
    <w:rsid w:val="00E84880"/>
    <w:rsid w:val="00E868B3"/>
    <w:rsid w:val="00E86FB0"/>
    <w:rsid w:val="00E87ABC"/>
    <w:rsid w:val="00E87DD5"/>
    <w:rsid w:val="00E913B4"/>
    <w:rsid w:val="00E9283D"/>
    <w:rsid w:val="00E93851"/>
    <w:rsid w:val="00E93C3F"/>
    <w:rsid w:val="00E94B93"/>
    <w:rsid w:val="00E953F7"/>
    <w:rsid w:val="00E9558F"/>
    <w:rsid w:val="00E955EE"/>
    <w:rsid w:val="00E963DB"/>
    <w:rsid w:val="00E96438"/>
    <w:rsid w:val="00E9644E"/>
    <w:rsid w:val="00E96B60"/>
    <w:rsid w:val="00E977CA"/>
    <w:rsid w:val="00E97C25"/>
    <w:rsid w:val="00EA0247"/>
    <w:rsid w:val="00EA054C"/>
    <w:rsid w:val="00EA0930"/>
    <w:rsid w:val="00EA0A08"/>
    <w:rsid w:val="00EA0E17"/>
    <w:rsid w:val="00EA11B0"/>
    <w:rsid w:val="00EA25A5"/>
    <w:rsid w:val="00EA3072"/>
    <w:rsid w:val="00EA3444"/>
    <w:rsid w:val="00EA6279"/>
    <w:rsid w:val="00EA66DB"/>
    <w:rsid w:val="00EA732D"/>
    <w:rsid w:val="00EB03DD"/>
    <w:rsid w:val="00EB1040"/>
    <w:rsid w:val="00EB24A8"/>
    <w:rsid w:val="00EB2E26"/>
    <w:rsid w:val="00EB37AB"/>
    <w:rsid w:val="00EB398F"/>
    <w:rsid w:val="00EB3B5F"/>
    <w:rsid w:val="00EB3EC0"/>
    <w:rsid w:val="00EB4588"/>
    <w:rsid w:val="00EB58BD"/>
    <w:rsid w:val="00EB62A8"/>
    <w:rsid w:val="00EB6D09"/>
    <w:rsid w:val="00EB6E3A"/>
    <w:rsid w:val="00EB702C"/>
    <w:rsid w:val="00EB74A5"/>
    <w:rsid w:val="00EB7618"/>
    <w:rsid w:val="00EC01C8"/>
    <w:rsid w:val="00EC06F6"/>
    <w:rsid w:val="00EC0789"/>
    <w:rsid w:val="00EC0B23"/>
    <w:rsid w:val="00EC0F3C"/>
    <w:rsid w:val="00EC12B2"/>
    <w:rsid w:val="00EC16C2"/>
    <w:rsid w:val="00EC17D1"/>
    <w:rsid w:val="00EC1D77"/>
    <w:rsid w:val="00EC2C1C"/>
    <w:rsid w:val="00EC3B9F"/>
    <w:rsid w:val="00EC3EBC"/>
    <w:rsid w:val="00EC57EC"/>
    <w:rsid w:val="00EC5DAE"/>
    <w:rsid w:val="00EC65B6"/>
    <w:rsid w:val="00EC6B9A"/>
    <w:rsid w:val="00ED2571"/>
    <w:rsid w:val="00ED2647"/>
    <w:rsid w:val="00ED2F60"/>
    <w:rsid w:val="00ED393A"/>
    <w:rsid w:val="00ED4494"/>
    <w:rsid w:val="00ED46AA"/>
    <w:rsid w:val="00ED4C03"/>
    <w:rsid w:val="00ED50A8"/>
    <w:rsid w:val="00ED512C"/>
    <w:rsid w:val="00ED542B"/>
    <w:rsid w:val="00ED5AB8"/>
    <w:rsid w:val="00ED68D3"/>
    <w:rsid w:val="00ED6C42"/>
    <w:rsid w:val="00ED7B14"/>
    <w:rsid w:val="00EE001E"/>
    <w:rsid w:val="00EE34AF"/>
    <w:rsid w:val="00EE4D79"/>
    <w:rsid w:val="00EE52C3"/>
    <w:rsid w:val="00EE578A"/>
    <w:rsid w:val="00EE5E8E"/>
    <w:rsid w:val="00EE674C"/>
    <w:rsid w:val="00EE6B4C"/>
    <w:rsid w:val="00EE700C"/>
    <w:rsid w:val="00EF0662"/>
    <w:rsid w:val="00EF0B2A"/>
    <w:rsid w:val="00EF1388"/>
    <w:rsid w:val="00EF1B78"/>
    <w:rsid w:val="00EF213A"/>
    <w:rsid w:val="00EF2BB2"/>
    <w:rsid w:val="00EF36BC"/>
    <w:rsid w:val="00EF4614"/>
    <w:rsid w:val="00EF46B1"/>
    <w:rsid w:val="00EF4DF9"/>
    <w:rsid w:val="00EF7C85"/>
    <w:rsid w:val="00F00A5D"/>
    <w:rsid w:val="00F00B7A"/>
    <w:rsid w:val="00F010C8"/>
    <w:rsid w:val="00F011D3"/>
    <w:rsid w:val="00F016F2"/>
    <w:rsid w:val="00F01B7E"/>
    <w:rsid w:val="00F04A99"/>
    <w:rsid w:val="00F04C66"/>
    <w:rsid w:val="00F05B2E"/>
    <w:rsid w:val="00F070E3"/>
    <w:rsid w:val="00F07E8C"/>
    <w:rsid w:val="00F10429"/>
    <w:rsid w:val="00F108B3"/>
    <w:rsid w:val="00F11A3F"/>
    <w:rsid w:val="00F11DC4"/>
    <w:rsid w:val="00F126EE"/>
    <w:rsid w:val="00F12BD2"/>
    <w:rsid w:val="00F133AE"/>
    <w:rsid w:val="00F13C76"/>
    <w:rsid w:val="00F14275"/>
    <w:rsid w:val="00F14857"/>
    <w:rsid w:val="00F155F8"/>
    <w:rsid w:val="00F1594C"/>
    <w:rsid w:val="00F15AC2"/>
    <w:rsid w:val="00F17058"/>
    <w:rsid w:val="00F2112E"/>
    <w:rsid w:val="00F215E4"/>
    <w:rsid w:val="00F21B7E"/>
    <w:rsid w:val="00F21EC5"/>
    <w:rsid w:val="00F22325"/>
    <w:rsid w:val="00F239F2"/>
    <w:rsid w:val="00F242C7"/>
    <w:rsid w:val="00F246AF"/>
    <w:rsid w:val="00F24BA5"/>
    <w:rsid w:val="00F25A6B"/>
    <w:rsid w:val="00F25CE8"/>
    <w:rsid w:val="00F26A12"/>
    <w:rsid w:val="00F26B1C"/>
    <w:rsid w:val="00F2729D"/>
    <w:rsid w:val="00F27EBD"/>
    <w:rsid w:val="00F30832"/>
    <w:rsid w:val="00F323BF"/>
    <w:rsid w:val="00F323D6"/>
    <w:rsid w:val="00F327DB"/>
    <w:rsid w:val="00F32A52"/>
    <w:rsid w:val="00F33517"/>
    <w:rsid w:val="00F335C6"/>
    <w:rsid w:val="00F343DE"/>
    <w:rsid w:val="00F34BCF"/>
    <w:rsid w:val="00F3528E"/>
    <w:rsid w:val="00F35EF0"/>
    <w:rsid w:val="00F3654D"/>
    <w:rsid w:val="00F36C16"/>
    <w:rsid w:val="00F36C6B"/>
    <w:rsid w:val="00F378B9"/>
    <w:rsid w:val="00F37B02"/>
    <w:rsid w:val="00F40E79"/>
    <w:rsid w:val="00F4165C"/>
    <w:rsid w:val="00F41A3A"/>
    <w:rsid w:val="00F42D5E"/>
    <w:rsid w:val="00F434EA"/>
    <w:rsid w:val="00F4427E"/>
    <w:rsid w:val="00F4435A"/>
    <w:rsid w:val="00F44382"/>
    <w:rsid w:val="00F44590"/>
    <w:rsid w:val="00F44917"/>
    <w:rsid w:val="00F46269"/>
    <w:rsid w:val="00F4694B"/>
    <w:rsid w:val="00F46D3F"/>
    <w:rsid w:val="00F47A54"/>
    <w:rsid w:val="00F47FCD"/>
    <w:rsid w:val="00F50FBE"/>
    <w:rsid w:val="00F51102"/>
    <w:rsid w:val="00F52453"/>
    <w:rsid w:val="00F52486"/>
    <w:rsid w:val="00F52667"/>
    <w:rsid w:val="00F52CA5"/>
    <w:rsid w:val="00F53591"/>
    <w:rsid w:val="00F537F7"/>
    <w:rsid w:val="00F538F5"/>
    <w:rsid w:val="00F5459E"/>
    <w:rsid w:val="00F54704"/>
    <w:rsid w:val="00F554A3"/>
    <w:rsid w:val="00F555C4"/>
    <w:rsid w:val="00F558B4"/>
    <w:rsid w:val="00F55961"/>
    <w:rsid w:val="00F55F86"/>
    <w:rsid w:val="00F56101"/>
    <w:rsid w:val="00F576BF"/>
    <w:rsid w:val="00F578C9"/>
    <w:rsid w:val="00F60800"/>
    <w:rsid w:val="00F60A26"/>
    <w:rsid w:val="00F60DCD"/>
    <w:rsid w:val="00F61A24"/>
    <w:rsid w:val="00F61D08"/>
    <w:rsid w:val="00F62337"/>
    <w:rsid w:val="00F626D5"/>
    <w:rsid w:val="00F65511"/>
    <w:rsid w:val="00F663D5"/>
    <w:rsid w:val="00F6641C"/>
    <w:rsid w:val="00F67985"/>
    <w:rsid w:val="00F70540"/>
    <w:rsid w:val="00F71623"/>
    <w:rsid w:val="00F71896"/>
    <w:rsid w:val="00F729B9"/>
    <w:rsid w:val="00F7328F"/>
    <w:rsid w:val="00F73D5E"/>
    <w:rsid w:val="00F751DD"/>
    <w:rsid w:val="00F7525F"/>
    <w:rsid w:val="00F75477"/>
    <w:rsid w:val="00F75821"/>
    <w:rsid w:val="00F76618"/>
    <w:rsid w:val="00F77675"/>
    <w:rsid w:val="00F806F4"/>
    <w:rsid w:val="00F80C3B"/>
    <w:rsid w:val="00F80DCC"/>
    <w:rsid w:val="00F80DF0"/>
    <w:rsid w:val="00F81002"/>
    <w:rsid w:val="00F81105"/>
    <w:rsid w:val="00F81FFC"/>
    <w:rsid w:val="00F82145"/>
    <w:rsid w:val="00F8289E"/>
    <w:rsid w:val="00F85D85"/>
    <w:rsid w:val="00F861BA"/>
    <w:rsid w:val="00F872B9"/>
    <w:rsid w:val="00F872C9"/>
    <w:rsid w:val="00F873E8"/>
    <w:rsid w:val="00F91408"/>
    <w:rsid w:val="00F915A3"/>
    <w:rsid w:val="00F915DA"/>
    <w:rsid w:val="00F916B4"/>
    <w:rsid w:val="00F92BF5"/>
    <w:rsid w:val="00F938A4"/>
    <w:rsid w:val="00F93D03"/>
    <w:rsid w:val="00F93F6A"/>
    <w:rsid w:val="00F941F3"/>
    <w:rsid w:val="00F949D4"/>
    <w:rsid w:val="00F94A67"/>
    <w:rsid w:val="00F95415"/>
    <w:rsid w:val="00F9580D"/>
    <w:rsid w:val="00F95B61"/>
    <w:rsid w:val="00F95B96"/>
    <w:rsid w:val="00FA041D"/>
    <w:rsid w:val="00FA0978"/>
    <w:rsid w:val="00FA1BDB"/>
    <w:rsid w:val="00FA1E28"/>
    <w:rsid w:val="00FA2797"/>
    <w:rsid w:val="00FA2D74"/>
    <w:rsid w:val="00FA3848"/>
    <w:rsid w:val="00FA38DC"/>
    <w:rsid w:val="00FA3F28"/>
    <w:rsid w:val="00FA48F0"/>
    <w:rsid w:val="00FA4A60"/>
    <w:rsid w:val="00FA5B54"/>
    <w:rsid w:val="00FA61A7"/>
    <w:rsid w:val="00FA67F7"/>
    <w:rsid w:val="00FA6B56"/>
    <w:rsid w:val="00FA7E13"/>
    <w:rsid w:val="00FA7F69"/>
    <w:rsid w:val="00FB0FE7"/>
    <w:rsid w:val="00FB113A"/>
    <w:rsid w:val="00FB2057"/>
    <w:rsid w:val="00FB28F7"/>
    <w:rsid w:val="00FB2BE7"/>
    <w:rsid w:val="00FB2BED"/>
    <w:rsid w:val="00FB2C9C"/>
    <w:rsid w:val="00FB2D24"/>
    <w:rsid w:val="00FB33CB"/>
    <w:rsid w:val="00FB3565"/>
    <w:rsid w:val="00FB3FE4"/>
    <w:rsid w:val="00FB4540"/>
    <w:rsid w:val="00FB4EFA"/>
    <w:rsid w:val="00FB5A14"/>
    <w:rsid w:val="00FB5B8D"/>
    <w:rsid w:val="00FB5C46"/>
    <w:rsid w:val="00FB5E4A"/>
    <w:rsid w:val="00FB78A3"/>
    <w:rsid w:val="00FB7D8E"/>
    <w:rsid w:val="00FC0C32"/>
    <w:rsid w:val="00FC48B1"/>
    <w:rsid w:val="00FC4A28"/>
    <w:rsid w:val="00FC5390"/>
    <w:rsid w:val="00FC5717"/>
    <w:rsid w:val="00FC6885"/>
    <w:rsid w:val="00FD01F1"/>
    <w:rsid w:val="00FD0EF6"/>
    <w:rsid w:val="00FD0F0B"/>
    <w:rsid w:val="00FD21D1"/>
    <w:rsid w:val="00FD2FC2"/>
    <w:rsid w:val="00FD50E8"/>
    <w:rsid w:val="00FD53DA"/>
    <w:rsid w:val="00FD582C"/>
    <w:rsid w:val="00FD5FB9"/>
    <w:rsid w:val="00FD6989"/>
    <w:rsid w:val="00FD7073"/>
    <w:rsid w:val="00FD777B"/>
    <w:rsid w:val="00FE0301"/>
    <w:rsid w:val="00FE03D7"/>
    <w:rsid w:val="00FE13E1"/>
    <w:rsid w:val="00FE299F"/>
    <w:rsid w:val="00FE2B06"/>
    <w:rsid w:val="00FE2F68"/>
    <w:rsid w:val="00FE5368"/>
    <w:rsid w:val="00FE53C3"/>
    <w:rsid w:val="00FE5B97"/>
    <w:rsid w:val="00FE5FF1"/>
    <w:rsid w:val="00FE65D1"/>
    <w:rsid w:val="00FE7241"/>
    <w:rsid w:val="00FE7A5F"/>
    <w:rsid w:val="00FF0C5B"/>
    <w:rsid w:val="00FF0FE3"/>
    <w:rsid w:val="00FF466E"/>
    <w:rsid w:val="00FF4D0D"/>
    <w:rsid w:val="00FF4D9E"/>
    <w:rsid w:val="00FF5AC4"/>
    <w:rsid w:val="00FF5B6E"/>
    <w:rsid w:val="00FF6525"/>
    <w:rsid w:val="00FF6D40"/>
    <w:rsid w:val="05507AEA"/>
    <w:rsid w:val="05A015B0"/>
    <w:rsid w:val="062D616C"/>
    <w:rsid w:val="067A1683"/>
    <w:rsid w:val="07787C37"/>
    <w:rsid w:val="0E983C55"/>
    <w:rsid w:val="131F4F21"/>
    <w:rsid w:val="13BD4690"/>
    <w:rsid w:val="1C423D40"/>
    <w:rsid w:val="1E5628BF"/>
    <w:rsid w:val="2536498F"/>
    <w:rsid w:val="2FB42D15"/>
    <w:rsid w:val="32A04BDF"/>
    <w:rsid w:val="41C2127A"/>
    <w:rsid w:val="42073115"/>
    <w:rsid w:val="42797018"/>
    <w:rsid w:val="47AE148D"/>
    <w:rsid w:val="4B6F49A8"/>
    <w:rsid w:val="51FA4D87"/>
    <w:rsid w:val="54C134B8"/>
    <w:rsid w:val="5A532CC1"/>
    <w:rsid w:val="621F4C72"/>
    <w:rsid w:val="6C6D5B04"/>
    <w:rsid w:val="6CFB27D7"/>
    <w:rsid w:val="783A1457"/>
    <w:rsid w:val="79E52798"/>
    <w:rsid w:val="7E7D5411"/>
    <w:rsid w:val="7ECF5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61"/>
    <w:qFormat/>
    <w:uiPriority w:val="0"/>
    <w:pPr>
      <w:keepNext/>
      <w:keepLines/>
      <w:spacing w:before="260" w:after="260" w:line="416" w:lineRule="auto"/>
      <w:outlineLvl w:val="2"/>
    </w:pPr>
    <w:rPr>
      <w:b/>
      <w:bCs/>
      <w:sz w:val="32"/>
      <w:szCs w:val="32"/>
    </w:rPr>
  </w:style>
  <w:style w:type="paragraph" w:styleId="6">
    <w:name w:val="heading 4"/>
    <w:basedOn w:val="1"/>
    <w:next w:val="1"/>
    <w:link w:val="71"/>
    <w:qFormat/>
    <w:uiPriority w:val="0"/>
    <w:pPr>
      <w:keepNext/>
      <w:widowControl/>
      <w:numPr>
        <w:ilvl w:val="3"/>
        <w:numId w:val="1"/>
      </w:numPr>
      <w:tabs>
        <w:tab w:val="left" w:pos="1138"/>
        <w:tab w:val="clear" w:pos="720"/>
      </w:tabs>
      <w:spacing w:before="240" w:after="60"/>
      <w:ind w:left="1138" w:hanging="1138"/>
      <w:jc w:val="left"/>
      <w:outlineLvl w:val="3"/>
    </w:pPr>
    <w:rPr>
      <w:rFonts w:ascii="Arial" w:hAnsi="Arial"/>
      <w:b/>
      <w:i/>
      <w:kern w:val="0"/>
      <w:sz w:val="22"/>
      <w:szCs w:val="20"/>
      <w:lang w:val="en-GB"/>
    </w:rPr>
  </w:style>
  <w:style w:type="paragraph" w:styleId="7">
    <w:name w:val="heading 5"/>
    <w:basedOn w:val="6"/>
    <w:next w:val="1"/>
    <w:link w:val="256"/>
    <w:qFormat/>
    <w:uiPriority w:val="0"/>
    <w:pPr>
      <w:widowControl w:val="0"/>
      <w:numPr>
        <w:ilvl w:val="0"/>
        <w:numId w:val="0"/>
      </w:numPr>
      <w:tabs>
        <w:tab w:val="left" w:pos="720"/>
      </w:tabs>
      <w:overflowPunct w:val="0"/>
      <w:spacing w:before="120" w:after="0"/>
      <w:ind w:left="570" w:right="227" w:hanging="570"/>
      <w:jc w:val="both"/>
      <w:outlineLvl w:val="4"/>
    </w:pPr>
    <w:rPr>
      <w:rFonts w:ascii="Times New Roman" w:hAnsi="Times New Roman"/>
      <w:b w:val="0"/>
      <w:i w:val="0"/>
      <w:kern w:val="2"/>
      <w:sz w:val="20"/>
      <w:lang w:val="en-US"/>
    </w:rPr>
  </w:style>
  <w:style w:type="paragraph" w:styleId="8">
    <w:name w:val="heading 6"/>
    <w:basedOn w:val="6"/>
    <w:next w:val="1"/>
    <w:link w:val="257"/>
    <w:qFormat/>
    <w:uiPriority w:val="0"/>
    <w:pPr>
      <w:widowControl w:val="0"/>
      <w:numPr>
        <w:ilvl w:val="0"/>
        <w:numId w:val="0"/>
      </w:numPr>
      <w:tabs>
        <w:tab w:val="left" w:pos="720"/>
      </w:tabs>
      <w:overflowPunct w:val="0"/>
      <w:spacing w:before="120" w:after="0"/>
      <w:ind w:left="570" w:right="227" w:hanging="570"/>
      <w:jc w:val="both"/>
      <w:outlineLvl w:val="5"/>
    </w:pPr>
    <w:rPr>
      <w:rFonts w:ascii="Times New Roman" w:hAnsi="Times New Roman"/>
      <w:b w:val="0"/>
      <w:i w:val="0"/>
      <w:kern w:val="2"/>
      <w:sz w:val="20"/>
      <w:lang w:val="en-US"/>
    </w:rPr>
  </w:style>
  <w:style w:type="paragraph" w:styleId="9">
    <w:name w:val="heading 7"/>
    <w:basedOn w:val="6"/>
    <w:next w:val="1"/>
    <w:link w:val="258"/>
    <w:qFormat/>
    <w:uiPriority w:val="0"/>
    <w:pPr>
      <w:widowControl w:val="0"/>
      <w:numPr>
        <w:ilvl w:val="0"/>
        <w:numId w:val="0"/>
      </w:numPr>
      <w:tabs>
        <w:tab w:val="left" w:pos="720"/>
      </w:tabs>
      <w:overflowPunct w:val="0"/>
      <w:spacing w:before="120" w:after="0"/>
      <w:ind w:left="570" w:right="227" w:hanging="570"/>
      <w:jc w:val="both"/>
      <w:outlineLvl w:val="6"/>
    </w:pPr>
    <w:rPr>
      <w:rFonts w:ascii="Times New Roman" w:hAnsi="Times New Roman"/>
      <w:b w:val="0"/>
      <w:i w:val="0"/>
      <w:kern w:val="2"/>
      <w:sz w:val="20"/>
      <w:lang w:val="en-US"/>
    </w:rPr>
  </w:style>
  <w:style w:type="paragraph" w:styleId="10">
    <w:name w:val="heading 8"/>
    <w:basedOn w:val="6"/>
    <w:next w:val="1"/>
    <w:link w:val="259"/>
    <w:qFormat/>
    <w:uiPriority w:val="0"/>
    <w:pPr>
      <w:widowControl w:val="0"/>
      <w:numPr>
        <w:ilvl w:val="0"/>
        <w:numId w:val="0"/>
      </w:numPr>
      <w:tabs>
        <w:tab w:val="left" w:pos="720"/>
      </w:tabs>
      <w:overflowPunct w:val="0"/>
      <w:spacing w:before="120" w:after="0"/>
      <w:ind w:left="570" w:right="227" w:hanging="570"/>
      <w:jc w:val="both"/>
      <w:outlineLvl w:val="7"/>
    </w:pPr>
    <w:rPr>
      <w:rFonts w:ascii="Times New Roman" w:hAnsi="Times New Roman"/>
      <w:b w:val="0"/>
      <w:i w:val="0"/>
      <w:kern w:val="2"/>
      <w:sz w:val="20"/>
      <w:lang w:val="en-US"/>
    </w:rPr>
  </w:style>
  <w:style w:type="paragraph" w:styleId="11">
    <w:name w:val="heading 9"/>
    <w:basedOn w:val="6"/>
    <w:next w:val="1"/>
    <w:link w:val="260"/>
    <w:qFormat/>
    <w:uiPriority w:val="0"/>
    <w:pPr>
      <w:widowControl w:val="0"/>
      <w:numPr>
        <w:ilvl w:val="0"/>
        <w:numId w:val="0"/>
      </w:numPr>
      <w:tabs>
        <w:tab w:val="left" w:pos="720"/>
      </w:tabs>
      <w:overflowPunct w:val="0"/>
      <w:spacing w:before="120" w:after="0"/>
      <w:ind w:left="570" w:right="227" w:hanging="570"/>
      <w:jc w:val="both"/>
      <w:outlineLvl w:val="8"/>
    </w:pPr>
    <w:rPr>
      <w:rFonts w:ascii="Times New Roman" w:hAnsi="Times New Roman"/>
      <w:b w:val="0"/>
      <w:i w:val="0"/>
      <w:kern w:val="2"/>
      <w:sz w:val="20"/>
      <w:lang w:val="en-US"/>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58"/>
    <w:qFormat/>
    <w:uiPriority w:val="0"/>
    <w:pPr>
      <w:ind w:firstLine="420" w:firstLineChars="200"/>
    </w:pPr>
  </w:style>
  <w:style w:type="paragraph" w:styleId="12">
    <w:name w:val="List 3"/>
    <w:basedOn w:val="1"/>
    <w:qFormat/>
    <w:uiPriority w:val="0"/>
    <w:pPr>
      <w:ind w:left="100" w:leftChars="400" w:hanging="200" w:hangingChars="200"/>
    </w:pPr>
    <w:rPr>
      <w:sz w:val="24"/>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widowControl/>
      <w:numPr>
        <w:ilvl w:val="0"/>
        <w:numId w:val="2"/>
      </w:numPr>
      <w:tabs>
        <w:tab w:val="left" w:pos="927"/>
      </w:tabs>
    </w:pPr>
    <w:rPr>
      <w:kern w:val="0"/>
      <w:sz w:val="24"/>
      <w:lang w:val="en-GB" w:eastAsia="en-GB"/>
    </w:rPr>
  </w:style>
  <w:style w:type="paragraph" w:styleId="15">
    <w:name w:val="table of authorities"/>
    <w:basedOn w:val="1"/>
    <w:next w:val="1"/>
    <w:qFormat/>
    <w:uiPriority w:val="0"/>
    <w:pPr>
      <w:spacing w:line="360" w:lineRule="auto"/>
      <w:ind w:left="420" w:leftChars="200"/>
      <w:jc w:val="center"/>
    </w:pPr>
    <w:rPr>
      <w:b/>
      <w:sz w:val="28"/>
    </w:rPr>
  </w:style>
  <w:style w:type="paragraph" w:styleId="16">
    <w:name w:val="List Bullet 4"/>
    <w:basedOn w:val="1"/>
    <w:qFormat/>
    <w:uiPriority w:val="0"/>
    <w:pPr>
      <w:widowControl/>
      <w:tabs>
        <w:tab w:val="left" w:pos="360"/>
      </w:tabs>
      <w:ind w:left="360" w:hanging="360"/>
    </w:pPr>
    <w:rPr>
      <w:kern w:val="0"/>
      <w:sz w:val="24"/>
      <w:szCs w:val="20"/>
      <w:lang w:val="en-GB" w:eastAsia="en-GB"/>
    </w:rPr>
  </w:style>
  <w:style w:type="paragraph" w:styleId="17">
    <w:name w:val="List Number"/>
    <w:basedOn w:val="1"/>
    <w:qFormat/>
    <w:uiPriority w:val="0"/>
    <w:pPr>
      <w:tabs>
        <w:tab w:val="left" w:pos="360"/>
      </w:tabs>
      <w:adjustRightInd w:val="0"/>
      <w:snapToGrid w:val="0"/>
      <w:spacing w:line="360" w:lineRule="auto"/>
      <w:ind w:left="360" w:hanging="360"/>
    </w:pPr>
    <w:rPr>
      <w:rFonts w:ascii="宋体"/>
      <w:sz w:val="24"/>
    </w:rPr>
  </w:style>
  <w:style w:type="paragraph" w:styleId="18">
    <w:name w:val="caption"/>
    <w:basedOn w:val="1"/>
    <w:next w:val="1"/>
    <w:link w:val="319"/>
    <w:qFormat/>
    <w:uiPriority w:val="0"/>
    <w:pPr>
      <w:tabs>
        <w:tab w:val="left" w:pos="851"/>
      </w:tabs>
      <w:spacing w:line="360" w:lineRule="auto"/>
      <w:ind w:left="851" w:right="284" w:hanging="454"/>
      <w:jc w:val="left"/>
    </w:pPr>
    <w:rPr>
      <w:sz w:val="24"/>
    </w:rPr>
  </w:style>
  <w:style w:type="paragraph" w:styleId="19">
    <w:name w:val="List Bullet"/>
    <w:basedOn w:val="1"/>
    <w:qFormat/>
    <w:uiPriority w:val="0"/>
    <w:pPr>
      <w:widowControl/>
      <w:tabs>
        <w:tab w:val="left" w:pos="1077"/>
      </w:tabs>
      <w:spacing w:after="120"/>
      <w:ind w:left="1050" w:hanging="425"/>
    </w:pPr>
    <w:rPr>
      <w:rFonts w:ascii="Arial" w:hAnsi="Arial" w:cs="Arial"/>
      <w:kern w:val="0"/>
      <w:sz w:val="24"/>
      <w:szCs w:val="20"/>
      <w:lang w:val="en-AU" w:eastAsia="en-US"/>
    </w:rPr>
  </w:style>
  <w:style w:type="paragraph" w:styleId="20">
    <w:name w:val="Document Map"/>
    <w:basedOn w:val="1"/>
    <w:link w:val="165"/>
    <w:qFormat/>
    <w:uiPriority w:val="0"/>
    <w:pPr>
      <w:shd w:val="clear" w:color="auto" w:fill="000080"/>
    </w:pPr>
  </w:style>
  <w:style w:type="paragraph" w:styleId="21">
    <w:name w:val="toa heading"/>
    <w:basedOn w:val="1"/>
    <w:next w:val="1"/>
    <w:qFormat/>
    <w:uiPriority w:val="0"/>
    <w:pPr>
      <w:spacing w:before="120"/>
    </w:pPr>
    <w:rPr>
      <w:rFonts w:ascii="Arial" w:hAnsi="Arial" w:cs="Arial"/>
      <w:color w:val="000000"/>
      <w:sz w:val="24"/>
    </w:rPr>
  </w:style>
  <w:style w:type="paragraph" w:styleId="22">
    <w:name w:val="annotation text"/>
    <w:basedOn w:val="1"/>
    <w:link w:val="158"/>
    <w:qFormat/>
    <w:uiPriority w:val="0"/>
    <w:pPr>
      <w:jc w:val="left"/>
    </w:pPr>
  </w:style>
  <w:style w:type="paragraph" w:styleId="23">
    <w:name w:val="Body Text 3"/>
    <w:basedOn w:val="1"/>
    <w:link w:val="81"/>
    <w:qFormat/>
    <w:uiPriority w:val="0"/>
    <w:pPr>
      <w:spacing w:after="120"/>
    </w:pPr>
    <w:rPr>
      <w:sz w:val="16"/>
      <w:szCs w:val="16"/>
    </w:rPr>
  </w:style>
  <w:style w:type="paragraph" w:styleId="24">
    <w:name w:val="List Bullet 3"/>
    <w:basedOn w:val="1"/>
    <w:qFormat/>
    <w:uiPriority w:val="0"/>
    <w:pPr>
      <w:widowControl/>
      <w:tabs>
        <w:tab w:val="left" w:pos="645"/>
      </w:tabs>
      <w:ind w:left="645" w:hanging="645"/>
    </w:pPr>
    <w:rPr>
      <w:kern w:val="0"/>
      <w:sz w:val="24"/>
      <w:szCs w:val="20"/>
      <w:lang w:val="en-GB" w:eastAsia="en-GB"/>
    </w:rPr>
  </w:style>
  <w:style w:type="paragraph" w:styleId="25">
    <w:name w:val="Body Text"/>
    <w:basedOn w:val="1"/>
    <w:link w:val="166"/>
    <w:qFormat/>
    <w:uiPriority w:val="0"/>
    <w:pPr>
      <w:spacing w:after="120"/>
    </w:pPr>
  </w:style>
  <w:style w:type="paragraph" w:styleId="26">
    <w:name w:val="Body Text Indent"/>
    <w:basedOn w:val="1"/>
    <w:link w:val="164"/>
    <w:qFormat/>
    <w:uiPriority w:val="0"/>
    <w:pPr>
      <w:snapToGrid w:val="0"/>
      <w:ind w:firstLine="630"/>
    </w:pPr>
    <w:rPr>
      <w:rFonts w:ascii="黑体" w:eastAsia="黑体"/>
      <w:sz w:val="28"/>
      <w:szCs w:val="20"/>
    </w:rPr>
  </w:style>
  <w:style w:type="paragraph" w:styleId="27">
    <w:name w:val="List Number 3"/>
    <w:basedOn w:val="1"/>
    <w:qFormat/>
    <w:uiPriority w:val="0"/>
    <w:pPr>
      <w:widowControl/>
      <w:tabs>
        <w:tab w:val="left" w:pos="360"/>
      </w:tabs>
      <w:ind w:left="360" w:hanging="360"/>
    </w:pPr>
    <w:rPr>
      <w:kern w:val="0"/>
      <w:sz w:val="24"/>
      <w:szCs w:val="20"/>
      <w:lang w:val="en-GB" w:eastAsia="en-GB"/>
    </w:rPr>
  </w:style>
  <w:style w:type="paragraph" w:styleId="28">
    <w:name w:val="List 2"/>
    <w:basedOn w:val="1"/>
    <w:qFormat/>
    <w:uiPriority w:val="0"/>
    <w:pPr>
      <w:ind w:left="100" w:leftChars="200" w:hanging="200" w:hangingChars="200"/>
    </w:pPr>
    <w:rPr>
      <w:rFonts w:hAnsi="Arial" w:eastAsia="仿宋_GB2312"/>
      <w:sz w:val="28"/>
    </w:rPr>
  </w:style>
  <w:style w:type="paragraph" w:styleId="29">
    <w:name w:val="Block Text"/>
    <w:basedOn w:val="1"/>
    <w:qFormat/>
    <w:uiPriority w:val="0"/>
    <w:pPr>
      <w:widowControl/>
      <w:adjustRightInd w:val="0"/>
      <w:spacing w:line="360" w:lineRule="auto"/>
      <w:ind w:left="602" w:right="843" w:firstLine="426"/>
      <w:jc w:val="left"/>
    </w:pPr>
    <w:rPr>
      <w:kern w:val="0"/>
      <w:szCs w:val="20"/>
    </w:rPr>
  </w:style>
  <w:style w:type="paragraph" w:styleId="30">
    <w:name w:val="List Bullet 2"/>
    <w:basedOn w:val="1"/>
    <w:qFormat/>
    <w:uiPriority w:val="0"/>
    <w:pPr>
      <w:widowControl/>
      <w:tabs>
        <w:tab w:val="left" w:pos="645"/>
      </w:tabs>
      <w:ind w:left="645" w:hanging="645"/>
    </w:pPr>
    <w:rPr>
      <w:kern w:val="0"/>
      <w:sz w:val="24"/>
      <w:szCs w:val="20"/>
      <w:lang w:val="en-GB" w:eastAsia="en-GB"/>
    </w:rPr>
  </w:style>
  <w:style w:type="paragraph" w:styleId="31">
    <w:name w:val="toc 5"/>
    <w:basedOn w:val="1"/>
    <w:next w:val="1"/>
    <w:qFormat/>
    <w:uiPriority w:val="0"/>
    <w:pPr>
      <w:ind w:left="840"/>
      <w:jc w:val="left"/>
    </w:pPr>
    <w:rPr>
      <w:sz w:val="18"/>
      <w:szCs w:val="18"/>
    </w:rPr>
  </w:style>
  <w:style w:type="paragraph" w:styleId="32">
    <w:name w:val="toc 3"/>
    <w:basedOn w:val="1"/>
    <w:next w:val="1"/>
    <w:qFormat/>
    <w:uiPriority w:val="0"/>
    <w:pPr>
      <w:ind w:left="420"/>
      <w:jc w:val="left"/>
    </w:pPr>
    <w:rPr>
      <w:i/>
      <w:iCs/>
      <w:sz w:val="20"/>
      <w:szCs w:val="20"/>
    </w:rPr>
  </w:style>
  <w:style w:type="paragraph" w:styleId="33">
    <w:name w:val="Plain Text"/>
    <w:basedOn w:val="1"/>
    <w:link w:val="168"/>
    <w:qFormat/>
    <w:uiPriority w:val="0"/>
    <w:rPr>
      <w:rFonts w:ascii="宋体" w:hAnsi="Courier New"/>
      <w:kern w:val="0"/>
      <w:szCs w:val="21"/>
    </w:rPr>
  </w:style>
  <w:style w:type="paragraph" w:styleId="34">
    <w:name w:val="List Bullet 5"/>
    <w:basedOn w:val="1"/>
    <w:qFormat/>
    <w:uiPriority w:val="0"/>
    <w:pPr>
      <w:widowControl/>
      <w:numPr>
        <w:ilvl w:val="0"/>
        <w:numId w:val="3"/>
      </w:numPr>
      <w:tabs>
        <w:tab w:val="left" w:pos="645"/>
      </w:tabs>
      <w:ind w:left="645" w:hanging="645"/>
    </w:pPr>
    <w:rPr>
      <w:kern w:val="0"/>
      <w:sz w:val="24"/>
      <w:szCs w:val="20"/>
      <w:lang w:val="en-GB" w:eastAsia="en-GB"/>
    </w:rPr>
  </w:style>
  <w:style w:type="paragraph" w:styleId="35">
    <w:name w:val="List Number 4"/>
    <w:basedOn w:val="1"/>
    <w:qFormat/>
    <w:uiPriority w:val="0"/>
    <w:pPr>
      <w:widowControl/>
      <w:tabs>
        <w:tab w:val="left" w:pos="645"/>
      </w:tabs>
      <w:ind w:left="645" w:hanging="645"/>
    </w:pPr>
    <w:rPr>
      <w:kern w:val="0"/>
      <w:sz w:val="24"/>
      <w:szCs w:val="20"/>
      <w:lang w:val="en-GB" w:eastAsia="en-GB"/>
    </w:rPr>
  </w:style>
  <w:style w:type="paragraph" w:styleId="36">
    <w:name w:val="toc 8"/>
    <w:basedOn w:val="1"/>
    <w:next w:val="1"/>
    <w:qFormat/>
    <w:uiPriority w:val="0"/>
    <w:pPr>
      <w:ind w:left="1470"/>
      <w:jc w:val="left"/>
    </w:pPr>
    <w:rPr>
      <w:sz w:val="18"/>
      <w:szCs w:val="18"/>
    </w:rPr>
  </w:style>
  <w:style w:type="paragraph" w:styleId="37">
    <w:name w:val="Date"/>
    <w:basedOn w:val="1"/>
    <w:next w:val="1"/>
    <w:link w:val="87"/>
    <w:qFormat/>
    <w:uiPriority w:val="0"/>
    <w:pPr>
      <w:ind w:left="100" w:leftChars="2500"/>
    </w:pPr>
  </w:style>
  <w:style w:type="paragraph" w:styleId="38">
    <w:name w:val="Body Text Indent 2"/>
    <w:basedOn w:val="1"/>
    <w:link w:val="262"/>
    <w:qFormat/>
    <w:uiPriority w:val="0"/>
    <w:pPr>
      <w:adjustRightInd w:val="0"/>
      <w:spacing w:line="360" w:lineRule="auto"/>
      <w:ind w:right="521" w:firstLine="376"/>
    </w:pPr>
    <w:rPr>
      <w:rFonts w:ascii="Arial" w:hAnsi="Arial" w:cs="Arial"/>
      <w:color w:val="0000FF"/>
      <w:sz w:val="24"/>
    </w:rPr>
  </w:style>
  <w:style w:type="paragraph" w:styleId="39">
    <w:name w:val="Balloon Text"/>
    <w:basedOn w:val="1"/>
    <w:link w:val="167"/>
    <w:qFormat/>
    <w:uiPriority w:val="0"/>
    <w:rPr>
      <w:sz w:val="18"/>
      <w:szCs w:val="18"/>
    </w:rPr>
  </w:style>
  <w:style w:type="paragraph" w:styleId="40">
    <w:name w:val="footer"/>
    <w:basedOn w:val="1"/>
    <w:link w:val="160"/>
    <w:qFormat/>
    <w:uiPriority w:val="0"/>
    <w:pPr>
      <w:tabs>
        <w:tab w:val="center" w:pos="4153"/>
        <w:tab w:val="right" w:pos="8306"/>
      </w:tabs>
      <w:snapToGrid w:val="0"/>
      <w:jc w:val="left"/>
    </w:pPr>
    <w:rPr>
      <w:sz w:val="18"/>
      <w:szCs w:val="18"/>
    </w:rPr>
  </w:style>
  <w:style w:type="paragraph" w:styleId="41">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120" w:after="120"/>
      <w:jc w:val="left"/>
    </w:pPr>
    <w:rPr>
      <w:b/>
      <w:bCs/>
      <w:caps/>
      <w:sz w:val="20"/>
      <w:szCs w:val="20"/>
    </w:rPr>
  </w:style>
  <w:style w:type="paragraph" w:styleId="43">
    <w:name w:val="toc 4"/>
    <w:basedOn w:val="1"/>
    <w:next w:val="1"/>
    <w:qFormat/>
    <w:uiPriority w:val="0"/>
    <w:pPr>
      <w:ind w:left="630"/>
      <w:jc w:val="left"/>
    </w:pPr>
    <w:rPr>
      <w:sz w:val="18"/>
      <w:szCs w:val="18"/>
    </w:rPr>
  </w:style>
  <w:style w:type="paragraph" w:styleId="44">
    <w:name w:val="Subtitle"/>
    <w:basedOn w:val="1"/>
    <w:next w:val="1"/>
    <w:link w:val="269"/>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widowControl/>
      <w:tabs>
        <w:tab w:val="left" w:pos="360"/>
      </w:tabs>
      <w:ind w:left="360" w:hanging="360"/>
    </w:pPr>
    <w:rPr>
      <w:kern w:val="0"/>
      <w:sz w:val="24"/>
      <w:szCs w:val="20"/>
      <w:lang w:val="en-GB" w:eastAsia="en-GB"/>
    </w:rPr>
  </w:style>
  <w:style w:type="paragraph" w:styleId="46">
    <w:name w:val="List"/>
    <w:basedOn w:val="1"/>
    <w:qFormat/>
    <w:uiPriority w:val="0"/>
    <w:pPr>
      <w:widowControl/>
      <w:jc w:val="center"/>
    </w:pPr>
    <w:rPr>
      <w:sz w:val="24"/>
      <w:szCs w:val="20"/>
    </w:rPr>
  </w:style>
  <w:style w:type="paragraph" w:styleId="47">
    <w:name w:val="toc 6"/>
    <w:basedOn w:val="1"/>
    <w:next w:val="1"/>
    <w:qFormat/>
    <w:uiPriority w:val="0"/>
    <w:pPr>
      <w:ind w:left="1050"/>
      <w:jc w:val="left"/>
    </w:pPr>
    <w:rPr>
      <w:sz w:val="18"/>
      <w:szCs w:val="18"/>
    </w:rPr>
  </w:style>
  <w:style w:type="paragraph" w:styleId="48">
    <w:name w:val="Body Text Indent 3"/>
    <w:basedOn w:val="1"/>
    <w:link w:val="82"/>
    <w:qFormat/>
    <w:uiPriority w:val="0"/>
    <w:pPr>
      <w:spacing w:after="120"/>
      <w:ind w:left="420" w:leftChars="200"/>
    </w:pPr>
    <w:rPr>
      <w:rFonts w:eastAsia="仿宋_GB2312"/>
      <w:sz w:val="16"/>
      <w:szCs w:val="16"/>
    </w:rPr>
  </w:style>
  <w:style w:type="paragraph" w:styleId="49">
    <w:name w:val="table of figures"/>
    <w:basedOn w:val="1"/>
    <w:next w:val="1"/>
    <w:qFormat/>
    <w:uiPriority w:val="0"/>
    <w:pPr>
      <w:ind w:left="420" w:hanging="420"/>
      <w:jc w:val="left"/>
    </w:pPr>
    <w:rPr>
      <w:smallCaps/>
      <w:sz w:val="20"/>
      <w:szCs w:val="20"/>
    </w:rPr>
  </w:style>
  <w:style w:type="paragraph" w:styleId="50">
    <w:name w:val="toc 2"/>
    <w:basedOn w:val="1"/>
    <w:next w:val="1"/>
    <w:qFormat/>
    <w:uiPriority w:val="39"/>
    <w:pPr>
      <w:tabs>
        <w:tab w:val="right" w:leader="dot" w:pos="8551"/>
      </w:tabs>
      <w:ind w:left="210"/>
      <w:jc w:val="left"/>
    </w:pPr>
    <w:rPr>
      <w:rFonts w:asciiTheme="minorEastAsia" w:hAnsiTheme="minorEastAsia"/>
      <w:b/>
      <w:smallCaps/>
      <w:sz w:val="20"/>
      <w:szCs w:val="20"/>
    </w:rPr>
  </w:style>
  <w:style w:type="paragraph" w:styleId="51">
    <w:name w:val="toc 9"/>
    <w:basedOn w:val="1"/>
    <w:next w:val="1"/>
    <w:qFormat/>
    <w:uiPriority w:val="0"/>
    <w:pPr>
      <w:ind w:left="1680"/>
      <w:jc w:val="left"/>
    </w:pPr>
    <w:rPr>
      <w:sz w:val="18"/>
      <w:szCs w:val="18"/>
    </w:rPr>
  </w:style>
  <w:style w:type="paragraph" w:styleId="52">
    <w:name w:val="Body Text 2"/>
    <w:basedOn w:val="1"/>
    <w:link w:val="407"/>
    <w:qFormat/>
    <w:uiPriority w:val="0"/>
    <w:pPr>
      <w:spacing w:line="360" w:lineRule="auto"/>
    </w:pPr>
    <w:rPr>
      <w:rFonts w:ascii="宋体" w:hAnsi="宋体"/>
      <w:sz w:val="24"/>
    </w:rPr>
  </w:style>
  <w:style w:type="paragraph" w:styleId="53">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5">
    <w:name w:val="index 1"/>
    <w:basedOn w:val="1"/>
    <w:next w:val="1"/>
    <w:qFormat/>
    <w:uiPriority w:val="0"/>
    <w:pPr>
      <w:tabs>
        <w:tab w:val="left" w:pos="1984"/>
        <w:tab w:val="left" w:pos="2268"/>
      </w:tabs>
      <w:spacing w:line="360" w:lineRule="auto"/>
      <w:ind w:left="2268" w:hanging="567"/>
    </w:pPr>
    <w:rPr>
      <w:sz w:val="24"/>
    </w:rPr>
  </w:style>
  <w:style w:type="paragraph" w:styleId="56">
    <w:name w:val="Title"/>
    <w:basedOn w:val="1"/>
    <w:next w:val="1"/>
    <w:link w:val="161"/>
    <w:qFormat/>
    <w:uiPriority w:val="0"/>
    <w:pPr>
      <w:spacing w:before="240" w:after="60"/>
      <w:jc w:val="center"/>
      <w:outlineLvl w:val="0"/>
    </w:pPr>
    <w:rPr>
      <w:rFonts w:ascii="Cambria" w:hAnsi="Cambria"/>
      <w:b/>
      <w:bCs/>
      <w:sz w:val="32"/>
      <w:szCs w:val="32"/>
    </w:rPr>
  </w:style>
  <w:style w:type="paragraph" w:styleId="57">
    <w:name w:val="annotation subject"/>
    <w:basedOn w:val="22"/>
    <w:next w:val="22"/>
    <w:link w:val="171"/>
    <w:qFormat/>
    <w:uiPriority w:val="0"/>
    <w:rPr>
      <w:b/>
      <w:bCs/>
    </w:rPr>
  </w:style>
  <w:style w:type="paragraph" w:styleId="58">
    <w:name w:val="Body Text First Indent"/>
    <w:basedOn w:val="1"/>
    <w:link w:val="273"/>
    <w:qFormat/>
    <w:uiPriority w:val="0"/>
    <w:pPr>
      <w:keepNext/>
      <w:tabs>
        <w:tab w:val="left" w:pos="628"/>
        <w:tab w:val="left" w:pos="1727"/>
        <w:tab w:val="left" w:pos="1884"/>
        <w:tab w:val="left" w:pos="2660"/>
        <w:tab w:val="left" w:pos="4325"/>
      </w:tabs>
      <w:adjustRightInd w:val="0"/>
      <w:snapToGrid w:val="0"/>
      <w:spacing w:line="360" w:lineRule="auto"/>
      <w:ind w:firstLine="200" w:firstLineChars="200"/>
    </w:pPr>
    <w:rPr>
      <w:rFonts w:ascii="宋体" w:hAnsi="宋体"/>
      <w:color w:val="000000"/>
      <w:kern w:val="0"/>
      <w:sz w:val="28"/>
      <w:szCs w:val="28"/>
    </w:rPr>
  </w:style>
  <w:style w:type="paragraph" w:styleId="59">
    <w:name w:val="Body Text First Indent 2"/>
    <w:basedOn w:val="26"/>
    <w:link w:val="392"/>
    <w:qFormat/>
    <w:uiPriority w:val="0"/>
    <w:pPr>
      <w:snapToGrid/>
      <w:spacing w:after="120"/>
      <w:ind w:left="420" w:leftChars="200" w:firstLine="210" w:firstLineChars="200"/>
    </w:pPr>
    <w:rPr>
      <w:rFonts w:ascii="Times New Roman" w:eastAsia="宋体"/>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3">
    <w:name w:val="Strong"/>
    <w:basedOn w:val="62"/>
    <w:qFormat/>
    <w:uiPriority w:val="0"/>
    <w:rPr>
      <w:b/>
      <w:bCs/>
    </w:rPr>
  </w:style>
  <w:style w:type="character" w:styleId="64">
    <w:name w:val="endnote reference"/>
    <w:qFormat/>
    <w:uiPriority w:val="99"/>
    <w:rPr>
      <w:vertAlign w:val="superscript"/>
    </w:rPr>
  </w:style>
  <w:style w:type="character" w:styleId="65">
    <w:name w:val="page number"/>
    <w:basedOn w:val="62"/>
    <w:qFormat/>
    <w:uiPriority w:val="0"/>
  </w:style>
  <w:style w:type="character" w:styleId="66">
    <w:name w:val="FollowedHyperlink"/>
    <w:basedOn w:val="62"/>
    <w:semiHidden/>
    <w:unhideWhenUsed/>
    <w:qFormat/>
    <w:uiPriority w:val="99"/>
    <w:rPr>
      <w:color w:val="800080" w:themeColor="followedHyperlink"/>
      <w:u w:val="single"/>
    </w:rPr>
  </w:style>
  <w:style w:type="character" w:styleId="67">
    <w:name w:val="Emphasis"/>
    <w:basedOn w:val="62"/>
    <w:qFormat/>
    <w:uiPriority w:val="0"/>
    <w:rPr>
      <w:color w:val="CC0000"/>
    </w:rPr>
  </w:style>
  <w:style w:type="character" w:styleId="68">
    <w:name w:val="line number"/>
    <w:basedOn w:val="62"/>
    <w:qFormat/>
    <w:uiPriority w:val="0"/>
    <w:rPr>
      <w:rFonts w:eastAsia="宋体"/>
      <w:sz w:val="24"/>
      <w:lang w:val="en-US" w:eastAsia="zh-CN" w:bidi="ar-SA"/>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customStyle="1" w:styleId="71">
    <w:name w:val="标题 4 Char"/>
    <w:link w:val="6"/>
    <w:qFormat/>
    <w:uiPriority w:val="0"/>
    <w:rPr>
      <w:rFonts w:ascii="Arial" w:hAnsi="Arial"/>
      <w:b/>
      <w:i/>
      <w:sz w:val="22"/>
      <w:lang w:val="en-GB"/>
    </w:rPr>
  </w:style>
  <w:style w:type="paragraph" w:customStyle="1" w:styleId="72">
    <w:name w:val="Char"/>
    <w:basedOn w:val="1"/>
    <w:qFormat/>
    <w:uiPriority w:val="0"/>
  </w:style>
  <w:style w:type="paragraph" w:customStyle="1" w:styleId="73">
    <w:name w:val="Char Char Char Char"/>
    <w:basedOn w:val="1"/>
    <w:qFormat/>
    <w:uiPriority w:val="0"/>
    <w:pPr>
      <w:widowControl/>
      <w:jc w:val="center"/>
    </w:pPr>
    <w:rPr>
      <w:rFonts w:ascii="宋体" w:hAnsi="宋体" w:cs="宋体"/>
      <w:kern w:val="0"/>
      <w:sz w:val="24"/>
    </w:rPr>
  </w:style>
  <w:style w:type="paragraph" w:customStyle="1" w:styleId="74">
    <w:name w:val="报告正文"/>
    <w:basedOn w:val="1"/>
    <w:link w:val="271"/>
    <w:qFormat/>
    <w:uiPriority w:val="0"/>
    <w:pPr>
      <w:spacing w:line="420" w:lineRule="exact"/>
      <w:ind w:firstLine="200" w:firstLineChars="200"/>
    </w:pPr>
    <w:rPr>
      <w:rFonts w:ascii="Times" w:hAnsi="Times"/>
      <w:sz w:val="24"/>
      <w:szCs w:val="20"/>
    </w:rPr>
  </w:style>
  <w:style w:type="paragraph" w:customStyle="1" w:styleId="7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样式 标题 1 + 居中"/>
    <w:basedOn w:val="2"/>
    <w:qFormat/>
    <w:uiPriority w:val="0"/>
    <w:pPr>
      <w:spacing w:before="120" w:after="120" w:line="360" w:lineRule="auto"/>
      <w:jc w:val="center"/>
    </w:pPr>
  </w:style>
  <w:style w:type="paragraph" w:customStyle="1" w:styleId="77">
    <w:name w:val="默认段落字体 Para Char Char Char Char"/>
    <w:basedOn w:val="1"/>
    <w:qFormat/>
    <w:uiPriority w:val="0"/>
    <w:rPr>
      <w:szCs w:val="21"/>
    </w:rPr>
  </w:style>
  <w:style w:type="paragraph" w:styleId="78">
    <w:name w:val="List Paragraph"/>
    <w:basedOn w:val="1"/>
    <w:qFormat/>
    <w:uiPriority w:val="0"/>
    <w:pPr>
      <w:ind w:firstLine="420" w:firstLineChars="200"/>
    </w:pPr>
    <w:rPr>
      <w:rFonts w:ascii="Calibri" w:hAnsi="Calibri"/>
      <w:szCs w:val="22"/>
    </w:rPr>
  </w:style>
  <w:style w:type="paragraph" w:customStyle="1" w:styleId="79">
    <w:name w:val="Char Char Char Char Char Char"/>
    <w:basedOn w:val="1"/>
    <w:qFormat/>
    <w:uiPriority w:val="0"/>
    <w:pPr>
      <w:widowControl/>
      <w:spacing w:after="160" w:line="400" w:lineRule="exact"/>
    </w:pPr>
    <w:rPr>
      <w:rFonts w:ascii="Verdana" w:hAnsi="Verdana" w:eastAsia="仿宋_GB2312"/>
      <w:b/>
      <w:kern w:val="0"/>
      <w:sz w:val="24"/>
      <w:szCs w:val="20"/>
      <w:lang w:eastAsia="en-US"/>
    </w:rPr>
  </w:style>
  <w:style w:type="paragraph" w:customStyle="1" w:styleId="80">
    <w:name w:val="bb"/>
    <w:basedOn w:val="1"/>
    <w:qFormat/>
    <w:uiPriority w:val="0"/>
    <w:pPr>
      <w:keepNext/>
      <w:tabs>
        <w:tab w:val="left" w:pos="425"/>
      </w:tabs>
      <w:ind w:left="425" w:hanging="425"/>
      <w:jc w:val="left"/>
    </w:pPr>
    <w:rPr>
      <w:rFonts w:ascii="宋体" w:hAnsi="宋体"/>
      <w:sz w:val="28"/>
      <w:szCs w:val="20"/>
    </w:rPr>
  </w:style>
  <w:style w:type="character" w:customStyle="1" w:styleId="81">
    <w:name w:val="正文文本 3 Char"/>
    <w:link w:val="23"/>
    <w:qFormat/>
    <w:uiPriority w:val="0"/>
    <w:rPr>
      <w:kern w:val="2"/>
      <w:sz w:val="16"/>
      <w:szCs w:val="16"/>
    </w:rPr>
  </w:style>
  <w:style w:type="character" w:customStyle="1" w:styleId="82">
    <w:name w:val="正文文本缩进 3 Char"/>
    <w:link w:val="48"/>
    <w:qFormat/>
    <w:uiPriority w:val="0"/>
    <w:rPr>
      <w:rFonts w:eastAsia="仿宋_GB2312"/>
      <w:kern w:val="2"/>
      <w:sz w:val="16"/>
      <w:szCs w:val="16"/>
    </w:rPr>
  </w:style>
  <w:style w:type="character" w:customStyle="1" w:styleId="83">
    <w:name w:val="样式 宋体 四号"/>
    <w:qFormat/>
    <w:uiPriority w:val="0"/>
    <w:rPr>
      <w:rFonts w:ascii="宋体" w:hAnsi="宋体" w:eastAsia="仿宋_GB2312"/>
      <w:sz w:val="28"/>
    </w:rPr>
  </w:style>
  <w:style w:type="character" w:customStyle="1" w:styleId="84">
    <w:name w:val="页眉 Char"/>
    <w:link w:val="41"/>
    <w:qFormat/>
    <w:uiPriority w:val="0"/>
    <w:rPr>
      <w:kern w:val="2"/>
      <w:sz w:val="18"/>
      <w:szCs w:val="18"/>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修订1"/>
    <w:hidden/>
    <w:qFormat/>
    <w:uiPriority w:val="99"/>
    <w:rPr>
      <w:rFonts w:ascii="Times New Roman" w:hAnsi="Times New Roman" w:eastAsia="宋体" w:cs="Times New Roman"/>
      <w:kern w:val="2"/>
      <w:sz w:val="21"/>
      <w:szCs w:val="24"/>
      <w:lang w:val="en-US" w:eastAsia="zh-CN" w:bidi="ar-SA"/>
    </w:rPr>
  </w:style>
  <w:style w:type="character" w:customStyle="1" w:styleId="87">
    <w:name w:val="日期 Char"/>
    <w:link w:val="37"/>
    <w:qFormat/>
    <w:uiPriority w:val="0"/>
    <w:rPr>
      <w:kern w:val="2"/>
      <w:sz w:val="21"/>
      <w:szCs w:val="24"/>
    </w:rPr>
  </w:style>
  <w:style w:type="character" w:customStyle="1" w:styleId="88">
    <w:name w:val="ft31"/>
    <w:qFormat/>
    <w:uiPriority w:val="0"/>
  </w:style>
  <w:style w:type="character" w:customStyle="1" w:styleId="89">
    <w:name w:val="ft49"/>
    <w:qFormat/>
    <w:uiPriority w:val="0"/>
  </w:style>
  <w:style w:type="paragraph" w:customStyle="1" w:styleId="90">
    <w:name w:val="1"/>
    <w:unhideWhenUsed/>
    <w:qFormat/>
    <w:uiPriority w:val="99"/>
    <w:rPr>
      <w:rFonts w:ascii="Times New Roman" w:hAnsi="Times New Roman" w:eastAsia="宋体" w:cs="Times New Roman"/>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font6"/>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93">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94">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5">
    <w:name w:val="font9"/>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96">
    <w:name w:val="font1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97">
    <w:name w:val="font11"/>
    <w:basedOn w:val="1"/>
    <w:qFormat/>
    <w:uiPriority w:val="0"/>
    <w:pPr>
      <w:widowControl/>
      <w:spacing w:before="100" w:beforeAutospacing="1" w:after="100" w:afterAutospacing="1"/>
      <w:jc w:val="left"/>
    </w:pPr>
    <w:rPr>
      <w:rFonts w:ascii="Tahoma" w:hAnsi="Tahoma" w:cs="Tahoma"/>
      <w:b/>
      <w:bCs/>
      <w:color w:val="000000"/>
      <w:kern w:val="0"/>
      <w:sz w:val="18"/>
      <w:szCs w:val="18"/>
    </w:rPr>
  </w:style>
  <w:style w:type="paragraph" w:customStyle="1" w:styleId="98">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font15"/>
    <w:basedOn w:val="1"/>
    <w:qFormat/>
    <w:uiPriority w:val="0"/>
    <w:pPr>
      <w:widowControl/>
      <w:spacing w:before="100" w:beforeAutospacing="1" w:after="100" w:afterAutospacing="1"/>
      <w:jc w:val="left"/>
    </w:pPr>
    <w:rPr>
      <w:rFonts w:ascii="方正仿宋简体" w:hAnsi="宋体" w:eastAsia="方正仿宋简体" w:cs="宋体"/>
      <w:kern w:val="0"/>
      <w:sz w:val="22"/>
      <w:szCs w:val="22"/>
    </w:rPr>
  </w:style>
  <w:style w:type="paragraph" w:customStyle="1" w:styleId="102">
    <w:name w:val="font16"/>
    <w:basedOn w:val="1"/>
    <w:qFormat/>
    <w:uiPriority w:val="0"/>
    <w:pPr>
      <w:widowControl/>
      <w:spacing w:before="100" w:beforeAutospacing="1" w:after="100" w:afterAutospacing="1"/>
      <w:jc w:val="left"/>
    </w:pPr>
    <w:rPr>
      <w:rFonts w:ascii="方正仿宋简体" w:hAnsi="宋体" w:eastAsia="方正仿宋简体" w:cs="宋体"/>
      <w:kern w:val="0"/>
      <w:sz w:val="22"/>
      <w:szCs w:val="22"/>
    </w:rPr>
  </w:style>
  <w:style w:type="paragraph" w:customStyle="1" w:styleId="103">
    <w:name w:val="font17"/>
    <w:basedOn w:val="1"/>
    <w:qFormat/>
    <w:uiPriority w:val="0"/>
    <w:pPr>
      <w:widowControl/>
      <w:spacing w:before="100" w:beforeAutospacing="1" w:after="100" w:afterAutospacing="1"/>
      <w:jc w:val="left"/>
    </w:pPr>
    <w:rPr>
      <w:rFonts w:ascii="方正仿宋简体" w:hAnsi="宋体" w:eastAsia="方正仿宋简体" w:cs="宋体"/>
      <w:kern w:val="0"/>
      <w:sz w:val="22"/>
      <w:szCs w:val="22"/>
    </w:rPr>
  </w:style>
  <w:style w:type="paragraph" w:customStyle="1" w:styleId="104">
    <w:name w:val="xl67"/>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05">
    <w:name w:val="xl68"/>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b/>
      <w:bCs/>
      <w:kern w:val="0"/>
      <w:sz w:val="20"/>
      <w:szCs w:val="20"/>
    </w:rPr>
  </w:style>
  <w:style w:type="paragraph" w:customStyle="1" w:styleId="1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0"/>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b/>
      <w:bCs/>
      <w:kern w:val="0"/>
      <w:sz w:val="22"/>
      <w:szCs w:val="22"/>
    </w:rPr>
  </w:style>
  <w:style w:type="paragraph" w:customStyle="1" w:styleId="1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0"/>
      <w:szCs w:val="20"/>
    </w:rPr>
  </w:style>
  <w:style w:type="paragraph" w:customStyle="1" w:styleId="111">
    <w:name w:val="xl74"/>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0"/>
      <w:szCs w:val="20"/>
    </w:rPr>
  </w:style>
  <w:style w:type="paragraph" w:customStyle="1" w:styleId="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2"/>
      <w:szCs w:val="22"/>
    </w:rPr>
  </w:style>
  <w:style w:type="paragraph" w:customStyle="1" w:styleId="114">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0"/>
      <w:szCs w:val="20"/>
    </w:rPr>
  </w:style>
  <w:style w:type="paragraph" w:customStyle="1" w:styleId="118">
    <w:name w:val="xl81"/>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19">
    <w:name w:val="xl82"/>
    <w:basedOn w:val="1"/>
    <w:qFormat/>
    <w:uiPriority w:val="0"/>
    <w:pPr>
      <w:widowControl/>
      <w:shd w:val="clear" w:color="000000" w:fill="FFFFFF"/>
      <w:spacing w:before="100" w:beforeAutospacing="1" w:after="100" w:afterAutospacing="1"/>
      <w:jc w:val="left"/>
    </w:pPr>
    <w:rPr>
      <w:rFonts w:ascii="Arial" w:hAnsi="Arial" w:cs="Arial"/>
      <w:kern w:val="0"/>
      <w:sz w:val="20"/>
      <w:szCs w:val="20"/>
    </w:rPr>
  </w:style>
  <w:style w:type="paragraph" w:customStyle="1" w:styleId="12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b/>
      <w:bCs/>
      <w:kern w:val="0"/>
      <w:sz w:val="20"/>
      <w:szCs w:val="20"/>
    </w:rPr>
  </w:style>
  <w:style w:type="paragraph" w:customStyle="1" w:styleId="1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0"/>
      <w:szCs w:val="20"/>
    </w:rPr>
  </w:style>
  <w:style w:type="paragraph" w:customStyle="1" w:styleId="12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2"/>
      <w:szCs w:val="22"/>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2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color w:val="222222"/>
      <w:kern w:val="0"/>
      <w:sz w:val="22"/>
      <w:szCs w:val="22"/>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b/>
      <w:bCs/>
      <w:kern w:val="0"/>
      <w:sz w:val="20"/>
      <w:szCs w:val="20"/>
    </w:rPr>
  </w:style>
  <w:style w:type="paragraph" w:customStyle="1" w:styleId="12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0"/>
      <w:szCs w:val="20"/>
    </w:rPr>
  </w:style>
  <w:style w:type="paragraph" w:customStyle="1" w:styleId="12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2"/>
      <w:szCs w:val="22"/>
    </w:rPr>
  </w:style>
  <w:style w:type="paragraph" w:customStyle="1" w:styleId="12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简体" w:hAnsi="宋体" w:eastAsia="方正仿宋简体" w:cs="宋体"/>
      <w:kern w:val="0"/>
      <w:sz w:val="22"/>
      <w:szCs w:val="22"/>
    </w:rPr>
  </w:style>
  <w:style w:type="paragraph" w:customStyle="1" w:styleId="13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0"/>
      <w:szCs w:val="20"/>
    </w:rPr>
  </w:style>
  <w:style w:type="paragraph" w:customStyle="1" w:styleId="1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3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2"/>
      <w:szCs w:val="22"/>
    </w:rPr>
  </w:style>
  <w:style w:type="paragraph" w:customStyle="1" w:styleId="13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0"/>
      <w:szCs w:val="20"/>
    </w:rPr>
  </w:style>
  <w:style w:type="paragraph" w:customStyle="1" w:styleId="13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0"/>
      <w:szCs w:val="20"/>
    </w:rPr>
  </w:style>
  <w:style w:type="paragraph" w:customStyle="1" w:styleId="13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2"/>
      <w:szCs w:val="22"/>
    </w:rPr>
  </w:style>
  <w:style w:type="paragraph" w:customStyle="1" w:styleId="1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3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color w:val="333333"/>
      <w:kern w:val="0"/>
      <w:sz w:val="22"/>
      <w:szCs w:val="22"/>
    </w:rPr>
  </w:style>
  <w:style w:type="paragraph" w:customStyle="1" w:styleId="1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2"/>
      <w:szCs w:val="22"/>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2"/>
      <w:szCs w:val="22"/>
    </w:rPr>
  </w:style>
  <w:style w:type="paragraph" w:customStyle="1" w:styleId="14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2"/>
      <w:szCs w:val="22"/>
    </w:rPr>
  </w:style>
  <w:style w:type="paragraph" w:customStyle="1" w:styleId="14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2"/>
      <w:szCs w:val="22"/>
    </w:rPr>
  </w:style>
  <w:style w:type="paragraph" w:customStyle="1" w:styleId="14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2"/>
      <w:szCs w:val="22"/>
    </w:rPr>
  </w:style>
  <w:style w:type="paragraph" w:customStyle="1" w:styleId="14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简体" w:hAnsi="宋体" w:eastAsia="方正仿宋简体" w:cs="宋体"/>
      <w:kern w:val="0"/>
      <w:sz w:val="22"/>
      <w:szCs w:val="22"/>
    </w:rPr>
  </w:style>
  <w:style w:type="paragraph" w:customStyle="1" w:styleId="1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kern w:val="0"/>
      <w:sz w:val="22"/>
      <w:szCs w:val="22"/>
    </w:rPr>
  </w:style>
  <w:style w:type="paragraph" w:customStyle="1" w:styleId="14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简体" w:hAnsi="宋体" w:eastAsia="方正仿宋简体" w:cs="宋体"/>
      <w:color w:val="363636"/>
      <w:kern w:val="0"/>
      <w:sz w:val="22"/>
      <w:szCs w:val="22"/>
    </w:rPr>
  </w:style>
  <w:style w:type="paragraph" w:customStyle="1" w:styleId="14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2"/>
      <w:szCs w:val="22"/>
    </w:rPr>
  </w:style>
  <w:style w:type="paragraph" w:customStyle="1" w:styleId="14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2"/>
      <w:szCs w:val="22"/>
    </w:rPr>
  </w:style>
  <w:style w:type="paragraph" w:customStyle="1" w:styleId="14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18"/>
      <w:szCs w:val="18"/>
    </w:rPr>
  </w:style>
  <w:style w:type="paragraph" w:customStyle="1" w:styleId="1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18"/>
      <w:szCs w:val="18"/>
    </w:rPr>
  </w:style>
  <w:style w:type="paragraph" w:customStyle="1" w:styleId="15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简体" w:hAnsi="宋体" w:eastAsia="方正仿宋简体" w:cs="宋体"/>
      <w:kern w:val="0"/>
      <w:sz w:val="20"/>
      <w:szCs w:val="20"/>
    </w:rPr>
  </w:style>
  <w:style w:type="paragraph" w:customStyle="1" w:styleId="15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简体" w:hAnsi="宋体" w:eastAsia="方正仿宋简体" w:cs="宋体"/>
      <w:kern w:val="0"/>
      <w:sz w:val="22"/>
      <w:szCs w:val="22"/>
    </w:rPr>
  </w:style>
  <w:style w:type="paragraph" w:customStyle="1" w:styleId="153">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仿宋简体" w:hAnsi="宋体" w:eastAsia="方正仿宋简体" w:cs="宋体"/>
      <w:b/>
      <w:bCs/>
      <w:kern w:val="0"/>
      <w:sz w:val="22"/>
      <w:szCs w:val="22"/>
    </w:rPr>
  </w:style>
  <w:style w:type="paragraph" w:customStyle="1" w:styleId="154">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b/>
      <w:bCs/>
      <w:kern w:val="0"/>
      <w:sz w:val="22"/>
      <w:szCs w:val="22"/>
    </w:rPr>
  </w:style>
  <w:style w:type="paragraph" w:customStyle="1" w:styleId="155">
    <w:name w:val="xl11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56">
    <w:name w:val="xl11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157">
    <w:name w:val="访问过的超链接1"/>
    <w:qFormat/>
    <w:uiPriority w:val="99"/>
    <w:rPr>
      <w:color w:val="800080"/>
      <w:u w:val="single"/>
    </w:rPr>
  </w:style>
  <w:style w:type="character" w:customStyle="1" w:styleId="158">
    <w:name w:val="批注文字 Char"/>
    <w:link w:val="22"/>
    <w:qFormat/>
    <w:locked/>
    <w:uiPriority w:val="0"/>
    <w:rPr>
      <w:kern w:val="2"/>
      <w:sz w:val="21"/>
      <w:szCs w:val="24"/>
    </w:rPr>
  </w:style>
  <w:style w:type="character" w:customStyle="1" w:styleId="159">
    <w:name w:val="标题 2 Char"/>
    <w:link w:val="3"/>
    <w:qFormat/>
    <w:uiPriority w:val="0"/>
    <w:rPr>
      <w:rFonts w:ascii="Arial" w:hAnsi="Arial" w:eastAsia="黑体"/>
      <w:b/>
      <w:bCs/>
      <w:kern w:val="2"/>
      <w:sz w:val="32"/>
      <w:szCs w:val="32"/>
    </w:rPr>
  </w:style>
  <w:style w:type="character" w:customStyle="1" w:styleId="160">
    <w:name w:val="页脚 Char"/>
    <w:link w:val="40"/>
    <w:qFormat/>
    <w:uiPriority w:val="0"/>
    <w:rPr>
      <w:kern w:val="2"/>
      <w:sz w:val="18"/>
      <w:szCs w:val="18"/>
    </w:rPr>
  </w:style>
  <w:style w:type="character" w:customStyle="1" w:styleId="161">
    <w:name w:val="标题 Char"/>
    <w:link w:val="56"/>
    <w:qFormat/>
    <w:uiPriority w:val="0"/>
    <w:rPr>
      <w:rFonts w:ascii="Cambria" w:hAnsi="Cambria" w:cs="Times New Roman"/>
      <w:b/>
      <w:bCs/>
      <w:kern w:val="2"/>
      <w:sz w:val="32"/>
      <w:szCs w:val="32"/>
    </w:rPr>
  </w:style>
  <w:style w:type="character" w:customStyle="1" w:styleId="162">
    <w:name w:val="HTML 预设格式 Char"/>
    <w:link w:val="53"/>
    <w:qFormat/>
    <w:uiPriority w:val="99"/>
    <w:rPr>
      <w:rFonts w:ascii="宋体" w:hAnsi="宋体" w:cs="宋体"/>
      <w:sz w:val="24"/>
      <w:szCs w:val="24"/>
    </w:rPr>
  </w:style>
  <w:style w:type="character" w:customStyle="1" w:styleId="163">
    <w:name w:val="标题 1 Char"/>
    <w:link w:val="2"/>
    <w:qFormat/>
    <w:locked/>
    <w:uiPriority w:val="0"/>
    <w:rPr>
      <w:b/>
      <w:bCs/>
      <w:kern w:val="44"/>
      <w:sz w:val="44"/>
      <w:szCs w:val="44"/>
    </w:rPr>
  </w:style>
  <w:style w:type="character" w:customStyle="1" w:styleId="164">
    <w:name w:val="正文文本缩进 Char"/>
    <w:link w:val="26"/>
    <w:qFormat/>
    <w:locked/>
    <w:uiPriority w:val="0"/>
    <w:rPr>
      <w:rFonts w:ascii="黑体" w:eastAsia="黑体"/>
      <w:kern w:val="2"/>
      <w:sz w:val="28"/>
    </w:rPr>
  </w:style>
  <w:style w:type="character" w:customStyle="1" w:styleId="165">
    <w:name w:val="文档结构图 Char"/>
    <w:link w:val="20"/>
    <w:qFormat/>
    <w:locked/>
    <w:uiPriority w:val="0"/>
    <w:rPr>
      <w:kern w:val="2"/>
      <w:sz w:val="21"/>
      <w:szCs w:val="24"/>
      <w:shd w:val="clear" w:color="auto" w:fill="000080"/>
    </w:rPr>
  </w:style>
  <w:style w:type="character" w:customStyle="1" w:styleId="166">
    <w:name w:val="正文文本 Char"/>
    <w:link w:val="25"/>
    <w:qFormat/>
    <w:locked/>
    <w:uiPriority w:val="0"/>
    <w:rPr>
      <w:kern w:val="2"/>
      <w:sz w:val="21"/>
      <w:szCs w:val="24"/>
    </w:rPr>
  </w:style>
  <w:style w:type="character" w:customStyle="1" w:styleId="167">
    <w:name w:val="批注框文本 Char"/>
    <w:link w:val="39"/>
    <w:qFormat/>
    <w:locked/>
    <w:uiPriority w:val="0"/>
    <w:rPr>
      <w:kern w:val="2"/>
      <w:sz w:val="18"/>
      <w:szCs w:val="18"/>
    </w:rPr>
  </w:style>
  <w:style w:type="character" w:customStyle="1" w:styleId="168">
    <w:name w:val="纯文本 Char"/>
    <w:link w:val="33"/>
    <w:qFormat/>
    <w:uiPriority w:val="0"/>
    <w:rPr>
      <w:rFonts w:ascii="宋体" w:hAnsi="Courier New"/>
      <w:sz w:val="21"/>
      <w:szCs w:val="21"/>
    </w:rPr>
  </w:style>
  <w:style w:type="paragraph" w:customStyle="1" w:styleId="169">
    <w:name w:val="Instruction - Caution"/>
    <w:basedOn w:val="25"/>
    <w:qFormat/>
    <w:uiPriority w:val="99"/>
    <w:pPr>
      <w:widowControl/>
      <w:spacing w:before="60" w:after="60" w:line="200" w:lineRule="atLeast"/>
      <w:jc w:val="left"/>
    </w:pPr>
    <w:rPr>
      <w:rFonts w:ascii="Arial" w:hAnsi="Arial" w:cs="Arial"/>
      <w:color w:val="000000"/>
      <w:kern w:val="0"/>
      <w:sz w:val="16"/>
      <w:szCs w:val="16"/>
      <w:lang w:eastAsia="en-US"/>
    </w:rPr>
  </w:style>
  <w:style w:type="paragraph" w:customStyle="1" w:styleId="170">
    <w:name w:val="K&amp;W Body text"/>
    <w:basedOn w:val="1"/>
    <w:qFormat/>
    <w:uiPriority w:val="99"/>
    <w:pPr>
      <w:widowControl/>
      <w:spacing w:after="360" w:line="320" w:lineRule="atLeast"/>
      <w:ind w:firstLine="567"/>
    </w:pPr>
    <w:rPr>
      <w:rFonts w:ascii="Arial" w:hAnsi="Arial" w:eastAsia="楷体_GB2312" w:cs="Arial"/>
      <w:kern w:val="0"/>
      <w:sz w:val="24"/>
      <w:lang w:eastAsia="en-US"/>
    </w:rPr>
  </w:style>
  <w:style w:type="character" w:customStyle="1" w:styleId="171">
    <w:name w:val="批注主题 Char"/>
    <w:link w:val="57"/>
    <w:qFormat/>
    <w:locked/>
    <w:uiPriority w:val="0"/>
    <w:rPr>
      <w:b/>
      <w:bCs/>
      <w:kern w:val="2"/>
      <w:sz w:val="21"/>
      <w:szCs w:val="24"/>
    </w:rPr>
  </w:style>
  <w:style w:type="paragraph" w:customStyle="1" w:styleId="172">
    <w:name w:val="Instruction - Optional"/>
    <w:basedOn w:val="1"/>
    <w:qFormat/>
    <w:uiPriority w:val="99"/>
    <w:pPr>
      <w:widowControl/>
      <w:spacing w:before="60" w:after="60" w:line="200" w:lineRule="atLeast"/>
      <w:jc w:val="left"/>
    </w:pPr>
    <w:rPr>
      <w:rFonts w:ascii="Arial" w:hAnsi="Arial" w:eastAsia="楷体_GB2312" w:cs="Arial"/>
      <w:spacing w:val="-8"/>
      <w:kern w:val="0"/>
      <w:sz w:val="16"/>
      <w:szCs w:val="16"/>
      <w:lang w:eastAsia="en-US"/>
    </w:rPr>
  </w:style>
  <w:style w:type="paragraph" w:customStyle="1" w:styleId="173">
    <w:name w:val="K&amp;W heading 1"/>
    <w:basedOn w:val="1"/>
    <w:next w:val="174"/>
    <w:qFormat/>
    <w:uiPriority w:val="99"/>
    <w:pPr>
      <w:numPr>
        <w:ilvl w:val="0"/>
        <w:numId w:val="4"/>
      </w:numPr>
      <w:spacing w:after="360" w:line="320" w:lineRule="exact"/>
      <w:outlineLvl w:val="0"/>
    </w:pPr>
    <w:rPr>
      <w:rFonts w:ascii="Arial" w:hAnsi="Arial" w:eastAsia="楷体_GB2312" w:cs="Arial"/>
      <w:b/>
      <w:bCs/>
      <w:kern w:val="0"/>
      <w:sz w:val="28"/>
      <w:szCs w:val="28"/>
      <w:lang w:eastAsia="en-US"/>
    </w:rPr>
  </w:style>
  <w:style w:type="paragraph" w:customStyle="1" w:styleId="174">
    <w:name w:val="K&amp;W heading 2"/>
    <w:basedOn w:val="1"/>
    <w:link w:val="190"/>
    <w:qFormat/>
    <w:uiPriority w:val="99"/>
    <w:pPr>
      <w:numPr>
        <w:ilvl w:val="1"/>
        <w:numId w:val="4"/>
      </w:numPr>
      <w:spacing w:after="360" w:line="320" w:lineRule="exact"/>
      <w:outlineLvl w:val="1"/>
    </w:pPr>
    <w:rPr>
      <w:rFonts w:ascii="Arial" w:hAnsi="Arial" w:eastAsia="楷体_GB2312"/>
      <w:color w:val="000000"/>
      <w:kern w:val="0"/>
      <w:sz w:val="24"/>
      <w:lang w:eastAsia="en-US"/>
    </w:rPr>
  </w:style>
  <w:style w:type="paragraph" w:customStyle="1" w:styleId="175">
    <w:name w:val="K&amp;W heading 3"/>
    <w:basedOn w:val="1"/>
    <w:qFormat/>
    <w:uiPriority w:val="99"/>
    <w:pPr>
      <w:widowControl/>
      <w:numPr>
        <w:ilvl w:val="2"/>
        <w:numId w:val="4"/>
      </w:numPr>
      <w:spacing w:after="360" w:line="320" w:lineRule="exact"/>
      <w:outlineLvl w:val="2"/>
    </w:pPr>
    <w:rPr>
      <w:rFonts w:ascii="Arial" w:hAnsi="Arial" w:eastAsia="楷体_GB2312" w:cs="Arial"/>
      <w:kern w:val="0"/>
      <w:sz w:val="24"/>
      <w:lang w:eastAsia="en-US"/>
    </w:rPr>
  </w:style>
  <w:style w:type="paragraph" w:customStyle="1" w:styleId="176">
    <w:name w:val="K&amp;W heading 4"/>
    <w:basedOn w:val="1"/>
    <w:qFormat/>
    <w:uiPriority w:val="99"/>
    <w:pPr>
      <w:widowControl/>
      <w:numPr>
        <w:ilvl w:val="3"/>
        <w:numId w:val="4"/>
      </w:numPr>
      <w:spacing w:after="360" w:line="320" w:lineRule="exact"/>
      <w:outlineLvl w:val="3"/>
    </w:pPr>
    <w:rPr>
      <w:rFonts w:ascii="Arial" w:hAnsi="Arial" w:eastAsia="楷体_GB2312" w:cs="Arial"/>
      <w:kern w:val="0"/>
      <w:sz w:val="24"/>
      <w:lang w:eastAsia="en-US"/>
    </w:rPr>
  </w:style>
  <w:style w:type="paragraph" w:customStyle="1" w:styleId="177">
    <w:name w:val="K&amp;W heading 5"/>
    <w:basedOn w:val="1"/>
    <w:qFormat/>
    <w:uiPriority w:val="99"/>
    <w:pPr>
      <w:widowControl/>
      <w:numPr>
        <w:ilvl w:val="4"/>
        <w:numId w:val="4"/>
      </w:numPr>
      <w:spacing w:after="360" w:line="320" w:lineRule="exact"/>
      <w:outlineLvl w:val="4"/>
    </w:pPr>
    <w:rPr>
      <w:rFonts w:ascii="Arial" w:hAnsi="Arial" w:eastAsia="楷体_GB2312" w:cs="Arial"/>
      <w:kern w:val="0"/>
      <w:sz w:val="24"/>
      <w:lang w:eastAsia="en-US"/>
    </w:rPr>
  </w:style>
  <w:style w:type="paragraph" w:customStyle="1" w:styleId="178">
    <w:name w:val="K&amp;W Heading 6"/>
    <w:basedOn w:val="173"/>
    <w:next w:val="170"/>
    <w:qFormat/>
    <w:uiPriority w:val="99"/>
    <w:pPr>
      <w:widowControl/>
      <w:numPr>
        <w:ilvl w:val="5"/>
      </w:numPr>
      <w:spacing w:after="440" w:line="240" w:lineRule="auto"/>
      <w:outlineLvl w:val="5"/>
    </w:pPr>
    <w:rPr>
      <w:sz w:val="36"/>
      <w:szCs w:val="36"/>
      <w:lang w:eastAsia="zh-CN"/>
    </w:rPr>
  </w:style>
  <w:style w:type="paragraph" w:customStyle="1" w:styleId="179">
    <w:name w:val="K&amp;W heading 7"/>
    <w:basedOn w:val="173"/>
    <w:next w:val="170"/>
    <w:qFormat/>
    <w:uiPriority w:val="99"/>
    <w:pPr>
      <w:widowControl/>
      <w:numPr>
        <w:ilvl w:val="6"/>
      </w:numPr>
      <w:outlineLvl w:val="6"/>
    </w:pPr>
    <w:rPr>
      <w:lang w:eastAsia="zh-CN"/>
    </w:rPr>
  </w:style>
  <w:style w:type="paragraph" w:customStyle="1" w:styleId="180">
    <w:name w:val="K&amp;W Heading 8"/>
    <w:basedOn w:val="173"/>
    <w:next w:val="170"/>
    <w:qFormat/>
    <w:uiPriority w:val="99"/>
    <w:pPr>
      <w:numPr>
        <w:ilvl w:val="7"/>
      </w:numPr>
      <w:spacing w:after="440" w:line="240" w:lineRule="auto"/>
      <w:ind w:left="0" w:firstLine="0"/>
      <w:outlineLvl w:val="7"/>
    </w:pPr>
    <w:rPr>
      <w:sz w:val="36"/>
      <w:szCs w:val="36"/>
    </w:rPr>
  </w:style>
  <w:style w:type="paragraph" w:customStyle="1" w:styleId="181">
    <w:name w:val="K&amp;W Heading 9"/>
    <w:basedOn w:val="173"/>
    <w:next w:val="170"/>
    <w:qFormat/>
    <w:uiPriority w:val="99"/>
    <w:pPr>
      <w:numPr>
        <w:ilvl w:val="8"/>
      </w:numPr>
      <w:spacing w:after="440" w:line="240" w:lineRule="auto"/>
      <w:outlineLvl w:val="8"/>
    </w:pPr>
    <w:rPr>
      <w:sz w:val="36"/>
      <w:szCs w:val="36"/>
    </w:rPr>
  </w:style>
  <w:style w:type="character" w:customStyle="1" w:styleId="182">
    <w:name w:val="topic"/>
    <w:qFormat/>
    <w:uiPriority w:val="99"/>
  </w:style>
  <w:style w:type="character" w:customStyle="1" w:styleId="183">
    <w:name w:val="bluetxt1"/>
    <w:qFormat/>
    <w:uiPriority w:val="0"/>
  </w:style>
  <w:style w:type="character" w:customStyle="1" w:styleId="184">
    <w:name w:val="K&amp;W Normal Char"/>
    <w:link w:val="185"/>
    <w:qFormat/>
    <w:locked/>
    <w:uiPriority w:val="99"/>
    <w:rPr>
      <w:rFonts w:ascii="Arial" w:hAnsi="Arial" w:eastAsia="楷体_GB2312" w:cs="Arial"/>
      <w:color w:val="000000"/>
      <w:sz w:val="24"/>
      <w:szCs w:val="24"/>
      <w:lang w:val="en-US" w:eastAsia="en-US" w:bidi="ar-SA"/>
    </w:rPr>
  </w:style>
  <w:style w:type="paragraph" w:customStyle="1" w:styleId="185">
    <w:name w:val="K&amp;W Normal"/>
    <w:link w:val="184"/>
    <w:qFormat/>
    <w:uiPriority w:val="99"/>
    <w:pPr>
      <w:spacing w:after="360" w:line="320" w:lineRule="atLeast"/>
      <w:jc w:val="both"/>
    </w:pPr>
    <w:rPr>
      <w:rFonts w:ascii="Arial" w:hAnsi="Arial" w:eastAsia="楷体_GB2312" w:cs="Arial"/>
      <w:color w:val="000000"/>
      <w:sz w:val="24"/>
      <w:szCs w:val="24"/>
      <w:lang w:val="en-US" w:eastAsia="en-US" w:bidi="ar-SA"/>
    </w:rPr>
  </w:style>
  <w:style w:type="paragraph" w:customStyle="1" w:styleId="186">
    <w:name w:val="Deed_TOC"/>
    <w:basedOn w:val="185"/>
    <w:link w:val="187"/>
    <w:qFormat/>
    <w:uiPriority w:val="99"/>
    <w:pPr>
      <w:tabs>
        <w:tab w:val="left" w:pos="1134"/>
        <w:tab w:val="right" w:pos="7655"/>
      </w:tabs>
      <w:spacing w:before="240" w:after="240" w:line="260" w:lineRule="atLeast"/>
      <w:ind w:firstLine="567"/>
      <w:jc w:val="center"/>
    </w:pPr>
    <w:rPr>
      <w:rFonts w:ascii="Arial Bold" w:hAnsi="Arial Bold" w:cs="Times New Roman"/>
      <w:b/>
      <w:bCs/>
      <w:color w:val="auto"/>
      <w:sz w:val="28"/>
      <w:szCs w:val="28"/>
    </w:rPr>
  </w:style>
  <w:style w:type="character" w:customStyle="1" w:styleId="187">
    <w:name w:val="Deed_TOC Char"/>
    <w:link w:val="186"/>
    <w:qFormat/>
    <w:locked/>
    <w:uiPriority w:val="99"/>
    <w:rPr>
      <w:rFonts w:ascii="Arial Bold" w:hAnsi="Arial Bold" w:eastAsia="楷体_GB2312"/>
      <w:b/>
      <w:bCs/>
      <w:sz w:val="28"/>
      <w:szCs w:val="28"/>
      <w:lang w:eastAsia="en-US"/>
    </w:rPr>
  </w:style>
  <w:style w:type="paragraph" w:customStyle="1" w:styleId="188">
    <w:name w:val="Deed_SubHeading"/>
    <w:basedOn w:val="1"/>
    <w:qFormat/>
    <w:uiPriority w:val="99"/>
    <w:pPr>
      <w:widowControl/>
      <w:spacing w:before="120" w:line="440" w:lineRule="exact"/>
      <w:jc w:val="left"/>
    </w:pPr>
    <w:rPr>
      <w:rFonts w:ascii="Arial" w:hAnsi="Arial" w:eastAsia="楷体_GB2312" w:cs="Arial"/>
      <w:b/>
      <w:bCs/>
      <w:spacing w:val="-8"/>
      <w:kern w:val="0"/>
      <w:sz w:val="36"/>
      <w:szCs w:val="36"/>
      <w:lang w:eastAsia="en-US"/>
    </w:rPr>
  </w:style>
  <w:style w:type="paragraph" w:customStyle="1" w:styleId="189">
    <w:name w:val="Deed_Heading"/>
    <w:basedOn w:val="1"/>
    <w:qFormat/>
    <w:uiPriority w:val="99"/>
    <w:pPr>
      <w:widowControl/>
      <w:pBdr>
        <w:top w:val="single" w:color="auto" w:sz="12" w:space="7"/>
      </w:pBdr>
      <w:spacing w:line="440" w:lineRule="exact"/>
      <w:jc w:val="left"/>
    </w:pPr>
    <w:rPr>
      <w:rFonts w:ascii="Arial Black" w:hAnsi="Arial Black" w:eastAsia="楷体_GB2312" w:cs="Arial Black"/>
      <w:b/>
      <w:bCs/>
      <w:spacing w:val="-8"/>
      <w:kern w:val="0"/>
      <w:sz w:val="44"/>
      <w:szCs w:val="44"/>
      <w:lang w:eastAsia="en-US"/>
    </w:rPr>
  </w:style>
  <w:style w:type="character" w:customStyle="1" w:styleId="190">
    <w:name w:val="K&amp;W heading 2 Char"/>
    <w:link w:val="174"/>
    <w:qFormat/>
    <w:locked/>
    <w:uiPriority w:val="99"/>
    <w:rPr>
      <w:rFonts w:ascii="Arial" w:hAnsi="Arial" w:eastAsia="楷体_GB2312"/>
      <w:color w:val="000000"/>
      <w:sz w:val="24"/>
      <w:szCs w:val="24"/>
      <w:lang w:eastAsia="en-US"/>
    </w:rPr>
  </w:style>
  <w:style w:type="paragraph" w:customStyle="1" w:styleId="191">
    <w:name w:val="font1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92">
    <w:name w:val="font19"/>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193">
    <w:name w:val="font2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4">
    <w:name w:val="font21"/>
    <w:basedOn w:val="1"/>
    <w:qFormat/>
    <w:uiPriority w:val="0"/>
    <w:pPr>
      <w:widowControl/>
      <w:spacing w:before="100" w:beforeAutospacing="1" w:after="100" w:afterAutospacing="1"/>
      <w:jc w:val="left"/>
    </w:pPr>
    <w:rPr>
      <w:color w:val="000000"/>
      <w:kern w:val="0"/>
      <w:sz w:val="20"/>
      <w:szCs w:val="20"/>
    </w:rPr>
  </w:style>
  <w:style w:type="paragraph" w:customStyle="1" w:styleId="195">
    <w:name w:val="font2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6">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xl6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98">
    <w:name w:val="xl12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9">
    <w:name w:val="xl12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00">
    <w:name w:val="xl12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0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0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0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0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0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1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3">
    <w:name w:val="xl13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1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17">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21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14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223">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224">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225">
    <w:name w:val="xl14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26">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7">
    <w:name w:val="xl14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8">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230">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231">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23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15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34">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5">
    <w:name w:val="xl15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6">
    <w:name w:val="xl15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7">
    <w:name w:val="xl159"/>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38">
    <w:name w:val="xl160"/>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39">
    <w:name w:val="xl1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0">
    <w:name w:val="xl16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1">
    <w:name w:val="xl16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2">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3">
    <w:name w:val="xl16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4">
    <w:name w:val="xl16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5">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46">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4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8">
    <w:name w:val="xl17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49">
    <w:name w:val="xl1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0">
    <w:name w:val="xl1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1">
    <w:name w:val="xl173"/>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character" w:customStyle="1" w:styleId="252">
    <w:name w:val="中文正文、 Char Char"/>
    <w:link w:val="253"/>
    <w:qFormat/>
    <w:locked/>
    <w:uiPriority w:val="99"/>
    <w:rPr>
      <w:kern w:val="2"/>
      <w:sz w:val="21"/>
      <w:szCs w:val="21"/>
    </w:rPr>
  </w:style>
  <w:style w:type="paragraph" w:customStyle="1" w:styleId="253">
    <w:name w:val="中文正文、"/>
    <w:basedOn w:val="1"/>
    <w:link w:val="252"/>
    <w:qFormat/>
    <w:uiPriority w:val="99"/>
    <w:pPr>
      <w:spacing w:line="360" w:lineRule="auto"/>
      <w:ind w:firstLine="420" w:firstLineChars="200"/>
      <w:jc w:val="left"/>
    </w:pPr>
    <w:rPr>
      <w:szCs w:val="21"/>
    </w:rPr>
  </w:style>
  <w:style w:type="paragraph" w:customStyle="1" w:styleId="254">
    <w:name w:val="标题二、"/>
    <w:basedOn w:val="1"/>
    <w:qFormat/>
    <w:uiPriority w:val="0"/>
    <w:pPr>
      <w:spacing w:line="360" w:lineRule="auto"/>
      <w:ind w:firstLine="200" w:firstLineChars="200"/>
      <w:outlineLvl w:val="2"/>
    </w:pPr>
    <w:rPr>
      <w:rFonts w:ascii="宋体" w:hAnsi="宋体"/>
      <w:b/>
      <w:szCs w:val="21"/>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56">
    <w:name w:val="标题 5 Char"/>
    <w:basedOn w:val="62"/>
    <w:link w:val="7"/>
    <w:qFormat/>
    <w:uiPriority w:val="0"/>
    <w:rPr>
      <w:kern w:val="2"/>
    </w:rPr>
  </w:style>
  <w:style w:type="character" w:customStyle="1" w:styleId="257">
    <w:name w:val="标题 6 Char"/>
    <w:basedOn w:val="62"/>
    <w:link w:val="8"/>
    <w:qFormat/>
    <w:uiPriority w:val="0"/>
    <w:rPr>
      <w:kern w:val="2"/>
    </w:rPr>
  </w:style>
  <w:style w:type="character" w:customStyle="1" w:styleId="258">
    <w:name w:val="标题 7 Char"/>
    <w:basedOn w:val="62"/>
    <w:link w:val="9"/>
    <w:qFormat/>
    <w:uiPriority w:val="0"/>
    <w:rPr>
      <w:kern w:val="2"/>
    </w:rPr>
  </w:style>
  <w:style w:type="character" w:customStyle="1" w:styleId="259">
    <w:name w:val="标题 8 Char"/>
    <w:basedOn w:val="62"/>
    <w:link w:val="10"/>
    <w:qFormat/>
    <w:uiPriority w:val="0"/>
    <w:rPr>
      <w:kern w:val="2"/>
    </w:rPr>
  </w:style>
  <w:style w:type="character" w:customStyle="1" w:styleId="260">
    <w:name w:val="标题 9 Char"/>
    <w:basedOn w:val="62"/>
    <w:link w:val="11"/>
    <w:qFormat/>
    <w:uiPriority w:val="0"/>
    <w:rPr>
      <w:kern w:val="2"/>
    </w:rPr>
  </w:style>
  <w:style w:type="character" w:customStyle="1" w:styleId="261">
    <w:name w:val="标题 3 Char"/>
    <w:basedOn w:val="62"/>
    <w:link w:val="4"/>
    <w:qFormat/>
    <w:uiPriority w:val="0"/>
    <w:rPr>
      <w:b/>
      <w:bCs/>
      <w:kern w:val="2"/>
      <w:sz w:val="32"/>
      <w:szCs w:val="32"/>
    </w:rPr>
  </w:style>
  <w:style w:type="character" w:customStyle="1" w:styleId="262">
    <w:name w:val="正文文本缩进 2 Char"/>
    <w:basedOn w:val="62"/>
    <w:link w:val="38"/>
    <w:qFormat/>
    <w:uiPriority w:val="0"/>
    <w:rPr>
      <w:rFonts w:ascii="Arial" w:hAnsi="Arial" w:cs="Arial"/>
      <w:color w:val="0000FF"/>
      <w:kern w:val="2"/>
      <w:sz w:val="24"/>
      <w:szCs w:val="24"/>
    </w:rPr>
  </w:style>
  <w:style w:type="paragraph" w:customStyle="1" w:styleId="263">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paragraph" w:customStyle="1" w:styleId="264">
    <w:name w:val="章标题"/>
    <w:next w:val="263"/>
    <w:qFormat/>
    <w:uiPriority w:val="0"/>
    <w:pPr>
      <w:numPr>
        <w:ilvl w:val="1"/>
        <w:numId w:val="5"/>
      </w:numPr>
      <w:spacing w:before="240" w:after="240" w:line="440" w:lineRule="exact"/>
      <w:outlineLvl w:val="0"/>
    </w:pPr>
    <w:rPr>
      <w:rFonts w:ascii="黑体" w:hAnsi="Times New Roman" w:eastAsia="黑体" w:cs="Times New Roman"/>
      <w:sz w:val="24"/>
      <w:lang w:val="en-US" w:eastAsia="zh-CN" w:bidi="ar-SA"/>
    </w:rPr>
  </w:style>
  <w:style w:type="paragraph" w:customStyle="1" w:styleId="265">
    <w:name w:val="Char2"/>
    <w:basedOn w:val="1"/>
    <w:qFormat/>
    <w:uiPriority w:val="0"/>
    <w:pPr>
      <w:widowControl/>
      <w:spacing w:after="160" w:line="240" w:lineRule="exact"/>
      <w:jc w:val="left"/>
    </w:pPr>
    <w:rPr>
      <w:rFonts w:ascii="Verdana" w:hAnsi="Verdana" w:eastAsia="Times New Roman" w:cs="Verdana"/>
      <w:kern w:val="0"/>
      <w:sz w:val="20"/>
      <w:szCs w:val="20"/>
      <w:lang w:eastAsia="en-US"/>
    </w:rPr>
  </w:style>
  <w:style w:type="paragraph" w:customStyle="1" w:styleId="266">
    <w:name w:val="Char Char Char Char Char Char Char Char Char Char"/>
    <w:basedOn w:val="1"/>
    <w:qFormat/>
    <w:uiPriority w:val="0"/>
  </w:style>
  <w:style w:type="paragraph" w:customStyle="1" w:styleId="267">
    <w:name w:val="Char1"/>
    <w:basedOn w:val="1"/>
    <w:qFormat/>
    <w:uiPriority w:val="0"/>
    <w:pPr>
      <w:widowControl/>
      <w:spacing w:after="160" w:line="240" w:lineRule="exact"/>
      <w:jc w:val="left"/>
    </w:pPr>
    <w:rPr>
      <w:rFonts w:ascii="Verdana" w:hAnsi="Verdana" w:eastAsia="Times New Roman" w:cs="Verdana"/>
      <w:kern w:val="0"/>
      <w:sz w:val="20"/>
      <w:szCs w:val="20"/>
      <w:lang w:eastAsia="en-US"/>
    </w:rPr>
  </w:style>
  <w:style w:type="paragraph" w:customStyle="1" w:styleId="268">
    <w:name w:val="Char Char Char Char Char Char Char Char Char Char1"/>
    <w:basedOn w:val="1"/>
    <w:qFormat/>
    <w:uiPriority w:val="0"/>
  </w:style>
  <w:style w:type="character" w:customStyle="1" w:styleId="269">
    <w:name w:val="副标题 Char"/>
    <w:basedOn w:val="62"/>
    <w:link w:val="44"/>
    <w:qFormat/>
    <w:uiPriority w:val="0"/>
    <w:rPr>
      <w:rFonts w:ascii="Cambria" w:hAnsi="Cambria"/>
      <w:b/>
      <w:bCs/>
      <w:kern w:val="28"/>
      <w:sz w:val="32"/>
      <w:szCs w:val="32"/>
    </w:rPr>
  </w:style>
  <w:style w:type="character" w:customStyle="1" w:styleId="270">
    <w:name w:val="正文首行缩进 Char"/>
    <w:basedOn w:val="166"/>
    <w:qFormat/>
    <w:uiPriority w:val="0"/>
    <w:rPr>
      <w:kern w:val="2"/>
      <w:sz w:val="21"/>
      <w:szCs w:val="24"/>
    </w:rPr>
  </w:style>
  <w:style w:type="character" w:customStyle="1" w:styleId="271">
    <w:name w:val="报告正文 Char"/>
    <w:basedOn w:val="62"/>
    <w:link w:val="74"/>
    <w:qFormat/>
    <w:uiPriority w:val="0"/>
    <w:rPr>
      <w:rFonts w:ascii="Times" w:hAnsi="Times"/>
      <w:kern w:val="2"/>
      <w:sz w:val="24"/>
    </w:rPr>
  </w:style>
  <w:style w:type="character" w:customStyle="1" w:styleId="272">
    <w:name w:val="dy_biao_content1"/>
    <w:basedOn w:val="62"/>
    <w:qFormat/>
    <w:uiPriority w:val="0"/>
    <w:rPr>
      <w:rFonts w:hint="eastAsia" w:ascii="宋体" w:hAnsi="宋体" w:eastAsia="宋体"/>
      <w:sz w:val="24"/>
      <w:szCs w:val="24"/>
    </w:rPr>
  </w:style>
  <w:style w:type="character" w:customStyle="1" w:styleId="273">
    <w:name w:val="正文首行缩进 Char1"/>
    <w:basedOn w:val="62"/>
    <w:link w:val="58"/>
    <w:qFormat/>
    <w:uiPriority w:val="0"/>
    <w:rPr>
      <w:rFonts w:ascii="宋体" w:hAnsi="宋体"/>
      <w:color w:val="000000"/>
      <w:sz w:val="28"/>
      <w:szCs w:val="28"/>
    </w:rPr>
  </w:style>
  <w:style w:type="character" w:customStyle="1" w:styleId="274">
    <w:name w:val="报告正文 Char Char"/>
    <w:qFormat/>
    <w:uiPriority w:val="0"/>
    <w:rPr>
      <w:rFonts w:ascii="Times" w:hAnsi="Times" w:eastAsia="宋体"/>
      <w:kern w:val="2"/>
      <w:sz w:val="24"/>
      <w:lang w:val="en-US" w:eastAsia="zh-CN" w:bidi="ar-SA"/>
    </w:rPr>
  </w:style>
  <w:style w:type="character" w:customStyle="1" w:styleId="275">
    <w:name w:val="Char Char6"/>
    <w:basedOn w:val="62"/>
    <w:qFormat/>
    <w:locked/>
    <w:uiPriority w:val="0"/>
    <w:rPr>
      <w:rFonts w:eastAsia="宋体"/>
      <w:b/>
      <w:bCs/>
      <w:kern w:val="2"/>
      <w:sz w:val="21"/>
      <w:szCs w:val="32"/>
      <w:lang w:val="en-US" w:eastAsia="zh-CN" w:bidi="ar-SA"/>
    </w:rPr>
  </w:style>
  <w:style w:type="paragraph" w:customStyle="1" w:styleId="276">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正文文本缩进 31"/>
    <w:basedOn w:val="1"/>
    <w:qFormat/>
    <w:uiPriority w:val="0"/>
    <w:pPr>
      <w:spacing w:after="120"/>
      <w:ind w:left="420" w:leftChars="200"/>
    </w:pPr>
    <w:rPr>
      <w:rFonts w:eastAsia="仿宋_GB2312"/>
      <w:sz w:val="16"/>
      <w:szCs w:val="16"/>
    </w:rPr>
  </w:style>
  <w:style w:type="character" w:customStyle="1" w:styleId="278">
    <w:name w:val="纯文本 Char1"/>
    <w:basedOn w:val="62"/>
    <w:semiHidden/>
    <w:qFormat/>
    <w:uiPriority w:val="99"/>
    <w:rPr>
      <w:rFonts w:ascii="宋体" w:hAnsi="Courier New" w:eastAsia="宋体" w:cs="Courier New"/>
      <w:szCs w:val="21"/>
    </w:rPr>
  </w:style>
  <w:style w:type="paragraph" w:customStyle="1" w:styleId="279">
    <w:name w:val="样式 首行缩进:  2 字符 段前: 0.5 行 段后: 0.5 行"/>
    <w:basedOn w:val="1"/>
    <w:qFormat/>
    <w:uiPriority w:val="0"/>
    <w:pPr>
      <w:adjustRightInd w:val="0"/>
      <w:snapToGrid w:val="0"/>
      <w:spacing w:line="300" w:lineRule="auto"/>
      <w:ind w:hanging="30"/>
    </w:pPr>
    <w:rPr>
      <w:rFonts w:cs="宋体"/>
      <w:szCs w:val="20"/>
    </w:rPr>
  </w:style>
  <w:style w:type="paragraph" w:customStyle="1" w:styleId="280">
    <w:name w:val="Char Char2 Char Char Char Char Char Char3 Char Char"/>
    <w:basedOn w:val="1"/>
    <w:qFormat/>
    <w:uiPriority w:val="0"/>
    <w:pPr>
      <w:adjustRightInd w:val="0"/>
      <w:spacing w:line="360" w:lineRule="atLeast"/>
      <w:textAlignment w:val="baseline"/>
    </w:pPr>
    <w:rPr>
      <w:kern w:val="0"/>
      <w:sz w:val="24"/>
      <w:szCs w:val="20"/>
    </w:rPr>
  </w:style>
  <w:style w:type="paragraph" w:customStyle="1" w:styleId="281">
    <w:name w:val="Char Char 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2">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3">
    <w:name w:val="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列出段落1"/>
    <w:basedOn w:val="1"/>
    <w:qFormat/>
    <w:uiPriority w:val="34"/>
    <w:pPr>
      <w:ind w:firstLine="420" w:firstLineChars="200"/>
    </w:pPr>
    <w:rPr>
      <w:rFonts w:ascii="Calibri" w:hAnsi="Calibri"/>
      <w:szCs w:val="22"/>
    </w:rPr>
  </w:style>
  <w:style w:type="character" w:customStyle="1" w:styleId="285">
    <w:name w:val="正文文本缩进 3 Char1"/>
    <w:basedOn w:val="62"/>
    <w:semiHidden/>
    <w:qFormat/>
    <w:uiPriority w:val="99"/>
    <w:rPr>
      <w:rFonts w:ascii="Times New Roman" w:hAnsi="Times New Roman" w:eastAsia="宋体" w:cs="Times New Roman"/>
      <w:sz w:val="16"/>
      <w:szCs w:val="16"/>
    </w:rPr>
  </w:style>
  <w:style w:type="character" w:customStyle="1" w:styleId="286">
    <w:name w:val="页眉 Char1"/>
    <w:basedOn w:val="62"/>
    <w:semiHidden/>
    <w:qFormat/>
    <w:uiPriority w:val="99"/>
    <w:rPr>
      <w:rFonts w:ascii="Times New Roman" w:hAnsi="Times New Roman" w:eastAsia="宋体" w:cs="Times New Roman"/>
      <w:sz w:val="18"/>
      <w:szCs w:val="18"/>
    </w:rPr>
  </w:style>
  <w:style w:type="character" w:customStyle="1" w:styleId="287">
    <w:name w:val="标题 Char1"/>
    <w:basedOn w:val="62"/>
    <w:qFormat/>
    <w:uiPriority w:val="10"/>
    <w:rPr>
      <w:rFonts w:eastAsia="宋体" w:asciiTheme="majorHAnsi" w:hAnsiTheme="majorHAnsi" w:cstheme="majorBidi"/>
      <w:b/>
      <w:bCs/>
      <w:sz w:val="32"/>
      <w:szCs w:val="32"/>
    </w:rPr>
  </w:style>
  <w:style w:type="paragraph" w:customStyle="1" w:styleId="288">
    <w:name w:val="正文文本缩进1"/>
    <w:basedOn w:val="1"/>
    <w:qFormat/>
    <w:uiPriority w:val="0"/>
    <w:pPr>
      <w:snapToGrid w:val="0"/>
      <w:ind w:firstLine="630"/>
    </w:pPr>
    <w:rPr>
      <w:rFonts w:ascii="黑体" w:eastAsia="黑体"/>
      <w:sz w:val="28"/>
      <w:szCs w:val="20"/>
    </w:rPr>
  </w:style>
  <w:style w:type="character" w:customStyle="1" w:styleId="289">
    <w:name w:val="页脚 Char1"/>
    <w:basedOn w:val="62"/>
    <w:semiHidden/>
    <w:qFormat/>
    <w:uiPriority w:val="99"/>
    <w:rPr>
      <w:rFonts w:ascii="Times New Roman" w:hAnsi="Times New Roman" w:eastAsia="宋体" w:cs="Times New Roman"/>
      <w:sz w:val="18"/>
      <w:szCs w:val="18"/>
    </w:rPr>
  </w:style>
  <w:style w:type="paragraph" w:customStyle="1" w:styleId="290">
    <w:name w:val="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character" w:customStyle="1" w:styleId="291">
    <w:name w:val="正文文本 Char1"/>
    <w:basedOn w:val="62"/>
    <w:semiHidden/>
    <w:qFormat/>
    <w:uiPriority w:val="99"/>
    <w:rPr>
      <w:rFonts w:ascii="Times New Roman" w:hAnsi="Times New Roman" w:eastAsia="宋体" w:cs="Times New Roman"/>
      <w:szCs w:val="24"/>
    </w:rPr>
  </w:style>
  <w:style w:type="character" w:customStyle="1" w:styleId="292">
    <w:name w:val="正文首行缩进 Char2"/>
    <w:basedOn w:val="166"/>
    <w:qFormat/>
    <w:uiPriority w:val="99"/>
    <w:rPr>
      <w:kern w:val="2"/>
      <w:sz w:val="21"/>
      <w:szCs w:val="24"/>
    </w:rPr>
  </w:style>
  <w:style w:type="character" w:customStyle="1" w:styleId="293">
    <w:name w:val="副标题 Char1"/>
    <w:basedOn w:val="62"/>
    <w:qFormat/>
    <w:uiPriority w:val="11"/>
    <w:rPr>
      <w:rFonts w:asciiTheme="majorHAnsi" w:hAnsiTheme="majorHAnsi" w:cstheme="majorBidi"/>
      <w:b/>
      <w:bCs/>
      <w:kern w:val="28"/>
      <w:sz w:val="32"/>
      <w:szCs w:val="32"/>
    </w:rPr>
  </w:style>
  <w:style w:type="paragraph" w:customStyle="1" w:styleId="294">
    <w:name w:val="Char Char 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5">
    <w:name w:val="缩2"/>
    <w:basedOn w:val="1"/>
    <w:qFormat/>
    <w:uiPriority w:val="0"/>
    <w:pPr>
      <w:spacing w:line="360" w:lineRule="auto"/>
      <w:ind w:firstLine="200" w:firstLineChars="200"/>
    </w:pPr>
    <w:rPr>
      <w:sz w:val="24"/>
    </w:rPr>
  </w:style>
  <w:style w:type="paragraph" w:customStyle="1" w:styleId="296">
    <w:name w:val="gb1"/>
    <w:basedOn w:val="1"/>
    <w:qFormat/>
    <w:uiPriority w:val="0"/>
    <w:pPr>
      <w:widowControl/>
      <w:tabs>
        <w:tab w:val="left" w:pos="227"/>
      </w:tabs>
      <w:overflowPunct w:val="0"/>
      <w:autoSpaceDE w:val="0"/>
      <w:autoSpaceDN w:val="0"/>
      <w:adjustRightInd w:val="0"/>
      <w:spacing w:before="120" w:after="120"/>
      <w:jc w:val="left"/>
      <w:textAlignment w:val="baseline"/>
    </w:pPr>
    <w:rPr>
      <w:rFonts w:ascii="Arial" w:hAnsi="Arial" w:eastAsia="仿宋体"/>
      <w:kern w:val="0"/>
      <w:sz w:val="24"/>
      <w:szCs w:val="20"/>
    </w:rPr>
  </w:style>
  <w:style w:type="paragraph" w:customStyle="1" w:styleId="297">
    <w:name w:val="标题一、"/>
    <w:basedOn w:val="1"/>
    <w:qFormat/>
    <w:uiPriority w:val="0"/>
    <w:pPr>
      <w:spacing w:beforeLines="100" w:afterLines="100" w:line="360" w:lineRule="auto"/>
      <w:jc w:val="center"/>
      <w:outlineLvl w:val="0"/>
    </w:pPr>
    <w:rPr>
      <w:rFonts w:ascii="黑体" w:eastAsia="黑体"/>
      <w:sz w:val="32"/>
      <w:szCs w:val="32"/>
    </w:rPr>
  </w:style>
  <w:style w:type="paragraph" w:customStyle="1" w:styleId="298">
    <w:name w:val="1级标题"/>
    <w:basedOn w:val="2"/>
    <w:qFormat/>
    <w:uiPriority w:val="0"/>
    <w:pPr>
      <w:widowControl/>
      <w:adjustRightInd w:val="0"/>
      <w:snapToGrid w:val="0"/>
      <w:spacing w:beforeLines="50" w:after="0" w:line="300" w:lineRule="auto"/>
      <w:jc w:val="center"/>
    </w:pPr>
    <w:rPr>
      <w:rFonts w:ascii="黑体" w:hAnsi="黑体" w:eastAsia="黑体" w:cs="宋体"/>
      <w:sz w:val="28"/>
      <w:szCs w:val="20"/>
    </w:rPr>
  </w:style>
  <w:style w:type="paragraph" w:customStyle="1" w:styleId="299">
    <w:name w:val="表格"/>
    <w:basedOn w:val="1"/>
    <w:qFormat/>
    <w:uiPriority w:val="0"/>
    <w:pPr>
      <w:jc w:val="center"/>
      <w:textAlignment w:val="center"/>
    </w:pPr>
    <w:rPr>
      <w:rFonts w:ascii="华文细黑" w:hAnsi="华文细黑"/>
      <w:color w:val="000000"/>
      <w:kern w:val="0"/>
      <w:szCs w:val="20"/>
    </w:rPr>
  </w:style>
  <w:style w:type="paragraph" w:customStyle="1" w:styleId="30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1">
    <w:name w:val="纯文本1"/>
    <w:basedOn w:val="1"/>
    <w:qFormat/>
    <w:uiPriority w:val="0"/>
    <w:pPr>
      <w:adjustRightInd w:val="0"/>
      <w:snapToGrid w:val="0"/>
      <w:spacing w:line="300" w:lineRule="auto"/>
      <w:ind w:firstLine="200" w:firstLineChars="200"/>
    </w:pPr>
    <w:rPr>
      <w:rFonts w:ascii="宋体" w:hAnsi="Courier New" w:cs="Courier New"/>
      <w:sz w:val="24"/>
      <w:szCs w:val="21"/>
    </w:rPr>
  </w:style>
  <w:style w:type="character" w:customStyle="1" w:styleId="302">
    <w:name w:val="正文文本缩进 Char1"/>
    <w:basedOn w:val="62"/>
    <w:semiHidden/>
    <w:qFormat/>
    <w:uiPriority w:val="99"/>
    <w:rPr>
      <w:rFonts w:ascii="Times New Roman" w:hAnsi="Times New Roman" w:eastAsia="宋体" w:cs="Times New Roman"/>
      <w:szCs w:val="24"/>
    </w:rPr>
  </w:style>
  <w:style w:type="paragraph" w:customStyle="1" w:styleId="303">
    <w:name w:val="jq2编号2"/>
    <w:qFormat/>
    <w:uiPriority w:val="0"/>
    <w:pPr>
      <w:numPr>
        <w:ilvl w:val="0"/>
        <w:numId w:val="6"/>
      </w:numPr>
      <w:tabs>
        <w:tab w:val="left" w:pos="296"/>
        <w:tab w:val="clear" w:pos="432"/>
      </w:tabs>
      <w:spacing w:before="50" w:after="50" w:line="300" w:lineRule="auto"/>
    </w:pPr>
    <w:rPr>
      <w:rFonts w:ascii="Arial" w:hAnsi="Arial" w:eastAsia="宋体" w:cs="Times New Roman"/>
      <w:kern w:val="2"/>
      <w:sz w:val="21"/>
      <w:szCs w:val="24"/>
      <w:lang w:val="en-US" w:eastAsia="zh-CN" w:bidi="ar-SA"/>
    </w:rPr>
  </w:style>
  <w:style w:type="paragraph" w:customStyle="1" w:styleId="304">
    <w:name w:val="节"/>
    <w:basedOn w:val="3"/>
    <w:qFormat/>
    <w:uiPriority w:val="0"/>
    <w:pPr>
      <w:numPr>
        <w:ilvl w:val="1"/>
        <w:numId w:val="6"/>
      </w:numPr>
      <w:tabs>
        <w:tab w:val="left" w:pos="432"/>
      </w:tabs>
      <w:spacing w:line="240" w:lineRule="auto"/>
    </w:pPr>
    <w:rPr>
      <w:rFonts w:ascii="黑体"/>
      <w:b w:val="0"/>
      <w:sz w:val="28"/>
      <w:szCs w:val="28"/>
    </w:rPr>
  </w:style>
  <w:style w:type="character" w:customStyle="1" w:styleId="305">
    <w:name w:val="样式2"/>
    <w:basedOn w:val="62"/>
    <w:qFormat/>
    <w:uiPriority w:val="1"/>
    <w:rPr>
      <w:rFonts w:eastAsia="宋体"/>
      <w:b/>
      <w:color w:val="1470C0"/>
      <w:sz w:val="21"/>
    </w:rPr>
  </w:style>
  <w:style w:type="paragraph" w:styleId="30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308">
    <w:name w:val="_Style 56"/>
    <w:unhideWhenUsed/>
    <w:qFormat/>
    <w:uiPriority w:val="99"/>
    <w:rPr>
      <w:rFonts w:ascii="Times New Roman" w:hAnsi="Times New Roman" w:eastAsia="宋体" w:cs="Times New Roman"/>
      <w:lang w:val="en-US" w:eastAsia="zh-CN" w:bidi="ar-SA"/>
    </w:rPr>
  </w:style>
  <w:style w:type="character" w:customStyle="1" w:styleId="309">
    <w:name w:val="fontstyle01"/>
    <w:basedOn w:val="62"/>
    <w:qFormat/>
    <w:uiPriority w:val="0"/>
    <w:rPr>
      <w:rFonts w:hint="eastAsia" w:ascii="宋体" w:hAnsi="宋体" w:eastAsia="宋体"/>
      <w:color w:val="000000"/>
      <w:sz w:val="24"/>
      <w:szCs w:val="24"/>
    </w:rPr>
  </w:style>
  <w:style w:type="paragraph" w:customStyle="1" w:styleId="310">
    <w:name w:val="_Style 8"/>
    <w:basedOn w:val="1"/>
    <w:next w:val="48"/>
    <w:qFormat/>
    <w:uiPriority w:val="0"/>
    <w:pPr>
      <w:ind w:firstLine="643"/>
    </w:pPr>
    <w:rPr>
      <w:rFonts w:ascii="仿宋_GB2312" w:hAnsi="宋体" w:eastAsia="仿宋_GB2312"/>
      <w:sz w:val="32"/>
      <w:szCs w:val="20"/>
    </w:rPr>
  </w:style>
  <w:style w:type="paragraph" w:customStyle="1" w:styleId="311">
    <w:name w:val="正文 A"/>
    <w:qFormat/>
    <w:uiPriority w:val="0"/>
    <w:pPr>
      <w:widowControl w:val="0"/>
      <w:spacing w:line="360" w:lineRule="auto"/>
      <w:ind w:firstLine="20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12">
    <w:name w:val="无"/>
    <w:qFormat/>
    <w:uiPriority w:val="0"/>
  </w:style>
  <w:style w:type="paragraph" w:customStyle="1" w:styleId="313">
    <w:name w:val="列出段落2"/>
    <w:basedOn w:val="1"/>
    <w:qFormat/>
    <w:uiPriority w:val="34"/>
    <w:pPr>
      <w:ind w:firstLine="420" w:firstLineChars="200"/>
    </w:pPr>
  </w:style>
  <w:style w:type="character" w:customStyle="1" w:styleId="314">
    <w:name w:val="样式 no + 五号 居中 首行缩进:  0 厘米1 Char Char"/>
    <w:basedOn w:val="315"/>
    <w:link w:val="317"/>
    <w:qFormat/>
    <w:uiPriority w:val="0"/>
    <w:rPr>
      <w:rFonts w:ascii="宋体" w:hAnsi="宋体" w:cs="宋体"/>
      <w:snapToGrid w:val="0"/>
      <w:spacing w:val="10"/>
      <w:kern w:val="24"/>
      <w:sz w:val="21"/>
      <w:szCs w:val="21"/>
      <w:lang w:val="en-CA"/>
    </w:rPr>
  </w:style>
  <w:style w:type="character" w:customStyle="1" w:styleId="315">
    <w:name w:val="no Char1"/>
    <w:basedOn w:val="62"/>
    <w:link w:val="316"/>
    <w:qFormat/>
    <w:uiPriority w:val="0"/>
    <w:rPr>
      <w:rFonts w:ascii="宋体" w:hAnsi="宋体"/>
      <w:bCs/>
      <w:spacing w:val="10"/>
      <w:kern w:val="24"/>
      <w:sz w:val="24"/>
      <w:szCs w:val="24"/>
    </w:rPr>
  </w:style>
  <w:style w:type="paragraph" w:customStyle="1" w:styleId="316">
    <w:name w:val="no"/>
    <w:basedOn w:val="25"/>
    <w:link w:val="315"/>
    <w:qFormat/>
    <w:uiPriority w:val="0"/>
    <w:pPr>
      <w:adjustRightInd w:val="0"/>
      <w:snapToGrid w:val="0"/>
      <w:spacing w:after="0" w:line="360" w:lineRule="auto"/>
    </w:pPr>
    <w:rPr>
      <w:rFonts w:ascii="宋体" w:hAnsi="宋体"/>
      <w:bCs/>
      <w:spacing w:val="10"/>
      <w:kern w:val="24"/>
      <w:sz w:val="24"/>
    </w:rPr>
  </w:style>
  <w:style w:type="paragraph" w:customStyle="1" w:styleId="317">
    <w:name w:val="样式 no + 五号 居中 首行缩进:  0 厘米1"/>
    <w:basedOn w:val="316"/>
    <w:link w:val="314"/>
    <w:qFormat/>
    <w:uiPriority w:val="0"/>
    <w:pPr>
      <w:adjustRightInd/>
      <w:spacing w:line="240" w:lineRule="auto"/>
      <w:ind w:right="105" w:rightChars="50"/>
      <w:jc w:val="center"/>
    </w:pPr>
    <w:rPr>
      <w:rFonts w:cs="宋体"/>
      <w:snapToGrid w:val="0"/>
      <w:sz w:val="21"/>
      <w:szCs w:val="21"/>
      <w:lang w:val="en-CA"/>
    </w:rPr>
  </w:style>
  <w:style w:type="character" w:customStyle="1" w:styleId="318">
    <w:name w:val="Chapter Title Char"/>
    <w:basedOn w:val="62"/>
    <w:qFormat/>
    <w:uiPriority w:val="0"/>
    <w:rPr>
      <w:rFonts w:ascii="Arial" w:hAnsi="Arial" w:eastAsia="黑体"/>
      <w:b/>
      <w:sz w:val="24"/>
      <w:lang w:val="en-US" w:eastAsia="zh-CN" w:bidi="ar-SA"/>
    </w:rPr>
  </w:style>
  <w:style w:type="character" w:customStyle="1" w:styleId="319">
    <w:name w:val="题注 Char"/>
    <w:basedOn w:val="62"/>
    <w:link w:val="18"/>
    <w:qFormat/>
    <w:uiPriority w:val="0"/>
    <w:rPr>
      <w:kern w:val="2"/>
      <w:sz w:val="24"/>
      <w:szCs w:val="24"/>
    </w:rPr>
  </w:style>
  <w:style w:type="character" w:customStyle="1" w:styleId="320">
    <w:name w:val="lefter2"/>
    <w:basedOn w:val="62"/>
    <w:qFormat/>
    <w:uiPriority w:val="0"/>
  </w:style>
  <w:style w:type="character" w:customStyle="1" w:styleId="321">
    <w:name w:val="表正文 Char"/>
    <w:basedOn w:val="62"/>
    <w:qFormat/>
    <w:uiPriority w:val="0"/>
    <w:rPr>
      <w:rFonts w:eastAsia="宋体"/>
      <w:kern w:val="2"/>
      <w:sz w:val="24"/>
      <w:lang w:val="en-US" w:eastAsia="zh-CN" w:bidi="ar-SA"/>
    </w:rPr>
  </w:style>
  <w:style w:type="character" w:customStyle="1" w:styleId="322">
    <w:name w:val="报告正文 Char1"/>
    <w:basedOn w:val="62"/>
    <w:qFormat/>
    <w:uiPriority w:val="0"/>
    <w:rPr>
      <w:rFonts w:ascii="宋体" w:eastAsia="宋体"/>
      <w:kern w:val="2"/>
      <w:sz w:val="28"/>
      <w:lang w:val="en-US" w:eastAsia="zh-CN" w:bidi="ar-SA"/>
    </w:rPr>
  </w:style>
  <w:style w:type="paragraph" w:customStyle="1" w:styleId="323">
    <w:name w:val="_Style 300"/>
    <w:qFormat/>
    <w:uiPriority w:val="0"/>
    <w:rPr>
      <w:rFonts w:ascii="Times New Roman" w:hAnsi="Times New Roman" w:eastAsia="宋体" w:cs="Times New Roman"/>
      <w:lang w:val="en-US" w:eastAsia="zh-CN" w:bidi="ar-SA"/>
    </w:rPr>
  </w:style>
  <w:style w:type="character" w:customStyle="1" w:styleId="324">
    <w:name w:val="表内容 Char Char"/>
    <w:basedOn w:val="62"/>
    <w:link w:val="325"/>
    <w:qFormat/>
    <w:uiPriority w:val="0"/>
    <w:rPr>
      <w:rFonts w:eastAsia="楷体_GB2312"/>
      <w:sz w:val="24"/>
    </w:rPr>
  </w:style>
  <w:style w:type="paragraph" w:customStyle="1" w:styleId="325">
    <w:name w:val="表内容"/>
    <w:link w:val="324"/>
    <w:qFormat/>
    <w:uiPriority w:val="0"/>
    <w:pPr>
      <w:widowControl w:val="0"/>
      <w:adjustRightInd w:val="0"/>
      <w:snapToGrid w:val="0"/>
      <w:textAlignment w:val="baseline"/>
    </w:pPr>
    <w:rPr>
      <w:rFonts w:ascii="Times New Roman" w:hAnsi="Times New Roman" w:eastAsia="楷体_GB2312" w:cs="Times New Roman"/>
      <w:sz w:val="24"/>
      <w:lang w:val="en-US" w:eastAsia="zh-CN" w:bidi="ar-SA"/>
    </w:rPr>
  </w:style>
  <w:style w:type="character" w:customStyle="1" w:styleId="326">
    <w:name w:val="righter6"/>
    <w:basedOn w:val="62"/>
    <w:qFormat/>
    <w:uiPriority w:val="0"/>
  </w:style>
  <w:style w:type="character" w:customStyle="1" w:styleId="327">
    <w:name w:val="textcontents"/>
    <w:basedOn w:val="62"/>
    <w:qFormat/>
    <w:uiPriority w:val="0"/>
  </w:style>
  <w:style w:type="character" w:customStyle="1" w:styleId="328">
    <w:name w:val="样式 正文文本 2 + 段前: 0.5 行 段后: 0.5 行 Char Char"/>
    <w:basedOn w:val="62"/>
    <w:link w:val="329"/>
    <w:qFormat/>
    <w:uiPriority w:val="0"/>
    <w:rPr>
      <w:rFonts w:ascii="Arial" w:hAnsi="Arial" w:cs="宋体"/>
      <w:kern w:val="2"/>
      <w:sz w:val="24"/>
    </w:rPr>
  </w:style>
  <w:style w:type="paragraph" w:customStyle="1" w:styleId="329">
    <w:name w:val="样式 正文文本 2 + 段前: 0.5 行 段后: 0.5 行"/>
    <w:basedOn w:val="1"/>
    <w:link w:val="328"/>
    <w:qFormat/>
    <w:uiPriority w:val="0"/>
    <w:pPr>
      <w:numPr>
        <w:ilvl w:val="0"/>
        <w:numId w:val="5"/>
      </w:numPr>
      <w:tabs>
        <w:tab w:val="left" w:pos="894"/>
      </w:tabs>
      <w:adjustRightInd w:val="0"/>
      <w:spacing w:line="360" w:lineRule="auto"/>
      <w:jc w:val="left"/>
    </w:pPr>
    <w:rPr>
      <w:rFonts w:ascii="Arial" w:hAnsi="Arial" w:cs="宋体"/>
      <w:sz w:val="24"/>
      <w:szCs w:val="20"/>
    </w:rPr>
  </w:style>
  <w:style w:type="character" w:customStyle="1" w:styleId="330">
    <w:name w:val="no Char Char"/>
    <w:basedOn w:val="62"/>
    <w:qFormat/>
    <w:uiPriority w:val="0"/>
    <w:rPr>
      <w:rFonts w:ascii="宋体" w:hAnsi="宋体" w:eastAsia="宋体"/>
      <w:b/>
      <w:bCs/>
      <w:spacing w:val="10"/>
      <w:kern w:val="24"/>
      <w:sz w:val="24"/>
      <w:szCs w:val="24"/>
      <w:lang w:val="en-US" w:eastAsia="zh-CN" w:bidi="ar-SA"/>
    </w:rPr>
  </w:style>
  <w:style w:type="character" w:customStyle="1" w:styleId="331">
    <w:name w:val="正文A Char Char"/>
    <w:basedOn w:val="62"/>
    <w:link w:val="332"/>
    <w:qFormat/>
    <w:uiPriority w:val="0"/>
    <w:rPr>
      <w:snapToGrid w:val="0"/>
      <w:sz w:val="24"/>
      <w:szCs w:val="24"/>
    </w:rPr>
  </w:style>
  <w:style w:type="paragraph" w:customStyle="1" w:styleId="332">
    <w:name w:val="正文A"/>
    <w:basedOn w:val="1"/>
    <w:link w:val="331"/>
    <w:qFormat/>
    <w:uiPriority w:val="0"/>
    <w:pPr>
      <w:adjustRightInd w:val="0"/>
      <w:snapToGrid w:val="0"/>
      <w:spacing w:before="100" w:line="300" w:lineRule="auto"/>
      <w:ind w:firstLine="424" w:firstLineChars="200"/>
      <w:jc w:val="left"/>
    </w:pPr>
    <w:rPr>
      <w:snapToGrid w:val="0"/>
      <w:kern w:val="0"/>
      <w:sz w:val="24"/>
    </w:rPr>
  </w:style>
  <w:style w:type="character" w:customStyle="1" w:styleId="333">
    <w:name w:val="pl正文 Char Char"/>
    <w:basedOn w:val="62"/>
    <w:link w:val="334"/>
    <w:qFormat/>
    <w:uiPriority w:val="0"/>
    <w:rPr>
      <w:rFonts w:ascii="宋体" w:hAnsi="宋体"/>
      <w:color w:val="000000"/>
      <w:spacing w:val="6"/>
      <w:kern w:val="2"/>
      <w:sz w:val="28"/>
      <w:szCs w:val="24"/>
    </w:rPr>
  </w:style>
  <w:style w:type="paragraph" w:customStyle="1" w:styleId="334">
    <w:name w:val="pl正文"/>
    <w:basedOn w:val="1"/>
    <w:link w:val="333"/>
    <w:qFormat/>
    <w:uiPriority w:val="0"/>
    <w:pPr>
      <w:snapToGrid w:val="0"/>
      <w:spacing w:line="360" w:lineRule="auto"/>
      <w:ind w:firstLine="492"/>
    </w:pPr>
    <w:rPr>
      <w:rFonts w:ascii="宋体" w:hAnsi="宋体"/>
      <w:color w:val="000000"/>
      <w:spacing w:val="6"/>
      <w:sz w:val="28"/>
    </w:rPr>
  </w:style>
  <w:style w:type="character" w:customStyle="1" w:styleId="335">
    <w:name w:val="样式 正文文本 + 段前: 0.5 行 段后: 0.5 行 Char Char"/>
    <w:basedOn w:val="62"/>
    <w:link w:val="336"/>
    <w:qFormat/>
    <w:uiPriority w:val="0"/>
    <w:rPr>
      <w:rFonts w:ascii="Arial" w:hAnsi="Arial" w:cs="宋体"/>
      <w:kern w:val="2"/>
      <w:sz w:val="24"/>
    </w:rPr>
  </w:style>
  <w:style w:type="paragraph" w:customStyle="1" w:styleId="336">
    <w:name w:val="样式 正文文本 + 段前: 0.5 行 段后: 0.5 行"/>
    <w:basedOn w:val="1"/>
    <w:link w:val="335"/>
    <w:qFormat/>
    <w:uiPriority w:val="0"/>
    <w:pPr>
      <w:numPr>
        <w:ilvl w:val="0"/>
        <w:numId w:val="7"/>
      </w:numPr>
      <w:tabs>
        <w:tab w:val="left" w:pos="454"/>
      </w:tabs>
      <w:spacing w:line="360" w:lineRule="auto"/>
      <w:jc w:val="left"/>
    </w:pPr>
    <w:rPr>
      <w:rFonts w:ascii="Arial" w:hAnsi="Arial" w:cs="宋体"/>
      <w:sz w:val="24"/>
      <w:szCs w:val="20"/>
    </w:rPr>
  </w:style>
  <w:style w:type="character" w:customStyle="1" w:styleId="337">
    <w:name w:val="正文（首行不缩进两字） Char1"/>
    <w:basedOn w:val="62"/>
    <w:qFormat/>
    <w:uiPriority w:val="0"/>
    <w:rPr>
      <w:rFonts w:ascii="宋体" w:hAnsi="宋体" w:eastAsia="宋体"/>
      <w:b/>
      <w:kern w:val="2"/>
      <w:sz w:val="21"/>
      <w:szCs w:val="21"/>
      <w:lang w:val="en-US" w:eastAsia="zh-CN" w:bidi="ar-SA"/>
    </w:rPr>
  </w:style>
  <w:style w:type="character" w:customStyle="1" w:styleId="338">
    <w:name w:val="样式1 Char Char"/>
    <w:basedOn w:val="62"/>
    <w:link w:val="339"/>
    <w:qFormat/>
    <w:uiPriority w:val="0"/>
    <w:rPr>
      <w:kern w:val="2"/>
      <w:sz w:val="24"/>
      <w:szCs w:val="24"/>
    </w:rPr>
  </w:style>
  <w:style w:type="paragraph" w:customStyle="1" w:styleId="339">
    <w:name w:val="样式1"/>
    <w:basedOn w:val="32"/>
    <w:link w:val="338"/>
    <w:qFormat/>
    <w:uiPriority w:val="0"/>
    <w:pPr>
      <w:tabs>
        <w:tab w:val="left" w:pos="2520"/>
        <w:tab w:val="right" w:leader="dot" w:pos="9345"/>
      </w:tabs>
      <w:spacing w:line="360" w:lineRule="auto"/>
      <w:ind w:left="1440"/>
      <w:jc w:val="both"/>
    </w:pPr>
    <w:rPr>
      <w:i w:val="0"/>
      <w:iCs w:val="0"/>
      <w:sz w:val="24"/>
      <w:szCs w:val="24"/>
    </w:rPr>
  </w:style>
  <w:style w:type="character" w:customStyle="1" w:styleId="340">
    <w:name w:val="题注小标题 Char Char"/>
    <w:basedOn w:val="62"/>
    <w:link w:val="341"/>
    <w:qFormat/>
    <w:uiPriority w:val="0"/>
    <w:rPr>
      <w:rFonts w:ascii="宋体" w:hAnsi="宋体" w:cs="宋体"/>
      <w:b/>
      <w:color w:val="000000"/>
      <w:sz w:val="24"/>
      <w:szCs w:val="24"/>
      <w:lang w:val="sq-AL"/>
    </w:rPr>
  </w:style>
  <w:style w:type="paragraph" w:customStyle="1" w:styleId="341">
    <w:name w:val="题注小标题"/>
    <w:basedOn w:val="1"/>
    <w:link w:val="340"/>
    <w:qFormat/>
    <w:uiPriority w:val="0"/>
    <w:pPr>
      <w:spacing w:line="360" w:lineRule="auto"/>
      <w:ind w:left="105" w:right="105"/>
      <w:jc w:val="center"/>
    </w:pPr>
    <w:rPr>
      <w:rFonts w:ascii="宋体" w:hAnsi="宋体" w:cs="宋体"/>
      <w:b/>
      <w:color w:val="000000"/>
      <w:kern w:val="0"/>
      <w:sz w:val="24"/>
      <w:lang w:val="sq-AL"/>
    </w:rPr>
  </w:style>
  <w:style w:type="character" w:customStyle="1" w:styleId="342">
    <w:name w:val="Section Char"/>
    <w:basedOn w:val="62"/>
    <w:qFormat/>
    <w:uiPriority w:val="0"/>
    <w:rPr>
      <w:rFonts w:eastAsia="宋体"/>
      <w:bCs/>
      <w:kern w:val="2"/>
      <w:sz w:val="24"/>
      <w:szCs w:val="24"/>
      <w:lang w:val="en-US" w:eastAsia="zh-CN" w:bidi="ar-SA"/>
    </w:rPr>
  </w:style>
  <w:style w:type="character" w:customStyle="1" w:styleId="343">
    <w:name w:val="表内容 Char Char Char"/>
    <w:basedOn w:val="62"/>
    <w:qFormat/>
    <w:uiPriority w:val="0"/>
    <w:rPr>
      <w:rFonts w:eastAsia="楷体_GB2312"/>
      <w:sz w:val="24"/>
      <w:lang w:val="en-US" w:eastAsia="zh-CN" w:bidi="ar-SA"/>
    </w:rPr>
  </w:style>
  <w:style w:type="character" w:customStyle="1" w:styleId="344">
    <w:name w:val="表头 Char Char"/>
    <w:basedOn w:val="62"/>
    <w:link w:val="345"/>
    <w:qFormat/>
    <w:uiPriority w:val="0"/>
    <w:rPr>
      <w:rFonts w:ascii="宋体" w:hAnsi="宋体"/>
      <w:color w:val="000000"/>
      <w:spacing w:val="20"/>
      <w:kern w:val="2"/>
      <w:sz w:val="24"/>
    </w:rPr>
  </w:style>
  <w:style w:type="paragraph" w:customStyle="1" w:styleId="345">
    <w:name w:val="表头"/>
    <w:basedOn w:val="1"/>
    <w:link w:val="344"/>
    <w:qFormat/>
    <w:uiPriority w:val="0"/>
    <w:pPr>
      <w:jc w:val="center"/>
    </w:pPr>
    <w:rPr>
      <w:rFonts w:ascii="宋体" w:hAnsi="宋体"/>
      <w:color w:val="000000"/>
      <w:spacing w:val="20"/>
      <w:sz w:val="24"/>
      <w:szCs w:val="20"/>
    </w:rPr>
  </w:style>
  <w:style w:type="character" w:customStyle="1" w:styleId="346">
    <w:name w:val="正文（首行缩进两字） Char Char Char Char Char Char Char Char Char Char Char Char Char Char Char Char Char Char Char Char Char"/>
    <w:basedOn w:val="62"/>
    <w:qFormat/>
    <w:uiPriority w:val="0"/>
    <w:rPr>
      <w:kern w:val="2"/>
      <w:sz w:val="24"/>
    </w:rPr>
  </w:style>
  <w:style w:type="character" w:customStyle="1" w:styleId="347">
    <w:name w:val="xxq Char Char"/>
    <w:basedOn w:val="62"/>
    <w:link w:val="348"/>
    <w:qFormat/>
    <w:uiPriority w:val="0"/>
    <w:rPr>
      <w:rFonts w:hAnsi="宋体"/>
      <w:snapToGrid w:val="0"/>
      <w:sz w:val="24"/>
      <w:szCs w:val="24"/>
    </w:rPr>
  </w:style>
  <w:style w:type="paragraph" w:customStyle="1" w:styleId="348">
    <w:name w:val="xxq"/>
    <w:basedOn w:val="5"/>
    <w:link w:val="347"/>
    <w:qFormat/>
    <w:uiPriority w:val="0"/>
    <w:pPr>
      <w:adjustRightInd w:val="0"/>
      <w:snapToGrid w:val="0"/>
      <w:spacing w:beforeLines="50" w:line="360" w:lineRule="auto"/>
      <w:ind w:firstLine="424"/>
    </w:pPr>
    <w:rPr>
      <w:rFonts w:hAnsi="宋体"/>
      <w:snapToGrid w:val="0"/>
      <w:kern w:val="0"/>
      <w:sz w:val="24"/>
    </w:rPr>
  </w:style>
  <w:style w:type="character" w:customStyle="1" w:styleId="349">
    <w:name w:val="样式 标题 2Chapter TitleSeHead wsa2ITTHEADER2Heading 2 Char2He...1 Char Char"/>
    <w:basedOn w:val="159"/>
    <w:link w:val="350"/>
    <w:qFormat/>
    <w:uiPriority w:val="0"/>
    <w:rPr>
      <w:rFonts w:ascii="黑体" w:hAnsi="宋体" w:eastAsia="黑体" w:cs="宋体"/>
      <w:snapToGrid w:val="0"/>
      <w:kern w:val="2"/>
      <w:sz w:val="24"/>
      <w:szCs w:val="24"/>
      <w:lang w:val="sq-AL"/>
    </w:rPr>
  </w:style>
  <w:style w:type="paragraph" w:customStyle="1" w:styleId="350">
    <w:name w:val="样式 标题 2Chapter TitleSeHead wsa2ITTHEADER2Heading 2 Char2He...1"/>
    <w:basedOn w:val="3"/>
    <w:link w:val="349"/>
    <w:qFormat/>
    <w:uiPriority w:val="0"/>
    <w:pPr>
      <w:keepLines w:val="0"/>
      <w:tabs>
        <w:tab w:val="left" w:pos="0"/>
      </w:tabs>
      <w:adjustRightInd w:val="0"/>
      <w:snapToGrid w:val="0"/>
      <w:spacing w:beforeLines="50" w:afterLines="50" w:line="360" w:lineRule="auto"/>
      <w:ind w:left="120" w:leftChars="50" w:right="120" w:rightChars="50"/>
    </w:pPr>
    <w:rPr>
      <w:rFonts w:ascii="黑体" w:hAnsi="宋体" w:cs="宋体"/>
      <w:snapToGrid w:val="0"/>
      <w:kern w:val="0"/>
      <w:sz w:val="24"/>
      <w:szCs w:val="24"/>
      <w:lang w:val="sq-AL"/>
    </w:rPr>
  </w:style>
  <w:style w:type="character" w:customStyle="1" w:styleId="351">
    <w:name w:val="样式 样式 正文文字 + 右侧:  0.5 字符 + 首行缩进:  2 字符 右侧:  0.5 字符 Char Char Char Char"/>
    <w:basedOn w:val="62"/>
    <w:qFormat/>
    <w:uiPriority w:val="0"/>
    <w:rPr>
      <w:rFonts w:eastAsia="宋体"/>
      <w:kern w:val="2"/>
      <w:sz w:val="24"/>
      <w:szCs w:val="24"/>
      <w:lang w:val="en-US" w:eastAsia="zh-CN" w:bidi="ar-SA"/>
    </w:rPr>
  </w:style>
  <w:style w:type="character" w:customStyle="1" w:styleId="352">
    <w:name w:val="样式 样式 样式 正文缩进正（首行不缩进两字） + 首行缩进:  2 字符 + 红色 + 黑色 首行缩进:  2 字符 Char Char"/>
    <w:basedOn w:val="62"/>
    <w:link w:val="353"/>
    <w:qFormat/>
    <w:uiPriority w:val="0"/>
    <w:rPr>
      <w:rFonts w:ascii="宋体" w:cs="宋体"/>
      <w:spacing w:val="6"/>
      <w:sz w:val="24"/>
      <w:szCs w:val="24"/>
    </w:rPr>
  </w:style>
  <w:style w:type="paragraph" w:customStyle="1" w:styleId="353">
    <w:name w:val="样式 样式 样式 正文缩进正（首行不缩进两字） + 首行缩进:  2 字符 + 红色 + 黑色 首行缩进:  2 字符"/>
    <w:basedOn w:val="1"/>
    <w:link w:val="352"/>
    <w:qFormat/>
    <w:uiPriority w:val="0"/>
    <w:pPr>
      <w:adjustRightInd w:val="0"/>
      <w:snapToGrid w:val="0"/>
      <w:spacing w:line="360" w:lineRule="auto"/>
      <w:ind w:firstLine="200" w:firstLineChars="200"/>
      <w:jc w:val="left"/>
    </w:pPr>
    <w:rPr>
      <w:rFonts w:ascii="宋体" w:cs="宋体"/>
      <w:spacing w:val="6"/>
      <w:kern w:val="0"/>
      <w:sz w:val="24"/>
    </w:rPr>
  </w:style>
  <w:style w:type="character" w:customStyle="1" w:styleId="354">
    <w:name w:val="样式 正文文本 Char Char"/>
    <w:basedOn w:val="62"/>
    <w:link w:val="355"/>
    <w:qFormat/>
    <w:uiPriority w:val="0"/>
    <w:rPr>
      <w:rFonts w:ascii="Arial" w:hAnsi="Arial"/>
      <w:kern w:val="2"/>
      <w:sz w:val="24"/>
      <w:szCs w:val="24"/>
    </w:rPr>
  </w:style>
  <w:style w:type="paragraph" w:customStyle="1" w:styleId="355">
    <w:name w:val="样式 正文文本"/>
    <w:basedOn w:val="58"/>
    <w:link w:val="354"/>
    <w:qFormat/>
    <w:uiPriority w:val="0"/>
    <w:pPr>
      <w:keepNext w:val="0"/>
      <w:tabs>
        <w:tab w:val="left" w:pos="432"/>
        <w:tab w:val="left" w:pos="873"/>
        <w:tab w:val="clear" w:pos="628"/>
        <w:tab w:val="clear" w:pos="1727"/>
        <w:tab w:val="clear" w:pos="1884"/>
        <w:tab w:val="clear" w:pos="2660"/>
        <w:tab w:val="clear" w:pos="4325"/>
      </w:tabs>
      <w:adjustRightInd/>
      <w:snapToGrid/>
      <w:ind w:left="432" w:firstLine="0" w:firstLineChars="0"/>
      <w:jc w:val="left"/>
    </w:pPr>
    <w:rPr>
      <w:rFonts w:ascii="Arial" w:hAnsi="Arial"/>
      <w:color w:val="auto"/>
      <w:kern w:val="2"/>
      <w:sz w:val="24"/>
      <w:szCs w:val="24"/>
    </w:rPr>
  </w:style>
  <w:style w:type="character" w:customStyle="1" w:styleId="356">
    <w:name w:val="样式2 Char Char"/>
    <w:basedOn w:val="338"/>
    <w:qFormat/>
    <w:uiPriority w:val="0"/>
    <w:rPr>
      <w:kern w:val="2"/>
      <w:sz w:val="24"/>
      <w:szCs w:val="24"/>
      <w:lang w:val="en-US" w:eastAsia="zh-CN"/>
    </w:rPr>
  </w:style>
  <w:style w:type="character" w:customStyle="1" w:styleId="357">
    <w:name w:val="样式 正文缩进正文（首行不缩进两字） + 首行缩进:  2 字符 Char Char"/>
    <w:basedOn w:val="358"/>
    <w:link w:val="359"/>
    <w:qFormat/>
    <w:uiPriority w:val="0"/>
    <w:rPr>
      <w:rFonts w:ascii="宋体" w:cs="宋体"/>
      <w:color w:val="000000"/>
      <w:spacing w:val="6"/>
      <w:kern w:val="2"/>
      <w:sz w:val="24"/>
      <w:szCs w:val="24"/>
    </w:rPr>
  </w:style>
  <w:style w:type="character" w:customStyle="1" w:styleId="358">
    <w:name w:val="正文缩进 Char"/>
    <w:basedOn w:val="62"/>
    <w:link w:val="5"/>
    <w:qFormat/>
    <w:uiPriority w:val="0"/>
    <w:rPr>
      <w:kern w:val="2"/>
      <w:sz w:val="21"/>
      <w:szCs w:val="24"/>
    </w:rPr>
  </w:style>
  <w:style w:type="paragraph" w:customStyle="1" w:styleId="359">
    <w:name w:val="样式 正文缩进正文（首行不缩进两字） + 首行缩进:  2 字符"/>
    <w:basedOn w:val="5"/>
    <w:link w:val="357"/>
    <w:qFormat/>
    <w:uiPriority w:val="0"/>
    <w:pPr>
      <w:adjustRightInd w:val="0"/>
      <w:snapToGrid w:val="0"/>
      <w:spacing w:line="360" w:lineRule="auto"/>
      <w:ind w:firstLine="200"/>
      <w:jc w:val="left"/>
    </w:pPr>
    <w:rPr>
      <w:rFonts w:ascii="宋体" w:cs="宋体"/>
      <w:color w:val="000000"/>
      <w:spacing w:val="6"/>
      <w:sz w:val="24"/>
      <w:szCs w:val="20"/>
    </w:rPr>
  </w:style>
  <w:style w:type="paragraph" w:customStyle="1" w:styleId="36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61">
    <w:name w:val="样式 标题 1 + Arial 右侧:  0 厘米 段前: 0 磅 段后: 0 磅"/>
    <w:basedOn w:val="2"/>
    <w:qFormat/>
    <w:uiPriority w:val="0"/>
    <w:pPr>
      <w:keepNext w:val="0"/>
      <w:keepLines w:val="0"/>
      <w:adjustRightInd w:val="0"/>
      <w:snapToGrid w:val="0"/>
      <w:spacing w:beforeLines="50" w:afterLines="50" w:line="360" w:lineRule="auto"/>
      <w:jc w:val="center"/>
      <w:textAlignment w:val="baseline"/>
    </w:pPr>
    <w:rPr>
      <w:rFonts w:ascii="Arial" w:hAnsi="Arial" w:eastAsia="黑体" w:cs="宋体"/>
      <w:kern w:val="24"/>
      <w:sz w:val="24"/>
      <w:szCs w:val="24"/>
      <w:lang w:val="sq-AL"/>
    </w:rPr>
  </w:style>
  <w:style w:type="paragraph" w:customStyle="1" w:styleId="362">
    <w:name w:val="样式 正文文本 3 + 段前: 0.5 行 段后: 0.5 行"/>
    <w:basedOn w:val="1"/>
    <w:qFormat/>
    <w:uiPriority w:val="0"/>
    <w:pPr>
      <w:numPr>
        <w:ilvl w:val="0"/>
        <w:numId w:val="1"/>
      </w:numPr>
      <w:tabs>
        <w:tab w:val="left" w:pos="597"/>
      </w:tabs>
      <w:spacing w:line="360" w:lineRule="auto"/>
      <w:jc w:val="left"/>
    </w:pPr>
    <w:rPr>
      <w:rFonts w:ascii="Arial" w:hAnsi="Arial" w:cs="宋体"/>
      <w:sz w:val="24"/>
      <w:szCs w:val="20"/>
    </w:rPr>
  </w:style>
  <w:style w:type="paragraph" w:customStyle="1" w:styleId="363">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364">
    <w:name w:val="样式3"/>
    <w:basedOn w:val="2"/>
    <w:qFormat/>
    <w:uiPriority w:val="0"/>
    <w:pPr>
      <w:keepNext w:val="0"/>
      <w:tabs>
        <w:tab w:val="left" w:pos="432"/>
      </w:tabs>
      <w:adjustRightInd w:val="0"/>
      <w:spacing w:before="200" w:after="190" w:line="346" w:lineRule="auto"/>
      <w:ind w:left="432" w:hanging="432"/>
      <w:jc w:val="center"/>
      <w:textAlignment w:val="baseline"/>
    </w:pPr>
    <w:rPr>
      <w:rFonts w:ascii="黑体" w:eastAsia="黑体"/>
      <w:bCs w:val="0"/>
      <w:spacing w:val="20"/>
      <w:kern w:val="2"/>
      <w:sz w:val="24"/>
      <w:szCs w:val="20"/>
    </w:rPr>
  </w:style>
  <w:style w:type="paragraph" w:customStyle="1" w:styleId="3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366">
    <w:name w:val="样式 正文"/>
    <w:basedOn w:val="367"/>
    <w:qFormat/>
    <w:uiPriority w:val="0"/>
    <w:pPr>
      <w:ind w:firstLine="480"/>
    </w:pPr>
  </w:style>
  <w:style w:type="paragraph" w:customStyle="1" w:styleId="367">
    <w:name w:val="样式 正文 +1"/>
    <w:basedOn w:val="1"/>
    <w:qFormat/>
    <w:uiPriority w:val="0"/>
    <w:pPr>
      <w:adjustRightInd w:val="0"/>
      <w:snapToGrid w:val="0"/>
      <w:spacing w:line="360" w:lineRule="auto"/>
      <w:ind w:firstLine="200" w:firstLineChars="200"/>
    </w:pPr>
    <w:rPr>
      <w:rFonts w:ascii="宋体" w:hAnsi="宋体" w:cs="宋体"/>
      <w:snapToGrid w:val="0"/>
      <w:spacing w:val="20"/>
      <w:kern w:val="0"/>
      <w:sz w:val="24"/>
      <w:szCs w:val="20"/>
    </w:rPr>
  </w:style>
  <w:style w:type="paragraph" w:customStyle="1" w:styleId="368">
    <w:name w:val="第一章"/>
    <w:basedOn w:val="1"/>
    <w:next w:val="59"/>
    <w:qFormat/>
    <w:uiPriority w:val="0"/>
    <w:pPr>
      <w:jc w:val="center"/>
      <w:outlineLvl w:val="0"/>
    </w:pPr>
    <w:rPr>
      <w:b/>
      <w:sz w:val="32"/>
      <w:szCs w:val="32"/>
    </w:rPr>
  </w:style>
  <w:style w:type="paragraph" w:customStyle="1" w:styleId="369">
    <w:name w:val="能力-标题5"/>
    <w:basedOn w:val="370"/>
    <w:next w:val="371"/>
    <w:qFormat/>
    <w:uiPriority w:val="0"/>
    <w:pPr>
      <w:numPr>
        <w:ilvl w:val="4"/>
      </w:numPr>
      <w:tabs>
        <w:tab w:val="left" w:pos="0"/>
      </w:tabs>
      <w:outlineLvl w:val="4"/>
    </w:pPr>
  </w:style>
  <w:style w:type="paragraph" w:customStyle="1" w:styleId="370">
    <w:name w:val="能力-标题4"/>
    <w:next w:val="371"/>
    <w:qFormat/>
    <w:uiPriority w:val="0"/>
    <w:pPr>
      <w:numPr>
        <w:ilvl w:val="3"/>
        <w:numId w:val="8"/>
      </w:numPr>
      <w:spacing w:line="360" w:lineRule="auto"/>
      <w:outlineLvl w:val="3"/>
    </w:pPr>
    <w:rPr>
      <w:rFonts w:ascii="Times New Roman" w:hAnsi="Times New Roman" w:eastAsia="宋体" w:cs="Times New Roman"/>
      <w:b/>
      <w:kern w:val="2"/>
      <w:sz w:val="24"/>
      <w:szCs w:val="22"/>
      <w:lang w:val="en-US" w:eastAsia="zh-CN" w:bidi="ar-SA"/>
    </w:rPr>
  </w:style>
  <w:style w:type="paragraph" w:customStyle="1" w:styleId="371">
    <w:name w:val="能力-正文"/>
    <w:basedOn w:val="1"/>
    <w:qFormat/>
    <w:uiPriority w:val="0"/>
    <w:pPr>
      <w:spacing w:line="360" w:lineRule="auto"/>
      <w:ind w:firstLine="200" w:firstLineChars="200"/>
    </w:pPr>
    <w:rPr>
      <w:sz w:val="24"/>
      <w:szCs w:val="22"/>
    </w:rPr>
  </w:style>
  <w:style w:type="paragraph" w:customStyle="1" w:styleId="372">
    <w:name w:val="样式 正文缩进 + 左1"/>
    <w:basedOn w:val="5"/>
    <w:qFormat/>
    <w:uiPriority w:val="0"/>
    <w:pPr>
      <w:spacing w:line="360" w:lineRule="auto"/>
      <w:ind w:right="120" w:rightChars="50" w:firstLine="0" w:firstLineChars="0"/>
      <w:jc w:val="left"/>
    </w:pPr>
    <w:rPr>
      <w:rFonts w:cs="宋体"/>
      <w:sz w:val="24"/>
      <w:szCs w:val="20"/>
    </w:rPr>
  </w:style>
  <w:style w:type="paragraph" w:customStyle="1" w:styleId="373">
    <w:name w:val="表头1"/>
    <w:basedOn w:val="1"/>
    <w:qFormat/>
    <w:uiPriority w:val="0"/>
    <w:pPr>
      <w:adjustRightInd w:val="0"/>
      <w:spacing w:line="360" w:lineRule="auto"/>
      <w:ind w:left="480" w:hanging="480" w:hangingChars="200"/>
      <w:jc w:val="center"/>
      <w:textAlignment w:val="baseline"/>
    </w:pPr>
    <w:rPr>
      <w:kern w:val="0"/>
      <w:sz w:val="24"/>
      <w:szCs w:val="20"/>
    </w:rPr>
  </w:style>
  <w:style w:type="paragraph" w:customStyle="1" w:styleId="374">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4"/>
    </w:rPr>
  </w:style>
  <w:style w:type="paragraph" w:customStyle="1" w:styleId="375">
    <w:name w:val="样式 表格"/>
    <w:basedOn w:val="1"/>
    <w:qFormat/>
    <w:uiPriority w:val="0"/>
    <w:pPr>
      <w:tabs>
        <w:tab w:val="left" w:pos="600"/>
      </w:tabs>
      <w:kinsoku w:val="0"/>
      <w:wordWrap w:val="0"/>
      <w:adjustRightInd w:val="0"/>
      <w:snapToGrid w:val="0"/>
      <w:jc w:val="center"/>
      <w:textAlignment w:val="baseline"/>
    </w:pPr>
    <w:rPr>
      <w:rFonts w:ascii="楷体" w:cs="宋体"/>
      <w:kern w:val="0"/>
      <w:sz w:val="24"/>
      <w:szCs w:val="20"/>
    </w:rPr>
  </w:style>
  <w:style w:type="paragraph" w:customStyle="1" w:styleId="376">
    <w:name w:val="首行缩进"/>
    <w:basedOn w:val="1"/>
    <w:qFormat/>
    <w:uiPriority w:val="0"/>
    <w:pPr>
      <w:adjustRightInd w:val="0"/>
      <w:snapToGrid w:val="0"/>
      <w:spacing w:line="360" w:lineRule="auto"/>
      <w:ind w:right="96" w:firstLine="448"/>
    </w:pPr>
    <w:rPr>
      <w:snapToGrid w:val="0"/>
      <w:kern w:val="0"/>
      <w:sz w:val="24"/>
    </w:rPr>
  </w:style>
  <w:style w:type="paragraph" w:customStyle="1" w:styleId="377">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378">
    <w:name w:val="2级标题"/>
    <w:basedOn w:val="3"/>
    <w:qFormat/>
    <w:uiPriority w:val="0"/>
    <w:pPr>
      <w:keepNext w:val="0"/>
      <w:keepLines w:val="0"/>
      <w:adjustRightInd w:val="0"/>
      <w:snapToGrid w:val="0"/>
      <w:spacing w:beforeLines="50" w:after="0" w:line="360" w:lineRule="auto"/>
      <w:textAlignment w:val="baseline"/>
    </w:pPr>
    <w:rPr>
      <w:rFonts w:ascii="黑体" w:hAnsi="宋体"/>
      <w:b w:val="0"/>
      <w:caps/>
      <w:kern w:val="44"/>
      <w:sz w:val="28"/>
      <w:szCs w:val="28"/>
    </w:rPr>
  </w:style>
  <w:style w:type="paragraph" w:customStyle="1" w:styleId="379">
    <w:name w:val="样式 说明书正文 + 首行缩进:  2 字符"/>
    <w:basedOn w:val="1"/>
    <w:qFormat/>
    <w:uiPriority w:val="0"/>
    <w:pPr>
      <w:spacing w:line="480" w:lineRule="exact"/>
      <w:ind w:firstLine="560" w:firstLineChars="200"/>
      <w:textAlignment w:val="baseline"/>
    </w:pPr>
    <w:rPr>
      <w:rFonts w:cs="宋体"/>
      <w:kern w:val="0"/>
      <w:sz w:val="28"/>
      <w:szCs w:val="20"/>
    </w:rPr>
  </w:style>
  <w:style w:type="paragraph" w:customStyle="1" w:styleId="3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eastAsia="Arial Unicode MS"/>
      <w:kern w:val="0"/>
      <w:sz w:val="22"/>
      <w:szCs w:val="22"/>
    </w:rPr>
  </w:style>
  <w:style w:type="paragraph" w:customStyle="1" w:styleId="382">
    <w:name w:val="标准"/>
    <w:basedOn w:val="1"/>
    <w:qFormat/>
    <w:uiPriority w:val="0"/>
    <w:pPr>
      <w:adjustRightInd w:val="0"/>
      <w:spacing w:before="120" w:line="336" w:lineRule="auto"/>
      <w:jc w:val="center"/>
      <w:textAlignment w:val="baseline"/>
    </w:pPr>
    <w:rPr>
      <w:rFonts w:ascii="黑体" w:eastAsia="黑体"/>
      <w:szCs w:val="20"/>
    </w:rPr>
  </w:style>
  <w:style w:type="paragraph" w:customStyle="1" w:styleId="383">
    <w:name w:val="xl34"/>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eastAsia="Arial Unicode MS"/>
      <w:kern w:val="0"/>
      <w:sz w:val="22"/>
      <w:szCs w:val="22"/>
    </w:rPr>
  </w:style>
  <w:style w:type="paragraph" w:customStyle="1" w:styleId="38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385">
    <w:name w:val="CM130"/>
    <w:basedOn w:val="1"/>
    <w:next w:val="1"/>
    <w:qFormat/>
    <w:uiPriority w:val="0"/>
    <w:pPr>
      <w:autoSpaceDE w:val="0"/>
      <w:autoSpaceDN w:val="0"/>
      <w:adjustRightInd w:val="0"/>
      <w:spacing w:after="118"/>
      <w:jc w:val="left"/>
    </w:pPr>
    <w:rPr>
      <w:rFonts w:ascii="黑体" w:eastAsia="黑体"/>
      <w:kern w:val="0"/>
      <w:sz w:val="24"/>
    </w:rPr>
  </w:style>
  <w:style w:type="paragraph" w:customStyle="1" w:styleId="386">
    <w:name w:val="首行缩进 2字符"/>
    <w:basedOn w:val="1"/>
    <w:qFormat/>
    <w:uiPriority w:val="0"/>
    <w:pPr>
      <w:adjustRightInd w:val="0"/>
      <w:snapToGrid w:val="0"/>
      <w:spacing w:line="360" w:lineRule="auto"/>
      <w:ind w:firstLine="480" w:firstLineChars="200"/>
    </w:pPr>
    <w:rPr>
      <w:rFonts w:ascii="宋体" w:hAnsi="宋体"/>
      <w:snapToGrid w:val="0"/>
      <w:kern w:val="0"/>
      <w:sz w:val="24"/>
      <w:szCs w:val="20"/>
    </w:rPr>
  </w:style>
  <w:style w:type="paragraph" w:customStyle="1" w:styleId="387">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88">
    <w:name w:val="表内文字1"/>
    <w:basedOn w:val="1"/>
    <w:qFormat/>
    <w:uiPriority w:val="0"/>
    <w:pPr>
      <w:adjustRightInd w:val="0"/>
      <w:snapToGrid w:val="0"/>
      <w:jc w:val="center"/>
    </w:pPr>
    <w:rPr>
      <w:rFonts w:ascii="Arial" w:hAnsi="Arial"/>
      <w:snapToGrid w:val="0"/>
      <w:color w:val="000000"/>
      <w:kern w:val="0"/>
      <w:szCs w:val="21"/>
    </w:rPr>
  </w:style>
  <w:style w:type="paragraph" w:customStyle="1" w:styleId="389">
    <w:name w:val="表格1"/>
    <w:basedOn w:val="1"/>
    <w:qFormat/>
    <w:uiPriority w:val="0"/>
    <w:pPr>
      <w:widowControl/>
      <w:tabs>
        <w:tab w:val="left" w:pos="0"/>
      </w:tabs>
      <w:adjustRightInd w:val="0"/>
      <w:snapToGrid w:val="0"/>
      <w:spacing w:line="300" w:lineRule="exact"/>
      <w:jc w:val="center"/>
    </w:pPr>
    <w:rPr>
      <w:rFonts w:ascii="宋体" w:hAnsi="宋体" w:cs="宋体"/>
      <w:snapToGrid w:val="0"/>
      <w:kern w:val="0"/>
      <w:szCs w:val="21"/>
      <w:lang w:val="en-GB"/>
    </w:rPr>
  </w:style>
  <w:style w:type="paragraph" w:customStyle="1" w:styleId="390">
    <w:name w:val="表内 小四号"/>
    <w:basedOn w:val="1"/>
    <w:qFormat/>
    <w:uiPriority w:val="0"/>
    <w:pPr>
      <w:adjustRightInd w:val="0"/>
      <w:snapToGrid w:val="0"/>
      <w:jc w:val="center"/>
    </w:pPr>
    <w:rPr>
      <w:rFonts w:ascii="宋体" w:hAnsi="宋体"/>
      <w:kern w:val="0"/>
    </w:rPr>
  </w:style>
  <w:style w:type="paragraph" w:customStyle="1" w:styleId="391">
    <w:name w:val="标题4"/>
    <w:basedOn w:val="1"/>
    <w:next w:val="1"/>
    <w:qFormat/>
    <w:uiPriority w:val="0"/>
    <w:pPr>
      <w:jc w:val="left"/>
      <w:outlineLvl w:val="3"/>
    </w:pPr>
    <w:rPr>
      <w:sz w:val="24"/>
    </w:rPr>
  </w:style>
  <w:style w:type="character" w:customStyle="1" w:styleId="392">
    <w:name w:val="正文首行缩进 2 Char"/>
    <w:basedOn w:val="164"/>
    <w:link w:val="59"/>
    <w:qFormat/>
    <w:uiPriority w:val="0"/>
    <w:rPr>
      <w:rFonts w:ascii="黑体" w:eastAsia="黑体"/>
      <w:kern w:val="2"/>
      <w:sz w:val="21"/>
    </w:rPr>
  </w:style>
  <w:style w:type="paragraph" w:customStyle="1" w:styleId="393">
    <w:name w:val="样式 正文缩进 + 左 左侧:  0.16 厘米 首行缩进:  0.85 厘米"/>
    <w:basedOn w:val="5"/>
    <w:qFormat/>
    <w:uiPriority w:val="0"/>
    <w:pPr>
      <w:tabs>
        <w:tab w:val="left" w:pos="100"/>
      </w:tabs>
      <w:spacing w:line="360" w:lineRule="auto"/>
      <w:ind w:right="120" w:rightChars="50" w:firstLine="500" w:firstLineChars="0"/>
      <w:jc w:val="left"/>
    </w:pPr>
    <w:rPr>
      <w:rFonts w:cs="宋体"/>
      <w:sz w:val="24"/>
      <w:szCs w:val="20"/>
    </w:rPr>
  </w:style>
  <w:style w:type="paragraph" w:customStyle="1" w:styleId="394">
    <w:name w:val="表头图头"/>
    <w:basedOn w:val="1"/>
    <w:next w:val="1"/>
    <w:qFormat/>
    <w:uiPriority w:val="0"/>
    <w:pPr>
      <w:spacing w:line="360" w:lineRule="auto"/>
      <w:jc w:val="center"/>
    </w:pPr>
    <w:rPr>
      <w:szCs w:val="21"/>
    </w:rPr>
  </w:style>
  <w:style w:type="paragraph" w:customStyle="1" w:styleId="395">
    <w:name w:val="样式 表格 左对齐"/>
    <w:basedOn w:val="396"/>
    <w:qFormat/>
    <w:uiPriority w:val="0"/>
    <w:pPr>
      <w:tabs>
        <w:tab w:val="left" w:pos="600"/>
      </w:tabs>
      <w:ind w:firstLine="420"/>
    </w:pPr>
    <w:rPr>
      <w:rFonts w:cs="宋体"/>
    </w:rPr>
  </w:style>
  <w:style w:type="paragraph" w:customStyle="1" w:styleId="396">
    <w:name w:val="表格 左对齐"/>
    <w:basedOn w:val="1"/>
    <w:qFormat/>
    <w:uiPriority w:val="0"/>
    <w:pPr>
      <w:tabs>
        <w:tab w:val="left" w:pos="600"/>
      </w:tabs>
      <w:kinsoku w:val="0"/>
      <w:wordWrap w:val="0"/>
      <w:adjustRightInd w:val="0"/>
      <w:snapToGrid w:val="0"/>
      <w:jc w:val="left"/>
      <w:textAlignment w:val="baseline"/>
    </w:pPr>
    <w:rPr>
      <w:rFonts w:ascii="楷体"/>
      <w:kern w:val="0"/>
      <w:szCs w:val="21"/>
    </w:rPr>
  </w:style>
  <w:style w:type="paragraph" w:customStyle="1" w:styleId="397">
    <w:name w:val="样式4"/>
    <w:basedOn w:val="364"/>
    <w:qFormat/>
    <w:uiPriority w:val="0"/>
    <w:pPr>
      <w:keepLines w:val="0"/>
      <w:numPr>
        <w:ilvl w:val="0"/>
        <w:numId w:val="9"/>
      </w:numPr>
      <w:tabs>
        <w:tab w:val="left" w:pos="1678"/>
        <w:tab w:val="clear" w:pos="432"/>
      </w:tabs>
      <w:adjustRightInd/>
      <w:spacing w:before="0" w:after="0" w:line="360" w:lineRule="auto"/>
      <w:jc w:val="left"/>
      <w:textAlignment w:val="auto"/>
      <w:outlineLvl w:val="9"/>
    </w:pPr>
    <w:rPr>
      <w:rFonts w:ascii="Times New Roman" w:eastAsia="宋体"/>
      <w:b w:val="0"/>
      <w:spacing w:val="0"/>
      <w:szCs w:val="24"/>
    </w:rPr>
  </w:style>
  <w:style w:type="paragraph" w:customStyle="1" w:styleId="398">
    <w:name w:val="报告名"/>
    <w:basedOn w:val="1"/>
    <w:qFormat/>
    <w:uiPriority w:val="0"/>
    <w:pPr>
      <w:adjustRightInd w:val="0"/>
      <w:snapToGrid w:val="0"/>
      <w:spacing w:line="336" w:lineRule="auto"/>
      <w:jc w:val="center"/>
    </w:pPr>
    <w:rPr>
      <w:rFonts w:ascii="宋体" w:hAnsi="宋体"/>
      <w:spacing w:val="-20"/>
    </w:rPr>
  </w:style>
  <w:style w:type="paragraph" w:customStyle="1" w:styleId="399">
    <w:name w:val="表格内部"/>
    <w:basedOn w:val="1"/>
    <w:qFormat/>
    <w:uiPriority w:val="0"/>
    <w:pPr>
      <w:adjustRightInd w:val="0"/>
      <w:snapToGrid w:val="0"/>
      <w:jc w:val="center"/>
      <w:textAlignment w:val="baseline"/>
    </w:pPr>
    <w:rPr>
      <w:rFonts w:cs="Arial"/>
      <w:snapToGrid w:val="0"/>
      <w:color w:val="0000FF"/>
      <w:kern w:val="0"/>
      <w:szCs w:val="28"/>
    </w:rPr>
  </w:style>
  <w:style w:type="paragraph" w:customStyle="1" w:styleId="40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401">
    <w:name w:val="4级"/>
    <w:basedOn w:val="1"/>
    <w:qFormat/>
    <w:uiPriority w:val="0"/>
    <w:pPr>
      <w:tabs>
        <w:tab w:val="left" w:pos="1406"/>
      </w:tabs>
      <w:spacing w:line="360" w:lineRule="auto"/>
      <w:ind w:left="1406" w:hanging="855"/>
    </w:pPr>
    <w:rPr>
      <w:rFonts w:eastAsia="黑体"/>
      <w:sz w:val="24"/>
    </w:rPr>
  </w:style>
  <w:style w:type="paragraph" w:customStyle="1" w:styleId="402">
    <w:name w:val="xl5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403">
    <w:name w:val="样式 标题"/>
    <w:basedOn w:val="3"/>
    <w:qFormat/>
    <w:uiPriority w:val="0"/>
    <w:pPr>
      <w:keepNext w:val="0"/>
      <w:keepLines w:val="0"/>
      <w:adjustRightInd w:val="0"/>
      <w:snapToGrid w:val="0"/>
      <w:spacing w:before="180" w:afterLines="50" w:line="360" w:lineRule="auto"/>
      <w:ind w:left="50" w:leftChars="50" w:right="50" w:rightChars="50"/>
      <w:jc w:val="center"/>
    </w:pPr>
    <w:rPr>
      <w:rFonts w:cs="宋体"/>
      <w:color w:val="000000"/>
      <w:kern w:val="24"/>
      <w:sz w:val="24"/>
      <w:szCs w:val="20"/>
      <w:lang w:val="sq-AL"/>
    </w:rPr>
  </w:style>
  <w:style w:type="paragraph" w:customStyle="1" w:styleId="404">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05">
    <w:name w:val="xl53"/>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406">
    <w:name w:val="样式 标题 2"/>
    <w:basedOn w:val="3"/>
    <w:qFormat/>
    <w:uiPriority w:val="0"/>
    <w:pPr>
      <w:keepNext w:val="0"/>
      <w:keepLines w:val="0"/>
      <w:adjustRightInd w:val="0"/>
      <w:snapToGrid w:val="0"/>
      <w:spacing w:before="50" w:afterLines="50" w:line="360" w:lineRule="auto"/>
      <w:ind w:left="50" w:leftChars="50" w:right="50" w:rightChars="50"/>
      <w:jc w:val="center"/>
    </w:pPr>
    <w:rPr>
      <w:rFonts w:cs="宋体"/>
      <w:bCs w:val="0"/>
      <w:kern w:val="24"/>
      <w:sz w:val="24"/>
      <w:szCs w:val="24"/>
      <w:lang w:val="sq-AL"/>
    </w:rPr>
  </w:style>
  <w:style w:type="character" w:customStyle="1" w:styleId="407">
    <w:name w:val="正文文本 2 Char"/>
    <w:basedOn w:val="62"/>
    <w:link w:val="52"/>
    <w:qFormat/>
    <w:uiPriority w:val="0"/>
    <w:rPr>
      <w:rFonts w:ascii="宋体" w:hAnsi="宋体"/>
      <w:kern w:val="2"/>
      <w:sz w:val="24"/>
      <w:szCs w:val="24"/>
    </w:rPr>
  </w:style>
  <w:style w:type="paragraph" w:customStyle="1" w:styleId="408">
    <w:name w:val="xl3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eastAsia="Arial Unicode MS"/>
      <w:kern w:val="0"/>
      <w:sz w:val="22"/>
      <w:szCs w:val="22"/>
    </w:rPr>
  </w:style>
  <w:style w:type="paragraph" w:customStyle="1" w:styleId="409">
    <w:name w:val="样式 标题 1 + 字距调整二号"/>
    <w:basedOn w:val="2"/>
    <w:qFormat/>
    <w:uiPriority w:val="0"/>
    <w:pPr>
      <w:numPr>
        <w:ilvl w:val="0"/>
        <w:numId w:val="10"/>
      </w:numPr>
      <w:tabs>
        <w:tab w:val="left" w:pos="0"/>
      </w:tabs>
      <w:adjustRightInd w:val="0"/>
      <w:snapToGrid w:val="0"/>
      <w:spacing w:before="120" w:after="0" w:line="360" w:lineRule="auto"/>
      <w:jc w:val="left"/>
      <w:textAlignment w:val="baseline"/>
    </w:pPr>
    <w:rPr>
      <w:sz w:val="24"/>
      <w:szCs w:val="24"/>
    </w:rPr>
  </w:style>
  <w:style w:type="paragraph" w:customStyle="1" w:styleId="410">
    <w:name w:val="能力-标题1"/>
    <w:next w:val="371"/>
    <w:qFormat/>
    <w:uiPriority w:val="0"/>
    <w:pPr>
      <w:numPr>
        <w:ilvl w:val="0"/>
        <w:numId w:val="8"/>
      </w:numPr>
      <w:spacing w:line="360" w:lineRule="auto"/>
      <w:jc w:val="center"/>
      <w:outlineLvl w:val="0"/>
    </w:pPr>
    <w:rPr>
      <w:rFonts w:ascii="Times New Roman" w:hAnsi="Times New Roman" w:eastAsia="宋体" w:cs="Times New Roman"/>
      <w:b/>
      <w:kern w:val="2"/>
      <w:sz w:val="28"/>
      <w:szCs w:val="22"/>
      <w:lang w:val="en-US" w:eastAsia="zh-CN" w:bidi="ar-SA"/>
    </w:rPr>
  </w:style>
  <w:style w:type="paragraph" w:customStyle="1" w:styleId="411">
    <w:name w:val="11111111111"/>
    <w:basedOn w:val="1"/>
    <w:qFormat/>
    <w:uiPriority w:val="0"/>
    <w:pPr>
      <w:adjustRightInd w:val="0"/>
      <w:spacing w:line="360" w:lineRule="atLeast"/>
      <w:jc w:val="left"/>
      <w:textAlignment w:val="baseline"/>
    </w:pPr>
    <w:rPr>
      <w:sz w:val="24"/>
      <w:szCs w:val="20"/>
    </w:rPr>
  </w:style>
  <w:style w:type="paragraph" w:customStyle="1" w:styleId="412">
    <w:name w:val="样式 标题 2 +"/>
    <w:basedOn w:val="3"/>
    <w:qFormat/>
    <w:uiPriority w:val="0"/>
    <w:pPr>
      <w:keepNext w:val="0"/>
      <w:keepLines w:val="0"/>
      <w:adjustRightInd w:val="0"/>
      <w:snapToGrid w:val="0"/>
      <w:spacing w:before="50" w:afterLines="50" w:line="360" w:lineRule="auto"/>
      <w:ind w:left="50" w:leftChars="50" w:right="24" w:rightChars="10"/>
      <w:jc w:val="center"/>
    </w:pPr>
    <w:rPr>
      <w:rFonts w:cs="宋体"/>
      <w:kern w:val="24"/>
      <w:sz w:val="24"/>
      <w:szCs w:val="20"/>
      <w:lang w:val="sq-AL"/>
    </w:rPr>
  </w:style>
  <w:style w:type="paragraph" w:customStyle="1" w:styleId="413">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14">
    <w:name w:val="Char3"/>
    <w:basedOn w:val="1"/>
    <w:qFormat/>
    <w:uiPriority w:val="0"/>
    <w:pPr>
      <w:widowControl/>
      <w:spacing w:after="160" w:line="240" w:lineRule="exact"/>
      <w:jc w:val="left"/>
    </w:pPr>
    <w:rPr>
      <w:rFonts w:ascii="Verdana" w:hAnsi="Verdana"/>
      <w:kern w:val="0"/>
      <w:sz w:val="24"/>
      <w:lang w:eastAsia="en-US"/>
    </w:rPr>
  </w:style>
  <w:style w:type="paragraph" w:customStyle="1" w:styleId="415">
    <w:name w:val="表内 居中"/>
    <w:basedOn w:val="1"/>
    <w:qFormat/>
    <w:uiPriority w:val="0"/>
    <w:pPr>
      <w:adjustRightInd w:val="0"/>
      <w:snapToGrid w:val="0"/>
      <w:jc w:val="center"/>
    </w:pPr>
    <w:rPr>
      <w:rFonts w:ascii="宋体" w:hAnsi="宋体"/>
      <w:color w:val="000000"/>
      <w:spacing w:val="2"/>
      <w:kern w:val="0"/>
      <w:szCs w:val="21"/>
    </w:rPr>
  </w:style>
  <w:style w:type="paragraph" w:customStyle="1" w:styleId="416">
    <w:name w:val="首行缩进2字符"/>
    <w:basedOn w:val="1"/>
    <w:qFormat/>
    <w:uiPriority w:val="0"/>
    <w:pPr>
      <w:keepNext/>
      <w:adjustRightInd w:val="0"/>
      <w:snapToGrid w:val="0"/>
      <w:spacing w:line="360" w:lineRule="auto"/>
      <w:ind w:firstLine="480" w:firstLineChars="200"/>
    </w:pPr>
    <w:rPr>
      <w:rFonts w:ascii="宋体" w:hAnsi="宋体"/>
      <w:snapToGrid w:val="0"/>
      <w:kern w:val="0"/>
      <w:sz w:val="24"/>
    </w:rPr>
  </w:style>
  <w:style w:type="paragraph" w:customStyle="1" w:styleId="417">
    <w:name w:val="表内文字"/>
    <w:basedOn w:val="1"/>
    <w:qFormat/>
    <w:uiPriority w:val="0"/>
    <w:pPr>
      <w:widowControl/>
      <w:tabs>
        <w:tab w:val="left" w:pos="-108"/>
        <w:tab w:val="left" w:pos="109"/>
        <w:tab w:val="left" w:pos="217"/>
      </w:tabs>
      <w:adjustRightInd w:val="0"/>
      <w:snapToGrid w:val="0"/>
    </w:pPr>
    <w:rPr>
      <w:color w:val="000000"/>
      <w:kern w:val="0"/>
      <w:szCs w:val="21"/>
      <w:lang w:val="en-GB"/>
    </w:rPr>
  </w:style>
  <w:style w:type="paragraph" w:customStyle="1" w:styleId="4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19">
    <w:name w:val="Char Char Char Char1"/>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420">
    <w:name w:val="样式 标题 2Chapter TitleSeHead wsa2ITTHEADER2Heading 2 Char2He..."/>
    <w:basedOn w:val="3"/>
    <w:qFormat/>
    <w:uiPriority w:val="0"/>
    <w:pPr>
      <w:keepLines w:val="0"/>
      <w:tabs>
        <w:tab w:val="left" w:pos="0"/>
      </w:tabs>
      <w:adjustRightInd w:val="0"/>
      <w:snapToGrid w:val="0"/>
      <w:spacing w:beforeLines="50" w:afterLines="50" w:line="360" w:lineRule="auto"/>
      <w:ind w:left="50" w:leftChars="50" w:right="50" w:rightChars="50"/>
      <w:jc w:val="center"/>
    </w:pPr>
    <w:rPr>
      <w:rFonts w:ascii="宋体" w:hAnsi="宋体" w:cs="宋体"/>
      <w:kern w:val="24"/>
      <w:sz w:val="24"/>
      <w:szCs w:val="20"/>
      <w:lang w:val="sq-AL"/>
    </w:rPr>
  </w:style>
  <w:style w:type="paragraph" w:customStyle="1" w:styleId="421">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422">
    <w:name w:val="缩进正文"/>
    <w:basedOn w:val="26"/>
    <w:qFormat/>
    <w:uiPriority w:val="0"/>
    <w:pPr>
      <w:adjustRightInd w:val="0"/>
      <w:spacing w:line="300" w:lineRule="auto"/>
      <w:ind w:firstLine="200" w:firstLineChars="200"/>
    </w:pPr>
    <w:rPr>
      <w:rFonts w:ascii="宋体" w:eastAsia="宋体"/>
      <w:caps/>
      <w:szCs w:val="24"/>
    </w:rPr>
  </w:style>
  <w:style w:type="paragraph" w:customStyle="1" w:styleId="423">
    <w:name w:val="xl42"/>
    <w:basedOn w:val="1"/>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424">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25">
    <w:name w:val="样式 样式 加粗 段前: 8.5 磅 行距: 1.5 倍行距 + 宋体"/>
    <w:basedOn w:val="1"/>
    <w:qFormat/>
    <w:uiPriority w:val="0"/>
    <w:pPr>
      <w:spacing w:line="360" w:lineRule="auto"/>
      <w:ind w:left="120" w:leftChars="50" w:firstLine="477" w:firstLineChars="198"/>
    </w:pPr>
    <w:rPr>
      <w:rFonts w:ascii="宋体" w:hAnsi="宋体" w:cs="宋体"/>
      <w:b/>
      <w:bCs/>
      <w:sz w:val="24"/>
      <w:szCs w:val="20"/>
    </w:rPr>
  </w:style>
  <w:style w:type="paragraph" w:customStyle="1" w:styleId="426">
    <w:name w:val="小标题1）"/>
    <w:basedOn w:val="25"/>
    <w:next w:val="25"/>
    <w:qFormat/>
    <w:uiPriority w:val="0"/>
    <w:pPr>
      <w:keepNext/>
      <w:keepLines/>
      <w:tabs>
        <w:tab w:val="left" w:pos="927"/>
      </w:tabs>
      <w:spacing w:after="0" w:line="288" w:lineRule="auto"/>
      <w:ind w:left="360" w:hanging="360"/>
    </w:pPr>
    <w:rPr>
      <w:sz w:val="28"/>
      <w:szCs w:val="20"/>
    </w:rPr>
  </w:style>
  <w:style w:type="paragraph" w:customStyle="1" w:styleId="42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428">
    <w:name w:val="能力-表格正文"/>
    <w:basedOn w:val="371"/>
    <w:qFormat/>
    <w:uiPriority w:val="0"/>
    <w:pPr>
      <w:spacing w:line="240" w:lineRule="auto"/>
      <w:ind w:firstLine="0" w:firstLineChars="0"/>
      <w:jc w:val="center"/>
    </w:pPr>
    <w:rPr>
      <w:sz w:val="21"/>
    </w:rPr>
  </w:style>
  <w:style w:type="paragraph" w:customStyle="1" w:styleId="429">
    <w:name w:val="标题3"/>
    <w:basedOn w:val="1"/>
    <w:next w:val="1"/>
    <w:qFormat/>
    <w:uiPriority w:val="0"/>
    <w:pPr>
      <w:tabs>
        <w:tab w:val="left" w:pos="1050"/>
        <w:tab w:val="left" w:pos="1701"/>
      </w:tabs>
      <w:spacing w:beforeLines="50" w:afterLines="50" w:line="360" w:lineRule="auto"/>
      <w:ind w:left="1077" w:hanging="1077"/>
      <w:jc w:val="left"/>
      <w:outlineLvl w:val="2"/>
    </w:pPr>
    <w:rPr>
      <w:rFonts w:ascii="宋体" w:hAnsi="宋体"/>
      <w:b/>
      <w:sz w:val="24"/>
    </w:rPr>
  </w:style>
  <w:style w:type="paragraph" w:customStyle="1" w:styleId="430">
    <w:name w:val="表"/>
    <w:basedOn w:val="1"/>
    <w:qFormat/>
    <w:uiPriority w:val="0"/>
    <w:pPr>
      <w:jc w:val="center"/>
    </w:pPr>
    <w:rPr>
      <w:sz w:val="24"/>
      <w:szCs w:val="20"/>
    </w:rPr>
  </w:style>
  <w:style w:type="paragraph" w:customStyle="1" w:styleId="431">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432">
    <w:name w:val="表内 四号字"/>
    <w:basedOn w:val="1"/>
    <w:qFormat/>
    <w:uiPriority w:val="0"/>
    <w:pPr>
      <w:adjustRightInd w:val="0"/>
      <w:snapToGrid w:val="0"/>
      <w:jc w:val="left"/>
    </w:pPr>
    <w:rPr>
      <w:rFonts w:ascii="宋体" w:hAnsi="宋体"/>
      <w:sz w:val="24"/>
    </w:rPr>
  </w:style>
  <w:style w:type="paragraph" w:customStyle="1" w:styleId="433">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434">
    <w:name w:val="正文（首行缩进2字符）"/>
    <w:basedOn w:val="1"/>
    <w:qFormat/>
    <w:uiPriority w:val="0"/>
    <w:pPr>
      <w:spacing w:line="360" w:lineRule="auto"/>
    </w:pPr>
    <w:rPr>
      <w:rFonts w:ascii="宋体" w:hAnsi="宋体"/>
      <w:sz w:val="24"/>
    </w:rPr>
  </w:style>
  <w:style w:type="paragraph" w:customStyle="1" w:styleId="435">
    <w:name w:val="表格文字"/>
    <w:basedOn w:val="1"/>
    <w:qFormat/>
    <w:uiPriority w:val="0"/>
    <w:pPr>
      <w:keepNext/>
      <w:adjustRightInd w:val="0"/>
      <w:snapToGrid w:val="0"/>
      <w:jc w:val="center"/>
    </w:pPr>
    <w:rPr>
      <w:rFonts w:ascii="宋体" w:hAnsi="宋体" w:cs="宋体"/>
      <w:szCs w:val="21"/>
    </w:rPr>
  </w:style>
  <w:style w:type="paragraph" w:customStyle="1" w:styleId="436">
    <w:name w:val="样式 正文缩进 + 左"/>
    <w:basedOn w:val="5"/>
    <w:qFormat/>
    <w:uiPriority w:val="0"/>
    <w:pPr>
      <w:tabs>
        <w:tab w:val="left" w:pos="420"/>
      </w:tabs>
      <w:spacing w:line="360" w:lineRule="auto"/>
      <w:ind w:left="420" w:right="120" w:rightChars="50" w:firstLine="400" w:firstLineChars="0"/>
      <w:jc w:val="left"/>
    </w:pPr>
    <w:rPr>
      <w:rFonts w:cs="宋体"/>
      <w:sz w:val="24"/>
      <w:szCs w:val="20"/>
    </w:rPr>
  </w:style>
  <w:style w:type="paragraph" w:customStyle="1" w:styleId="437">
    <w:name w:val="表2"/>
    <w:basedOn w:val="1"/>
    <w:qFormat/>
    <w:uiPriority w:val="0"/>
    <w:pPr>
      <w:adjustRightInd w:val="0"/>
      <w:snapToGrid w:val="0"/>
      <w:ind w:left="105" w:right="105"/>
      <w:jc w:val="left"/>
    </w:pPr>
    <w:rPr>
      <w:rFonts w:ascii="宋体" w:hAnsi="宋体"/>
      <w:kern w:val="0"/>
    </w:rPr>
  </w:style>
  <w:style w:type="paragraph" w:customStyle="1" w:styleId="4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39">
    <w:name w:val="正文首行缩"/>
    <w:basedOn w:val="1"/>
    <w:qFormat/>
    <w:uiPriority w:val="0"/>
    <w:pPr>
      <w:spacing w:line="360" w:lineRule="auto"/>
      <w:ind w:firstLine="200" w:firstLineChars="200"/>
    </w:pPr>
    <w:rPr>
      <w:sz w:val="24"/>
    </w:rPr>
  </w:style>
  <w:style w:type="paragraph" w:customStyle="1" w:styleId="440">
    <w:name w:val="xl3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41">
    <w:name w:val="样式 样式 标题 4 + 加粗 + 右侧:  0.5 字符"/>
    <w:basedOn w:val="1"/>
    <w:qFormat/>
    <w:uiPriority w:val="0"/>
    <w:pPr>
      <w:keepNext/>
      <w:keepLines/>
      <w:tabs>
        <w:tab w:val="left" w:pos="0"/>
      </w:tabs>
      <w:adjustRightInd w:val="0"/>
      <w:spacing w:line="360" w:lineRule="auto"/>
      <w:ind w:left="1984" w:right="50" w:rightChars="50" w:hanging="1984"/>
      <w:jc w:val="left"/>
      <w:textAlignment w:val="baseline"/>
      <w:outlineLvl w:val="3"/>
    </w:pPr>
    <w:rPr>
      <w:rFonts w:ascii="宋体" w:hAnsi="Arial" w:cs="宋体"/>
      <w:spacing w:val="20"/>
      <w:kern w:val="0"/>
      <w:sz w:val="24"/>
      <w:szCs w:val="20"/>
    </w:rPr>
  </w:style>
  <w:style w:type="paragraph" w:customStyle="1" w:styleId="442">
    <w:name w:val="样式8"/>
    <w:basedOn w:val="1"/>
    <w:qFormat/>
    <w:uiPriority w:val="0"/>
    <w:pPr>
      <w:ind w:firstLine="561"/>
    </w:pPr>
    <w:rPr>
      <w:sz w:val="28"/>
      <w:szCs w:val="20"/>
    </w:rPr>
  </w:style>
  <w:style w:type="paragraph" w:customStyle="1" w:styleId="443">
    <w:name w:val="样式 标题 1"/>
    <w:basedOn w:val="2"/>
    <w:qFormat/>
    <w:uiPriority w:val="0"/>
    <w:pPr>
      <w:keepNext w:val="0"/>
      <w:keepLines w:val="0"/>
      <w:adjustRightInd w:val="0"/>
      <w:snapToGrid w:val="0"/>
      <w:spacing w:before="120" w:after="120" w:line="360" w:lineRule="auto"/>
      <w:ind w:right="369"/>
      <w:jc w:val="center"/>
      <w:textAlignment w:val="baseline"/>
    </w:pPr>
    <w:rPr>
      <w:rFonts w:ascii="黑体" w:eastAsia="黑体" w:cs="宋体"/>
      <w:kern w:val="24"/>
      <w:sz w:val="24"/>
      <w:szCs w:val="20"/>
      <w:lang w:val="sq-AL"/>
    </w:rPr>
  </w:style>
  <w:style w:type="paragraph" w:customStyle="1" w:styleId="444">
    <w:name w:val="表内居中"/>
    <w:basedOn w:val="390"/>
    <w:qFormat/>
    <w:uiPriority w:val="0"/>
    <w:rPr>
      <w:color w:val="333333"/>
      <w:szCs w:val="21"/>
    </w:rPr>
  </w:style>
  <w:style w:type="paragraph" w:customStyle="1" w:styleId="445">
    <w:name w:val="表格头"/>
    <w:basedOn w:val="1"/>
    <w:qFormat/>
    <w:uiPriority w:val="0"/>
    <w:pPr>
      <w:keepNext/>
      <w:keepLines/>
      <w:adjustRightInd w:val="0"/>
      <w:snapToGrid w:val="0"/>
      <w:spacing w:line="360" w:lineRule="auto"/>
      <w:ind w:firstLine="480" w:firstLineChars="200"/>
    </w:pPr>
    <w:rPr>
      <w:snapToGrid w:val="0"/>
      <w:kern w:val="0"/>
      <w:sz w:val="24"/>
    </w:rPr>
  </w:style>
  <w:style w:type="paragraph" w:customStyle="1" w:styleId="446">
    <w:name w:val="样式 样式 标题 1Part§1.my标题1 + 段前: 0.5 行 段后: 0.5 行 + 段前: 0.5 行 段后: 0...."/>
    <w:basedOn w:val="447"/>
    <w:qFormat/>
    <w:uiPriority w:val="0"/>
    <w:pPr>
      <w:pageBreakBefore/>
      <w:tabs>
        <w:tab w:val="left" w:pos="0"/>
      </w:tabs>
    </w:pPr>
  </w:style>
  <w:style w:type="paragraph" w:customStyle="1" w:styleId="447">
    <w:name w:val="样式 标题 1Part§1.my标题1 + 段前: 0.5 行 段后: 0.5 行"/>
    <w:basedOn w:val="2"/>
    <w:qFormat/>
    <w:uiPriority w:val="0"/>
    <w:pPr>
      <w:keepNext w:val="0"/>
      <w:keepLines w:val="0"/>
      <w:tabs>
        <w:tab w:val="left" w:pos="0"/>
      </w:tabs>
      <w:adjustRightInd w:val="0"/>
      <w:snapToGrid w:val="0"/>
      <w:spacing w:beforeLines="50" w:afterLines="50" w:line="480" w:lineRule="auto"/>
      <w:jc w:val="center"/>
    </w:pPr>
    <w:rPr>
      <w:rFonts w:ascii="宋体" w:hAnsi="宋体" w:cs="宋体"/>
      <w:caps/>
      <w:color w:val="000000"/>
      <w:kern w:val="2"/>
      <w:sz w:val="24"/>
      <w:szCs w:val="24"/>
      <w:lang w:val="en-GB"/>
    </w:rPr>
  </w:style>
  <w:style w:type="paragraph" w:customStyle="1" w:styleId="448">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449">
    <w:name w:val="样式 加粗 居中"/>
    <w:basedOn w:val="1"/>
    <w:qFormat/>
    <w:uiPriority w:val="0"/>
    <w:pPr>
      <w:adjustRightInd w:val="0"/>
      <w:snapToGrid w:val="0"/>
      <w:spacing w:line="360" w:lineRule="auto"/>
      <w:jc w:val="center"/>
    </w:pPr>
    <w:rPr>
      <w:rFonts w:cs="宋体"/>
      <w:b/>
      <w:bCs/>
      <w:sz w:val="24"/>
      <w:szCs w:val="20"/>
    </w:rPr>
  </w:style>
  <w:style w:type="paragraph" w:customStyle="1" w:styleId="450">
    <w:name w:val="说明正文缩进"/>
    <w:basedOn w:val="59"/>
    <w:qFormat/>
    <w:uiPriority w:val="0"/>
    <w:pPr>
      <w:adjustRightInd w:val="0"/>
      <w:snapToGrid w:val="0"/>
      <w:spacing w:after="0" w:line="360" w:lineRule="auto"/>
      <w:ind w:left="0" w:leftChars="0" w:firstLine="200"/>
      <w:jc w:val="left"/>
    </w:pPr>
    <w:rPr>
      <w:rFonts w:ascii="宋体" w:cs="宋体"/>
      <w:color w:val="000000"/>
      <w:spacing w:val="6"/>
      <w:kern w:val="0"/>
      <w:sz w:val="24"/>
    </w:rPr>
  </w:style>
  <w:style w:type="paragraph" w:customStyle="1" w:styleId="451">
    <w:name w:val="样式 表格1 +"/>
    <w:basedOn w:val="389"/>
    <w:qFormat/>
    <w:uiPriority w:val="0"/>
    <w:pPr>
      <w:spacing w:line="240" w:lineRule="auto"/>
    </w:pPr>
    <w:rPr>
      <w:color w:val="000000"/>
    </w:rPr>
  </w:style>
  <w:style w:type="paragraph" w:customStyle="1" w:styleId="452">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textAlignment w:val="center"/>
    </w:pPr>
    <w:rPr>
      <w:rFonts w:eastAsia="Arial Unicode MS"/>
      <w:kern w:val="0"/>
      <w:sz w:val="22"/>
      <w:szCs w:val="22"/>
    </w:rPr>
  </w:style>
  <w:style w:type="paragraph" w:customStyle="1" w:styleId="453">
    <w:name w:val="xwh"/>
    <w:qFormat/>
    <w:uiPriority w:val="0"/>
    <w:pPr>
      <w:spacing w:line="360" w:lineRule="auto"/>
    </w:pPr>
    <w:rPr>
      <w:rFonts w:ascii="宋体" w:hAnsi="Times New Roman" w:eastAsia="宋体" w:cs="Times New Roman"/>
      <w:lang w:val="en-US" w:eastAsia="zh-CN" w:bidi="ar-SA"/>
    </w:rPr>
  </w:style>
  <w:style w:type="paragraph" w:customStyle="1" w:styleId="454">
    <w:name w:val="表头1-1"/>
    <w:basedOn w:val="1"/>
    <w:qFormat/>
    <w:uiPriority w:val="0"/>
    <w:pPr>
      <w:adjustRightInd w:val="0"/>
      <w:snapToGrid w:val="0"/>
      <w:spacing w:beforeLines="50" w:line="300" w:lineRule="auto"/>
      <w:ind w:firstLine="200" w:firstLineChars="200"/>
    </w:pPr>
    <w:rPr>
      <w:rFonts w:eastAsia="黑体"/>
      <w:snapToGrid w:val="0"/>
      <w:kern w:val="0"/>
      <w:sz w:val="24"/>
    </w:rPr>
  </w:style>
  <w:style w:type="paragraph" w:customStyle="1" w:styleId="455">
    <w:name w:val="xl2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456">
    <w:name w:val="样式 标题 3SectionPA Minor SectionH3标题 3 Char1.1.1标题03hseHead..."/>
    <w:basedOn w:val="4"/>
    <w:qFormat/>
    <w:uiPriority w:val="0"/>
    <w:pPr>
      <w:numPr>
        <w:ilvl w:val="2"/>
        <w:numId w:val="11"/>
      </w:numPr>
      <w:tabs>
        <w:tab w:val="left" w:pos="1418"/>
      </w:tabs>
      <w:spacing w:before="0" w:after="0" w:line="360" w:lineRule="auto"/>
      <w:jc w:val="left"/>
    </w:pPr>
    <w:rPr>
      <w:rFonts w:ascii="宋体" w:hAnsi="宋体"/>
      <w:b w:val="0"/>
      <w:sz w:val="24"/>
      <w:szCs w:val="24"/>
    </w:rPr>
  </w:style>
  <w:style w:type="paragraph" w:customStyle="1" w:styleId="457">
    <w:name w:val="正文1"/>
    <w:basedOn w:val="1"/>
    <w:next w:val="5"/>
    <w:qFormat/>
    <w:uiPriority w:val="0"/>
    <w:pPr>
      <w:jc w:val="center"/>
    </w:pPr>
    <w:rPr>
      <w:szCs w:val="20"/>
    </w:rPr>
  </w:style>
  <w:style w:type="paragraph" w:customStyle="1" w:styleId="458">
    <w:name w:val="样式 正文首行缩进"/>
    <w:basedOn w:val="58"/>
    <w:qFormat/>
    <w:uiPriority w:val="0"/>
    <w:pPr>
      <w:keepNext w:val="0"/>
      <w:tabs>
        <w:tab w:val="clear" w:pos="628"/>
        <w:tab w:val="clear" w:pos="1727"/>
        <w:tab w:val="clear" w:pos="1884"/>
        <w:tab w:val="clear" w:pos="2660"/>
        <w:tab w:val="clear" w:pos="4325"/>
      </w:tabs>
    </w:pPr>
    <w:rPr>
      <w:rFonts w:ascii="Arial" w:hAnsi="Arial" w:cs="宋体"/>
      <w:bCs/>
      <w:color w:val="auto"/>
      <w:kern w:val="2"/>
      <w:sz w:val="24"/>
      <w:szCs w:val="24"/>
    </w:rPr>
  </w:style>
  <w:style w:type="paragraph" w:customStyle="1" w:styleId="459">
    <w:name w:val="标题2"/>
    <w:basedOn w:val="1"/>
    <w:next w:val="1"/>
    <w:qFormat/>
    <w:uiPriority w:val="0"/>
    <w:pPr>
      <w:tabs>
        <w:tab w:val="left" w:pos="624"/>
      </w:tabs>
      <w:spacing w:beforeLines="50" w:afterLines="50"/>
      <w:ind w:left="624" w:hanging="624"/>
      <w:jc w:val="center"/>
      <w:outlineLvl w:val="1"/>
    </w:pPr>
    <w:rPr>
      <w:rFonts w:eastAsia="黑体"/>
      <w:b/>
      <w:sz w:val="24"/>
    </w:rPr>
  </w:style>
  <w:style w:type="paragraph" w:customStyle="1" w:styleId="460">
    <w:name w:val="小标题(1)"/>
    <w:basedOn w:val="25"/>
    <w:next w:val="25"/>
    <w:qFormat/>
    <w:uiPriority w:val="0"/>
    <w:pPr>
      <w:keepNext/>
      <w:numPr>
        <w:ilvl w:val="0"/>
        <w:numId w:val="12"/>
      </w:numPr>
      <w:tabs>
        <w:tab w:val="left" w:pos="1287"/>
      </w:tabs>
      <w:adjustRightInd w:val="0"/>
      <w:spacing w:after="0" w:line="288" w:lineRule="auto"/>
    </w:pPr>
    <w:rPr>
      <w:sz w:val="28"/>
      <w:szCs w:val="20"/>
    </w:rPr>
  </w:style>
  <w:style w:type="paragraph" w:customStyle="1" w:styleId="461">
    <w:name w:val="表内"/>
    <w:basedOn w:val="1"/>
    <w:qFormat/>
    <w:uiPriority w:val="0"/>
    <w:pPr>
      <w:widowControl/>
      <w:adjustRightInd w:val="0"/>
      <w:snapToGrid w:val="0"/>
      <w:spacing w:line="320" w:lineRule="exact"/>
      <w:jc w:val="center"/>
    </w:pPr>
    <w:rPr>
      <w:rFonts w:ascii="宋体" w:hAnsi="宋体" w:cs="宋体"/>
      <w:kern w:val="0"/>
      <w:szCs w:val="21"/>
    </w:rPr>
  </w:style>
  <w:style w:type="paragraph" w:customStyle="1" w:styleId="462">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63">
    <w:name w:val="能力-标题2"/>
    <w:next w:val="371"/>
    <w:qFormat/>
    <w:uiPriority w:val="0"/>
    <w:pPr>
      <w:numPr>
        <w:ilvl w:val="1"/>
        <w:numId w:val="8"/>
      </w:numPr>
      <w:spacing w:line="360" w:lineRule="auto"/>
      <w:jc w:val="center"/>
      <w:outlineLvl w:val="1"/>
    </w:pPr>
    <w:rPr>
      <w:rFonts w:ascii="Times New Roman" w:hAnsi="Times New Roman" w:eastAsia="宋体" w:cs="Times New Roman"/>
      <w:b/>
      <w:kern w:val="2"/>
      <w:sz w:val="24"/>
      <w:szCs w:val="22"/>
      <w:lang w:val="en-US" w:eastAsia="zh-CN" w:bidi="ar-SA"/>
    </w:rPr>
  </w:style>
  <w:style w:type="paragraph" w:customStyle="1" w:styleId="46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6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466">
    <w:name w:val="能力-标题3"/>
    <w:next w:val="371"/>
    <w:qFormat/>
    <w:uiPriority w:val="0"/>
    <w:pPr>
      <w:numPr>
        <w:ilvl w:val="2"/>
        <w:numId w:val="8"/>
      </w:numPr>
      <w:spacing w:line="360" w:lineRule="auto"/>
      <w:outlineLvl w:val="2"/>
    </w:pPr>
    <w:rPr>
      <w:rFonts w:ascii="Times New Roman" w:hAnsi="Times New Roman" w:eastAsia="宋体" w:cs="Times New Roman"/>
      <w:b/>
      <w:kern w:val="2"/>
      <w:sz w:val="24"/>
      <w:szCs w:val="22"/>
      <w:lang w:val="en-US" w:eastAsia="zh-CN" w:bidi="ar-SA"/>
    </w:rPr>
  </w:style>
  <w:style w:type="paragraph" w:customStyle="1" w:styleId="467">
    <w:name w:val="样式 样式 正文文字 + 右侧:  0.5 字符 + 首行缩进:  2 字符 右侧:  0.5 字符 Char Char"/>
    <w:basedOn w:val="1"/>
    <w:qFormat/>
    <w:uiPriority w:val="0"/>
    <w:pPr>
      <w:spacing w:line="360" w:lineRule="auto"/>
      <w:ind w:left="50" w:leftChars="50" w:right="50" w:rightChars="50" w:firstLine="200" w:firstLineChars="200"/>
      <w:jc w:val="left"/>
    </w:pPr>
    <w:rPr>
      <w:sz w:val="24"/>
    </w:rPr>
  </w:style>
  <w:style w:type="paragraph" w:customStyle="1" w:styleId="468">
    <w:name w:val="xl2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469">
    <w:name w:val="样式 宋体 左侧:  24 磅 首行缩进:  24 磅 右侧:  24 磅"/>
    <w:basedOn w:val="1"/>
    <w:qFormat/>
    <w:uiPriority w:val="0"/>
    <w:pPr>
      <w:adjustRightInd w:val="0"/>
      <w:snapToGrid w:val="0"/>
      <w:spacing w:line="360" w:lineRule="auto"/>
      <w:ind w:left="482" w:right="482" w:firstLine="482"/>
    </w:pPr>
    <w:rPr>
      <w:rFonts w:ascii="宋体" w:hAnsi="宋体"/>
      <w:sz w:val="24"/>
    </w:rPr>
  </w:style>
  <w:style w:type="paragraph" w:customStyle="1" w:styleId="470">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71">
    <w:name w:val="样式 首行缩进:  0.42 厘米"/>
    <w:basedOn w:val="1"/>
    <w:qFormat/>
    <w:uiPriority w:val="0"/>
    <w:pPr>
      <w:adjustRightInd w:val="0"/>
      <w:snapToGrid w:val="0"/>
      <w:spacing w:line="360" w:lineRule="auto"/>
      <w:ind w:firstLine="480" w:firstLineChars="200"/>
    </w:pPr>
    <w:rPr>
      <w:rFonts w:cs="宋体"/>
      <w:color w:val="000000"/>
      <w:sz w:val="24"/>
    </w:rPr>
  </w:style>
  <w:style w:type="paragraph" w:customStyle="1" w:styleId="472">
    <w:name w:val="列出段落3"/>
    <w:basedOn w:val="1"/>
    <w:qFormat/>
    <w:uiPriority w:val="0"/>
    <w:pPr>
      <w:spacing w:line="360" w:lineRule="auto"/>
      <w:ind w:firstLine="420" w:firstLineChars="200"/>
    </w:pPr>
    <w:rPr>
      <w:sz w:val="24"/>
      <w:szCs w:val="20"/>
    </w:rPr>
  </w:style>
  <w:style w:type="paragraph" w:customStyle="1" w:styleId="473">
    <w:name w:val="样式 表内 居中"/>
    <w:basedOn w:val="415"/>
    <w:qFormat/>
    <w:uiPriority w:val="0"/>
    <w:pPr>
      <w:ind w:firstLine="420"/>
    </w:pPr>
    <w:rPr>
      <w:rFonts w:cs="宋体"/>
      <w:szCs w:val="20"/>
    </w:rPr>
  </w:style>
  <w:style w:type="paragraph" w:customStyle="1" w:styleId="474">
    <w:name w:val="表中字"/>
    <w:basedOn w:val="1"/>
    <w:qFormat/>
    <w:uiPriority w:val="0"/>
    <w:pPr>
      <w:spacing w:line="240" w:lineRule="atLeast"/>
    </w:pPr>
    <w:rPr>
      <w:rFonts w:ascii="宋体" w:hAnsi="宋体"/>
      <w:sz w:val="28"/>
      <w:szCs w:val="20"/>
    </w:rPr>
  </w:style>
  <w:style w:type="paragraph" w:customStyle="1" w:styleId="475">
    <w:name w:val="样式 表格正文 + 两端对齐"/>
    <w:basedOn w:val="1"/>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484D9-731E-4B9E-8972-C0C85C074C75}">
  <ds:schemaRefs/>
</ds:datastoreItem>
</file>

<file path=customXml/itemProps3.xml><?xml version="1.0" encoding="utf-8"?>
<ds:datastoreItem xmlns:ds="http://schemas.openxmlformats.org/officeDocument/2006/customXml" ds:itemID="{D47318B0-1716-4F0A-9FD6-D935712ADB27}">
  <ds:schemaRefs/>
</ds:datastoreItem>
</file>

<file path=customXml/itemProps4.xml><?xml version="1.0" encoding="utf-8"?>
<ds:datastoreItem xmlns:ds="http://schemas.openxmlformats.org/officeDocument/2006/customXml" ds:itemID="{3EFE0058-1091-4C42-BD6D-E6D0F36D6F2A}">
  <ds:schemaRefs/>
</ds:datastoreItem>
</file>

<file path=docProps/app.xml><?xml version="1.0" encoding="utf-8"?>
<Properties xmlns="http://schemas.openxmlformats.org/officeDocument/2006/extended-properties" xmlns:vt="http://schemas.openxmlformats.org/officeDocument/2006/docPropsVTypes">
  <Template>Normal</Template>
  <Company>GXZX</Company>
  <Pages>86</Pages>
  <Words>28508</Words>
  <Characters>8958</Characters>
  <Lines>74</Lines>
  <Paragraphs>74</Paragraphs>
  <TotalTime>3</TotalTime>
  <ScaleCrop>false</ScaleCrop>
  <LinksUpToDate>false</LinksUpToDate>
  <CharactersWithSpaces>37392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2018-03-22T10:11:00Z</dcterms:created>
  <dc:creator>User</dc:creator>
  <cp:lastModifiedBy>琳琳</cp:lastModifiedBy>
  <cp:lastPrinted>2017-08-10T08:30:00Z</cp:lastPrinted>
  <dcterms:modified xsi:type="dcterms:W3CDTF">2019-07-08T08:46:09Z</dcterms:modified>
  <dc:title>第二章  投标人须知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