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firstLine="2"/>
        <w:jc w:val="center"/>
        <w:rPr>
          <w:rFonts w:eastAsia="黑体"/>
          <w:b/>
          <w:sz w:val="44"/>
        </w:rPr>
      </w:pPr>
    </w:p>
    <w:p>
      <w:pPr>
        <w:jc w:val="both"/>
        <w:rPr>
          <w:rFonts w:eastAsia="黑体"/>
          <w:b/>
          <w:sz w:val="44"/>
        </w:rPr>
      </w:pPr>
    </w:p>
    <w:p>
      <w:pPr>
        <w:jc w:val="center"/>
        <w:rPr>
          <w:rFonts w:eastAsia="黑体"/>
          <w:b/>
          <w:sz w:val="44"/>
        </w:rPr>
      </w:pPr>
    </w:p>
    <w:p>
      <w:pPr>
        <w:ind w:left="-2" w:firstLine="2"/>
        <w:jc w:val="center"/>
        <w:rPr>
          <w:rFonts w:eastAsia="黑体"/>
          <w:b/>
          <w:sz w:val="84"/>
        </w:rPr>
      </w:pPr>
      <w:r>
        <w:rPr>
          <w:rFonts w:hint="eastAsia"/>
          <w:b/>
          <w:sz w:val="84"/>
        </w:rPr>
        <w:t>招</w:t>
      </w:r>
      <w:r>
        <w:rPr>
          <w:b/>
          <w:sz w:val="84"/>
        </w:rPr>
        <w:t xml:space="preserve"> </w:t>
      </w:r>
      <w:r>
        <w:rPr>
          <w:rFonts w:hint="eastAsia"/>
          <w:b/>
          <w:sz w:val="84"/>
        </w:rPr>
        <w:t xml:space="preserve"> 标 </w:t>
      </w:r>
      <w:r>
        <w:rPr>
          <w:b/>
          <w:sz w:val="84"/>
        </w:rPr>
        <w:t xml:space="preserve"> </w:t>
      </w:r>
      <w:r>
        <w:rPr>
          <w:rFonts w:hint="eastAsia"/>
          <w:b/>
          <w:sz w:val="84"/>
        </w:rPr>
        <w:t xml:space="preserve">文 </w:t>
      </w:r>
      <w:r>
        <w:rPr>
          <w:b/>
          <w:sz w:val="84"/>
        </w:rPr>
        <w:t xml:space="preserve"> </w:t>
      </w:r>
      <w:r>
        <w:rPr>
          <w:rFonts w:hint="eastAsia"/>
          <w:b/>
          <w:sz w:val="84"/>
        </w:rPr>
        <w:t>件</w:t>
      </w:r>
    </w:p>
    <w:p>
      <w:pPr>
        <w:ind w:left="-2" w:firstLine="2"/>
        <w:jc w:val="center"/>
      </w:pPr>
    </w:p>
    <w:p>
      <w:pPr>
        <w:ind w:left="-2" w:firstLine="2"/>
        <w:jc w:val="center"/>
        <w:rPr>
          <w:sz w:val="36"/>
        </w:rPr>
      </w:pPr>
    </w:p>
    <w:p>
      <w:pPr>
        <w:ind w:left="-2" w:firstLine="2"/>
        <w:jc w:val="center"/>
        <w:rPr>
          <w:sz w:val="36"/>
        </w:rPr>
      </w:pPr>
    </w:p>
    <w:p>
      <w:pPr>
        <w:ind w:left="-2" w:firstLine="2"/>
        <w:jc w:val="center"/>
        <w:rPr>
          <w:sz w:val="36"/>
        </w:rPr>
      </w:pPr>
    </w:p>
    <w:p>
      <w:pPr>
        <w:spacing w:line="360" w:lineRule="auto"/>
        <w:ind w:left="2360" w:leftChars="271" w:hanging="1818" w:hangingChars="503"/>
        <w:rPr>
          <w:b/>
          <w:sz w:val="36"/>
        </w:rPr>
      </w:pPr>
    </w:p>
    <w:p>
      <w:pPr>
        <w:spacing w:line="360" w:lineRule="auto"/>
        <w:ind w:left="2360" w:leftChars="271" w:hanging="1818" w:hangingChars="503"/>
        <w:rPr>
          <w:b/>
          <w:sz w:val="36"/>
        </w:rPr>
      </w:pPr>
    </w:p>
    <w:p>
      <w:pPr>
        <w:spacing w:line="360" w:lineRule="auto"/>
        <w:ind w:firstLine="1084" w:firstLineChars="300"/>
        <w:jc w:val="both"/>
        <w:rPr>
          <w:b/>
          <w:sz w:val="36"/>
          <w:szCs w:val="36"/>
        </w:rPr>
      </w:pPr>
      <w:r>
        <w:rPr>
          <w:rFonts w:hint="eastAsia"/>
          <w:b/>
          <w:sz w:val="36"/>
          <w:szCs w:val="36"/>
        </w:rPr>
        <w:t>项目名称：特箱折叠箱设备基础工程</w:t>
      </w:r>
    </w:p>
    <w:p>
      <w:pPr>
        <w:spacing w:line="360" w:lineRule="auto"/>
        <w:ind w:firstLine="1084" w:firstLineChars="300"/>
        <w:jc w:val="both"/>
        <w:rPr>
          <w:rFonts w:ascii="宋体" w:hAnsi="宋体"/>
          <w:b/>
          <w:bCs/>
          <w:w w:val="95"/>
          <w:sz w:val="36"/>
          <w:szCs w:val="36"/>
        </w:rPr>
      </w:pPr>
      <w:r>
        <w:rPr>
          <w:rFonts w:hint="eastAsia"/>
          <w:b/>
          <w:sz w:val="36"/>
          <w:szCs w:val="36"/>
        </w:rPr>
        <w:t>项目编号：GZHJ-20230904</w:t>
      </w:r>
    </w:p>
    <w:p>
      <w:pPr>
        <w:spacing w:line="360" w:lineRule="auto"/>
        <w:jc w:val="center"/>
        <w:rPr>
          <w:rFonts w:ascii="宋体" w:hAnsi="宋体"/>
          <w:b/>
          <w:bCs/>
          <w:w w:val="95"/>
          <w:sz w:val="36"/>
          <w:szCs w:val="36"/>
        </w:rPr>
      </w:pPr>
    </w:p>
    <w:p>
      <w:pPr>
        <w:spacing w:line="360" w:lineRule="auto"/>
        <w:jc w:val="both"/>
        <w:rPr>
          <w:rFonts w:ascii="宋体" w:hAnsi="宋体"/>
          <w:b/>
          <w:bCs/>
          <w:w w:val="95"/>
          <w:sz w:val="36"/>
          <w:szCs w:val="36"/>
        </w:rPr>
      </w:pPr>
    </w:p>
    <w:p>
      <w:pPr>
        <w:spacing w:line="360" w:lineRule="auto"/>
        <w:jc w:val="center"/>
        <w:rPr>
          <w:rFonts w:ascii="宋体" w:hAnsi="宋体"/>
          <w:b/>
          <w:bCs/>
          <w:w w:val="95"/>
          <w:sz w:val="36"/>
          <w:szCs w:val="36"/>
        </w:rPr>
      </w:pPr>
    </w:p>
    <w:p>
      <w:pPr>
        <w:ind w:firstLine="1440" w:firstLineChars="450"/>
        <w:rPr>
          <w:rFonts w:ascii="宋体" w:hAnsi="宋体"/>
          <w:sz w:val="32"/>
          <w:szCs w:val="32"/>
        </w:rPr>
      </w:pPr>
      <w:r>
        <w:rPr>
          <w:rFonts w:hint="eastAsia" w:ascii="宋体" w:hAnsi="宋体"/>
          <w:sz w:val="32"/>
          <w:szCs w:val="32"/>
        </w:rPr>
        <w:t>招 标 人：东方国际集装箱（广州）有限公司</w:t>
      </w:r>
    </w:p>
    <w:p>
      <w:pPr>
        <w:jc w:val="center"/>
        <w:rPr>
          <w:rFonts w:ascii="宋体" w:hAnsi="宋体"/>
          <w:sz w:val="32"/>
          <w:szCs w:val="32"/>
        </w:rPr>
      </w:pPr>
    </w:p>
    <w:p>
      <w:pPr>
        <w:ind w:firstLine="1440" w:firstLineChars="450"/>
        <w:rPr>
          <w:rFonts w:ascii="宋体" w:hAnsi="宋体"/>
          <w:sz w:val="32"/>
          <w:szCs w:val="32"/>
        </w:rPr>
      </w:pPr>
      <w:r>
        <w:rPr>
          <w:rFonts w:hint="eastAsia" w:ascii="宋体" w:hAnsi="宋体"/>
          <w:sz w:val="32"/>
          <w:szCs w:val="32"/>
        </w:rPr>
        <w:t>招标代理：广州海建工程咨询有限公司</w:t>
      </w:r>
    </w:p>
    <w:p>
      <w:pPr>
        <w:jc w:val="center"/>
        <w:rPr>
          <w:rFonts w:ascii="宋体" w:hAnsi="宋体"/>
          <w:sz w:val="32"/>
          <w:szCs w:val="32"/>
        </w:rPr>
      </w:pPr>
    </w:p>
    <w:p>
      <w:pPr>
        <w:spacing w:line="360" w:lineRule="auto"/>
        <w:ind w:left="-2" w:firstLine="1440" w:firstLineChars="450"/>
        <w:rPr>
          <w:rFonts w:ascii="宋体" w:hAnsi="宋体"/>
          <w:b/>
          <w:sz w:val="32"/>
        </w:rPr>
      </w:pPr>
      <w:r>
        <w:rPr>
          <w:rFonts w:hint="eastAsia" w:ascii="宋体" w:hAnsi="宋体"/>
          <w:sz w:val="32"/>
          <w:szCs w:val="32"/>
        </w:rPr>
        <w:t>日    期：20</w:t>
      </w:r>
      <w:r>
        <w:rPr>
          <w:rFonts w:ascii="宋体" w:hAnsi="宋体"/>
          <w:sz w:val="32"/>
          <w:szCs w:val="32"/>
        </w:rPr>
        <w:t>2</w:t>
      </w:r>
      <w:r>
        <w:rPr>
          <w:rFonts w:hint="eastAsia" w:ascii="宋体" w:hAnsi="宋体"/>
          <w:sz w:val="32"/>
          <w:szCs w:val="32"/>
        </w:rPr>
        <w:t>3年9月</w:t>
      </w:r>
    </w:p>
    <w:p>
      <w:pPr>
        <w:tabs>
          <w:tab w:val="left" w:pos="4735"/>
        </w:tabs>
        <w:spacing w:line="360" w:lineRule="auto"/>
        <w:jc w:val="center"/>
        <w:rPr>
          <w:rFonts w:ascii="宋体" w:hAnsi="宋体"/>
          <w:sz w:val="21"/>
        </w:rPr>
      </w:pPr>
    </w:p>
    <w:p>
      <w:pPr>
        <w:pStyle w:val="434"/>
        <w:spacing w:line="360" w:lineRule="auto"/>
        <w:jc w:val="left"/>
        <w:rPr>
          <w:rFonts w:hAnsi="宋体"/>
          <w:sz w:val="28"/>
          <w:szCs w:val="28"/>
        </w:rPr>
      </w:pPr>
    </w:p>
    <w:p>
      <w:pPr>
        <w:pStyle w:val="434"/>
        <w:spacing w:line="360" w:lineRule="auto"/>
        <w:rPr>
          <w:rFonts w:hAnsi="宋体"/>
          <w:sz w:val="28"/>
          <w:szCs w:val="28"/>
        </w:rPr>
        <w:sectPr>
          <w:headerReference r:id="rId3" w:type="default"/>
          <w:pgSz w:w="11907" w:h="16840"/>
          <w:pgMar w:top="1440" w:right="1797" w:bottom="1440" w:left="1797" w:header="851" w:footer="992" w:gutter="0"/>
          <w:pgNumType w:start="1"/>
          <w:cols w:space="720" w:num="1"/>
          <w:docGrid w:linePitch="312" w:charSpace="0"/>
        </w:sectPr>
      </w:pPr>
    </w:p>
    <w:p>
      <w:pPr>
        <w:pStyle w:val="434"/>
        <w:spacing w:line="360" w:lineRule="auto"/>
        <w:rPr>
          <w:rFonts w:hAnsi="宋体"/>
          <w:sz w:val="28"/>
          <w:szCs w:val="28"/>
        </w:rPr>
        <w:sectPr>
          <w:footerReference r:id="rId4" w:type="default"/>
          <w:pgSz w:w="11907" w:h="16840"/>
          <w:pgMar w:top="1440" w:right="1797" w:bottom="1440" w:left="1797" w:header="851" w:footer="992" w:gutter="0"/>
          <w:pgNumType w:start="1"/>
          <w:cols w:space="720" w:num="1"/>
          <w:docGrid w:linePitch="312" w:charSpace="0"/>
        </w:sectPr>
      </w:pPr>
    </w:p>
    <w:p>
      <w:pPr>
        <w:pStyle w:val="434"/>
        <w:spacing w:line="360" w:lineRule="auto"/>
        <w:rPr>
          <w:rFonts w:hAnsi="宋体"/>
          <w:sz w:val="28"/>
          <w:szCs w:val="28"/>
        </w:rPr>
      </w:pPr>
      <w:r>
        <w:rPr>
          <w:rFonts w:hint="eastAsia" w:hAnsi="宋体"/>
          <w:sz w:val="28"/>
          <w:szCs w:val="28"/>
        </w:rPr>
        <w:t>目   录</w:t>
      </w:r>
    </w:p>
    <w:sdt>
      <w:sdtPr>
        <w:rPr>
          <w:rFonts w:ascii="宋体" w:hAnsi="宋体" w:eastAsiaTheme="minorEastAsia" w:cstheme="minorBidi"/>
          <w:sz w:val="21"/>
        </w:rPr>
        <w:id w:val="147451730"/>
        <w15:color w:val="DBDBDB"/>
        <w:docPartObj>
          <w:docPartGallery w:val="Table of Contents"/>
          <w:docPartUnique/>
        </w:docPartObj>
      </w:sdtPr>
      <w:sdtEndPr>
        <w:rPr>
          <w:rFonts w:ascii="宋体" w:hAnsi="宋体" w:eastAsiaTheme="minorEastAsia" w:cstheme="minorBidi"/>
          <w:sz w:val="20"/>
        </w:rPr>
      </w:sdtEndPr>
      <w:sdtContent>
        <w:p>
          <w:pPr>
            <w:jc w:val="center"/>
          </w:pPr>
        </w:p>
        <w:p>
          <w:pPr>
            <w:pStyle w:val="474"/>
            <w:tabs>
              <w:tab w:val="right" w:leader="dot" w:pos="8313"/>
            </w:tabs>
            <w:ind w:left="400"/>
          </w:pPr>
          <w:r>
            <w:rPr>
              <w:rFonts w:ascii="宋体" w:hAnsi="宋体" w:eastAsia="宋体"/>
              <w:sz w:val="21"/>
            </w:rPr>
            <w:fldChar w:fldCharType="begin"/>
          </w:r>
          <w:r>
            <w:rPr>
              <w:rFonts w:ascii="宋体" w:hAnsi="宋体" w:eastAsia="宋体"/>
              <w:sz w:val="21"/>
            </w:rPr>
            <w:instrText xml:space="preserve">TOC \o "1-2" \h \u </w:instrText>
          </w:r>
          <w:r>
            <w:rPr>
              <w:rFonts w:ascii="宋体" w:hAnsi="宋体" w:eastAsia="宋体"/>
              <w:sz w:val="21"/>
            </w:rPr>
            <w:fldChar w:fldCharType="separate"/>
          </w:r>
          <w:r>
            <w:fldChar w:fldCharType="begin"/>
          </w:r>
          <w:r>
            <w:instrText xml:space="preserve"> HYPERLINK \l "_Toc22157" </w:instrText>
          </w:r>
          <w:r>
            <w:fldChar w:fldCharType="separate"/>
          </w:r>
          <w:r>
            <w:rPr>
              <w:rFonts w:hint="eastAsia"/>
            </w:rPr>
            <w:t>第一章  招标公告</w:t>
          </w:r>
          <w:r>
            <w:tab/>
          </w:r>
          <w:r>
            <w:fldChar w:fldCharType="begin"/>
          </w:r>
          <w:r>
            <w:instrText xml:space="preserve"> PAGEREF _Toc22157 \h </w:instrText>
          </w:r>
          <w:r>
            <w:fldChar w:fldCharType="separate"/>
          </w:r>
          <w:r>
            <w:t>2</w:t>
          </w:r>
          <w:r>
            <w:fldChar w:fldCharType="end"/>
          </w:r>
          <w:r>
            <w:fldChar w:fldCharType="end"/>
          </w:r>
        </w:p>
        <w:p>
          <w:pPr>
            <w:pStyle w:val="474"/>
            <w:tabs>
              <w:tab w:val="right" w:leader="dot" w:pos="8313"/>
            </w:tabs>
            <w:ind w:left="400"/>
          </w:pPr>
          <w:r>
            <w:fldChar w:fldCharType="begin"/>
          </w:r>
          <w:r>
            <w:instrText xml:space="preserve"> HYPERLINK \l "_Toc28642" </w:instrText>
          </w:r>
          <w:r>
            <w:fldChar w:fldCharType="separate"/>
          </w:r>
          <w:r>
            <w:rPr>
              <w:rFonts w:hint="eastAsia"/>
            </w:rPr>
            <w:t>第二章  投标须知及投标须知前附表</w:t>
          </w:r>
          <w:r>
            <w:tab/>
          </w:r>
          <w:r>
            <w:fldChar w:fldCharType="begin"/>
          </w:r>
          <w:r>
            <w:instrText xml:space="preserve"> PAGEREF _Toc28642 \h </w:instrText>
          </w:r>
          <w:r>
            <w:fldChar w:fldCharType="separate"/>
          </w:r>
          <w:r>
            <w:t>6</w:t>
          </w:r>
          <w:r>
            <w:fldChar w:fldCharType="end"/>
          </w:r>
          <w:r>
            <w:fldChar w:fldCharType="end"/>
          </w:r>
        </w:p>
        <w:p>
          <w:pPr>
            <w:pStyle w:val="474"/>
            <w:tabs>
              <w:tab w:val="right" w:leader="dot" w:pos="8313"/>
            </w:tabs>
            <w:ind w:left="400"/>
          </w:pPr>
          <w:r>
            <w:fldChar w:fldCharType="begin"/>
          </w:r>
          <w:r>
            <w:instrText xml:space="preserve"> HYPERLINK \l "_Toc28624" </w:instrText>
          </w:r>
          <w:r>
            <w:fldChar w:fldCharType="separate"/>
          </w:r>
          <w:r>
            <w:rPr>
              <w:rFonts w:hint="eastAsia" w:ascii="宋体" w:hAnsi="宋体"/>
              <w:szCs w:val="28"/>
            </w:rPr>
            <w:t>一、投标须知前附表</w:t>
          </w:r>
          <w:r>
            <w:tab/>
          </w:r>
          <w:r>
            <w:fldChar w:fldCharType="begin"/>
          </w:r>
          <w:r>
            <w:instrText xml:space="preserve"> PAGEREF _Toc28624 \h </w:instrText>
          </w:r>
          <w:r>
            <w:fldChar w:fldCharType="separate"/>
          </w:r>
          <w:r>
            <w:t>7</w:t>
          </w:r>
          <w:r>
            <w:fldChar w:fldCharType="end"/>
          </w:r>
          <w:r>
            <w:fldChar w:fldCharType="end"/>
          </w:r>
        </w:p>
        <w:p>
          <w:pPr>
            <w:pStyle w:val="474"/>
            <w:tabs>
              <w:tab w:val="right" w:leader="dot" w:pos="8313"/>
            </w:tabs>
            <w:ind w:left="400"/>
          </w:pPr>
          <w:r>
            <w:fldChar w:fldCharType="begin"/>
          </w:r>
          <w:r>
            <w:instrText xml:space="preserve"> HYPERLINK \l "_Toc59" </w:instrText>
          </w:r>
          <w:r>
            <w:fldChar w:fldCharType="separate"/>
          </w:r>
          <w:r>
            <w:rPr>
              <w:rFonts w:hint="eastAsia" w:ascii="宋体" w:hAnsi="宋体"/>
              <w:szCs w:val="28"/>
            </w:rPr>
            <w:t>二、投标须知</w:t>
          </w:r>
          <w:r>
            <w:tab/>
          </w:r>
          <w:r>
            <w:fldChar w:fldCharType="begin"/>
          </w:r>
          <w:r>
            <w:instrText xml:space="preserve"> PAGEREF _Toc59 \h </w:instrText>
          </w:r>
          <w:r>
            <w:fldChar w:fldCharType="separate"/>
          </w:r>
          <w:r>
            <w:t>9</w:t>
          </w:r>
          <w:r>
            <w:fldChar w:fldCharType="end"/>
          </w:r>
          <w:r>
            <w:fldChar w:fldCharType="end"/>
          </w:r>
        </w:p>
        <w:p>
          <w:pPr>
            <w:pStyle w:val="474"/>
            <w:tabs>
              <w:tab w:val="right" w:leader="dot" w:pos="8313"/>
            </w:tabs>
            <w:ind w:left="400"/>
          </w:pPr>
          <w:r>
            <w:fldChar w:fldCharType="begin"/>
          </w:r>
          <w:r>
            <w:instrText xml:space="preserve"> HYPERLINK \l "_Toc19591" </w:instrText>
          </w:r>
          <w:r>
            <w:fldChar w:fldCharType="separate"/>
          </w:r>
          <w:r>
            <w:rPr>
              <w:rFonts w:hint="eastAsia"/>
            </w:rPr>
            <w:t>第三章  合同格式</w:t>
          </w:r>
          <w:r>
            <w:tab/>
          </w:r>
          <w:r>
            <w:fldChar w:fldCharType="begin"/>
          </w:r>
          <w:r>
            <w:instrText xml:space="preserve"> PAGEREF _Toc19591 \h </w:instrText>
          </w:r>
          <w:r>
            <w:fldChar w:fldCharType="separate"/>
          </w:r>
          <w:r>
            <w:t>20</w:t>
          </w:r>
          <w:r>
            <w:fldChar w:fldCharType="end"/>
          </w:r>
          <w:r>
            <w:fldChar w:fldCharType="end"/>
          </w:r>
        </w:p>
        <w:p>
          <w:pPr>
            <w:pStyle w:val="474"/>
            <w:tabs>
              <w:tab w:val="right" w:leader="dot" w:pos="8313"/>
            </w:tabs>
            <w:ind w:left="400"/>
          </w:pPr>
          <w:r>
            <w:fldChar w:fldCharType="begin"/>
          </w:r>
          <w:r>
            <w:instrText xml:space="preserve"> HYPERLINK \l "_Toc1444" </w:instrText>
          </w:r>
          <w:r>
            <w:fldChar w:fldCharType="separate"/>
          </w:r>
          <w:r>
            <w:rPr>
              <w:rFonts w:hint="eastAsia"/>
            </w:rPr>
            <w:t>第四章  工程建设标准</w:t>
          </w:r>
          <w:r>
            <w:tab/>
          </w:r>
          <w:r>
            <w:fldChar w:fldCharType="begin"/>
          </w:r>
          <w:r>
            <w:instrText xml:space="preserve"> PAGEREF _Toc1444 \h </w:instrText>
          </w:r>
          <w:r>
            <w:fldChar w:fldCharType="separate"/>
          </w:r>
          <w:r>
            <w:t>75</w:t>
          </w:r>
          <w:r>
            <w:fldChar w:fldCharType="end"/>
          </w:r>
          <w:r>
            <w:fldChar w:fldCharType="end"/>
          </w:r>
        </w:p>
        <w:p>
          <w:pPr>
            <w:pStyle w:val="474"/>
            <w:tabs>
              <w:tab w:val="right" w:leader="dot" w:pos="8313"/>
            </w:tabs>
            <w:ind w:left="400"/>
          </w:pPr>
          <w:r>
            <w:fldChar w:fldCharType="begin"/>
          </w:r>
          <w:r>
            <w:instrText xml:space="preserve"> HYPERLINK \l "_Toc13851" </w:instrText>
          </w:r>
          <w:r>
            <w:fldChar w:fldCharType="separate"/>
          </w:r>
          <w:r>
            <w:rPr>
              <w:rFonts w:hint="eastAsia"/>
            </w:rPr>
            <w:t>第五章  图纸、工程量清单</w:t>
          </w:r>
          <w:r>
            <w:tab/>
          </w:r>
          <w:r>
            <w:fldChar w:fldCharType="begin"/>
          </w:r>
          <w:r>
            <w:instrText xml:space="preserve"> PAGEREF _Toc13851 \h </w:instrText>
          </w:r>
          <w:r>
            <w:fldChar w:fldCharType="separate"/>
          </w:r>
          <w:r>
            <w:t>77</w:t>
          </w:r>
          <w:r>
            <w:fldChar w:fldCharType="end"/>
          </w:r>
          <w:r>
            <w:fldChar w:fldCharType="end"/>
          </w:r>
        </w:p>
        <w:p>
          <w:pPr>
            <w:pStyle w:val="474"/>
            <w:tabs>
              <w:tab w:val="right" w:leader="dot" w:pos="8313"/>
            </w:tabs>
            <w:ind w:left="400"/>
          </w:pPr>
          <w:r>
            <w:fldChar w:fldCharType="begin"/>
          </w:r>
          <w:r>
            <w:instrText xml:space="preserve"> HYPERLINK \l "_Toc135" </w:instrText>
          </w:r>
          <w:r>
            <w:fldChar w:fldCharType="separate"/>
          </w:r>
          <w:r>
            <w:rPr>
              <w:rFonts w:hint="eastAsia"/>
            </w:rPr>
            <w:t>第六章  投标函格式</w:t>
          </w:r>
          <w:r>
            <w:tab/>
          </w:r>
          <w:r>
            <w:fldChar w:fldCharType="begin"/>
          </w:r>
          <w:r>
            <w:instrText xml:space="preserve"> PAGEREF _Toc135 \h </w:instrText>
          </w:r>
          <w:r>
            <w:fldChar w:fldCharType="separate"/>
          </w:r>
          <w:r>
            <w:t>79</w:t>
          </w:r>
          <w:r>
            <w:fldChar w:fldCharType="end"/>
          </w:r>
          <w:r>
            <w:fldChar w:fldCharType="end"/>
          </w:r>
        </w:p>
        <w:p>
          <w:pPr>
            <w:pStyle w:val="474"/>
            <w:tabs>
              <w:tab w:val="right" w:leader="dot" w:pos="8313"/>
            </w:tabs>
            <w:ind w:left="400"/>
          </w:pPr>
          <w:r>
            <w:fldChar w:fldCharType="begin"/>
          </w:r>
          <w:r>
            <w:instrText xml:space="preserve"> HYPERLINK \l "_Toc5243" </w:instrText>
          </w:r>
          <w:r>
            <w:fldChar w:fldCharType="separate"/>
          </w:r>
          <w:r>
            <w:rPr>
              <w:rFonts w:hint="eastAsia" w:ascii="宋体" w:hAnsi="宋体"/>
            </w:rPr>
            <w:t>一、投 标 函</w:t>
          </w:r>
          <w:r>
            <w:tab/>
          </w:r>
          <w:r>
            <w:fldChar w:fldCharType="begin"/>
          </w:r>
          <w:r>
            <w:instrText xml:space="preserve"> PAGEREF _Toc5243 \h </w:instrText>
          </w:r>
          <w:r>
            <w:fldChar w:fldCharType="separate"/>
          </w:r>
          <w:r>
            <w:t>80</w:t>
          </w:r>
          <w:r>
            <w:fldChar w:fldCharType="end"/>
          </w:r>
          <w:r>
            <w:fldChar w:fldCharType="end"/>
          </w:r>
        </w:p>
        <w:p>
          <w:pPr>
            <w:pStyle w:val="474"/>
            <w:tabs>
              <w:tab w:val="right" w:leader="dot" w:pos="8313"/>
            </w:tabs>
            <w:ind w:left="400"/>
          </w:pPr>
          <w:r>
            <w:fldChar w:fldCharType="begin"/>
          </w:r>
          <w:r>
            <w:instrText xml:space="preserve"> HYPERLINK \l "_Toc10976" </w:instrText>
          </w:r>
          <w:r>
            <w:fldChar w:fldCharType="separate"/>
          </w:r>
          <w:r>
            <w:rPr>
              <w:rFonts w:hint="eastAsia" w:ascii="宋体" w:hAnsi="宋体"/>
            </w:rPr>
            <w:t>二、投标函附录</w:t>
          </w:r>
          <w:r>
            <w:tab/>
          </w:r>
          <w:r>
            <w:fldChar w:fldCharType="begin"/>
          </w:r>
          <w:r>
            <w:instrText xml:space="preserve"> PAGEREF _Toc10976 \h </w:instrText>
          </w:r>
          <w:r>
            <w:fldChar w:fldCharType="separate"/>
          </w:r>
          <w:r>
            <w:t>81</w:t>
          </w:r>
          <w:r>
            <w:fldChar w:fldCharType="end"/>
          </w:r>
          <w:r>
            <w:fldChar w:fldCharType="end"/>
          </w:r>
        </w:p>
        <w:p>
          <w:pPr>
            <w:pStyle w:val="474"/>
            <w:tabs>
              <w:tab w:val="right" w:leader="dot" w:pos="8313"/>
            </w:tabs>
            <w:ind w:left="400"/>
          </w:pPr>
          <w:r>
            <w:fldChar w:fldCharType="begin"/>
          </w:r>
          <w:r>
            <w:instrText xml:space="preserve"> HYPERLINK \l "_Toc11550" </w:instrText>
          </w:r>
          <w:r>
            <w:fldChar w:fldCharType="separate"/>
          </w:r>
          <w:r>
            <w:rPr>
              <w:rFonts w:hint="eastAsia" w:ascii="宋体" w:hAnsi="宋体"/>
            </w:rPr>
            <w:t>三、投标保证转账回执复印件</w:t>
          </w:r>
          <w:r>
            <w:tab/>
          </w:r>
          <w:r>
            <w:fldChar w:fldCharType="begin"/>
          </w:r>
          <w:r>
            <w:instrText xml:space="preserve"> PAGEREF _Toc11550 \h </w:instrText>
          </w:r>
          <w:r>
            <w:fldChar w:fldCharType="separate"/>
          </w:r>
          <w:r>
            <w:t>82</w:t>
          </w:r>
          <w:r>
            <w:fldChar w:fldCharType="end"/>
          </w:r>
          <w:r>
            <w:fldChar w:fldCharType="end"/>
          </w:r>
        </w:p>
        <w:p>
          <w:pPr>
            <w:pStyle w:val="474"/>
            <w:tabs>
              <w:tab w:val="right" w:leader="dot" w:pos="8313"/>
            </w:tabs>
            <w:ind w:left="400"/>
          </w:pPr>
          <w:r>
            <w:fldChar w:fldCharType="begin"/>
          </w:r>
          <w:r>
            <w:instrText xml:space="preserve"> HYPERLINK \l "_Toc24977" </w:instrText>
          </w:r>
          <w:r>
            <w:fldChar w:fldCharType="separate"/>
          </w:r>
          <w:r>
            <w:rPr>
              <w:rFonts w:hint="eastAsia" w:ascii="宋体" w:hAnsi="宋体"/>
            </w:rPr>
            <w:t>四、法定代表人身份证明书</w:t>
          </w:r>
          <w:r>
            <w:tab/>
          </w:r>
          <w:r>
            <w:fldChar w:fldCharType="begin"/>
          </w:r>
          <w:r>
            <w:instrText xml:space="preserve"> PAGEREF _Toc24977 \h </w:instrText>
          </w:r>
          <w:r>
            <w:fldChar w:fldCharType="separate"/>
          </w:r>
          <w:r>
            <w:t>83</w:t>
          </w:r>
          <w:r>
            <w:fldChar w:fldCharType="end"/>
          </w:r>
          <w:r>
            <w:fldChar w:fldCharType="end"/>
          </w:r>
        </w:p>
        <w:p>
          <w:pPr>
            <w:pStyle w:val="474"/>
            <w:tabs>
              <w:tab w:val="right" w:leader="dot" w:pos="8313"/>
            </w:tabs>
            <w:ind w:left="400"/>
          </w:pPr>
          <w:r>
            <w:fldChar w:fldCharType="begin"/>
          </w:r>
          <w:r>
            <w:instrText xml:space="preserve"> HYPERLINK \l "_Toc12389" </w:instrText>
          </w:r>
          <w:r>
            <w:fldChar w:fldCharType="separate"/>
          </w:r>
          <w:r>
            <w:rPr>
              <w:rFonts w:hint="eastAsia" w:ascii="宋体" w:hAnsi="宋体"/>
            </w:rPr>
            <w:t>五、投标文件签署授权委托书</w:t>
          </w:r>
          <w:r>
            <w:tab/>
          </w:r>
          <w:r>
            <w:fldChar w:fldCharType="begin"/>
          </w:r>
          <w:r>
            <w:instrText xml:space="preserve"> PAGEREF _Toc12389 \h </w:instrText>
          </w:r>
          <w:r>
            <w:fldChar w:fldCharType="separate"/>
          </w:r>
          <w:r>
            <w:t>84</w:t>
          </w:r>
          <w:r>
            <w:fldChar w:fldCharType="end"/>
          </w:r>
          <w:r>
            <w:fldChar w:fldCharType="end"/>
          </w:r>
        </w:p>
        <w:p>
          <w:pPr>
            <w:pStyle w:val="474"/>
            <w:tabs>
              <w:tab w:val="right" w:leader="dot" w:pos="8313"/>
            </w:tabs>
            <w:ind w:left="400"/>
          </w:pPr>
          <w:r>
            <w:fldChar w:fldCharType="begin"/>
          </w:r>
          <w:r>
            <w:instrText xml:space="preserve"> HYPERLINK \l "_Toc26193" </w:instrText>
          </w:r>
          <w:r>
            <w:fldChar w:fldCharType="separate"/>
          </w:r>
          <w:r>
            <w:rPr>
              <w:rFonts w:hint="eastAsia" w:ascii="宋体" w:hAnsi="宋体"/>
            </w:rPr>
            <w:t>六、联合体协议书</w:t>
          </w:r>
          <w:r>
            <w:tab/>
          </w:r>
          <w:r>
            <w:fldChar w:fldCharType="begin"/>
          </w:r>
          <w:r>
            <w:instrText xml:space="preserve"> PAGEREF _Toc26193 \h </w:instrText>
          </w:r>
          <w:r>
            <w:fldChar w:fldCharType="separate"/>
          </w:r>
          <w:r>
            <w:t>85</w:t>
          </w:r>
          <w:r>
            <w:fldChar w:fldCharType="end"/>
          </w:r>
          <w:r>
            <w:fldChar w:fldCharType="end"/>
          </w:r>
        </w:p>
        <w:p>
          <w:pPr>
            <w:pStyle w:val="474"/>
            <w:tabs>
              <w:tab w:val="right" w:leader="dot" w:pos="8313"/>
            </w:tabs>
            <w:ind w:left="400"/>
          </w:pPr>
          <w:r>
            <w:fldChar w:fldCharType="begin"/>
          </w:r>
          <w:r>
            <w:instrText xml:space="preserve"> HYPERLINK \l "_Toc26755" </w:instrText>
          </w:r>
          <w:r>
            <w:fldChar w:fldCharType="separate"/>
          </w:r>
          <w:r>
            <w:rPr>
              <w:rFonts w:hint="eastAsia"/>
            </w:rPr>
            <w:t>第七章  投标文件商务部分格式</w:t>
          </w:r>
          <w:r>
            <w:tab/>
          </w:r>
          <w:r>
            <w:fldChar w:fldCharType="begin"/>
          </w:r>
          <w:r>
            <w:instrText xml:space="preserve"> PAGEREF _Toc26755 \h </w:instrText>
          </w:r>
          <w:r>
            <w:fldChar w:fldCharType="separate"/>
          </w:r>
          <w:r>
            <w:t>86</w:t>
          </w:r>
          <w:r>
            <w:fldChar w:fldCharType="end"/>
          </w:r>
          <w:r>
            <w:fldChar w:fldCharType="end"/>
          </w:r>
        </w:p>
        <w:p>
          <w:pPr>
            <w:pStyle w:val="474"/>
            <w:tabs>
              <w:tab w:val="right" w:leader="dot" w:pos="8313"/>
            </w:tabs>
            <w:ind w:left="400"/>
          </w:pPr>
          <w:r>
            <w:fldChar w:fldCharType="begin"/>
          </w:r>
          <w:r>
            <w:instrText xml:space="preserve"> HYPERLINK \l "_Toc5245" </w:instrText>
          </w:r>
          <w:r>
            <w:fldChar w:fldCharType="separate"/>
          </w:r>
          <w:r>
            <w:rPr>
              <w:rFonts w:hint="eastAsia" w:ascii="宋体" w:hAnsi="宋体"/>
              <w:bCs/>
              <w:szCs w:val="24"/>
            </w:rPr>
            <w:t>一、企业业绩及信誉等内容</w:t>
          </w:r>
          <w:r>
            <w:tab/>
          </w:r>
          <w:r>
            <w:fldChar w:fldCharType="begin"/>
          </w:r>
          <w:r>
            <w:instrText xml:space="preserve"> PAGEREF _Toc5245 \h </w:instrText>
          </w:r>
          <w:r>
            <w:fldChar w:fldCharType="separate"/>
          </w:r>
          <w:r>
            <w:t>87</w:t>
          </w:r>
          <w:r>
            <w:fldChar w:fldCharType="end"/>
          </w:r>
          <w:r>
            <w:fldChar w:fldCharType="end"/>
          </w:r>
        </w:p>
        <w:p>
          <w:pPr>
            <w:pStyle w:val="474"/>
            <w:tabs>
              <w:tab w:val="right" w:leader="dot" w:pos="8313"/>
            </w:tabs>
            <w:ind w:left="400"/>
          </w:pPr>
          <w:r>
            <w:fldChar w:fldCharType="begin"/>
          </w:r>
          <w:r>
            <w:instrText xml:space="preserve"> HYPERLINK \l "_Toc11609" </w:instrText>
          </w:r>
          <w:r>
            <w:fldChar w:fldCharType="separate"/>
          </w:r>
          <w:r>
            <w:rPr>
              <w:rFonts w:hint="eastAsia" w:ascii="宋体" w:hAnsi="宋体"/>
            </w:rPr>
            <w:t>二、投标报价内容</w:t>
          </w:r>
          <w:r>
            <w:tab/>
          </w:r>
          <w:r>
            <w:fldChar w:fldCharType="begin"/>
          </w:r>
          <w:r>
            <w:instrText xml:space="preserve"> PAGEREF _Toc11609 \h </w:instrText>
          </w:r>
          <w:r>
            <w:fldChar w:fldCharType="separate"/>
          </w:r>
          <w:r>
            <w:t>95</w:t>
          </w:r>
          <w:r>
            <w:fldChar w:fldCharType="end"/>
          </w:r>
          <w:r>
            <w:fldChar w:fldCharType="end"/>
          </w:r>
        </w:p>
        <w:p>
          <w:pPr>
            <w:pStyle w:val="474"/>
            <w:tabs>
              <w:tab w:val="right" w:leader="dot" w:pos="8313"/>
            </w:tabs>
            <w:ind w:left="400"/>
          </w:pPr>
          <w:r>
            <w:fldChar w:fldCharType="begin"/>
          </w:r>
          <w:r>
            <w:instrText xml:space="preserve"> HYPERLINK \l "_Toc18222" </w:instrText>
          </w:r>
          <w:r>
            <w:fldChar w:fldCharType="separate"/>
          </w:r>
          <w:r>
            <w:rPr>
              <w:rFonts w:hint="eastAsia"/>
            </w:rPr>
            <w:t>第八章  投标文件技术部分格式</w:t>
          </w:r>
          <w:r>
            <w:tab/>
          </w:r>
          <w:r>
            <w:fldChar w:fldCharType="begin"/>
          </w:r>
          <w:r>
            <w:instrText xml:space="preserve"> PAGEREF _Toc18222 \h </w:instrText>
          </w:r>
          <w:r>
            <w:fldChar w:fldCharType="separate"/>
          </w:r>
          <w:r>
            <w:t>96</w:t>
          </w:r>
          <w:r>
            <w:fldChar w:fldCharType="end"/>
          </w:r>
          <w:r>
            <w:fldChar w:fldCharType="end"/>
          </w:r>
        </w:p>
        <w:p>
          <w:pPr>
            <w:pStyle w:val="474"/>
            <w:tabs>
              <w:tab w:val="right" w:leader="dot" w:pos="8313"/>
            </w:tabs>
            <w:ind w:left="400"/>
          </w:pPr>
          <w:r>
            <w:fldChar w:fldCharType="begin"/>
          </w:r>
          <w:r>
            <w:instrText xml:space="preserve"> HYPERLINK \l "_Toc7429" </w:instrText>
          </w:r>
          <w:r>
            <w:fldChar w:fldCharType="separate"/>
          </w:r>
          <w:r>
            <w:rPr>
              <w:rFonts w:hint="eastAsia"/>
            </w:rPr>
            <w:t>第九章  评标办法</w:t>
          </w:r>
          <w:r>
            <w:tab/>
          </w:r>
          <w:r>
            <w:fldChar w:fldCharType="begin"/>
          </w:r>
          <w:r>
            <w:instrText xml:space="preserve"> PAGEREF _Toc7429 \h </w:instrText>
          </w:r>
          <w:r>
            <w:fldChar w:fldCharType="separate"/>
          </w:r>
          <w:r>
            <w:t>98</w:t>
          </w:r>
          <w:r>
            <w:fldChar w:fldCharType="end"/>
          </w:r>
          <w:r>
            <w:fldChar w:fldCharType="end"/>
          </w:r>
        </w:p>
        <w:p>
          <w:pPr>
            <w:pStyle w:val="474"/>
            <w:tabs>
              <w:tab w:val="right" w:leader="dot" w:pos="8313"/>
            </w:tabs>
            <w:ind w:left="400"/>
          </w:pPr>
          <w:r>
            <w:fldChar w:fldCharType="begin"/>
          </w:r>
          <w:r>
            <w:instrText xml:space="preserve"> HYPERLINK \l "_Toc12403" </w:instrText>
          </w:r>
          <w:r>
            <w:fldChar w:fldCharType="separate"/>
          </w:r>
          <w:r>
            <w:rPr>
              <w:rFonts w:hint="eastAsia" w:ascii="宋体" w:hAnsi="宋体"/>
              <w:bCs/>
            </w:rPr>
            <w:t>一、总则</w:t>
          </w:r>
          <w:r>
            <w:tab/>
          </w:r>
          <w:r>
            <w:fldChar w:fldCharType="begin"/>
          </w:r>
          <w:r>
            <w:instrText xml:space="preserve"> PAGEREF _Toc12403 \h </w:instrText>
          </w:r>
          <w:r>
            <w:fldChar w:fldCharType="separate"/>
          </w:r>
          <w:r>
            <w:t>99</w:t>
          </w:r>
          <w:r>
            <w:fldChar w:fldCharType="end"/>
          </w:r>
          <w:r>
            <w:fldChar w:fldCharType="end"/>
          </w:r>
        </w:p>
        <w:p>
          <w:pPr>
            <w:pStyle w:val="474"/>
            <w:tabs>
              <w:tab w:val="right" w:leader="dot" w:pos="8313"/>
            </w:tabs>
            <w:ind w:left="400"/>
          </w:pPr>
          <w:r>
            <w:fldChar w:fldCharType="begin"/>
          </w:r>
          <w:r>
            <w:instrText xml:space="preserve"> HYPERLINK \l "_Toc28440" </w:instrText>
          </w:r>
          <w:r>
            <w:fldChar w:fldCharType="separate"/>
          </w:r>
          <w:r>
            <w:rPr>
              <w:rFonts w:hint="eastAsia" w:ascii="宋体" w:hAnsi="宋体"/>
              <w:bCs/>
            </w:rPr>
            <w:t>二、评标步骤</w:t>
          </w:r>
          <w:r>
            <w:tab/>
          </w:r>
          <w:r>
            <w:fldChar w:fldCharType="begin"/>
          </w:r>
          <w:r>
            <w:instrText xml:space="preserve"> PAGEREF _Toc28440 \h </w:instrText>
          </w:r>
          <w:r>
            <w:fldChar w:fldCharType="separate"/>
          </w:r>
          <w:r>
            <w:t>99</w:t>
          </w:r>
          <w:r>
            <w:fldChar w:fldCharType="end"/>
          </w:r>
          <w:r>
            <w:fldChar w:fldCharType="end"/>
          </w:r>
        </w:p>
        <w:p>
          <w:pPr>
            <w:pStyle w:val="474"/>
            <w:tabs>
              <w:tab w:val="right" w:leader="dot" w:pos="8313"/>
            </w:tabs>
            <w:ind w:left="400"/>
          </w:pPr>
          <w:r>
            <w:fldChar w:fldCharType="begin"/>
          </w:r>
          <w:r>
            <w:instrText xml:space="preserve"> HYPERLINK \l "_Toc4810" </w:instrText>
          </w:r>
          <w:r>
            <w:fldChar w:fldCharType="separate"/>
          </w:r>
          <w:r>
            <w:rPr>
              <w:rFonts w:hint="eastAsia" w:ascii="宋体" w:hAnsi="宋体"/>
              <w:bCs/>
            </w:rPr>
            <w:t>三、推荐中标候选人</w:t>
          </w:r>
          <w:r>
            <w:tab/>
          </w:r>
          <w:r>
            <w:fldChar w:fldCharType="begin"/>
          </w:r>
          <w:r>
            <w:instrText xml:space="preserve"> PAGEREF _Toc4810 \h </w:instrText>
          </w:r>
          <w:r>
            <w:fldChar w:fldCharType="separate"/>
          </w:r>
          <w:r>
            <w:t>100</w:t>
          </w:r>
          <w:r>
            <w:fldChar w:fldCharType="end"/>
          </w:r>
          <w:r>
            <w:fldChar w:fldCharType="end"/>
          </w:r>
        </w:p>
        <w:p>
          <w:pPr>
            <w:pStyle w:val="474"/>
            <w:tabs>
              <w:tab w:val="right" w:leader="dot" w:pos="8313"/>
            </w:tabs>
            <w:ind w:left="400"/>
          </w:pPr>
          <w:r>
            <w:fldChar w:fldCharType="begin"/>
          </w:r>
          <w:r>
            <w:instrText xml:space="preserve"> HYPERLINK \l "_Toc27010" </w:instrText>
          </w:r>
          <w:r>
            <w:fldChar w:fldCharType="separate"/>
          </w:r>
          <w:r>
            <w:rPr>
              <w:rFonts w:hint="eastAsia" w:ascii="宋体" w:hAnsi="宋体"/>
              <w:bCs/>
            </w:rPr>
            <w:t>四、审定中标人</w:t>
          </w:r>
          <w:r>
            <w:tab/>
          </w:r>
          <w:r>
            <w:fldChar w:fldCharType="begin"/>
          </w:r>
          <w:r>
            <w:instrText xml:space="preserve"> PAGEREF _Toc27010 \h </w:instrText>
          </w:r>
          <w:r>
            <w:fldChar w:fldCharType="separate"/>
          </w:r>
          <w:r>
            <w:t>101</w:t>
          </w:r>
          <w:r>
            <w:fldChar w:fldCharType="end"/>
          </w:r>
          <w:r>
            <w:fldChar w:fldCharType="end"/>
          </w:r>
        </w:p>
        <w:p>
          <w:pPr>
            <w:pStyle w:val="474"/>
            <w:tabs>
              <w:tab w:val="right" w:leader="dot" w:pos="8313"/>
            </w:tabs>
            <w:ind w:left="400"/>
          </w:pPr>
          <w:r>
            <w:fldChar w:fldCharType="begin"/>
          </w:r>
          <w:r>
            <w:instrText xml:space="preserve"> HYPERLINK \l "_Toc15838" </w:instrText>
          </w:r>
          <w:r>
            <w:fldChar w:fldCharType="separate"/>
          </w:r>
          <w:r>
            <w:rPr>
              <w:rFonts w:hint="eastAsia" w:ascii="宋体" w:hAnsi="宋体"/>
              <w:bCs/>
            </w:rPr>
            <w:t>五、保密注意事项</w:t>
          </w:r>
          <w:r>
            <w:tab/>
          </w:r>
          <w:r>
            <w:fldChar w:fldCharType="begin"/>
          </w:r>
          <w:r>
            <w:instrText xml:space="preserve"> PAGEREF _Toc15838 \h </w:instrText>
          </w:r>
          <w:r>
            <w:fldChar w:fldCharType="separate"/>
          </w:r>
          <w:r>
            <w:t>101</w:t>
          </w:r>
          <w:r>
            <w:fldChar w:fldCharType="end"/>
          </w:r>
          <w:r>
            <w:fldChar w:fldCharType="end"/>
          </w:r>
        </w:p>
        <w:p>
          <w:pPr>
            <w:pStyle w:val="474"/>
            <w:tabs>
              <w:tab w:val="right" w:leader="dot" w:pos="8313"/>
            </w:tabs>
            <w:ind w:left="400"/>
          </w:pPr>
          <w:r>
            <w:fldChar w:fldCharType="begin"/>
          </w:r>
          <w:r>
            <w:instrText xml:space="preserve"> HYPERLINK \l "_Toc7534" </w:instrText>
          </w:r>
          <w:r>
            <w:fldChar w:fldCharType="separate"/>
          </w:r>
          <w:r>
            <w:rPr>
              <w:rFonts w:hint="eastAsia" w:ascii="宋体" w:hAnsi="宋体"/>
              <w:bCs/>
            </w:rPr>
            <w:t>六、相关附件</w:t>
          </w:r>
          <w:r>
            <w:tab/>
          </w:r>
          <w:r>
            <w:fldChar w:fldCharType="begin"/>
          </w:r>
          <w:r>
            <w:instrText xml:space="preserve"> PAGEREF _Toc7534 \h </w:instrText>
          </w:r>
          <w:r>
            <w:fldChar w:fldCharType="separate"/>
          </w:r>
          <w:r>
            <w:t>101</w:t>
          </w:r>
          <w:r>
            <w:fldChar w:fldCharType="end"/>
          </w:r>
          <w:r>
            <w:fldChar w:fldCharType="end"/>
          </w:r>
        </w:p>
        <w:p>
          <w:pPr>
            <w:pStyle w:val="473"/>
            <w:tabs>
              <w:tab w:val="right" w:leader="dot" w:pos="8313"/>
            </w:tabs>
            <w:rPr>
              <w:b/>
            </w:rPr>
          </w:pPr>
          <w:r>
            <w:fldChar w:fldCharType="begin"/>
          </w:r>
          <w:r>
            <w:instrText xml:space="preserve"> HYPERLINK \l "_Toc30273" </w:instrText>
          </w:r>
          <w:r>
            <w:fldChar w:fldCharType="separate"/>
          </w:r>
          <w:r>
            <w:rPr>
              <w:rFonts w:hint="eastAsia" w:ascii="宋体" w:hAnsi="宋体"/>
              <w:b/>
              <w:szCs w:val="21"/>
            </w:rPr>
            <w:t>附件1：资格审查标准</w:t>
          </w:r>
          <w:r>
            <w:rPr>
              <w:b/>
            </w:rPr>
            <w:tab/>
          </w:r>
          <w:r>
            <w:rPr>
              <w:b/>
            </w:rPr>
            <w:fldChar w:fldCharType="begin"/>
          </w:r>
          <w:r>
            <w:rPr>
              <w:b/>
            </w:rPr>
            <w:instrText xml:space="preserve"> PAGEREF _Toc30273 \h </w:instrText>
          </w:r>
          <w:r>
            <w:rPr>
              <w:b/>
            </w:rPr>
            <w:fldChar w:fldCharType="separate"/>
          </w:r>
          <w:r>
            <w:rPr>
              <w:b/>
            </w:rPr>
            <w:t>101</w:t>
          </w:r>
          <w:r>
            <w:rPr>
              <w:b/>
            </w:rPr>
            <w:fldChar w:fldCharType="end"/>
          </w:r>
          <w:r>
            <w:rPr>
              <w:b/>
            </w:rPr>
            <w:fldChar w:fldCharType="end"/>
          </w:r>
        </w:p>
        <w:p>
          <w:pPr>
            <w:pStyle w:val="473"/>
            <w:tabs>
              <w:tab w:val="right" w:leader="dot" w:pos="8313"/>
            </w:tabs>
            <w:rPr>
              <w:b/>
            </w:rPr>
          </w:pPr>
          <w:r>
            <w:fldChar w:fldCharType="begin"/>
          </w:r>
          <w:r>
            <w:instrText xml:space="preserve"> HYPERLINK \l "_Toc7410" </w:instrText>
          </w:r>
          <w:r>
            <w:fldChar w:fldCharType="separate"/>
          </w:r>
          <w:r>
            <w:rPr>
              <w:rFonts w:hint="eastAsia" w:ascii="宋体" w:hAnsi="宋体"/>
              <w:b/>
              <w:szCs w:val="21"/>
            </w:rPr>
            <w:t>附件2：符合性审查标准</w:t>
          </w:r>
          <w:r>
            <w:rPr>
              <w:b/>
            </w:rPr>
            <w:tab/>
          </w:r>
          <w:r>
            <w:rPr>
              <w:b/>
            </w:rPr>
            <w:fldChar w:fldCharType="begin"/>
          </w:r>
          <w:r>
            <w:rPr>
              <w:b/>
            </w:rPr>
            <w:instrText xml:space="preserve"> PAGEREF _Toc7410 \h </w:instrText>
          </w:r>
          <w:r>
            <w:rPr>
              <w:b/>
            </w:rPr>
            <w:fldChar w:fldCharType="separate"/>
          </w:r>
          <w:r>
            <w:rPr>
              <w:b/>
            </w:rPr>
            <w:t>101</w:t>
          </w:r>
          <w:r>
            <w:rPr>
              <w:b/>
            </w:rPr>
            <w:fldChar w:fldCharType="end"/>
          </w:r>
          <w:r>
            <w:rPr>
              <w:b/>
            </w:rPr>
            <w:fldChar w:fldCharType="end"/>
          </w:r>
        </w:p>
        <w:p>
          <w:pPr>
            <w:pStyle w:val="473"/>
            <w:tabs>
              <w:tab w:val="right" w:leader="dot" w:pos="8313"/>
            </w:tabs>
            <w:rPr>
              <w:b/>
            </w:rPr>
          </w:pPr>
          <w:r>
            <w:fldChar w:fldCharType="begin"/>
          </w:r>
          <w:r>
            <w:instrText xml:space="preserve"> HYPERLINK \l "_Toc3667" </w:instrText>
          </w:r>
          <w:r>
            <w:fldChar w:fldCharType="separate"/>
          </w:r>
          <w:r>
            <w:rPr>
              <w:rFonts w:hint="eastAsia" w:ascii="宋体" w:hAnsi="宋体"/>
              <w:b/>
              <w:szCs w:val="21"/>
            </w:rPr>
            <w:t>附件3：商务评审细则</w:t>
          </w:r>
          <w:r>
            <w:rPr>
              <w:b/>
            </w:rPr>
            <w:tab/>
          </w:r>
          <w:r>
            <w:rPr>
              <w:b/>
            </w:rPr>
            <w:fldChar w:fldCharType="begin"/>
          </w:r>
          <w:r>
            <w:rPr>
              <w:b/>
            </w:rPr>
            <w:instrText xml:space="preserve"> PAGEREF _Toc3667 \h </w:instrText>
          </w:r>
          <w:r>
            <w:rPr>
              <w:b/>
            </w:rPr>
            <w:fldChar w:fldCharType="separate"/>
          </w:r>
          <w:r>
            <w:rPr>
              <w:b/>
            </w:rPr>
            <w:t>101</w:t>
          </w:r>
          <w:r>
            <w:rPr>
              <w:b/>
            </w:rPr>
            <w:fldChar w:fldCharType="end"/>
          </w:r>
          <w:r>
            <w:rPr>
              <w:b/>
            </w:rPr>
            <w:fldChar w:fldCharType="end"/>
          </w:r>
        </w:p>
        <w:p>
          <w:pPr>
            <w:pStyle w:val="473"/>
            <w:tabs>
              <w:tab w:val="right" w:leader="dot" w:pos="8313"/>
            </w:tabs>
            <w:rPr>
              <w:b/>
            </w:rPr>
          </w:pPr>
          <w:r>
            <w:fldChar w:fldCharType="begin"/>
          </w:r>
          <w:r>
            <w:instrText xml:space="preserve"> HYPERLINK \l "_Toc24325" </w:instrText>
          </w:r>
          <w:r>
            <w:fldChar w:fldCharType="separate"/>
          </w:r>
          <w:r>
            <w:rPr>
              <w:rFonts w:hint="eastAsia" w:ascii="宋体" w:hAnsi="宋体"/>
              <w:b/>
              <w:szCs w:val="21"/>
            </w:rPr>
            <w:t>附件4：技术评审细则</w:t>
          </w:r>
          <w:r>
            <w:rPr>
              <w:b/>
            </w:rPr>
            <w:tab/>
          </w:r>
          <w:r>
            <w:rPr>
              <w:b/>
            </w:rPr>
            <w:fldChar w:fldCharType="begin"/>
          </w:r>
          <w:r>
            <w:rPr>
              <w:b/>
            </w:rPr>
            <w:instrText xml:space="preserve"> PAGEREF _Toc24325 \h </w:instrText>
          </w:r>
          <w:r>
            <w:rPr>
              <w:b/>
            </w:rPr>
            <w:fldChar w:fldCharType="separate"/>
          </w:r>
          <w:r>
            <w:rPr>
              <w:b/>
            </w:rPr>
            <w:t>101</w:t>
          </w:r>
          <w:r>
            <w:rPr>
              <w:b/>
            </w:rPr>
            <w:fldChar w:fldCharType="end"/>
          </w:r>
          <w:r>
            <w:rPr>
              <w:b/>
            </w:rPr>
            <w:fldChar w:fldCharType="end"/>
          </w:r>
        </w:p>
        <w:p>
          <w:pPr>
            <w:pStyle w:val="473"/>
            <w:tabs>
              <w:tab w:val="right" w:leader="dot" w:pos="8313"/>
            </w:tabs>
            <w:rPr>
              <w:b/>
            </w:rPr>
          </w:pPr>
          <w:r>
            <w:fldChar w:fldCharType="begin"/>
          </w:r>
          <w:r>
            <w:instrText xml:space="preserve"> HYPERLINK \l "_Toc16095" </w:instrText>
          </w:r>
          <w:r>
            <w:fldChar w:fldCharType="separate"/>
          </w:r>
          <w:r>
            <w:rPr>
              <w:rFonts w:hint="eastAsia" w:ascii="宋体" w:hAnsi="宋体"/>
              <w:b/>
              <w:szCs w:val="21"/>
            </w:rPr>
            <w:t>附件1：资格审查标准</w:t>
          </w:r>
          <w:r>
            <w:rPr>
              <w:b/>
            </w:rPr>
            <w:tab/>
          </w:r>
          <w:r>
            <w:rPr>
              <w:b/>
            </w:rPr>
            <w:fldChar w:fldCharType="begin"/>
          </w:r>
          <w:r>
            <w:rPr>
              <w:b/>
            </w:rPr>
            <w:instrText xml:space="preserve"> PAGEREF _Toc16095 \h </w:instrText>
          </w:r>
          <w:r>
            <w:rPr>
              <w:b/>
            </w:rPr>
            <w:fldChar w:fldCharType="separate"/>
          </w:r>
          <w:r>
            <w:rPr>
              <w:b/>
            </w:rPr>
            <w:t>102</w:t>
          </w:r>
          <w:r>
            <w:rPr>
              <w:b/>
            </w:rPr>
            <w:fldChar w:fldCharType="end"/>
          </w:r>
          <w:r>
            <w:rPr>
              <w:b/>
            </w:rPr>
            <w:fldChar w:fldCharType="end"/>
          </w:r>
        </w:p>
        <w:p>
          <w:pPr>
            <w:pStyle w:val="473"/>
            <w:tabs>
              <w:tab w:val="right" w:leader="dot" w:pos="8313"/>
            </w:tabs>
            <w:rPr>
              <w:b/>
            </w:rPr>
          </w:pPr>
          <w:r>
            <w:fldChar w:fldCharType="begin"/>
          </w:r>
          <w:r>
            <w:instrText xml:space="preserve"> HYPERLINK \l "_Toc10289" </w:instrText>
          </w:r>
          <w:r>
            <w:fldChar w:fldCharType="separate"/>
          </w:r>
          <w:r>
            <w:rPr>
              <w:rFonts w:hint="eastAsia" w:ascii="宋体" w:hAnsi="宋体"/>
              <w:b/>
              <w:szCs w:val="21"/>
            </w:rPr>
            <w:t>附件2：符合性审查标准</w:t>
          </w:r>
          <w:r>
            <w:rPr>
              <w:b/>
            </w:rPr>
            <w:tab/>
          </w:r>
          <w:r>
            <w:rPr>
              <w:b/>
            </w:rPr>
            <w:fldChar w:fldCharType="begin"/>
          </w:r>
          <w:r>
            <w:rPr>
              <w:b/>
            </w:rPr>
            <w:instrText xml:space="preserve"> PAGEREF _Toc10289 \h </w:instrText>
          </w:r>
          <w:r>
            <w:rPr>
              <w:b/>
            </w:rPr>
            <w:fldChar w:fldCharType="separate"/>
          </w:r>
          <w:r>
            <w:rPr>
              <w:b/>
            </w:rPr>
            <w:t>103</w:t>
          </w:r>
          <w:r>
            <w:rPr>
              <w:b/>
            </w:rPr>
            <w:fldChar w:fldCharType="end"/>
          </w:r>
          <w:r>
            <w:rPr>
              <w:b/>
            </w:rPr>
            <w:fldChar w:fldCharType="end"/>
          </w:r>
        </w:p>
        <w:p>
          <w:pPr>
            <w:pStyle w:val="473"/>
            <w:tabs>
              <w:tab w:val="right" w:leader="dot" w:pos="8313"/>
            </w:tabs>
            <w:rPr>
              <w:b/>
            </w:rPr>
          </w:pPr>
          <w:r>
            <w:fldChar w:fldCharType="begin"/>
          </w:r>
          <w:r>
            <w:instrText xml:space="preserve"> HYPERLINK \l "_Toc5513" </w:instrText>
          </w:r>
          <w:r>
            <w:fldChar w:fldCharType="separate"/>
          </w:r>
          <w:r>
            <w:rPr>
              <w:rFonts w:hint="eastAsia" w:ascii="宋体" w:hAnsi="宋体"/>
              <w:b/>
              <w:szCs w:val="21"/>
            </w:rPr>
            <w:t>附件3：商务评审细则</w:t>
          </w:r>
          <w:r>
            <w:rPr>
              <w:b/>
            </w:rPr>
            <w:tab/>
          </w:r>
          <w:r>
            <w:rPr>
              <w:b/>
            </w:rPr>
            <w:fldChar w:fldCharType="begin"/>
          </w:r>
          <w:r>
            <w:rPr>
              <w:b/>
            </w:rPr>
            <w:instrText xml:space="preserve"> PAGEREF _Toc5513 \h </w:instrText>
          </w:r>
          <w:r>
            <w:rPr>
              <w:b/>
            </w:rPr>
            <w:fldChar w:fldCharType="separate"/>
          </w:r>
          <w:r>
            <w:rPr>
              <w:b/>
            </w:rPr>
            <w:t>104</w:t>
          </w:r>
          <w:r>
            <w:rPr>
              <w:b/>
            </w:rPr>
            <w:fldChar w:fldCharType="end"/>
          </w:r>
          <w:r>
            <w:rPr>
              <w:b/>
            </w:rPr>
            <w:fldChar w:fldCharType="end"/>
          </w:r>
        </w:p>
        <w:p>
          <w:pPr>
            <w:pStyle w:val="473"/>
            <w:tabs>
              <w:tab w:val="right" w:leader="dot" w:pos="8313"/>
            </w:tabs>
            <w:rPr>
              <w:b/>
            </w:rPr>
          </w:pPr>
          <w:r>
            <w:fldChar w:fldCharType="begin"/>
          </w:r>
          <w:r>
            <w:instrText xml:space="preserve"> HYPERLINK \l "_Toc17860" </w:instrText>
          </w:r>
          <w:r>
            <w:fldChar w:fldCharType="separate"/>
          </w:r>
          <w:r>
            <w:rPr>
              <w:rFonts w:hint="eastAsia" w:ascii="宋体" w:hAnsi="宋体"/>
              <w:b/>
              <w:szCs w:val="21"/>
            </w:rPr>
            <w:t>附件4：技术评审细则</w:t>
          </w:r>
          <w:r>
            <w:rPr>
              <w:b/>
            </w:rPr>
            <w:tab/>
          </w:r>
          <w:r>
            <w:rPr>
              <w:b/>
            </w:rPr>
            <w:fldChar w:fldCharType="begin"/>
          </w:r>
          <w:r>
            <w:rPr>
              <w:b/>
            </w:rPr>
            <w:instrText xml:space="preserve"> PAGEREF _Toc17860 \h </w:instrText>
          </w:r>
          <w:r>
            <w:rPr>
              <w:b/>
            </w:rPr>
            <w:fldChar w:fldCharType="separate"/>
          </w:r>
          <w:r>
            <w:rPr>
              <w:b/>
            </w:rPr>
            <w:t>105</w:t>
          </w:r>
          <w:r>
            <w:rPr>
              <w:b/>
            </w:rPr>
            <w:fldChar w:fldCharType="end"/>
          </w:r>
          <w:r>
            <w:rPr>
              <w:b/>
            </w:rPr>
            <w:fldChar w:fldCharType="end"/>
          </w:r>
        </w:p>
        <w:p>
          <w:pPr>
            <w:pStyle w:val="474"/>
            <w:tabs>
              <w:tab w:val="right" w:leader="dot" w:pos="8313"/>
            </w:tabs>
            <w:ind w:left="400"/>
            <w:rPr>
              <w:rFonts w:ascii="宋体" w:hAnsi="宋体" w:eastAsia="宋体"/>
              <w:sz w:val="21"/>
            </w:rPr>
          </w:pPr>
          <w:r>
            <w:rPr>
              <w:rFonts w:ascii="宋体" w:hAnsi="宋体" w:eastAsia="宋体"/>
            </w:rPr>
            <w:fldChar w:fldCharType="end"/>
          </w:r>
        </w:p>
      </w:sdtContent>
    </w:sdt>
    <w:p>
      <w:pPr>
        <w:pStyle w:val="474"/>
        <w:tabs>
          <w:tab w:val="right" w:leader="dot" w:pos="8313"/>
        </w:tabs>
        <w:spacing w:line="360" w:lineRule="auto"/>
        <w:ind w:left="400"/>
      </w:pPr>
      <w:sdt>
        <w:sdtPr>
          <w:rPr>
            <w:rFonts w:ascii="宋体" w:hAnsi="宋体" w:eastAsia="宋体" w:cs="Times New Roman"/>
            <w:sz w:val="21"/>
          </w:rPr>
          <w:id w:val="147460936"/>
          <w:showingPlcHdr/>
          <w:docPartObj>
            <w:docPartGallery w:val="Table of Contents"/>
            <w:docPartUnique/>
          </w:docPartObj>
        </w:sdtPr>
        <w:sdtEndPr>
          <w:rPr>
            <w:rFonts w:asciiTheme="minorHAnsi" w:hAnsiTheme="minorHAnsi" w:eastAsiaTheme="minorEastAsia" w:cstheme="minorBidi"/>
            <w:sz w:val="21"/>
          </w:rPr>
        </w:sdtEndPr>
        <w:sdtContent/>
      </w:sdt>
    </w:p>
    <w:p>
      <w:pPr>
        <w:pStyle w:val="47"/>
        <w:tabs>
          <w:tab w:val="right" w:leader="dot" w:pos="8364"/>
          <w:tab w:val="clear" w:pos="9470"/>
        </w:tabs>
        <w:spacing w:line="360" w:lineRule="auto"/>
        <w:ind w:left="0"/>
        <w:rPr>
          <w:rFonts w:ascii="宋体" w:hAnsi="宋体"/>
          <w:sz w:val="24"/>
        </w:rPr>
      </w:pPr>
    </w:p>
    <w:p>
      <w:pPr>
        <w:bidi w:val="0"/>
      </w:pPr>
    </w:p>
    <w:p>
      <w:pPr>
        <w:bidi w:val="0"/>
      </w:pPr>
    </w:p>
    <w:p>
      <w:pPr>
        <w:tabs>
          <w:tab w:val="center" w:pos="4156"/>
        </w:tabs>
        <w:bidi w:val="0"/>
        <w:jc w:val="left"/>
        <w:rPr>
          <w:rFonts w:hint="eastAsia" w:eastAsia="宋体"/>
          <w:lang w:eastAsia="zh-CN"/>
        </w:rPr>
        <w:sectPr>
          <w:footerReference r:id="rId5" w:type="default"/>
          <w:pgSz w:w="11907" w:h="16840"/>
          <w:pgMar w:top="1440" w:right="1797" w:bottom="1440" w:left="1797" w:header="851" w:footer="992" w:gutter="0"/>
          <w:pgNumType w:fmt="decimal" w:start="1"/>
          <w:cols w:space="720" w:num="1"/>
          <w:docGrid w:linePitch="312" w:charSpace="0"/>
        </w:sectPr>
      </w:pPr>
      <w:r>
        <w:rPr>
          <w:rFonts w:hint="eastAsia"/>
          <w:lang w:eastAsia="zh-CN"/>
        </w:rPr>
        <w:tab/>
      </w:r>
    </w:p>
    <w:p>
      <w:pPr>
        <w:rPr>
          <w:rFonts w:ascii="宋体" w:hAnsi="宋体"/>
        </w:rPr>
      </w:pPr>
    </w:p>
    <w:p>
      <w:pPr>
        <w:pStyle w:val="2"/>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69"/>
        <w:rPr>
          <w:rFonts w:hint="default" w:ascii="宋体" w:hAnsi="宋体"/>
        </w:rPr>
      </w:pPr>
    </w:p>
    <w:p>
      <w:pPr>
        <w:pStyle w:val="69"/>
        <w:rPr>
          <w:rFonts w:hint="default" w:ascii="宋体" w:hAnsi="宋体"/>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0" w:name="_Toc276925239"/>
      <w:bookmarkStart w:id="1" w:name="_Toc22157"/>
      <w:bookmarkStart w:id="2" w:name="_Toc777774"/>
      <w:bookmarkStart w:id="3" w:name="_Toc15205_WPSOffice_Level1"/>
      <w:bookmarkStart w:id="4" w:name="_Toc429827525"/>
      <w:r>
        <w:rPr>
          <w:rFonts w:hint="eastAsia"/>
          <w:color w:val="auto"/>
        </w:rPr>
        <w:t xml:space="preserve">第一章  </w:t>
      </w:r>
      <w:bookmarkEnd w:id="0"/>
      <w:r>
        <w:rPr>
          <w:rFonts w:hint="eastAsia"/>
          <w:color w:val="auto"/>
        </w:rPr>
        <w:t>招标公告</w:t>
      </w:r>
      <w:bookmarkEnd w:id="1"/>
      <w:bookmarkEnd w:id="2"/>
      <w:bookmarkEnd w:id="3"/>
      <w:bookmarkEnd w:id="4"/>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sectPr>
          <w:pgSz w:w="11907" w:h="16840"/>
          <w:pgMar w:top="1440" w:right="1797" w:bottom="1440" w:left="1797" w:header="851" w:footer="992" w:gutter="0"/>
          <w:pgNumType w:fmt="decimal"/>
          <w:cols w:space="720" w:num="1"/>
          <w:docGrid w:linePitch="312" w:charSpace="0"/>
        </w:sectPr>
      </w:pPr>
    </w:p>
    <w:p>
      <w:pPr>
        <w:keepNext/>
        <w:keepLines/>
        <w:widowControl w:val="0"/>
        <w:spacing w:before="340" w:after="330"/>
        <w:jc w:val="center"/>
        <w:outlineLvl w:val="0"/>
        <w:rPr>
          <w:rFonts w:ascii="宋体" w:hAnsi="宋体"/>
          <w:b/>
          <w:bCs/>
          <w:kern w:val="44"/>
          <w:sz w:val="32"/>
          <w:szCs w:val="32"/>
        </w:rPr>
      </w:pPr>
      <w:bookmarkStart w:id="5" w:name="_Toc777775"/>
      <w:bookmarkStart w:id="6" w:name="_Toc19689"/>
      <w:bookmarkStart w:id="7" w:name="_Toc429827526"/>
      <w:bookmarkStart w:id="8" w:name="_Toc18020_WPSOffice_Level2"/>
      <w:bookmarkStart w:id="9" w:name="_Hlk50040711"/>
      <w:r>
        <w:rPr>
          <w:rFonts w:hint="eastAsia" w:ascii="宋体" w:hAnsi="宋体"/>
          <w:b/>
          <w:bCs/>
          <w:kern w:val="44"/>
          <w:sz w:val="32"/>
          <w:szCs w:val="32"/>
        </w:rPr>
        <w:t>招标公告</w:t>
      </w:r>
      <w:bookmarkEnd w:id="5"/>
      <w:bookmarkEnd w:id="6"/>
      <w:bookmarkEnd w:id="7"/>
      <w:bookmarkEnd w:id="8"/>
    </w:p>
    <w:p>
      <w:pPr>
        <w:widowControl w:val="0"/>
        <w:numPr>
          <w:ilvl w:val="0"/>
          <w:numId w:val="5"/>
        </w:numPr>
        <w:spacing w:line="360" w:lineRule="auto"/>
        <w:ind w:left="567" w:hanging="567"/>
        <w:jc w:val="both"/>
        <w:rPr>
          <w:rFonts w:ascii="宋体" w:hAnsi="宋体"/>
          <w:sz w:val="21"/>
          <w:szCs w:val="21"/>
        </w:rPr>
      </w:pPr>
      <w:r>
        <w:rPr>
          <w:rFonts w:hint="eastAsia" w:ascii="宋体" w:hAnsi="宋体"/>
          <w:sz w:val="21"/>
          <w:szCs w:val="21"/>
        </w:rPr>
        <w:t>招标条件</w:t>
      </w:r>
    </w:p>
    <w:p>
      <w:pPr>
        <w:spacing w:line="360" w:lineRule="auto"/>
        <w:ind w:left="540" w:leftChars="270"/>
        <w:rPr>
          <w:rFonts w:ascii="宋体" w:hAnsi="宋体"/>
          <w:sz w:val="21"/>
          <w:szCs w:val="21"/>
        </w:rPr>
      </w:pPr>
      <w:r>
        <w:rPr>
          <w:rFonts w:hint="eastAsia" w:ascii="宋体" w:hAnsi="宋体"/>
          <w:b/>
          <w:sz w:val="21"/>
          <w:szCs w:val="21"/>
        </w:rPr>
        <w:t xml:space="preserve">     </w:t>
      </w:r>
      <w:r>
        <w:rPr>
          <w:rFonts w:hint="eastAsia" w:ascii="宋体" w:hAnsi="宋体"/>
          <w:b/>
          <w:sz w:val="21"/>
          <w:szCs w:val="21"/>
          <w:u w:val="single"/>
        </w:rPr>
        <w:t>东方国际集装箱（广州）有限公司</w:t>
      </w:r>
      <w:r>
        <w:rPr>
          <w:rFonts w:hint="eastAsia" w:ascii="宋体" w:hAnsi="宋体"/>
          <w:bCs/>
          <w:sz w:val="21"/>
          <w:szCs w:val="21"/>
        </w:rPr>
        <w:t>委托</w:t>
      </w:r>
      <w:r>
        <w:rPr>
          <w:rFonts w:hint="eastAsia" w:ascii="宋体" w:hAnsi="宋体"/>
          <w:b/>
          <w:sz w:val="21"/>
          <w:szCs w:val="21"/>
          <w:u w:val="single"/>
        </w:rPr>
        <w:t>广州海建工程咨询有限公司</w:t>
      </w:r>
      <w:r>
        <w:rPr>
          <w:rFonts w:hint="eastAsia" w:ascii="宋体" w:hAnsi="宋体"/>
          <w:sz w:val="21"/>
          <w:szCs w:val="21"/>
        </w:rPr>
        <w:t>，对</w:t>
      </w:r>
      <w:r>
        <w:rPr>
          <w:rFonts w:hint="eastAsia" w:ascii="宋体" w:hAnsi="宋体"/>
          <w:b/>
          <w:sz w:val="21"/>
          <w:szCs w:val="21"/>
          <w:u w:val="single"/>
        </w:rPr>
        <w:t>特箱折叠箱设备基础工程</w:t>
      </w:r>
      <w:r>
        <w:rPr>
          <w:rFonts w:hint="eastAsia" w:ascii="宋体" w:hAnsi="宋体"/>
          <w:bCs/>
          <w:sz w:val="21"/>
          <w:szCs w:val="21"/>
        </w:rPr>
        <w:t>进行公开招标，</w:t>
      </w:r>
      <w:r>
        <w:rPr>
          <w:rFonts w:hint="eastAsia" w:ascii="宋体" w:hAnsi="宋体"/>
          <w:sz w:val="21"/>
          <w:szCs w:val="21"/>
        </w:rPr>
        <w:t>建设资金为企业自筹资金。项目已具备招标条件，现在进行招标，邀请有兴趣的潜在投标人参加投标。</w:t>
      </w:r>
    </w:p>
    <w:p>
      <w:pPr>
        <w:widowControl w:val="0"/>
        <w:numPr>
          <w:ilvl w:val="0"/>
          <w:numId w:val="5"/>
        </w:numPr>
        <w:spacing w:line="360" w:lineRule="auto"/>
        <w:ind w:left="567" w:hanging="567"/>
        <w:jc w:val="both"/>
        <w:rPr>
          <w:rFonts w:ascii="宋体" w:hAnsi="宋体"/>
          <w:sz w:val="21"/>
          <w:szCs w:val="21"/>
        </w:rPr>
      </w:pPr>
      <w:r>
        <w:rPr>
          <w:rFonts w:hint="eastAsia" w:ascii="宋体" w:hAnsi="宋体"/>
          <w:sz w:val="21"/>
          <w:szCs w:val="21"/>
        </w:rPr>
        <w:t>项目概况与招标范围</w:t>
      </w:r>
    </w:p>
    <w:p>
      <w:pPr>
        <w:spacing w:line="360" w:lineRule="auto"/>
        <w:ind w:left="540" w:leftChars="270"/>
        <w:jc w:val="both"/>
        <w:rPr>
          <w:rFonts w:ascii="宋体" w:hAnsi="宋体"/>
          <w:sz w:val="21"/>
          <w:szCs w:val="21"/>
        </w:rPr>
      </w:pPr>
      <w:r>
        <w:rPr>
          <w:rFonts w:hint="eastAsia" w:ascii="宋体" w:hAnsi="宋体"/>
          <w:sz w:val="21"/>
          <w:szCs w:val="21"/>
        </w:rPr>
        <w:t>项目概况：本项目为特箱折叠箱设备基础工程，增加折叠箱设备的相关基础。按照特箱折叠箱设备基础方案施工，工程量如下：挖一般土方约122立方，平整场地约2392平方，挖基坑土方约333立方，挖沟槽土方约22立方，回填方约230立方，余方弃置约248立方，预制Ф300钢筋混凝土管桩约2475米，Ф300试验桩约50米，Ф300送桩约79米，桩底顶C35微膨胀砼约2立方，截桩头约99根，桩尖约99个，桩头插筋约1吨，垫层约250立方，底板约628立方，基础梁约7立方，直行墙约24立方，现浇构件钢筋约43吨，预埋铁件约2吨，Ф110预埋管约227米。基础图见附件增加基础。 具体详见工程量清单。</w:t>
      </w:r>
    </w:p>
    <w:p>
      <w:pPr>
        <w:spacing w:line="360" w:lineRule="auto"/>
        <w:ind w:left="540" w:leftChars="270"/>
        <w:rPr>
          <w:rFonts w:ascii="宋体" w:hAnsi="宋体"/>
          <w:sz w:val="21"/>
          <w:szCs w:val="21"/>
        </w:rPr>
      </w:pPr>
      <w:r>
        <w:rPr>
          <w:rFonts w:hint="eastAsia" w:ascii="宋体" w:hAnsi="宋体"/>
          <w:sz w:val="21"/>
          <w:szCs w:val="21"/>
        </w:rPr>
        <w:t>计划工期：20天（日历天数）。</w:t>
      </w:r>
    </w:p>
    <w:p>
      <w:pPr>
        <w:pStyle w:val="2"/>
      </w:pPr>
    </w:p>
    <w:p>
      <w:pPr>
        <w:spacing w:line="360" w:lineRule="auto"/>
        <w:ind w:left="540" w:leftChars="270"/>
        <w:jc w:val="both"/>
        <w:rPr>
          <w:rFonts w:ascii="宋体" w:hAnsi="宋体"/>
          <w:sz w:val="21"/>
          <w:szCs w:val="21"/>
        </w:rPr>
      </w:pPr>
      <w:r>
        <w:rPr>
          <w:rFonts w:hint="eastAsia" w:ascii="宋体" w:hAnsi="宋体"/>
          <w:sz w:val="21"/>
          <w:szCs w:val="21"/>
        </w:rPr>
        <w:t>招标范围：本项目为特箱折叠箱设备基础工程，增加折叠箱设备的相关基础。按照特箱折叠箱设备基础方案施工，工程量如下：挖一般土方约122立方，平整场地约2392平方，挖基坑土方约333立方，挖沟槽土方约22立方，回填方约230立方，余方弃置约248立方，预制Ф300钢筋混凝土管桩约2475米，Ф300试验桩约50米，Ф300送桩约79米，桩底顶C35微膨胀砼约2立方，截桩头约99根，桩尖约99个，桩头插筋约1吨，垫层约250立方，底板约628立方，基础梁约7立方，直行墙约24立方，现浇构件钢筋约43吨，预埋铁件约2吨，Ф110预埋管约227米。基础图见附件增加基础。 具体详见工程量清单。</w:t>
      </w:r>
    </w:p>
    <w:p>
      <w:pPr>
        <w:spacing w:line="360" w:lineRule="auto"/>
        <w:ind w:left="541" w:leftChars="270" w:hanging="1"/>
        <w:rPr>
          <w:rFonts w:ascii="宋体" w:hAnsi="宋体"/>
          <w:sz w:val="21"/>
          <w:szCs w:val="21"/>
        </w:rPr>
      </w:pPr>
      <w:r>
        <w:rPr>
          <w:rFonts w:hint="eastAsia" w:ascii="宋体" w:hAnsi="宋体"/>
          <w:sz w:val="21"/>
          <w:szCs w:val="21"/>
        </w:rPr>
        <w:t>最高限价：人民币</w:t>
      </w:r>
      <w:r>
        <w:rPr>
          <w:rFonts w:hint="eastAsia" w:ascii="宋体" w:hAnsi="宋体"/>
          <w:sz w:val="21"/>
          <w:szCs w:val="21"/>
          <w:u w:val="single"/>
        </w:rPr>
        <w:t xml:space="preserve">1741044.58 </w:t>
      </w:r>
      <w:r>
        <w:rPr>
          <w:rFonts w:hint="eastAsia" w:ascii="宋体" w:hAnsi="宋体"/>
          <w:sz w:val="21"/>
          <w:szCs w:val="21"/>
        </w:rPr>
        <w:t>元。</w:t>
      </w:r>
    </w:p>
    <w:p>
      <w:pPr>
        <w:spacing w:line="360" w:lineRule="auto"/>
        <w:ind w:left="541" w:leftChars="270" w:hanging="1"/>
        <w:rPr>
          <w:rFonts w:ascii="宋体" w:hAnsi="宋体"/>
          <w:sz w:val="21"/>
          <w:szCs w:val="21"/>
        </w:rPr>
      </w:pPr>
      <w:r>
        <w:rPr>
          <w:rFonts w:hint="eastAsia" w:ascii="宋体" w:hAnsi="宋体"/>
          <w:sz w:val="21"/>
          <w:szCs w:val="21"/>
        </w:rPr>
        <w:t>工程位置：广州市南沙区万顷沙镇新安工业园红安路2号。</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投标人资格要求</w:t>
      </w:r>
    </w:p>
    <w:p>
      <w:pPr>
        <w:spacing w:line="360" w:lineRule="auto"/>
        <w:rPr>
          <w:rFonts w:ascii="宋体" w:hAnsi="宋体"/>
          <w:sz w:val="21"/>
          <w:szCs w:val="21"/>
        </w:rPr>
      </w:pPr>
      <w:r>
        <w:rPr>
          <w:rFonts w:hint="eastAsia" w:ascii="宋体" w:hAnsi="宋体"/>
          <w:sz w:val="21"/>
          <w:szCs w:val="21"/>
        </w:rPr>
        <w:t xml:space="preserve">     （1）投标人参加投标的意思表达清楚，投标人代表被授权有效；</w:t>
      </w:r>
    </w:p>
    <w:p>
      <w:pPr>
        <w:spacing w:line="360" w:lineRule="auto"/>
        <w:ind w:left="540" w:leftChars="270"/>
        <w:rPr>
          <w:rFonts w:ascii="宋体" w:hAnsi="宋体"/>
          <w:sz w:val="21"/>
          <w:szCs w:val="21"/>
        </w:rPr>
      </w:pPr>
      <w:r>
        <w:rPr>
          <w:rFonts w:hint="eastAsia" w:ascii="宋体" w:hAnsi="宋体"/>
          <w:sz w:val="21"/>
          <w:szCs w:val="21"/>
        </w:rPr>
        <w:t>（2）投标人为中华人民共和国国内注册的独立法人，持有工商行政管理部门核发的营业执照；</w:t>
      </w:r>
    </w:p>
    <w:p>
      <w:pPr>
        <w:spacing w:line="360" w:lineRule="auto"/>
        <w:ind w:left="540" w:leftChars="270"/>
        <w:rPr>
          <w:rFonts w:ascii="宋体" w:hAnsi="宋体"/>
          <w:sz w:val="21"/>
          <w:szCs w:val="21"/>
        </w:rPr>
      </w:pPr>
      <w:r>
        <w:rPr>
          <w:rFonts w:hint="eastAsia" w:ascii="宋体" w:hAnsi="宋体"/>
          <w:sz w:val="21"/>
          <w:szCs w:val="21"/>
        </w:rPr>
        <w:t>（3）投标人具有承接本工程所需的建筑工程施工总承包三级或以上级别施工总承包资质。</w:t>
      </w:r>
    </w:p>
    <w:p>
      <w:pPr>
        <w:spacing w:line="360" w:lineRule="auto"/>
        <w:ind w:left="540" w:leftChars="270"/>
        <w:rPr>
          <w:rFonts w:ascii="宋体" w:hAnsi="宋体"/>
          <w:sz w:val="21"/>
          <w:szCs w:val="21"/>
        </w:rPr>
      </w:pPr>
      <w:r>
        <w:rPr>
          <w:rFonts w:hint="eastAsia" w:ascii="宋体" w:hAnsi="宋体"/>
          <w:sz w:val="21"/>
          <w:szCs w:val="21"/>
        </w:rPr>
        <w:t>（4）投标人具有有效企业安全生产许可证；</w:t>
      </w:r>
    </w:p>
    <w:p>
      <w:pPr>
        <w:spacing w:line="360" w:lineRule="auto"/>
        <w:ind w:left="540" w:leftChars="270"/>
        <w:rPr>
          <w:rFonts w:ascii="宋体" w:hAnsi="宋体"/>
          <w:sz w:val="24"/>
          <w:szCs w:val="24"/>
        </w:rPr>
      </w:pPr>
      <w:r>
        <w:rPr>
          <w:rFonts w:hint="eastAsia" w:ascii="宋体" w:hAnsi="宋体"/>
          <w:sz w:val="21"/>
          <w:szCs w:val="21"/>
        </w:rPr>
        <w:t>（5）拟派本工程的项目负责人须具有建筑工程专业二级或以上级别的建造师资格，且具有《安全生产考核合格证书》（B证）或广东省建筑施工企业管理人员安全生产考核信息系统安全生产管理人员证书信息的打印页；</w:t>
      </w:r>
    </w:p>
    <w:p>
      <w:pPr>
        <w:spacing w:line="360" w:lineRule="auto"/>
        <w:ind w:left="540" w:leftChars="270"/>
        <w:rPr>
          <w:rFonts w:ascii="宋体" w:hAnsi="宋体"/>
          <w:sz w:val="21"/>
          <w:szCs w:val="21"/>
        </w:rPr>
      </w:pPr>
      <w:r>
        <w:rPr>
          <w:rFonts w:hint="eastAsia" w:ascii="宋体" w:hAnsi="宋体"/>
          <w:sz w:val="21"/>
          <w:szCs w:val="21"/>
        </w:rPr>
        <w:t>（6）拟派的专职安全人员须具有有效的安全生产考核合格证书（C证）或能够提供广东省建筑施工企业管理人员安全生产考核信息系统安全生产管理人员证书信息的打印页；</w:t>
      </w:r>
    </w:p>
    <w:p>
      <w:pPr>
        <w:spacing w:line="360" w:lineRule="auto"/>
        <w:ind w:left="540" w:leftChars="270"/>
        <w:rPr>
          <w:rFonts w:ascii="宋体" w:hAnsi="宋体"/>
          <w:sz w:val="21"/>
          <w:szCs w:val="21"/>
        </w:rPr>
      </w:pPr>
      <w:r>
        <w:rPr>
          <w:rFonts w:hint="eastAsia" w:ascii="宋体" w:hAnsi="宋体"/>
          <w:sz w:val="21"/>
          <w:szCs w:val="21"/>
        </w:rPr>
        <w:t>注：拟任项目负责人没有在其他在建项目中担任项目负责人，在本项目任职期间不得担任专职安全员，专职安全员与其他岗位人员不得兼任；</w:t>
      </w:r>
    </w:p>
    <w:p>
      <w:pPr>
        <w:spacing w:line="360" w:lineRule="auto"/>
        <w:ind w:left="540" w:leftChars="270"/>
        <w:rPr>
          <w:rFonts w:ascii="宋体" w:hAnsi="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）2020年1月1日至今，完成的质量合格且单项合同金额不低</w:t>
      </w:r>
      <w:r>
        <w:rPr>
          <w:rFonts w:hint="eastAsia" w:ascii="宋体" w:hAnsi="宋体"/>
          <w:color w:val="FF0000"/>
          <w:sz w:val="21"/>
          <w:szCs w:val="21"/>
        </w:rPr>
        <w:t>于150万元</w:t>
      </w:r>
      <w:r>
        <w:rPr>
          <w:rFonts w:hint="eastAsia" w:ascii="宋体" w:hAnsi="宋体"/>
          <w:sz w:val="21"/>
          <w:szCs w:val="21"/>
        </w:rPr>
        <w:t>的房屋建筑工程施工业绩，上述施工业绩指已竣工工程（竣工时间在2020年1月1日以后）。业绩证明材料须提供中标通知书、合同关键页和竣工验收证明材料；</w:t>
      </w:r>
    </w:p>
    <w:p>
      <w:pPr>
        <w:spacing w:line="360" w:lineRule="auto"/>
        <w:ind w:left="540" w:leftChars="270"/>
        <w:rPr>
          <w:rFonts w:ascii="宋体" w:hAnsi="宋体"/>
          <w:sz w:val="21"/>
          <w:szCs w:val="21"/>
        </w:rPr>
      </w:pPr>
      <w:r>
        <w:rPr>
          <w:rFonts w:hint="eastAsia" w:ascii="宋体" w:hAnsi="宋体"/>
          <w:sz w:val="21"/>
          <w:szCs w:val="21"/>
        </w:rPr>
        <w:t>（8）投标人财务状况良好，没有处于财产被接管、冻结、破产的状态，提供经第三方审计机构出具的年度财务审计报告（2021年或2022年）</w:t>
      </w:r>
    </w:p>
    <w:p>
      <w:pPr>
        <w:pStyle w:val="2"/>
        <w:ind w:left="800" w:leftChars="300" w:hanging="200" w:hangingChars="100"/>
      </w:pPr>
      <w:r>
        <w:t>（9）</w:t>
      </w:r>
      <w:r>
        <w:rPr>
          <w:rFonts w:hint="eastAsia" w:ascii="宋体" w:hAnsi="宋体"/>
          <w:sz w:val="21"/>
          <w:szCs w:val="21"/>
        </w:rPr>
        <w:t>投标人具有良好的商业信誉，未在“信用中国”网站（</w:t>
      </w:r>
      <w:r>
        <w:fldChar w:fldCharType="begin"/>
      </w:r>
      <w:r>
        <w:instrText xml:space="preserve"> HYPERLINK "http://www.creditchina.gov.cn/" </w:instrText>
      </w:r>
      <w:r>
        <w:fldChar w:fldCharType="separate"/>
      </w:r>
      <w:r>
        <w:rPr>
          <w:rFonts w:hint="eastAsia" w:ascii="宋体" w:hAnsi="宋体"/>
          <w:sz w:val="21"/>
          <w:szCs w:val="21"/>
        </w:rPr>
        <w:t>www.creditchina.gov.cn</w:t>
      </w:r>
      <w:r>
        <w:rPr>
          <w:rFonts w:hint="eastAsia" w:ascii="宋体" w:hAnsi="宋体"/>
          <w:sz w:val="21"/>
          <w:szCs w:val="21"/>
        </w:rPr>
        <w:fldChar w:fldCharType="end"/>
      </w:r>
      <w:r>
        <w:rPr>
          <w:rFonts w:hint="eastAsia" w:ascii="宋体" w:hAnsi="宋体"/>
          <w:sz w:val="21"/>
          <w:szCs w:val="21"/>
        </w:rPr>
        <w:t>）被列为失信被执行人或重大税收违法案件当事人名单。</w:t>
      </w:r>
    </w:p>
    <w:p>
      <w:pPr>
        <w:spacing w:line="360" w:lineRule="auto"/>
        <w:ind w:left="540" w:leftChars="270"/>
        <w:rPr>
          <w:rFonts w:ascii="宋体" w:hAnsi="宋体"/>
          <w:sz w:val="21"/>
          <w:szCs w:val="21"/>
        </w:rPr>
      </w:pPr>
      <w:r>
        <w:rPr>
          <w:rFonts w:hint="eastAsia" w:ascii="宋体" w:hAnsi="宋体"/>
          <w:color w:val="000000"/>
          <w:szCs w:val="21"/>
        </w:rPr>
        <w:t>（10）</w:t>
      </w:r>
      <w:r>
        <w:rPr>
          <w:rFonts w:hint="eastAsia" w:ascii="宋体" w:hAnsi="宋体"/>
          <w:sz w:val="21"/>
          <w:szCs w:val="21"/>
        </w:rPr>
        <w:t>与各投标单位之间无关联关系（投标单位需承诺若与其他投标人存在关联关系，则遵循我方招标文件规定作废标处理）</w:t>
      </w:r>
    </w:p>
    <w:p>
      <w:pPr>
        <w:spacing w:line="360" w:lineRule="auto"/>
        <w:ind w:left="540" w:leftChars="270"/>
        <w:rPr>
          <w:rFonts w:ascii="宋体" w:hAnsi="宋体"/>
          <w:sz w:val="21"/>
          <w:szCs w:val="21"/>
        </w:rPr>
      </w:pPr>
      <w:r>
        <w:rPr>
          <w:rFonts w:hint="eastAsia" w:ascii="宋体" w:hAnsi="宋体"/>
          <w:sz w:val="21"/>
          <w:szCs w:val="21"/>
        </w:rPr>
        <w:t>（11）本项目不接受联合体投标。</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资格审查方式：资格后审方式。</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投标人须自行了解并办理进入项目所在地开展施工工作的备案手续。工程实施过程现场管理的项目负责人必须是投标文件中所报项目负责人，不允许更换替代。</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招标文件获取及投标报名登记时间：</w:t>
      </w: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3</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19</w:t>
      </w:r>
      <w:r>
        <w:rPr>
          <w:rFonts w:hint="eastAsia" w:ascii="宋体" w:hAnsi="宋体"/>
          <w:sz w:val="21"/>
          <w:szCs w:val="21"/>
          <w:u w:val="single"/>
        </w:rPr>
        <w:t xml:space="preserve"> </w:t>
      </w:r>
      <w:r>
        <w:rPr>
          <w:rFonts w:hint="eastAsia" w:ascii="宋体" w:hAnsi="宋体"/>
          <w:sz w:val="21"/>
          <w:szCs w:val="21"/>
        </w:rPr>
        <w:t xml:space="preserve">日至 </w:t>
      </w: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 xml:space="preserve">3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25</w:t>
      </w:r>
      <w:r>
        <w:rPr>
          <w:rFonts w:hint="eastAsia" w:ascii="宋体" w:hAnsi="宋体"/>
          <w:sz w:val="21"/>
          <w:szCs w:val="21"/>
        </w:rPr>
        <w:t>日（节假日除外），</w:t>
      </w:r>
      <w:r>
        <w:rPr>
          <w:rFonts w:ascii="宋体" w:hAnsi="宋体"/>
          <w:sz w:val="21"/>
          <w:szCs w:val="21"/>
        </w:rPr>
        <w:t>每日上午</w:t>
      </w:r>
      <w:r>
        <w:rPr>
          <w:rFonts w:hint="eastAsia" w:ascii="宋体" w:hAnsi="宋体"/>
          <w:sz w:val="21"/>
          <w:szCs w:val="21"/>
        </w:rPr>
        <w:t xml:space="preserve"> </w:t>
      </w:r>
      <w:r>
        <w:rPr>
          <w:rFonts w:ascii="宋体" w:hAnsi="宋体"/>
          <w:sz w:val="21"/>
          <w:szCs w:val="21"/>
          <w:u w:val="single"/>
        </w:rPr>
        <w:t>9:30</w:t>
      </w:r>
      <w:r>
        <w:rPr>
          <w:rFonts w:hint="eastAsia" w:ascii="宋体" w:hAnsi="宋体"/>
          <w:sz w:val="21"/>
          <w:szCs w:val="21"/>
          <w:u w:val="single"/>
        </w:rPr>
        <w:t xml:space="preserve"> </w:t>
      </w:r>
      <w:r>
        <w:rPr>
          <w:rFonts w:ascii="宋体" w:hAnsi="宋体"/>
          <w:sz w:val="21"/>
          <w:szCs w:val="21"/>
        </w:rPr>
        <w:t>时至</w:t>
      </w:r>
      <w:r>
        <w:rPr>
          <w:rFonts w:hint="eastAsia" w:ascii="宋体" w:hAnsi="宋体"/>
          <w:sz w:val="21"/>
          <w:szCs w:val="21"/>
        </w:rPr>
        <w:t xml:space="preserve"> </w:t>
      </w:r>
      <w:r>
        <w:rPr>
          <w:rFonts w:ascii="宋体" w:hAnsi="宋体"/>
          <w:sz w:val="21"/>
          <w:szCs w:val="21"/>
          <w:u w:val="single"/>
        </w:rPr>
        <w:t>11:30</w:t>
      </w:r>
      <w:r>
        <w:rPr>
          <w:rFonts w:hint="eastAsia" w:ascii="宋体" w:hAnsi="宋体"/>
          <w:sz w:val="21"/>
          <w:szCs w:val="21"/>
          <w:u w:val="single"/>
        </w:rPr>
        <w:t xml:space="preserve"> </w:t>
      </w:r>
      <w:r>
        <w:rPr>
          <w:rFonts w:ascii="宋体" w:hAnsi="宋体"/>
          <w:sz w:val="21"/>
          <w:szCs w:val="21"/>
        </w:rPr>
        <w:t>时，下午</w:t>
      </w:r>
      <w:r>
        <w:rPr>
          <w:rFonts w:ascii="宋体" w:hAnsi="宋体"/>
          <w:sz w:val="21"/>
          <w:szCs w:val="21"/>
          <w:u w:val="single"/>
        </w:rPr>
        <w:t>1</w:t>
      </w: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0</w:t>
      </w:r>
      <w:r>
        <w:rPr>
          <w:rFonts w:ascii="宋体" w:hAnsi="宋体"/>
          <w:sz w:val="21"/>
          <w:szCs w:val="21"/>
          <w:u w:val="single"/>
        </w:rPr>
        <w:t>0</w:t>
      </w:r>
      <w:r>
        <w:rPr>
          <w:rFonts w:hint="eastAsia" w:ascii="宋体" w:hAnsi="宋体"/>
          <w:sz w:val="21"/>
          <w:szCs w:val="21"/>
          <w:u w:val="single"/>
        </w:rPr>
        <w:t xml:space="preserve"> </w:t>
      </w:r>
      <w:r>
        <w:rPr>
          <w:rFonts w:ascii="宋体" w:hAnsi="宋体"/>
          <w:sz w:val="21"/>
          <w:szCs w:val="21"/>
        </w:rPr>
        <w:t>时至</w:t>
      </w:r>
      <w:r>
        <w:rPr>
          <w:rFonts w:hint="eastAsia" w:ascii="宋体" w:hAnsi="宋体"/>
          <w:sz w:val="21"/>
          <w:szCs w:val="21"/>
        </w:rPr>
        <w:t xml:space="preserve"> </w:t>
      </w:r>
      <w:r>
        <w:rPr>
          <w:rFonts w:ascii="宋体" w:hAnsi="宋体"/>
          <w:sz w:val="21"/>
          <w:szCs w:val="21"/>
          <w:u w:val="single"/>
        </w:rPr>
        <w:t>16:00</w:t>
      </w:r>
      <w:r>
        <w:rPr>
          <w:rFonts w:hint="eastAsia" w:ascii="宋体" w:hAnsi="宋体"/>
          <w:sz w:val="21"/>
          <w:szCs w:val="21"/>
          <w:u w:val="single"/>
        </w:rPr>
        <w:t xml:space="preserve"> </w:t>
      </w:r>
      <w:r>
        <w:rPr>
          <w:rFonts w:ascii="宋体" w:hAnsi="宋体"/>
          <w:sz w:val="21"/>
          <w:szCs w:val="21"/>
        </w:rPr>
        <w:t>时(北京时间，下同)</w:t>
      </w:r>
      <w:r>
        <w:rPr>
          <w:rFonts w:hint="eastAsia" w:ascii="宋体" w:hAnsi="宋体"/>
          <w:sz w:val="21"/>
          <w:szCs w:val="21"/>
        </w:rPr>
        <w:t>。</w:t>
      </w:r>
    </w:p>
    <w:p>
      <w:pPr>
        <w:spacing w:line="360" w:lineRule="auto"/>
        <w:ind w:left="546" w:leftChars="273"/>
        <w:rPr>
          <w:rFonts w:ascii="宋体" w:hAnsi="宋体"/>
          <w:sz w:val="21"/>
          <w:szCs w:val="21"/>
        </w:rPr>
      </w:pPr>
      <w:r>
        <w:rPr>
          <w:rFonts w:hint="eastAsia" w:ascii="宋体" w:hAnsi="宋体"/>
          <w:sz w:val="21"/>
          <w:szCs w:val="21"/>
        </w:rPr>
        <w:t>凡有意参加投标者，投标人</w:t>
      </w:r>
      <w:r>
        <w:rPr>
          <w:rFonts w:hint="eastAsia" w:ascii="宋体" w:hAnsi="宋体"/>
          <w:b/>
          <w:bCs/>
          <w:sz w:val="21"/>
          <w:szCs w:val="21"/>
        </w:rPr>
        <w:t>须到场进行投标报名登记</w:t>
      </w:r>
      <w:r>
        <w:rPr>
          <w:rFonts w:hint="eastAsia" w:ascii="宋体" w:hAnsi="宋体"/>
          <w:sz w:val="21"/>
          <w:szCs w:val="21"/>
        </w:rPr>
        <w:t>，合格的投标申请人方可购买招标文件及投标登记，投标登记时须同时提供如下资料(资料一式一份，用A4纸按顺序装订成册（彩色打印），每页加盖公章)：</w:t>
      </w:r>
    </w:p>
    <w:p>
      <w:pPr>
        <w:spacing w:line="360" w:lineRule="auto"/>
        <w:ind w:left="546" w:leftChars="273"/>
        <w:rPr>
          <w:rFonts w:ascii="宋体" w:hAnsi="宋体"/>
          <w:sz w:val="21"/>
          <w:szCs w:val="21"/>
        </w:rPr>
      </w:pPr>
      <w:r>
        <w:rPr>
          <w:rFonts w:hint="eastAsia" w:ascii="宋体" w:hAnsi="宋体"/>
          <w:sz w:val="21"/>
          <w:szCs w:val="21"/>
        </w:rPr>
        <w:t>1）有效的法人代表证明书及法人授权委托书及法人和法定代表人身份证、授权委托人身份证复印件；</w:t>
      </w:r>
    </w:p>
    <w:p>
      <w:pPr>
        <w:spacing w:line="360" w:lineRule="auto"/>
        <w:ind w:left="1701" w:leftChars="273" w:hanging="1155" w:hangingChars="550"/>
        <w:rPr>
          <w:rFonts w:ascii="宋体" w:hAnsi="宋体"/>
          <w:sz w:val="21"/>
          <w:szCs w:val="21"/>
        </w:rPr>
      </w:pPr>
      <w:r>
        <w:rPr>
          <w:rFonts w:hint="eastAsia" w:ascii="宋体" w:hAnsi="宋体"/>
          <w:sz w:val="21"/>
          <w:szCs w:val="21"/>
        </w:rPr>
        <w:t>2) 有效的营业执照副本复印件；</w:t>
      </w:r>
    </w:p>
    <w:p>
      <w:pPr>
        <w:spacing w:line="360" w:lineRule="auto"/>
        <w:ind w:left="1701" w:leftChars="273" w:hanging="1155" w:hangingChars="550"/>
        <w:rPr>
          <w:rFonts w:ascii="宋体" w:hAnsi="宋体"/>
          <w:sz w:val="21"/>
          <w:szCs w:val="21"/>
        </w:rPr>
      </w:pPr>
      <w:r>
        <w:rPr>
          <w:rFonts w:hint="eastAsia" w:ascii="宋体" w:hAnsi="宋体"/>
          <w:sz w:val="21"/>
          <w:szCs w:val="21"/>
        </w:rPr>
        <w:t>3) 有效的资质证书副本复印件；</w:t>
      </w:r>
    </w:p>
    <w:p>
      <w:pPr>
        <w:spacing w:line="360" w:lineRule="auto"/>
        <w:ind w:left="1701" w:leftChars="273" w:hanging="1155" w:hangingChars="550"/>
        <w:rPr>
          <w:rFonts w:ascii="宋体" w:hAnsi="宋体"/>
          <w:sz w:val="21"/>
          <w:szCs w:val="21"/>
        </w:rPr>
      </w:pPr>
      <w:r>
        <w:rPr>
          <w:rFonts w:hint="eastAsia" w:ascii="宋体" w:hAnsi="宋体"/>
          <w:sz w:val="21"/>
          <w:szCs w:val="21"/>
        </w:rPr>
        <w:t>4）有效的安全生产许可证书复印件；</w:t>
      </w:r>
    </w:p>
    <w:p>
      <w:pPr>
        <w:spacing w:line="360" w:lineRule="auto"/>
        <w:ind w:left="546" w:leftChars="273"/>
        <w:rPr>
          <w:rFonts w:ascii="宋体" w:hAnsi="宋体"/>
          <w:sz w:val="21"/>
          <w:szCs w:val="21"/>
        </w:rPr>
      </w:pPr>
      <w:r>
        <w:rPr>
          <w:rFonts w:hint="eastAsia" w:ascii="宋体" w:hAnsi="宋体"/>
          <w:sz w:val="21"/>
          <w:szCs w:val="21"/>
        </w:rPr>
        <w:t>5）拟派项目负责人的注册建造师证书、《安全生产考核合格证书》（B证）或广东省建筑施工企业管理人员安全生产考核信息系统安全生产管理人员证书信息的打印页；</w:t>
      </w:r>
    </w:p>
    <w:p>
      <w:pPr>
        <w:spacing w:line="360" w:lineRule="auto"/>
        <w:ind w:left="546" w:leftChars="273"/>
        <w:rPr>
          <w:rFonts w:ascii="宋体" w:hAnsi="宋体"/>
          <w:sz w:val="21"/>
          <w:szCs w:val="21"/>
        </w:rPr>
      </w:pPr>
      <w:r>
        <w:rPr>
          <w:rFonts w:hint="eastAsia" w:ascii="宋体" w:hAnsi="宋体"/>
          <w:sz w:val="21"/>
          <w:szCs w:val="21"/>
        </w:rPr>
        <w:t>6）拟派的专职安全人员须具有有效的安全生产考核合格证书（C证）或能够提供广东省建筑施工企业管理人员安全生产考核信息系统安全生产管理人员证书信息的打印页；</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投标报名登记及</w:t>
      </w:r>
      <w:r>
        <w:rPr>
          <w:rFonts w:hint="eastAsia" w:ascii="宋体" w:hAnsi="宋体"/>
          <w:bCs/>
          <w:sz w:val="21"/>
          <w:szCs w:val="21"/>
        </w:rPr>
        <w:t>购买招标文件地点：</w:t>
      </w:r>
      <w:r>
        <w:rPr>
          <w:rFonts w:hint="eastAsia" w:ascii="宋体" w:hAnsi="宋体"/>
          <w:sz w:val="21"/>
          <w:szCs w:val="21"/>
        </w:rPr>
        <w:t>广州市海珠区滨江中路3</w:t>
      </w:r>
      <w:r>
        <w:rPr>
          <w:rFonts w:ascii="宋体" w:hAnsi="宋体"/>
          <w:sz w:val="21"/>
          <w:szCs w:val="21"/>
        </w:rPr>
        <w:t>08</w:t>
      </w:r>
      <w:r>
        <w:rPr>
          <w:rFonts w:hint="eastAsia" w:ascii="宋体" w:hAnsi="宋体"/>
          <w:sz w:val="21"/>
          <w:szCs w:val="21"/>
        </w:rPr>
        <w:t>号广州海运大厦1</w:t>
      </w:r>
      <w:r>
        <w:rPr>
          <w:rFonts w:ascii="宋体" w:hAnsi="宋体"/>
          <w:sz w:val="21"/>
          <w:szCs w:val="21"/>
        </w:rPr>
        <w:t>7</w:t>
      </w:r>
      <w:r>
        <w:rPr>
          <w:rFonts w:hint="eastAsia" w:ascii="宋体" w:hAnsi="宋体"/>
          <w:sz w:val="21"/>
          <w:szCs w:val="21"/>
        </w:rPr>
        <w:t>楼广州海建工程咨询有限公司工程咨询部。</w:t>
      </w:r>
    </w:p>
    <w:p>
      <w:pPr>
        <w:widowControl w:val="0"/>
        <w:numPr>
          <w:ilvl w:val="0"/>
          <w:numId w:val="6"/>
        </w:numPr>
        <w:spacing w:line="360" w:lineRule="auto"/>
        <w:jc w:val="both"/>
        <w:rPr>
          <w:rFonts w:ascii="宋体" w:hAnsi="宋体"/>
          <w:sz w:val="21"/>
          <w:szCs w:val="21"/>
        </w:rPr>
      </w:pPr>
      <w:r>
        <w:rPr>
          <w:rFonts w:hint="eastAsia" w:ascii="宋体" w:hAnsi="宋体"/>
          <w:sz w:val="21"/>
          <w:szCs w:val="21"/>
        </w:rPr>
        <w:t>招标文件售价500元/份（售后不退）。请各投标人在报名前先将招标文件工本费转入招标代理机构的公司账户并电话告知。报名时需持转账凭证现场报名。</w:t>
      </w:r>
    </w:p>
    <w:p>
      <w:pPr>
        <w:tabs>
          <w:tab w:val="left" w:pos="567"/>
        </w:tabs>
        <w:spacing w:line="360" w:lineRule="auto"/>
        <w:ind w:firstLine="402" w:firstLineChars="200"/>
        <w:rPr>
          <w:rFonts w:ascii="宋体" w:hAnsi="宋体" w:cs="宋体"/>
          <w:b/>
          <w:szCs w:val="21"/>
        </w:rPr>
      </w:pPr>
      <w:bookmarkStart w:id="10" w:name="_Toc21646"/>
      <w:r>
        <w:rPr>
          <w:rFonts w:ascii="宋体" w:hAnsi="宋体" w:cs="宋体"/>
          <w:b/>
          <w:szCs w:val="21"/>
        </w:rPr>
        <w:t>收款单位名称：广州海建工程咨询有限公司</w:t>
      </w:r>
    </w:p>
    <w:p>
      <w:pPr>
        <w:widowControl w:val="0"/>
        <w:spacing w:line="360" w:lineRule="auto"/>
        <w:ind w:left="425"/>
        <w:jc w:val="both"/>
        <w:rPr>
          <w:rFonts w:ascii="宋体" w:hAnsi="宋体"/>
          <w:b/>
          <w:bCs/>
          <w:sz w:val="21"/>
          <w:szCs w:val="21"/>
        </w:rPr>
      </w:pPr>
      <w:r>
        <w:rPr>
          <w:rFonts w:hint="eastAsia" w:ascii="宋体" w:hAnsi="宋体"/>
          <w:b/>
          <w:bCs/>
          <w:sz w:val="21"/>
          <w:szCs w:val="21"/>
        </w:rPr>
        <w:t>开户银行：招商银行广州海珠支行；</w:t>
      </w:r>
    </w:p>
    <w:p>
      <w:pPr>
        <w:widowControl w:val="0"/>
        <w:spacing w:line="360" w:lineRule="auto"/>
        <w:ind w:left="425"/>
        <w:jc w:val="both"/>
        <w:rPr>
          <w:rFonts w:ascii="宋体" w:hAnsi="宋体"/>
          <w:b/>
          <w:bCs/>
          <w:sz w:val="21"/>
          <w:szCs w:val="21"/>
        </w:rPr>
      </w:pPr>
      <w:r>
        <w:rPr>
          <w:rFonts w:hint="eastAsia" w:ascii="宋体" w:hAnsi="宋体"/>
          <w:b/>
          <w:bCs/>
          <w:sz w:val="21"/>
          <w:szCs w:val="21"/>
        </w:rPr>
        <w:t>账号：200681384210001</w:t>
      </w:r>
      <w:bookmarkEnd w:id="10"/>
      <w:r>
        <w:rPr>
          <w:rFonts w:hint="eastAsia" w:ascii="宋体" w:hAnsi="宋体"/>
          <w:b/>
          <w:bCs/>
          <w:sz w:val="21"/>
          <w:szCs w:val="21"/>
        </w:rPr>
        <w:t>。</w:t>
      </w:r>
    </w:p>
    <w:p>
      <w:pPr>
        <w:widowControl w:val="0"/>
        <w:numPr>
          <w:ilvl w:val="0"/>
          <w:numId w:val="6"/>
        </w:numPr>
        <w:spacing w:line="360" w:lineRule="auto"/>
        <w:ind w:left="567" w:hanging="567"/>
        <w:jc w:val="both"/>
        <w:rPr>
          <w:rFonts w:ascii="宋体" w:hAnsi="宋体"/>
          <w:sz w:val="21"/>
          <w:szCs w:val="21"/>
        </w:rPr>
      </w:pPr>
      <w:r>
        <w:rPr>
          <w:rFonts w:hint="eastAsia" w:ascii="宋体" w:hAnsi="宋体"/>
          <w:bCs/>
          <w:sz w:val="21"/>
          <w:szCs w:val="21"/>
        </w:rPr>
        <w:t>投标截止时间</w:t>
      </w:r>
      <w:r>
        <w:rPr>
          <w:rFonts w:hint="eastAsia" w:ascii="宋体" w:hAnsi="宋体"/>
          <w:sz w:val="21"/>
          <w:szCs w:val="21"/>
        </w:rPr>
        <w:t>：</w:t>
      </w: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3</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10</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10</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9 </w:t>
      </w:r>
      <w:r>
        <w:rPr>
          <w:rFonts w:hint="eastAsia" w:ascii="宋体" w:hAnsi="宋体"/>
          <w:sz w:val="21"/>
          <w:szCs w:val="21"/>
        </w:rPr>
        <w:t>时</w:t>
      </w:r>
      <w:r>
        <w:rPr>
          <w:rFonts w:hint="eastAsia" w:ascii="宋体" w:hAnsi="宋体"/>
          <w:sz w:val="21"/>
          <w:szCs w:val="21"/>
          <w:u w:val="single"/>
        </w:rPr>
        <w:t>30</w:t>
      </w:r>
      <w:r>
        <w:rPr>
          <w:rFonts w:hint="eastAsia" w:ascii="宋体" w:hAnsi="宋体"/>
          <w:sz w:val="21"/>
          <w:szCs w:val="21"/>
        </w:rPr>
        <w:t>分，</w:t>
      </w:r>
      <w:r>
        <w:rPr>
          <w:rFonts w:hint="eastAsia" w:ascii="宋体" w:hAnsi="宋体"/>
          <w:bCs/>
          <w:sz w:val="21"/>
          <w:szCs w:val="21"/>
        </w:rPr>
        <w:t>开标时间：</w:t>
      </w: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3</w:t>
      </w:r>
      <w:r>
        <w:rPr>
          <w:rFonts w:hint="eastAsia" w:ascii="宋体" w:hAnsi="宋体"/>
          <w:sz w:val="21"/>
          <w:szCs w:val="21"/>
        </w:rPr>
        <w:t>年</w:t>
      </w:r>
      <w:r>
        <w:rPr>
          <w:rFonts w:hint="eastAsia" w:ascii="宋体" w:hAnsi="宋体"/>
          <w:sz w:val="21"/>
          <w:szCs w:val="21"/>
          <w:u w:val="single"/>
          <w:lang w:val="en-US" w:eastAsia="zh-CN"/>
        </w:rPr>
        <w:t>10</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10</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9</w:t>
      </w:r>
      <w:r>
        <w:rPr>
          <w:rFonts w:hint="eastAsia" w:ascii="宋体" w:hAnsi="宋体"/>
          <w:sz w:val="21"/>
          <w:szCs w:val="21"/>
        </w:rPr>
        <w:t>时</w:t>
      </w:r>
      <w:r>
        <w:rPr>
          <w:rFonts w:hint="eastAsia" w:ascii="宋体" w:hAnsi="宋体"/>
          <w:sz w:val="21"/>
          <w:szCs w:val="21"/>
          <w:u w:val="single"/>
        </w:rPr>
        <w:t>30</w:t>
      </w:r>
      <w:r>
        <w:rPr>
          <w:rFonts w:hint="eastAsia" w:ascii="宋体" w:hAnsi="宋体"/>
          <w:sz w:val="21"/>
          <w:szCs w:val="21"/>
        </w:rPr>
        <w:t>分。届时请参加投标的代表出席开标仪式。</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开标地点：广州市海珠区滨江中路3</w:t>
      </w:r>
      <w:r>
        <w:rPr>
          <w:rFonts w:ascii="宋体" w:hAnsi="宋体"/>
          <w:sz w:val="21"/>
          <w:szCs w:val="21"/>
        </w:rPr>
        <w:t>08</w:t>
      </w:r>
      <w:r>
        <w:rPr>
          <w:rFonts w:hint="eastAsia" w:ascii="宋体" w:hAnsi="宋体"/>
          <w:sz w:val="21"/>
          <w:szCs w:val="21"/>
        </w:rPr>
        <w:t>号广州海运大厦1</w:t>
      </w:r>
      <w:r>
        <w:rPr>
          <w:rFonts w:ascii="宋体" w:hAnsi="宋体"/>
          <w:sz w:val="21"/>
          <w:szCs w:val="21"/>
        </w:rPr>
        <w:t>7</w:t>
      </w:r>
      <w:r>
        <w:rPr>
          <w:rFonts w:hint="eastAsia" w:ascii="宋体" w:hAnsi="宋体"/>
          <w:sz w:val="21"/>
          <w:szCs w:val="21"/>
        </w:rPr>
        <w:t>楼会议室。</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投标文件的递交：投标文件须密封后于（开标当日）投标截止时间前递至开标地点。逾期送达或不符合规定的投标文件恕不接受。</w:t>
      </w:r>
    </w:p>
    <w:p>
      <w:pPr>
        <w:widowControl w:val="0"/>
        <w:numPr>
          <w:ilvl w:val="0"/>
          <w:numId w:val="6"/>
        </w:numPr>
        <w:spacing w:line="360" w:lineRule="auto"/>
        <w:ind w:left="567" w:hanging="567"/>
        <w:jc w:val="both"/>
        <w:rPr>
          <w:rFonts w:ascii="宋体" w:hAnsi="宋体"/>
          <w:sz w:val="21"/>
          <w:szCs w:val="21"/>
        </w:rPr>
      </w:pPr>
      <w:r>
        <w:rPr>
          <w:rFonts w:hint="eastAsia" w:ascii="宋体" w:hAnsi="宋体"/>
          <w:sz w:val="21"/>
          <w:szCs w:val="21"/>
        </w:rPr>
        <w:t>发布公告的媒介</w:t>
      </w:r>
    </w:p>
    <w:p>
      <w:pPr>
        <w:spacing w:line="360" w:lineRule="auto"/>
        <w:ind w:left="536" w:leftChars="268"/>
        <w:jc w:val="both"/>
        <w:rPr>
          <w:rFonts w:ascii="宋体" w:hAnsi="宋体"/>
          <w:color w:val="FF0000"/>
          <w:sz w:val="21"/>
          <w:szCs w:val="21"/>
        </w:rPr>
      </w:pPr>
      <w:r>
        <w:rPr>
          <w:rFonts w:hint="eastAsia" w:ascii="宋体" w:hAnsi="宋体"/>
          <w:color w:val="FF0000"/>
          <w:sz w:val="21"/>
          <w:szCs w:val="21"/>
        </w:rPr>
        <w:t>本项目招标公告同时在</w:t>
      </w:r>
      <w:r>
        <w:rPr>
          <w:rFonts w:hint="eastAsia" w:ascii="宋体" w:hAnsi="宋体"/>
          <w:color w:val="FF0000"/>
          <w:sz w:val="21"/>
          <w:szCs w:val="21"/>
          <w:u w:val="single"/>
        </w:rPr>
        <w:t>中国招标投标公共服务平台（网址：http://www.cebpubservice.com/）、广州海建工程咨询有限公司网站（网址：</w:t>
      </w:r>
      <w:r>
        <w:rPr>
          <w:rFonts w:ascii="宋体" w:hAnsi="宋体"/>
          <w:color w:val="FF0000"/>
          <w:sz w:val="21"/>
          <w:szCs w:val="21"/>
          <w:u w:val="single"/>
        </w:rPr>
        <w:t>http://haijian.gz.coscoshipping.com/</w:t>
      </w:r>
      <w:r>
        <w:rPr>
          <w:rFonts w:hint="eastAsia" w:ascii="宋体" w:hAnsi="宋体"/>
          <w:color w:val="FF0000"/>
          <w:sz w:val="21"/>
          <w:szCs w:val="21"/>
          <w:u w:val="single"/>
        </w:rPr>
        <w:t>）和中远海运集团招标采购网（网址： http://gs.coscoshipping.com/）上发布</w:t>
      </w:r>
      <w:r>
        <w:rPr>
          <w:rFonts w:hint="eastAsia" w:ascii="宋体" w:hAnsi="宋体"/>
          <w:color w:val="FF0000"/>
          <w:sz w:val="24"/>
        </w:rPr>
        <w:t>，</w:t>
      </w:r>
      <w:r>
        <w:rPr>
          <w:rFonts w:hint="eastAsia" w:ascii="宋体" w:hAnsi="宋体"/>
          <w:color w:val="FF0000"/>
          <w:sz w:val="21"/>
          <w:szCs w:val="21"/>
        </w:rPr>
        <w:t>公告的修改、补充，在中国招标投标公共服务平台站发布，在各媒体发布的文本如有不同之处，以在中国招标投标公共服务平台站发布的文本为准。</w:t>
      </w:r>
    </w:p>
    <w:p>
      <w:pPr>
        <w:widowControl w:val="0"/>
        <w:numPr>
          <w:ilvl w:val="0"/>
          <w:numId w:val="5"/>
        </w:numPr>
        <w:spacing w:line="360" w:lineRule="auto"/>
        <w:ind w:left="567" w:hanging="567"/>
        <w:jc w:val="both"/>
        <w:rPr>
          <w:rFonts w:ascii="宋体" w:hAnsi="宋体"/>
          <w:sz w:val="21"/>
          <w:szCs w:val="21"/>
        </w:rPr>
      </w:pPr>
      <w:r>
        <w:rPr>
          <w:rFonts w:hint="eastAsia" w:ascii="宋体" w:hAnsi="宋体"/>
          <w:sz w:val="21"/>
          <w:szCs w:val="21"/>
        </w:rPr>
        <w:t>联系方式</w:t>
      </w:r>
    </w:p>
    <w:p>
      <w:pPr>
        <w:spacing w:line="360" w:lineRule="auto"/>
        <w:ind w:firstLine="525" w:firstLineChars="250"/>
        <w:rPr>
          <w:rFonts w:ascii="宋体" w:hAnsi="宋体"/>
          <w:sz w:val="21"/>
          <w:szCs w:val="21"/>
        </w:rPr>
      </w:pPr>
      <w:r>
        <w:rPr>
          <w:rFonts w:hint="eastAsia" w:ascii="宋体" w:hAnsi="宋体"/>
          <w:sz w:val="21"/>
          <w:szCs w:val="21"/>
        </w:rPr>
        <w:t>招 标 人：东方国际集装箱（广州）有限公司</w:t>
      </w:r>
    </w:p>
    <w:p>
      <w:pPr>
        <w:spacing w:line="360" w:lineRule="auto"/>
        <w:ind w:firstLine="525" w:firstLineChars="250"/>
        <w:rPr>
          <w:rFonts w:ascii="宋体" w:hAnsi="宋体"/>
          <w:sz w:val="21"/>
          <w:szCs w:val="21"/>
        </w:rPr>
      </w:pPr>
      <w:r>
        <w:rPr>
          <w:rFonts w:hint="eastAsia" w:ascii="宋体" w:hAnsi="宋体"/>
          <w:sz w:val="21"/>
          <w:szCs w:val="21"/>
        </w:rPr>
        <w:t>联 系 人：黄工</w:t>
      </w:r>
      <w:r>
        <w:rPr>
          <w:rFonts w:hint="eastAsia" w:ascii="宋体" w:hAnsi="宋体"/>
          <w:sz w:val="21"/>
          <w:szCs w:val="21"/>
        </w:rPr>
        <w:tab/>
      </w:r>
      <w:r>
        <w:rPr>
          <w:rFonts w:hint="eastAsia" w:ascii="宋体" w:hAnsi="宋体"/>
          <w:sz w:val="21"/>
          <w:szCs w:val="21"/>
        </w:rPr>
        <w:tab/>
      </w:r>
      <w:r>
        <w:rPr>
          <w:rFonts w:hint="eastAsia" w:ascii="宋体" w:hAnsi="宋体"/>
          <w:sz w:val="21"/>
          <w:szCs w:val="21"/>
        </w:rPr>
        <w:t xml:space="preserve"> </w:t>
      </w:r>
    </w:p>
    <w:p>
      <w:pPr>
        <w:spacing w:line="360" w:lineRule="auto"/>
        <w:ind w:firstLine="525" w:firstLineChars="250"/>
        <w:rPr>
          <w:rFonts w:ascii="宋体" w:hAnsi="宋体"/>
          <w:sz w:val="21"/>
          <w:szCs w:val="21"/>
        </w:rPr>
      </w:pPr>
      <w:r>
        <w:rPr>
          <w:rFonts w:hint="eastAsia" w:ascii="宋体" w:hAnsi="宋体"/>
          <w:sz w:val="21"/>
          <w:szCs w:val="21"/>
        </w:rPr>
        <w:t>联系电话： 020-22886809</w:t>
      </w:r>
    </w:p>
    <w:p>
      <w:pPr>
        <w:spacing w:line="360" w:lineRule="auto"/>
        <w:ind w:firstLine="525" w:firstLineChars="250"/>
        <w:rPr>
          <w:rFonts w:ascii="宋体" w:hAnsi="宋体"/>
          <w:sz w:val="21"/>
          <w:szCs w:val="21"/>
        </w:rPr>
      </w:pPr>
      <w:r>
        <w:rPr>
          <w:rFonts w:hint="eastAsia" w:ascii="宋体" w:hAnsi="宋体"/>
          <w:sz w:val="21"/>
          <w:szCs w:val="21"/>
        </w:rPr>
        <w:t>招标代理机构：广州海建工程咨询有限公司</w:t>
      </w:r>
    </w:p>
    <w:p>
      <w:pPr>
        <w:spacing w:line="360" w:lineRule="auto"/>
        <w:ind w:firstLine="525" w:firstLineChars="250"/>
        <w:rPr>
          <w:rFonts w:ascii="宋体" w:hAnsi="宋体"/>
          <w:sz w:val="21"/>
          <w:szCs w:val="21"/>
        </w:rPr>
      </w:pPr>
      <w:r>
        <w:rPr>
          <w:rFonts w:hint="eastAsia" w:ascii="宋体" w:hAnsi="宋体"/>
          <w:sz w:val="21"/>
          <w:szCs w:val="21"/>
        </w:rPr>
        <w:t xml:space="preserve">联  系  人：徐工  </w:t>
      </w:r>
    </w:p>
    <w:p>
      <w:pPr>
        <w:spacing w:line="360" w:lineRule="auto"/>
        <w:ind w:firstLine="525" w:firstLineChars="250"/>
        <w:rPr>
          <w:rFonts w:ascii="宋体" w:hAnsi="宋体"/>
          <w:sz w:val="21"/>
          <w:szCs w:val="21"/>
        </w:rPr>
      </w:pPr>
      <w:r>
        <w:rPr>
          <w:rFonts w:hint="eastAsia" w:ascii="宋体" w:hAnsi="宋体"/>
          <w:sz w:val="21"/>
          <w:szCs w:val="21"/>
        </w:rPr>
        <w:t xml:space="preserve">联系电话：020-84103265     </w:t>
      </w:r>
    </w:p>
    <w:p>
      <w:pPr>
        <w:spacing w:line="360" w:lineRule="auto"/>
        <w:ind w:firstLine="525" w:firstLineChars="250"/>
        <w:rPr>
          <w:rFonts w:ascii="宋体" w:hAnsi="宋体"/>
          <w:sz w:val="21"/>
          <w:szCs w:val="21"/>
        </w:rPr>
      </w:pPr>
      <w:r>
        <w:rPr>
          <w:rFonts w:hint="eastAsia" w:ascii="宋体" w:hAnsi="宋体"/>
          <w:sz w:val="21"/>
          <w:szCs w:val="21"/>
        </w:rPr>
        <w:t>联系邮箱：gzhjzdb@163.com</w:t>
      </w:r>
    </w:p>
    <w:bookmarkEnd w:id="9"/>
    <w:p>
      <w:pPr>
        <w:spacing w:line="360" w:lineRule="auto"/>
        <w:rPr>
          <w:rFonts w:ascii="宋体" w:hAnsi="宋体"/>
          <w:sz w:val="21"/>
          <w:szCs w:val="21"/>
        </w:rPr>
      </w:pPr>
    </w:p>
    <w:p>
      <w:pPr>
        <w:spacing w:line="360" w:lineRule="auto"/>
        <w:rPr>
          <w:rFonts w:ascii="宋体" w:hAnsi="宋体"/>
          <w:sz w:val="21"/>
          <w:szCs w:val="21"/>
        </w:rPr>
      </w:pPr>
    </w:p>
    <w:p>
      <w:pPr>
        <w:spacing w:line="360" w:lineRule="auto"/>
        <w:rPr>
          <w:rFonts w:ascii="宋体" w:hAnsi="宋体"/>
          <w:sz w:val="21"/>
          <w:szCs w:val="21"/>
        </w:rPr>
      </w:pPr>
    </w:p>
    <w:p>
      <w:pPr>
        <w:spacing w:line="360" w:lineRule="auto"/>
        <w:rPr>
          <w:rFonts w:ascii="宋体" w:hAnsi="宋体"/>
          <w:sz w:val="21"/>
          <w:szCs w:val="21"/>
        </w:rPr>
      </w:pPr>
    </w:p>
    <w:p>
      <w:pPr>
        <w:pStyle w:val="4"/>
        <w:rPr>
          <w:color w:val="auto"/>
        </w:rPr>
      </w:pPr>
      <w:bookmarkStart w:id="11" w:name="_Toc26805589"/>
      <w:bookmarkStart w:id="12" w:name="_Toc276925240"/>
      <w:bookmarkStart w:id="13" w:name="_Toc777776"/>
      <w:bookmarkStart w:id="14" w:name="_Toc429827527"/>
      <w:bookmarkStart w:id="15" w:name="_Toc26800882"/>
      <w:bookmarkStart w:id="16" w:name="_Toc26800810"/>
      <w:bookmarkStart w:id="17" w:name="_Toc26800615"/>
      <w:bookmarkStart w:id="18" w:name="_Toc29751_WPSOffice_Level1"/>
      <w:bookmarkStart w:id="19" w:name="_Toc26800999"/>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bookmarkStart w:id="20" w:name="_Toc28642"/>
      <w:r>
        <w:rPr>
          <w:rFonts w:hint="eastAsia"/>
          <w:color w:val="auto"/>
        </w:rPr>
        <w:t xml:space="preserve">第二章  </w:t>
      </w:r>
      <w:bookmarkStart w:id="21" w:name="_Hlt19957505"/>
      <w:bookmarkEnd w:id="21"/>
      <w:r>
        <w:rPr>
          <w:rFonts w:hint="eastAsia"/>
          <w:color w:val="auto"/>
        </w:rPr>
        <w:t>投标须知及投标须知前附表</w:t>
      </w:r>
      <w:bookmarkEnd w:id="11"/>
      <w:bookmarkEnd w:id="12"/>
      <w:bookmarkEnd w:id="13"/>
      <w:bookmarkEnd w:id="14"/>
      <w:bookmarkEnd w:id="15"/>
      <w:bookmarkEnd w:id="16"/>
      <w:bookmarkEnd w:id="17"/>
      <w:bookmarkEnd w:id="18"/>
      <w:bookmarkEnd w:id="19"/>
      <w:bookmarkEnd w:id="20"/>
    </w:p>
    <w:p>
      <w:pPr>
        <w:jc w:val="center"/>
        <w:rPr>
          <w:rFonts w:ascii="宋体" w:hAnsi="宋体"/>
          <w:sz w:val="21"/>
        </w:rPr>
      </w:pPr>
    </w:p>
    <w:p>
      <w:pPr>
        <w:pStyle w:val="6"/>
        <w:numPr>
          <w:ilvl w:val="0"/>
          <w:numId w:val="0"/>
        </w:numPr>
        <w:spacing w:before="240" w:beforeLines="100" w:after="240" w:afterLines="100" w:line="360" w:lineRule="auto"/>
        <w:rPr>
          <w:rFonts w:ascii="宋体" w:hAnsi="宋体"/>
          <w:sz w:val="28"/>
          <w:szCs w:val="28"/>
        </w:rPr>
      </w:pPr>
      <w:r>
        <w:rPr>
          <w:rFonts w:ascii="宋体" w:hAnsi="宋体"/>
          <w:sz w:val="21"/>
        </w:rPr>
        <w:br w:type="page"/>
      </w:r>
      <w:bookmarkStart w:id="22" w:name="_Toc26800616"/>
      <w:bookmarkStart w:id="23" w:name="_Toc26800883"/>
      <w:bookmarkStart w:id="24" w:name="_Toc26805590"/>
      <w:bookmarkStart w:id="25" w:name="_Toc26800811"/>
      <w:bookmarkStart w:id="26" w:name="_Toc28624"/>
      <w:bookmarkStart w:id="27" w:name="_Toc26801000"/>
      <w:bookmarkStart w:id="28" w:name="_Toc429827528"/>
      <w:bookmarkStart w:id="29" w:name="_Toc276925241"/>
      <w:r>
        <w:rPr>
          <w:rFonts w:hint="eastAsia" w:ascii="宋体" w:hAnsi="宋体"/>
          <w:sz w:val="28"/>
          <w:szCs w:val="28"/>
        </w:rPr>
        <w:t>一、投标须知前附表</w:t>
      </w:r>
      <w:bookmarkEnd w:id="22"/>
      <w:bookmarkEnd w:id="23"/>
      <w:bookmarkEnd w:id="24"/>
      <w:bookmarkEnd w:id="25"/>
      <w:bookmarkEnd w:id="26"/>
      <w:bookmarkEnd w:id="27"/>
      <w:bookmarkEnd w:id="28"/>
      <w:bookmarkEnd w:id="29"/>
    </w:p>
    <w:tbl>
      <w:tblPr>
        <w:tblStyle w:val="57"/>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00"/>
        <w:gridCol w:w="174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4" w:type="dxa"/>
            <w:vAlign w:val="center"/>
          </w:tcPr>
          <w:p>
            <w:pPr>
              <w:snapToGrid w:val="0"/>
              <w:spacing w:line="360" w:lineRule="exact"/>
              <w:rPr>
                <w:rFonts w:ascii="宋体" w:hAnsi="宋体"/>
                <w:sz w:val="21"/>
                <w:szCs w:val="21"/>
              </w:rPr>
            </w:pPr>
            <w:r>
              <w:rPr>
                <w:rFonts w:hint="eastAsia" w:ascii="宋体" w:hAnsi="宋体"/>
                <w:sz w:val="21"/>
                <w:szCs w:val="21"/>
              </w:rPr>
              <w:t>项号</w:t>
            </w: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条款号</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内    容</w:t>
            </w:r>
          </w:p>
        </w:tc>
        <w:tc>
          <w:tcPr>
            <w:tcW w:w="5112" w:type="dxa"/>
            <w:vAlign w:val="center"/>
          </w:tcPr>
          <w:p>
            <w:pPr>
              <w:tabs>
                <w:tab w:val="left" w:pos="1180"/>
              </w:tabs>
              <w:snapToGrid w:val="0"/>
              <w:spacing w:line="360" w:lineRule="exact"/>
              <w:jc w:val="center"/>
              <w:rPr>
                <w:rFonts w:ascii="宋体" w:hAnsi="宋体"/>
                <w:sz w:val="21"/>
                <w:szCs w:val="21"/>
              </w:rPr>
            </w:pPr>
            <w:r>
              <w:rPr>
                <w:rFonts w:hint="eastAsia" w:ascii="宋体" w:hAnsi="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ascii="宋体" w:hAnsi="宋体"/>
                <w:sz w:val="21"/>
                <w:szCs w:val="21"/>
              </w:rPr>
              <w:t>1.</w:t>
            </w:r>
            <w:r>
              <w:rPr>
                <w:rFonts w:hint="eastAsia" w:ascii="宋体" w:hAnsi="宋体"/>
                <w:sz w:val="21"/>
                <w:szCs w:val="21"/>
              </w:rPr>
              <w:t>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招标人</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名称：东方国际集装箱（广州）有限公司</w:t>
            </w:r>
          </w:p>
          <w:p>
            <w:pPr>
              <w:snapToGrid w:val="0"/>
              <w:spacing w:line="360" w:lineRule="exact"/>
              <w:jc w:val="both"/>
              <w:rPr>
                <w:rFonts w:ascii="宋体" w:hAnsi="宋体"/>
                <w:sz w:val="21"/>
                <w:szCs w:val="21"/>
              </w:rPr>
            </w:pPr>
            <w:r>
              <w:rPr>
                <w:rFonts w:hint="eastAsia" w:ascii="宋体" w:hAnsi="宋体"/>
                <w:sz w:val="21"/>
                <w:szCs w:val="21"/>
              </w:rPr>
              <w:t>地址：广州市南沙区万顷沙镇新安工业园</w:t>
            </w:r>
          </w:p>
          <w:p>
            <w:pPr>
              <w:snapToGrid w:val="0"/>
              <w:spacing w:line="360" w:lineRule="exact"/>
              <w:jc w:val="both"/>
              <w:rPr>
                <w:rFonts w:ascii="宋体" w:hAnsi="宋体"/>
                <w:sz w:val="21"/>
                <w:szCs w:val="21"/>
              </w:rPr>
            </w:pPr>
            <w:r>
              <w:rPr>
                <w:rFonts w:hint="eastAsia" w:ascii="宋体" w:hAnsi="宋体"/>
                <w:sz w:val="21"/>
                <w:szCs w:val="21"/>
              </w:rPr>
              <w:t>联系人：黄工</w:t>
            </w:r>
          </w:p>
          <w:p>
            <w:pPr>
              <w:snapToGrid w:val="0"/>
              <w:spacing w:line="360" w:lineRule="exact"/>
              <w:jc w:val="both"/>
              <w:rPr>
                <w:rFonts w:ascii="宋体" w:hAnsi="宋体"/>
                <w:sz w:val="21"/>
                <w:szCs w:val="21"/>
              </w:rPr>
            </w:pPr>
            <w:r>
              <w:rPr>
                <w:rFonts w:hint="eastAsia" w:ascii="宋体" w:hAnsi="宋体"/>
                <w:sz w:val="21"/>
                <w:szCs w:val="21"/>
              </w:rPr>
              <w:t>联系电话：020-22886809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1.2</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招标代理机构</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名    称：广州海建工程咨询有限公司</w:t>
            </w:r>
          </w:p>
          <w:p>
            <w:pPr>
              <w:snapToGrid w:val="0"/>
              <w:spacing w:line="360" w:lineRule="exact"/>
              <w:jc w:val="both"/>
              <w:rPr>
                <w:rFonts w:ascii="宋体" w:hAnsi="宋体"/>
                <w:sz w:val="21"/>
                <w:szCs w:val="21"/>
              </w:rPr>
            </w:pPr>
            <w:r>
              <w:rPr>
                <w:rFonts w:hint="eastAsia" w:ascii="宋体" w:hAnsi="宋体"/>
                <w:sz w:val="21"/>
                <w:szCs w:val="21"/>
              </w:rPr>
              <w:t>联络地址：广州市海珠区滨江中路3</w:t>
            </w:r>
            <w:r>
              <w:rPr>
                <w:rFonts w:ascii="宋体" w:hAnsi="宋体"/>
                <w:sz w:val="21"/>
                <w:szCs w:val="21"/>
              </w:rPr>
              <w:t>08</w:t>
            </w:r>
            <w:r>
              <w:rPr>
                <w:rFonts w:hint="eastAsia" w:ascii="宋体" w:hAnsi="宋体"/>
                <w:sz w:val="21"/>
                <w:szCs w:val="21"/>
              </w:rPr>
              <w:t>号广州海运大厦1</w:t>
            </w:r>
            <w:r>
              <w:rPr>
                <w:rFonts w:ascii="宋体" w:hAnsi="宋体"/>
                <w:sz w:val="21"/>
                <w:szCs w:val="21"/>
              </w:rPr>
              <w:t>7</w:t>
            </w:r>
            <w:r>
              <w:rPr>
                <w:rFonts w:hint="eastAsia" w:ascii="宋体" w:hAnsi="宋体"/>
                <w:sz w:val="21"/>
                <w:szCs w:val="21"/>
              </w:rPr>
              <w:t>楼广州海建工程咨询有限公司工程咨询部</w:t>
            </w:r>
          </w:p>
          <w:p>
            <w:pPr>
              <w:snapToGrid w:val="0"/>
              <w:spacing w:line="360" w:lineRule="exact"/>
              <w:jc w:val="both"/>
              <w:rPr>
                <w:rFonts w:ascii="宋体" w:hAnsi="宋体"/>
                <w:sz w:val="21"/>
                <w:szCs w:val="21"/>
              </w:rPr>
            </w:pPr>
            <w:r>
              <w:rPr>
                <w:rFonts w:hint="eastAsia" w:ascii="宋体" w:hAnsi="宋体"/>
                <w:sz w:val="21"/>
                <w:szCs w:val="21"/>
              </w:rPr>
              <w:t>联 系 人：徐工</w:t>
            </w:r>
          </w:p>
          <w:p>
            <w:pPr>
              <w:snapToGrid w:val="0"/>
              <w:spacing w:line="360" w:lineRule="exact"/>
              <w:jc w:val="both"/>
              <w:rPr>
                <w:rFonts w:ascii="宋体" w:hAnsi="宋体"/>
                <w:sz w:val="21"/>
                <w:szCs w:val="21"/>
              </w:rPr>
            </w:pPr>
            <w:r>
              <w:rPr>
                <w:rFonts w:hint="eastAsia" w:ascii="宋体" w:hAnsi="宋体"/>
                <w:sz w:val="21"/>
                <w:szCs w:val="21"/>
              </w:rPr>
              <w:t>联系电话：</w:t>
            </w:r>
            <w:r>
              <w:rPr>
                <w:rFonts w:ascii="宋体" w:hAnsi="宋体"/>
                <w:sz w:val="21"/>
                <w:szCs w:val="21"/>
              </w:rPr>
              <w:t>020-</w:t>
            </w:r>
            <w:r>
              <w:rPr>
                <w:rFonts w:hint="eastAsia" w:ascii="宋体" w:hAnsi="宋体"/>
                <w:sz w:val="21"/>
                <w:szCs w:val="21"/>
              </w:rPr>
              <w:t>84103265</w:t>
            </w:r>
          </w:p>
          <w:p>
            <w:pPr>
              <w:snapToGrid w:val="0"/>
              <w:spacing w:line="360" w:lineRule="exact"/>
              <w:jc w:val="both"/>
              <w:rPr>
                <w:rFonts w:ascii="宋体" w:hAnsi="宋体"/>
                <w:sz w:val="21"/>
                <w:szCs w:val="21"/>
              </w:rPr>
            </w:pPr>
            <w:r>
              <w:rPr>
                <w:rFonts w:hint="eastAsia" w:ascii="宋体" w:hAnsi="宋体"/>
                <w:sz w:val="21"/>
                <w:szCs w:val="21"/>
              </w:rPr>
              <w:t xml:space="preserve">联系邮箱：gzhjzdb@163.com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1.4</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项目名称</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特箱折叠箱设备基础工程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2.1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招标范围</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rPr>
            </w:pPr>
            <w:r>
              <w:rPr>
                <w:rFonts w:hint="eastAsia" w:ascii="宋体" w:hAnsi="宋体"/>
                <w:sz w:val="21"/>
                <w:szCs w:val="21"/>
              </w:rPr>
              <w:t>4.1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合格的投标人</w:t>
            </w:r>
          </w:p>
        </w:tc>
        <w:tc>
          <w:tcPr>
            <w:tcW w:w="5112" w:type="dxa"/>
            <w:vAlign w:val="center"/>
          </w:tcPr>
          <w:p>
            <w:pPr>
              <w:widowControl w:val="0"/>
              <w:snapToGrid w:val="0"/>
              <w:spacing w:line="360" w:lineRule="exact"/>
              <w:rPr>
                <w:rFonts w:ascii="宋体" w:hAnsi="宋体"/>
                <w:sz w:val="21"/>
                <w:szCs w:val="21"/>
              </w:rPr>
            </w:pPr>
            <w:r>
              <w:rPr>
                <w:rFonts w:hint="eastAsia" w:ascii="宋体" w:hAnsi="宋体"/>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80" w:lineRule="exact"/>
              <w:jc w:val="center"/>
              <w:rPr>
                <w:rFonts w:ascii="宋体" w:hAnsi="宋体"/>
                <w:sz w:val="21"/>
              </w:rPr>
            </w:pPr>
            <w:r>
              <w:rPr>
                <w:rFonts w:hint="eastAsia" w:ascii="宋体" w:hAnsi="宋体"/>
                <w:sz w:val="24"/>
              </w:rPr>
              <w:t>8.1</w:t>
            </w:r>
          </w:p>
        </w:tc>
        <w:tc>
          <w:tcPr>
            <w:tcW w:w="1746" w:type="dxa"/>
            <w:vAlign w:val="center"/>
          </w:tcPr>
          <w:p>
            <w:pPr>
              <w:snapToGrid w:val="0"/>
              <w:spacing w:line="380" w:lineRule="exact"/>
              <w:jc w:val="center"/>
              <w:rPr>
                <w:rFonts w:ascii="宋体" w:hAnsi="宋体"/>
                <w:sz w:val="21"/>
                <w:szCs w:val="21"/>
              </w:rPr>
            </w:pPr>
            <w:r>
              <w:rPr>
                <w:rFonts w:hint="eastAsia" w:ascii="宋体" w:hAnsi="宋体"/>
                <w:sz w:val="21"/>
                <w:szCs w:val="21"/>
              </w:rPr>
              <w:t>提出澄清要求的限期、提交地点</w:t>
            </w:r>
          </w:p>
        </w:tc>
        <w:tc>
          <w:tcPr>
            <w:tcW w:w="5112" w:type="dxa"/>
            <w:vAlign w:val="center"/>
          </w:tcPr>
          <w:p>
            <w:pPr>
              <w:snapToGrid w:val="0"/>
              <w:spacing w:line="380" w:lineRule="exact"/>
              <w:ind w:left="1050" w:hanging="1050" w:hangingChars="500"/>
              <w:jc w:val="both"/>
              <w:rPr>
                <w:rFonts w:ascii="宋体" w:hAnsi="宋体"/>
                <w:sz w:val="21"/>
                <w:szCs w:val="21"/>
              </w:rPr>
            </w:pPr>
            <w:r>
              <w:rPr>
                <w:rFonts w:hint="eastAsia" w:ascii="宋体" w:hAnsi="宋体"/>
                <w:sz w:val="21"/>
                <w:szCs w:val="21"/>
              </w:rPr>
              <w:t>不设答疑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2.2</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工期要求及保障措施</w:t>
            </w:r>
          </w:p>
        </w:tc>
        <w:tc>
          <w:tcPr>
            <w:tcW w:w="5112" w:type="dxa"/>
            <w:vAlign w:val="center"/>
          </w:tcPr>
          <w:p>
            <w:pPr>
              <w:snapToGrid w:val="0"/>
              <w:spacing w:line="320" w:lineRule="exact"/>
              <w:rPr>
                <w:rFonts w:ascii="宋体" w:hAnsi="宋体"/>
                <w:sz w:val="21"/>
                <w:szCs w:val="21"/>
              </w:rPr>
            </w:pPr>
            <w:r>
              <w:rPr>
                <w:rFonts w:hint="eastAsia" w:ascii="宋体" w:hAnsi="宋体"/>
                <w:color w:val="FF0000"/>
                <w:sz w:val="21"/>
                <w:szCs w:val="21"/>
              </w:rPr>
              <w:t>计划工期：</w:t>
            </w:r>
            <w:r>
              <w:rPr>
                <w:rFonts w:hint="eastAsia" w:ascii="宋体" w:hAnsi="宋体"/>
                <w:color w:val="FF0000"/>
                <w:sz w:val="21"/>
                <w:szCs w:val="21"/>
                <w:u w:val="single"/>
              </w:rPr>
              <w:t xml:space="preserve">20 </w:t>
            </w:r>
            <w:r>
              <w:rPr>
                <w:rFonts w:hint="eastAsia" w:ascii="宋体" w:hAnsi="宋体"/>
                <w:color w:val="FF000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13.5</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承包方式</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采用综合单价包干、工程量按实结算的方式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r>
              <w:rPr>
                <w:rFonts w:hint="eastAsia" w:ascii="宋体" w:hAnsi="宋体"/>
                <w:sz w:val="21"/>
                <w:szCs w:val="21"/>
              </w:rPr>
              <w:t xml:space="preserve">  </w:t>
            </w: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2.3</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质量要求</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满足国家施工验收规范，合格工程标准，达标投产。</w:t>
            </w:r>
          </w:p>
          <w:p>
            <w:pPr>
              <w:snapToGrid w:val="0"/>
              <w:spacing w:line="360" w:lineRule="exact"/>
              <w:jc w:val="both"/>
              <w:rPr>
                <w:rFonts w:ascii="宋体" w:hAnsi="宋体"/>
                <w:sz w:val="21"/>
                <w:szCs w:val="21"/>
              </w:rPr>
            </w:pPr>
            <w:r>
              <w:rPr>
                <w:rFonts w:hint="eastAsia" w:ascii="宋体" w:hAnsi="宋体"/>
                <w:sz w:val="21"/>
                <w:szCs w:val="21"/>
              </w:rPr>
              <w:t>要求质量安全控制目标：杜绝人身死亡事故、杜绝人身重伤事故；杜绝重大设备、重大质量事故，确保工程无永久性缺陷。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ascii="宋体" w:hAnsi="宋体"/>
                <w:sz w:val="21"/>
                <w:szCs w:val="21"/>
              </w:rPr>
              <w:t>3.1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资金来源</w:t>
            </w:r>
          </w:p>
        </w:tc>
        <w:tc>
          <w:tcPr>
            <w:tcW w:w="5112" w:type="dxa"/>
            <w:vAlign w:val="center"/>
          </w:tcPr>
          <w:p>
            <w:pPr>
              <w:overflowPunct w:val="0"/>
              <w:autoSpaceDE w:val="0"/>
              <w:autoSpaceDN w:val="0"/>
              <w:adjustRightInd w:val="0"/>
              <w:snapToGrid w:val="0"/>
              <w:spacing w:line="380" w:lineRule="exact"/>
              <w:jc w:val="both"/>
              <w:textAlignment w:val="baseline"/>
              <w:rPr>
                <w:rFonts w:ascii="宋体" w:hAnsi="宋体"/>
                <w:sz w:val="21"/>
                <w:szCs w:val="21"/>
              </w:rPr>
            </w:pPr>
            <w:r>
              <w:rPr>
                <w:rFonts w:hint="eastAsia" w:ascii="宋体" w:hAnsi="宋体"/>
                <w:sz w:val="21"/>
                <w:szCs w:val="21"/>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80" w:lineRule="exact"/>
              <w:jc w:val="center"/>
              <w:rPr>
                <w:rFonts w:ascii="宋体" w:hAnsi="宋体"/>
                <w:sz w:val="21"/>
              </w:rPr>
            </w:pPr>
            <w:r>
              <w:rPr>
                <w:rFonts w:hint="eastAsia" w:ascii="宋体" w:hAnsi="宋体"/>
                <w:sz w:val="21"/>
              </w:rPr>
              <w:t>5、</w:t>
            </w:r>
          </w:p>
        </w:tc>
        <w:tc>
          <w:tcPr>
            <w:tcW w:w="1746" w:type="dxa"/>
            <w:vAlign w:val="center"/>
          </w:tcPr>
          <w:p>
            <w:pPr>
              <w:snapToGrid w:val="0"/>
              <w:spacing w:line="380" w:lineRule="exact"/>
              <w:jc w:val="center"/>
              <w:rPr>
                <w:rFonts w:ascii="宋体" w:hAnsi="宋体"/>
                <w:sz w:val="21"/>
                <w:szCs w:val="21"/>
              </w:rPr>
            </w:pPr>
            <w:r>
              <w:rPr>
                <w:rFonts w:hint="eastAsia" w:ascii="宋体" w:hAnsi="宋体"/>
                <w:sz w:val="21"/>
                <w:szCs w:val="21"/>
              </w:rPr>
              <w:t>踏勘现场</w:t>
            </w:r>
          </w:p>
        </w:tc>
        <w:tc>
          <w:tcPr>
            <w:tcW w:w="5112" w:type="dxa"/>
            <w:vAlign w:val="center"/>
          </w:tcPr>
          <w:p>
            <w:pPr>
              <w:snapToGrid w:val="0"/>
              <w:spacing w:line="380" w:lineRule="exact"/>
              <w:rPr>
                <w:rFonts w:ascii="宋体" w:hAnsi="宋体"/>
                <w:spacing w:val="6"/>
                <w:sz w:val="21"/>
                <w:szCs w:val="21"/>
              </w:rPr>
            </w:pPr>
            <w:r>
              <w:rPr>
                <w:rFonts w:hint="eastAsia" w:ascii="宋体" w:hAnsi="宋体"/>
                <w:sz w:val="21"/>
                <w:szCs w:val="21"/>
              </w:rPr>
              <w:t>各潜在投标人可依据自身需要自行前往施工地点踏勘，费用自理。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13.1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工程计价方式</w:t>
            </w:r>
          </w:p>
        </w:tc>
        <w:tc>
          <w:tcPr>
            <w:tcW w:w="5112" w:type="dxa"/>
            <w:vAlign w:val="center"/>
          </w:tcPr>
          <w:p>
            <w:pPr>
              <w:snapToGrid w:val="0"/>
              <w:spacing w:line="360" w:lineRule="exact"/>
              <w:rPr>
                <w:rFonts w:ascii="宋体" w:hAnsi="宋体"/>
                <w:sz w:val="21"/>
                <w:szCs w:val="21"/>
              </w:rPr>
            </w:pPr>
            <w:r>
              <w:rPr>
                <w:rFonts w:hint="eastAsia" w:ascii="宋体" w:hAnsi="宋体"/>
                <w:sz w:val="21"/>
                <w:szCs w:val="21"/>
              </w:rPr>
              <w:t>采用工程量清单计价方式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13.7</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投标限价</w:t>
            </w:r>
          </w:p>
        </w:tc>
        <w:tc>
          <w:tcPr>
            <w:tcW w:w="5112" w:type="dxa"/>
            <w:vAlign w:val="center"/>
          </w:tcPr>
          <w:p>
            <w:pPr>
              <w:pStyle w:val="19"/>
              <w:snapToGrid w:val="0"/>
              <w:spacing w:line="360" w:lineRule="exact"/>
              <w:rPr>
                <w:rFonts w:ascii="宋体" w:hAnsi="宋体"/>
                <w:sz w:val="21"/>
                <w:szCs w:val="21"/>
              </w:rPr>
            </w:pPr>
            <w:r>
              <w:rPr>
                <w:rFonts w:hint="eastAsia" w:ascii="宋体" w:hAnsi="宋体"/>
                <w:sz w:val="21"/>
                <w:szCs w:val="21"/>
              </w:rPr>
              <w:t>最高限价：人民币</w:t>
            </w:r>
            <w:r>
              <w:rPr>
                <w:rFonts w:hint="eastAsia" w:ascii="宋体" w:hAnsi="宋体"/>
                <w:sz w:val="21"/>
                <w:szCs w:val="21"/>
                <w:u w:val="single"/>
              </w:rPr>
              <w:t xml:space="preserve">1741044.58 </w:t>
            </w:r>
            <w:r>
              <w:rPr>
                <w:rFonts w:hint="eastAsia" w:ascii="宋体" w:hAnsi="宋体"/>
                <w:sz w:val="21"/>
                <w:szCs w:val="21"/>
              </w:rPr>
              <w:t>元。各投标人报价不得超过最高限价，否则作为废标处理。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15.1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投标有效期</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ascii="宋体" w:hAnsi="宋体"/>
                <w:sz w:val="21"/>
                <w:szCs w:val="21"/>
              </w:rPr>
              <w:t>16.1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投标担保金额</w:t>
            </w:r>
          </w:p>
        </w:tc>
        <w:tc>
          <w:tcPr>
            <w:tcW w:w="5112" w:type="dxa"/>
            <w:vAlign w:val="center"/>
          </w:tcPr>
          <w:p>
            <w:pPr>
              <w:snapToGrid w:val="0"/>
              <w:spacing w:line="360" w:lineRule="exact"/>
              <w:ind w:firstLine="8" w:firstLineChars="4"/>
              <w:rPr>
                <w:rFonts w:ascii="宋体" w:hAnsi="宋体"/>
                <w:sz w:val="21"/>
                <w:szCs w:val="21"/>
              </w:rPr>
            </w:pPr>
            <w:r>
              <w:rPr>
                <w:rFonts w:hint="eastAsia" w:ascii="宋体" w:hAnsi="宋体"/>
                <w:sz w:val="21"/>
                <w:szCs w:val="21"/>
              </w:rPr>
              <w:t>人民币</w:t>
            </w:r>
            <w:r>
              <w:rPr>
                <w:rFonts w:hint="eastAsia" w:ascii="宋体" w:hAnsi="宋体"/>
                <w:sz w:val="21"/>
                <w:szCs w:val="21"/>
                <w:u w:val="single"/>
                <w:lang w:val="en-US" w:eastAsia="zh-CN"/>
              </w:rPr>
              <w:t>2</w:t>
            </w:r>
            <w:bookmarkStart w:id="607" w:name="_GoBack"/>
            <w:bookmarkEnd w:id="607"/>
            <w:r>
              <w:rPr>
                <w:rFonts w:hint="eastAsia" w:ascii="宋体" w:hAnsi="宋体"/>
                <w:sz w:val="21"/>
                <w:szCs w:val="21"/>
                <w:u w:val="single"/>
              </w:rPr>
              <w:t xml:space="preserve">.0 </w:t>
            </w:r>
            <w:r>
              <w:rPr>
                <w:rFonts w:hint="eastAsia" w:ascii="宋体" w:hAnsi="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tcPr>
          <w:p>
            <w:pPr>
              <w:snapToGrid w:val="0"/>
              <w:spacing w:line="360" w:lineRule="exact"/>
              <w:jc w:val="center"/>
              <w:rPr>
                <w:rFonts w:ascii="宋体" w:hAnsi="宋体"/>
                <w:sz w:val="21"/>
                <w:szCs w:val="21"/>
              </w:rPr>
            </w:pPr>
            <w:r>
              <w:rPr>
                <w:rFonts w:hint="eastAsia" w:ascii="宋体" w:hAnsi="宋体"/>
                <w:sz w:val="21"/>
                <w:szCs w:val="21"/>
              </w:rPr>
              <w:t>16.2</w:t>
            </w:r>
          </w:p>
        </w:tc>
        <w:tc>
          <w:tcPr>
            <w:tcW w:w="1746" w:type="dxa"/>
          </w:tcPr>
          <w:p>
            <w:pPr>
              <w:snapToGrid w:val="0"/>
              <w:spacing w:line="360" w:lineRule="exact"/>
              <w:jc w:val="center"/>
              <w:rPr>
                <w:rFonts w:ascii="宋体" w:hAnsi="宋体"/>
                <w:sz w:val="21"/>
                <w:szCs w:val="21"/>
              </w:rPr>
            </w:pPr>
            <w:r>
              <w:rPr>
                <w:rFonts w:hint="eastAsia" w:ascii="宋体" w:hAnsi="宋体"/>
                <w:sz w:val="21"/>
                <w:szCs w:val="21"/>
              </w:rPr>
              <w:t>缴纳账户</w:t>
            </w:r>
          </w:p>
        </w:tc>
        <w:tc>
          <w:tcPr>
            <w:tcW w:w="5112" w:type="dxa"/>
          </w:tcPr>
          <w:p>
            <w:pPr>
              <w:snapToGrid w:val="0"/>
              <w:spacing w:line="360" w:lineRule="exact"/>
              <w:ind w:firstLine="8" w:firstLineChars="4"/>
              <w:rPr>
                <w:rFonts w:ascii="宋体" w:hAnsi="宋体"/>
                <w:sz w:val="21"/>
                <w:szCs w:val="21"/>
              </w:rPr>
            </w:pPr>
            <w:r>
              <w:rPr>
                <w:rFonts w:hint="eastAsia" w:ascii="宋体" w:hAnsi="宋体"/>
                <w:sz w:val="21"/>
                <w:szCs w:val="21"/>
              </w:rPr>
              <w:t>（1）如采用现金、支票或汇票形式提交的，投标保证金从投标人基本账户递交，由广州海建工程咨询有限公司代收。</w:t>
            </w:r>
          </w:p>
          <w:p>
            <w:pPr>
              <w:snapToGrid w:val="0"/>
              <w:spacing w:line="360" w:lineRule="exact"/>
              <w:ind w:firstLine="8" w:firstLineChars="4"/>
              <w:rPr>
                <w:rFonts w:ascii="宋体" w:hAnsi="宋体"/>
                <w:sz w:val="21"/>
                <w:szCs w:val="21"/>
              </w:rPr>
            </w:pPr>
            <w:r>
              <w:rPr>
                <w:rFonts w:hint="eastAsia" w:ascii="宋体" w:hAnsi="宋体"/>
                <w:sz w:val="21"/>
                <w:szCs w:val="21"/>
              </w:rPr>
              <w:t>缴纳时间：投标文件递交截止时间前。</w:t>
            </w:r>
          </w:p>
          <w:p>
            <w:pPr>
              <w:snapToGrid w:val="0"/>
              <w:spacing w:line="360" w:lineRule="exact"/>
              <w:ind w:firstLine="8" w:firstLineChars="4"/>
              <w:rPr>
                <w:rFonts w:ascii="宋体" w:hAnsi="宋体"/>
                <w:sz w:val="21"/>
                <w:szCs w:val="21"/>
              </w:rPr>
            </w:pPr>
            <w:r>
              <w:rPr>
                <w:rFonts w:hint="eastAsia" w:ascii="宋体" w:hAnsi="宋体"/>
                <w:sz w:val="21"/>
                <w:szCs w:val="21"/>
              </w:rPr>
              <w:t>开户名称：广州海建工程咨询有限公司</w:t>
            </w:r>
          </w:p>
          <w:p>
            <w:pPr>
              <w:snapToGrid w:val="0"/>
              <w:spacing w:line="360" w:lineRule="exact"/>
              <w:ind w:firstLine="8" w:firstLineChars="4"/>
              <w:rPr>
                <w:rFonts w:ascii="宋体" w:hAnsi="宋体"/>
                <w:sz w:val="21"/>
                <w:szCs w:val="21"/>
              </w:rPr>
            </w:pPr>
            <w:r>
              <w:rPr>
                <w:rFonts w:hint="eastAsia" w:ascii="宋体" w:hAnsi="宋体"/>
                <w:sz w:val="21"/>
                <w:szCs w:val="21"/>
              </w:rPr>
              <w:t>开户行名称：招商银行广州海珠支行</w:t>
            </w:r>
          </w:p>
          <w:p>
            <w:pPr>
              <w:snapToGrid w:val="0"/>
              <w:spacing w:line="360" w:lineRule="exact"/>
              <w:ind w:firstLine="8" w:firstLineChars="4"/>
              <w:rPr>
                <w:rFonts w:ascii="宋体" w:hAnsi="宋体"/>
                <w:sz w:val="21"/>
                <w:szCs w:val="21"/>
              </w:rPr>
            </w:pPr>
            <w:r>
              <w:rPr>
                <w:rFonts w:hint="eastAsia" w:ascii="宋体" w:hAnsi="宋体"/>
                <w:sz w:val="21"/>
                <w:szCs w:val="21"/>
              </w:rPr>
              <w:t>账      号：200681384210001</w:t>
            </w:r>
          </w:p>
          <w:p>
            <w:pPr>
              <w:snapToGrid w:val="0"/>
              <w:spacing w:line="360" w:lineRule="exact"/>
              <w:ind w:firstLine="8" w:firstLineChars="4"/>
              <w:rPr>
                <w:rFonts w:ascii="宋体" w:hAnsi="宋体"/>
                <w:sz w:val="21"/>
                <w:szCs w:val="21"/>
              </w:rPr>
            </w:pPr>
            <w:r>
              <w:rPr>
                <w:rFonts w:hint="eastAsia" w:ascii="宋体" w:hAnsi="宋体"/>
                <w:sz w:val="21"/>
                <w:szCs w:val="21"/>
              </w:rPr>
              <w:t>招标人提醒各投标人注意：投标人最迟应于投标截止时将全额投标保证金从投标人的基本账户转入以上指定帐号，以到帐时间为准，未按规定提交投标担保的投标文件，招标人将予以拒绝。</w:t>
            </w:r>
          </w:p>
          <w:p>
            <w:pPr>
              <w:snapToGrid w:val="0"/>
              <w:spacing w:line="360" w:lineRule="exact"/>
              <w:ind w:firstLine="8" w:firstLineChars="4"/>
              <w:rPr>
                <w:rFonts w:ascii="宋体" w:hAnsi="宋体"/>
                <w:b/>
                <w:sz w:val="21"/>
                <w:szCs w:val="21"/>
              </w:rPr>
            </w:pPr>
            <w:r>
              <w:rPr>
                <w:rFonts w:hint="eastAsia" w:ascii="宋体" w:hAnsi="宋体"/>
                <w:sz w:val="21"/>
                <w:szCs w:val="21"/>
              </w:rPr>
              <w:t>（2）如采用保函或保险等形式提交的，银行保函需开具给招标人（必须是公司基本账户开户银行出具的银行保函）。保证保险需开具给招标人（受益人也必须是招标人），开具保证保险的保险费必须由投标人基本账户银行转账汇入保险公司指定的账户。须在投标截止时间前将原件单独密封递交至开标室，并在封口处加盖投标人单位公章。以原件提交至开标室的时间为准，逾期或未在指定地点递交的，视为未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18</w:t>
            </w:r>
            <w:r>
              <w:rPr>
                <w:rFonts w:ascii="宋体" w:hAnsi="宋体"/>
                <w:sz w:val="21"/>
                <w:szCs w:val="21"/>
              </w:rPr>
              <w:t>.1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装订要求</w:t>
            </w:r>
          </w:p>
        </w:tc>
        <w:tc>
          <w:tcPr>
            <w:tcW w:w="5112" w:type="dxa"/>
            <w:vAlign w:val="center"/>
          </w:tcPr>
          <w:p>
            <w:pPr>
              <w:spacing w:before="120" w:beforeLines="50" w:after="120" w:afterLines="50" w:line="300" w:lineRule="exact"/>
              <w:rPr>
                <w:rFonts w:ascii="宋体" w:hAnsi="宋体"/>
                <w:szCs w:val="21"/>
              </w:rPr>
            </w:pPr>
            <w:r>
              <w:rPr>
                <w:rFonts w:hint="eastAsia" w:ascii="宋体" w:hAnsi="宋体"/>
                <w:szCs w:val="21"/>
              </w:rPr>
              <w:t>□不分册装订</w:t>
            </w:r>
          </w:p>
          <w:p>
            <w:pPr>
              <w:snapToGrid w:val="0"/>
              <w:spacing w:line="360" w:lineRule="exact"/>
              <w:ind w:firstLine="8" w:firstLineChars="4"/>
              <w:rPr>
                <w:rFonts w:ascii="宋体" w:hAnsi="宋体"/>
                <w:sz w:val="21"/>
                <w:szCs w:val="21"/>
              </w:rPr>
            </w:pPr>
            <w:r>
              <w:rPr>
                <w:rFonts w:hint="eastAsia" w:ascii="宋体" w:hAnsi="宋体"/>
                <w:szCs w:val="21"/>
              </w:rPr>
              <w:t>■</w:t>
            </w:r>
            <w:r>
              <w:rPr>
                <w:rFonts w:hint="eastAsia" w:ascii="宋体" w:hAnsi="宋体"/>
                <w:sz w:val="21"/>
                <w:szCs w:val="21"/>
              </w:rPr>
              <w:t>分册装订，共分3册，分别为：</w:t>
            </w:r>
          </w:p>
          <w:p>
            <w:pPr>
              <w:snapToGrid w:val="0"/>
              <w:spacing w:line="360" w:lineRule="exact"/>
              <w:ind w:firstLine="8" w:firstLineChars="4"/>
              <w:rPr>
                <w:rFonts w:ascii="宋体" w:hAnsi="宋体"/>
                <w:sz w:val="21"/>
                <w:szCs w:val="21"/>
              </w:rPr>
            </w:pPr>
            <w:r>
              <w:rPr>
                <w:rFonts w:hint="eastAsia" w:ascii="宋体" w:hAnsi="宋体"/>
                <w:sz w:val="21"/>
                <w:szCs w:val="21"/>
              </w:rPr>
              <w:t>投标函：正本1份，副本2份</w:t>
            </w:r>
          </w:p>
          <w:p>
            <w:pPr>
              <w:snapToGrid w:val="0"/>
              <w:spacing w:line="360" w:lineRule="exact"/>
              <w:ind w:firstLine="8" w:firstLineChars="4"/>
              <w:rPr>
                <w:rFonts w:ascii="宋体" w:hAnsi="宋体"/>
                <w:sz w:val="21"/>
                <w:szCs w:val="21"/>
              </w:rPr>
            </w:pPr>
            <w:r>
              <w:rPr>
                <w:rFonts w:hint="eastAsia" w:ascii="宋体" w:hAnsi="宋体"/>
                <w:sz w:val="21"/>
                <w:szCs w:val="21"/>
              </w:rPr>
              <w:t>商务标：正本1份，副本2份；技术标：正本1份，副本2份。装订应牢固、不易拆散和换页，不得采用活页装订。（电子文档1份，储存于U盘）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21.1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投标截止时间</w:t>
            </w:r>
          </w:p>
        </w:tc>
        <w:tc>
          <w:tcPr>
            <w:tcW w:w="5112" w:type="dxa"/>
            <w:vAlign w:val="center"/>
          </w:tcPr>
          <w:p>
            <w:pPr>
              <w:snapToGrid w:val="0"/>
              <w:spacing w:line="360" w:lineRule="exact"/>
              <w:rPr>
                <w:rFonts w:ascii="宋体" w:hAnsi="宋体"/>
                <w:sz w:val="21"/>
                <w:szCs w:val="21"/>
              </w:rPr>
            </w:pP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3</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 xml:space="preserve">10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10</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9</w:t>
            </w:r>
            <w:r>
              <w:rPr>
                <w:rFonts w:hint="eastAsia" w:ascii="宋体" w:hAnsi="宋体"/>
                <w:sz w:val="21"/>
                <w:szCs w:val="21"/>
              </w:rPr>
              <w:t>时</w:t>
            </w:r>
            <w:r>
              <w:rPr>
                <w:rFonts w:hint="eastAsia" w:ascii="宋体" w:hAnsi="宋体"/>
                <w:sz w:val="21"/>
                <w:szCs w:val="21"/>
                <w:u w:val="single"/>
              </w:rPr>
              <w:t>30</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ascii="宋体" w:hAnsi="宋体"/>
                <w:sz w:val="21"/>
                <w:szCs w:val="21"/>
              </w:rPr>
              <w:t>2</w:t>
            </w:r>
            <w:r>
              <w:rPr>
                <w:rFonts w:hint="eastAsia" w:ascii="宋体" w:hAnsi="宋体"/>
                <w:sz w:val="21"/>
                <w:szCs w:val="21"/>
              </w:rPr>
              <w:t>5</w:t>
            </w:r>
            <w:r>
              <w:rPr>
                <w:rFonts w:ascii="宋体" w:hAnsi="宋体"/>
                <w:sz w:val="21"/>
                <w:szCs w:val="21"/>
              </w:rPr>
              <w:t>.1</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开    标</w:t>
            </w:r>
          </w:p>
        </w:tc>
        <w:tc>
          <w:tcPr>
            <w:tcW w:w="5112" w:type="dxa"/>
            <w:vAlign w:val="center"/>
          </w:tcPr>
          <w:p>
            <w:pPr>
              <w:snapToGrid w:val="0"/>
              <w:spacing w:line="360" w:lineRule="exact"/>
              <w:rPr>
                <w:rFonts w:ascii="宋体" w:hAnsi="宋体"/>
                <w:sz w:val="21"/>
                <w:szCs w:val="21"/>
              </w:rPr>
            </w:pPr>
            <w:r>
              <w:rPr>
                <w:rFonts w:hint="eastAsia" w:ascii="宋体" w:hAnsi="宋体"/>
                <w:sz w:val="21"/>
                <w:szCs w:val="21"/>
              </w:rPr>
              <w:t xml:space="preserve">开标时间: </w:t>
            </w:r>
            <w:r>
              <w:rPr>
                <w:rFonts w:hint="eastAsia" w:ascii="宋体" w:hAnsi="宋体"/>
                <w:sz w:val="21"/>
                <w:szCs w:val="21"/>
                <w:u w:val="single"/>
              </w:rPr>
              <w:t>20</w:t>
            </w:r>
            <w:r>
              <w:rPr>
                <w:rFonts w:ascii="宋体" w:hAnsi="宋体"/>
                <w:sz w:val="21"/>
                <w:szCs w:val="21"/>
                <w:u w:val="single"/>
              </w:rPr>
              <w:t>2</w:t>
            </w:r>
            <w:r>
              <w:rPr>
                <w:rFonts w:hint="eastAsia" w:ascii="宋体" w:hAnsi="宋体"/>
                <w:sz w:val="21"/>
                <w:szCs w:val="21"/>
                <w:u w:val="single"/>
              </w:rPr>
              <w:t>3</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 xml:space="preserve">10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10</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9 </w:t>
            </w:r>
            <w:r>
              <w:rPr>
                <w:rFonts w:hint="eastAsia" w:ascii="宋体" w:hAnsi="宋体"/>
                <w:sz w:val="21"/>
                <w:szCs w:val="21"/>
              </w:rPr>
              <w:t>时</w:t>
            </w:r>
            <w:r>
              <w:rPr>
                <w:rFonts w:hint="eastAsia" w:ascii="宋体" w:hAnsi="宋体"/>
                <w:sz w:val="21"/>
                <w:szCs w:val="21"/>
                <w:u w:val="single"/>
              </w:rPr>
              <w:t>30</w:t>
            </w:r>
            <w:r>
              <w:rPr>
                <w:rFonts w:hint="eastAsia" w:ascii="宋体" w:hAnsi="宋体"/>
                <w:sz w:val="21"/>
                <w:szCs w:val="21"/>
              </w:rPr>
              <w:t>分（北京时间）</w:t>
            </w:r>
          </w:p>
          <w:p>
            <w:pPr>
              <w:snapToGrid w:val="0"/>
              <w:spacing w:line="360" w:lineRule="exact"/>
              <w:rPr>
                <w:rFonts w:ascii="宋体" w:hAnsi="宋体"/>
                <w:sz w:val="21"/>
                <w:szCs w:val="21"/>
              </w:rPr>
            </w:pPr>
            <w:r>
              <w:rPr>
                <w:rFonts w:hint="eastAsia" w:ascii="宋体" w:hAnsi="宋体"/>
                <w:sz w:val="21"/>
                <w:szCs w:val="21"/>
              </w:rPr>
              <w:t>开标地点：广州市海珠区滨江中路3</w:t>
            </w:r>
            <w:r>
              <w:rPr>
                <w:rFonts w:ascii="宋体" w:hAnsi="宋体"/>
                <w:sz w:val="21"/>
                <w:szCs w:val="21"/>
              </w:rPr>
              <w:t>08</w:t>
            </w:r>
            <w:r>
              <w:rPr>
                <w:rFonts w:hint="eastAsia" w:ascii="宋体" w:hAnsi="宋体"/>
                <w:sz w:val="21"/>
                <w:szCs w:val="21"/>
              </w:rPr>
              <w:t>号广州海运大厦1</w:t>
            </w:r>
            <w:r>
              <w:rPr>
                <w:rFonts w:ascii="宋体" w:hAnsi="宋体"/>
                <w:sz w:val="21"/>
                <w:szCs w:val="21"/>
              </w:rPr>
              <w:t>7</w:t>
            </w:r>
            <w:r>
              <w:rPr>
                <w:rFonts w:hint="eastAsia" w:ascii="宋体" w:hAnsi="宋体"/>
                <w:sz w:val="21"/>
                <w:szCs w:val="21"/>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r>
              <w:rPr>
                <w:rFonts w:hint="eastAsia" w:ascii="宋体" w:hAnsi="宋体"/>
                <w:sz w:val="21"/>
                <w:szCs w:val="21"/>
              </w:rPr>
              <w:t>33.4</w:t>
            </w: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评标方法及标准</w:t>
            </w:r>
          </w:p>
        </w:tc>
        <w:tc>
          <w:tcPr>
            <w:tcW w:w="5112" w:type="dxa"/>
            <w:vAlign w:val="center"/>
          </w:tcPr>
          <w:p>
            <w:pPr>
              <w:snapToGrid w:val="0"/>
              <w:spacing w:line="360" w:lineRule="exact"/>
              <w:jc w:val="both"/>
              <w:rPr>
                <w:rFonts w:ascii="宋体" w:hAnsi="宋体"/>
                <w:sz w:val="21"/>
                <w:szCs w:val="21"/>
              </w:rPr>
            </w:pPr>
            <w:r>
              <w:rPr>
                <w:rFonts w:hint="eastAsia" w:ascii="宋体" w:hAnsi="宋体"/>
                <w:sz w:val="21"/>
                <w:szCs w:val="21"/>
              </w:rPr>
              <w:t>综合评分法（详见招标文件）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numPr>
                <w:ilvl w:val="0"/>
                <w:numId w:val="7"/>
              </w:numPr>
              <w:tabs>
                <w:tab w:val="left" w:pos="268"/>
                <w:tab w:val="clear" w:pos="420"/>
              </w:tabs>
              <w:snapToGrid w:val="0"/>
              <w:spacing w:line="360" w:lineRule="exact"/>
              <w:jc w:val="center"/>
              <w:rPr>
                <w:rFonts w:ascii="宋体" w:hAnsi="宋体"/>
                <w:sz w:val="21"/>
                <w:szCs w:val="21"/>
              </w:rPr>
            </w:pPr>
          </w:p>
        </w:tc>
        <w:tc>
          <w:tcPr>
            <w:tcW w:w="900" w:type="dxa"/>
            <w:vAlign w:val="center"/>
          </w:tcPr>
          <w:p>
            <w:pPr>
              <w:snapToGrid w:val="0"/>
              <w:spacing w:line="360" w:lineRule="exact"/>
              <w:jc w:val="center"/>
              <w:rPr>
                <w:rFonts w:ascii="宋体" w:hAnsi="宋体"/>
                <w:sz w:val="21"/>
                <w:szCs w:val="21"/>
              </w:rPr>
            </w:pPr>
          </w:p>
        </w:tc>
        <w:tc>
          <w:tcPr>
            <w:tcW w:w="1746" w:type="dxa"/>
            <w:vAlign w:val="center"/>
          </w:tcPr>
          <w:p>
            <w:pPr>
              <w:snapToGrid w:val="0"/>
              <w:spacing w:line="360" w:lineRule="exact"/>
              <w:jc w:val="center"/>
              <w:rPr>
                <w:rFonts w:ascii="宋体" w:hAnsi="宋体"/>
                <w:sz w:val="21"/>
                <w:szCs w:val="21"/>
              </w:rPr>
            </w:pPr>
            <w:r>
              <w:rPr>
                <w:rFonts w:hint="eastAsia" w:ascii="宋体" w:hAnsi="宋体"/>
                <w:sz w:val="21"/>
                <w:szCs w:val="21"/>
              </w:rPr>
              <w:t>其他要求</w:t>
            </w:r>
          </w:p>
        </w:tc>
        <w:tc>
          <w:tcPr>
            <w:tcW w:w="5112" w:type="dxa"/>
            <w:vAlign w:val="center"/>
          </w:tcPr>
          <w:p>
            <w:pPr>
              <w:snapToGrid w:val="0"/>
              <w:spacing w:line="360" w:lineRule="exact"/>
              <w:jc w:val="both"/>
              <w:rPr>
                <w:rFonts w:ascii="宋体" w:hAnsi="宋体"/>
                <w:sz w:val="21"/>
                <w:szCs w:val="21"/>
              </w:rPr>
            </w:pPr>
          </w:p>
        </w:tc>
      </w:tr>
    </w:tbl>
    <w:p>
      <w:pPr>
        <w:spacing w:line="360" w:lineRule="auto"/>
        <w:ind w:firstLine="641"/>
        <w:rPr>
          <w:rFonts w:ascii="宋体" w:hAnsi="宋体"/>
          <w:sz w:val="21"/>
          <w:szCs w:val="21"/>
        </w:rPr>
      </w:pPr>
    </w:p>
    <w:p>
      <w:pPr>
        <w:pStyle w:val="6"/>
        <w:numPr>
          <w:ilvl w:val="0"/>
          <w:numId w:val="0"/>
        </w:numPr>
        <w:spacing w:before="240" w:beforeLines="100" w:after="240" w:afterLines="100" w:line="360" w:lineRule="auto"/>
        <w:rPr>
          <w:rFonts w:ascii="宋体" w:hAnsi="宋体"/>
          <w:sz w:val="28"/>
          <w:szCs w:val="28"/>
        </w:rPr>
      </w:pPr>
      <w:bookmarkStart w:id="30" w:name="_Toc59"/>
      <w:bookmarkStart w:id="31" w:name="_Toc26801001"/>
      <w:bookmarkStart w:id="32" w:name="_Toc26800617"/>
      <w:bookmarkStart w:id="33" w:name="_Toc429827529"/>
      <w:bookmarkStart w:id="34" w:name="_Toc26800884"/>
      <w:bookmarkStart w:id="35" w:name="_Toc26800812"/>
      <w:bookmarkStart w:id="36" w:name="_Toc26805591"/>
      <w:bookmarkStart w:id="37" w:name="_Toc276925242"/>
      <w:r>
        <w:rPr>
          <w:rFonts w:hint="eastAsia" w:ascii="宋体" w:hAnsi="宋体"/>
          <w:sz w:val="28"/>
          <w:szCs w:val="28"/>
        </w:rPr>
        <w:t>二、投标须知</w:t>
      </w:r>
      <w:bookmarkEnd w:id="30"/>
      <w:bookmarkEnd w:id="31"/>
      <w:bookmarkEnd w:id="32"/>
      <w:bookmarkEnd w:id="33"/>
      <w:bookmarkEnd w:id="34"/>
      <w:bookmarkEnd w:id="35"/>
      <w:bookmarkEnd w:id="36"/>
      <w:bookmarkEnd w:id="37"/>
    </w:p>
    <w:p>
      <w:pPr>
        <w:pStyle w:val="6"/>
        <w:numPr>
          <w:ilvl w:val="0"/>
          <w:numId w:val="0"/>
        </w:numPr>
        <w:spacing w:before="0" w:after="0" w:line="360" w:lineRule="auto"/>
        <w:rPr>
          <w:bCs/>
          <w:sz w:val="21"/>
        </w:rPr>
      </w:pPr>
      <w:bookmarkStart w:id="38" w:name="_Toc26801002"/>
      <w:bookmarkStart w:id="39" w:name="_Toc18020_WPSOffice_Level3"/>
      <w:bookmarkStart w:id="40" w:name="_Toc26805592"/>
      <w:bookmarkStart w:id="41" w:name="_Toc26800885"/>
      <w:bookmarkStart w:id="42" w:name="_Toc429827530"/>
      <w:bookmarkStart w:id="43" w:name="_Toc26800618"/>
      <w:bookmarkStart w:id="44" w:name="_Toc276925243"/>
      <w:r>
        <w:rPr>
          <w:rFonts w:hint="eastAsia"/>
          <w:bCs/>
          <w:sz w:val="21"/>
        </w:rPr>
        <w:t xml:space="preserve">（一）总    </w:t>
      </w:r>
      <w:bookmarkStart w:id="45" w:name="_Hlt19957493"/>
      <w:bookmarkEnd w:id="45"/>
      <w:r>
        <w:rPr>
          <w:rFonts w:hint="eastAsia"/>
          <w:bCs/>
          <w:sz w:val="21"/>
        </w:rPr>
        <w:t>则</w:t>
      </w:r>
      <w:bookmarkEnd w:id="38"/>
      <w:bookmarkEnd w:id="39"/>
      <w:bookmarkEnd w:id="40"/>
      <w:bookmarkEnd w:id="41"/>
      <w:bookmarkEnd w:id="42"/>
      <w:bookmarkEnd w:id="43"/>
      <w:bookmarkEnd w:id="44"/>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46" w:name="_Toc276925244"/>
      <w:bookmarkStart w:id="47" w:name="_Toc429827531"/>
      <w:r>
        <w:rPr>
          <w:rFonts w:hint="eastAsia" w:ascii="宋体" w:hAnsi="宋体"/>
          <w:b w:val="0"/>
          <w:bCs/>
          <w:sz w:val="21"/>
        </w:rPr>
        <w:t>项目概况</w:t>
      </w:r>
      <w:bookmarkEnd w:id="46"/>
      <w:bookmarkEnd w:id="47"/>
    </w:p>
    <w:p>
      <w:pPr>
        <w:numPr>
          <w:ilvl w:val="1"/>
          <w:numId w:val="9"/>
        </w:numPr>
        <w:tabs>
          <w:tab w:val="left" w:pos="800"/>
          <w:tab w:val="clear" w:pos="525"/>
        </w:tabs>
        <w:spacing w:line="360" w:lineRule="auto"/>
        <w:ind w:left="800" w:hanging="800"/>
        <w:jc w:val="both"/>
        <w:rPr>
          <w:rFonts w:ascii="宋体" w:hAnsi="宋体"/>
          <w:sz w:val="21"/>
        </w:rPr>
      </w:pPr>
      <w:r>
        <w:rPr>
          <w:rFonts w:hint="eastAsia" w:ascii="宋体" w:hAnsi="宋体"/>
          <w:sz w:val="21"/>
        </w:rPr>
        <w:t>根据《中华人民共和国招标投标法》 等有关法律、法规和规章的规定，本招标项目己具备招标条件，现对项目在国内进行公开招标，选定承包人。</w:t>
      </w:r>
    </w:p>
    <w:p>
      <w:pPr>
        <w:numPr>
          <w:ilvl w:val="1"/>
          <w:numId w:val="9"/>
        </w:numPr>
        <w:tabs>
          <w:tab w:val="left" w:pos="800"/>
          <w:tab w:val="clear" w:pos="525"/>
        </w:tabs>
        <w:spacing w:line="360" w:lineRule="auto"/>
        <w:ind w:left="800" w:hanging="800"/>
        <w:jc w:val="both"/>
        <w:rPr>
          <w:rFonts w:ascii="宋体" w:hAnsi="宋体"/>
          <w:sz w:val="21"/>
        </w:rPr>
      </w:pPr>
      <w:r>
        <w:rPr>
          <w:rFonts w:hint="eastAsia" w:ascii="宋体" w:hAnsi="宋体"/>
          <w:sz w:val="21"/>
        </w:rPr>
        <w:t>本招标项目招标人：见投标人须知前附表。</w:t>
      </w:r>
    </w:p>
    <w:p>
      <w:pPr>
        <w:numPr>
          <w:ilvl w:val="1"/>
          <w:numId w:val="9"/>
        </w:numPr>
        <w:tabs>
          <w:tab w:val="left" w:pos="800"/>
          <w:tab w:val="clear" w:pos="525"/>
        </w:tabs>
        <w:spacing w:line="360" w:lineRule="auto"/>
        <w:ind w:left="800" w:hanging="800"/>
        <w:jc w:val="both"/>
        <w:rPr>
          <w:rFonts w:ascii="宋体" w:hAnsi="宋体"/>
          <w:sz w:val="21"/>
        </w:rPr>
      </w:pPr>
      <w:r>
        <w:rPr>
          <w:rFonts w:hint="eastAsia" w:ascii="宋体" w:hAnsi="宋体"/>
          <w:sz w:val="21"/>
        </w:rPr>
        <w:t>本招标项目招标代理机构：见投标人须知前附表。</w:t>
      </w:r>
    </w:p>
    <w:p>
      <w:pPr>
        <w:numPr>
          <w:ilvl w:val="1"/>
          <w:numId w:val="9"/>
        </w:numPr>
        <w:tabs>
          <w:tab w:val="left" w:pos="800"/>
          <w:tab w:val="clear" w:pos="525"/>
        </w:tabs>
        <w:spacing w:line="360" w:lineRule="auto"/>
        <w:ind w:left="800" w:hanging="800"/>
        <w:jc w:val="both"/>
        <w:rPr>
          <w:rFonts w:ascii="宋体" w:hAnsi="宋体"/>
          <w:sz w:val="21"/>
        </w:rPr>
      </w:pPr>
      <w:r>
        <w:rPr>
          <w:rFonts w:hint="eastAsia" w:ascii="宋体" w:hAnsi="宋体"/>
          <w:sz w:val="21"/>
        </w:rPr>
        <w:t>本招标项目名称：见投标人须知前附表。</w:t>
      </w:r>
    </w:p>
    <w:p>
      <w:pPr>
        <w:numPr>
          <w:ilvl w:val="1"/>
          <w:numId w:val="9"/>
        </w:numPr>
        <w:tabs>
          <w:tab w:val="left" w:pos="800"/>
          <w:tab w:val="clear" w:pos="525"/>
        </w:tabs>
        <w:spacing w:line="360" w:lineRule="auto"/>
        <w:ind w:left="800" w:hanging="800"/>
        <w:jc w:val="both"/>
        <w:rPr>
          <w:rFonts w:ascii="宋体" w:hAnsi="宋体"/>
          <w:sz w:val="21"/>
        </w:rPr>
      </w:pPr>
      <w:r>
        <w:rPr>
          <w:rFonts w:hint="eastAsia" w:ascii="宋体" w:hAnsi="宋体"/>
          <w:sz w:val="21"/>
        </w:rPr>
        <w:t>本招标项目建设地点：见投标人须知前附表。</w:t>
      </w:r>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48" w:name="_Toc26805594"/>
      <w:bookmarkStart w:id="49" w:name="_Toc26800620"/>
      <w:bookmarkStart w:id="50" w:name="_Toc26800887"/>
      <w:bookmarkStart w:id="51" w:name="_Toc26801004"/>
      <w:bookmarkStart w:id="52" w:name="_Toc429827532"/>
      <w:bookmarkStart w:id="53" w:name="_Toc276925245"/>
      <w:r>
        <w:rPr>
          <w:rFonts w:hint="eastAsia" w:ascii="宋体" w:hAnsi="宋体"/>
          <w:b w:val="0"/>
          <w:bCs/>
          <w:sz w:val="21"/>
        </w:rPr>
        <w:t>招标范围、工期</w:t>
      </w:r>
      <w:bookmarkEnd w:id="48"/>
      <w:bookmarkEnd w:id="49"/>
      <w:bookmarkEnd w:id="50"/>
      <w:bookmarkEnd w:id="51"/>
      <w:r>
        <w:rPr>
          <w:rFonts w:hint="eastAsia" w:ascii="宋体" w:hAnsi="宋体"/>
          <w:b w:val="0"/>
          <w:bCs/>
          <w:sz w:val="21"/>
        </w:rPr>
        <w:t>和质量要求</w:t>
      </w:r>
      <w:bookmarkEnd w:id="52"/>
      <w:bookmarkEnd w:id="53"/>
    </w:p>
    <w:p>
      <w:pPr>
        <w:numPr>
          <w:ilvl w:val="1"/>
          <w:numId w:val="10"/>
        </w:numPr>
        <w:tabs>
          <w:tab w:val="left" w:pos="800"/>
          <w:tab w:val="clear" w:pos="525"/>
        </w:tabs>
        <w:spacing w:line="360" w:lineRule="auto"/>
        <w:ind w:left="800" w:hanging="800"/>
        <w:jc w:val="both"/>
        <w:rPr>
          <w:rFonts w:ascii="宋体" w:hAnsi="宋体"/>
          <w:sz w:val="21"/>
        </w:rPr>
      </w:pPr>
      <w:r>
        <w:rPr>
          <w:rFonts w:hint="eastAsia" w:ascii="宋体" w:hAnsi="宋体"/>
          <w:sz w:val="21"/>
        </w:rPr>
        <w:t xml:space="preserve">招标范围：见投标人须知前附表。 </w:t>
      </w:r>
    </w:p>
    <w:p>
      <w:pPr>
        <w:numPr>
          <w:ilvl w:val="1"/>
          <w:numId w:val="10"/>
        </w:numPr>
        <w:tabs>
          <w:tab w:val="left" w:pos="800"/>
          <w:tab w:val="clear" w:pos="525"/>
        </w:tabs>
        <w:spacing w:line="360" w:lineRule="auto"/>
        <w:ind w:left="800" w:hanging="800"/>
        <w:jc w:val="both"/>
        <w:rPr>
          <w:rFonts w:ascii="宋体" w:hAnsi="宋体"/>
          <w:sz w:val="21"/>
        </w:rPr>
      </w:pPr>
      <w:r>
        <w:rPr>
          <w:rFonts w:hint="eastAsia" w:ascii="宋体" w:hAnsi="宋体"/>
          <w:sz w:val="21"/>
        </w:rPr>
        <w:t>工期：见投标人须知前附表。</w:t>
      </w:r>
    </w:p>
    <w:p>
      <w:pPr>
        <w:numPr>
          <w:ilvl w:val="1"/>
          <w:numId w:val="10"/>
        </w:numPr>
        <w:tabs>
          <w:tab w:val="left" w:pos="800"/>
          <w:tab w:val="clear" w:pos="525"/>
        </w:tabs>
        <w:spacing w:line="360" w:lineRule="auto"/>
        <w:ind w:left="800" w:hanging="800"/>
        <w:jc w:val="both"/>
        <w:rPr>
          <w:rFonts w:ascii="宋体" w:hAnsi="宋体"/>
          <w:sz w:val="21"/>
        </w:rPr>
      </w:pPr>
      <w:r>
        <w:rPr>
          <w:rFonts w:hint="eastAsia" w:ascii="宋体" w:hAnsi="宋体"/>
          <w:sz w:val="21"/>
        </w:rPr>
        <w:t>质量要求：见投标人须知前附表。</w:t>
      </w:r>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54" w:name="_Toc26805595"/>
      <w:bookmarkStart w:id="55" w:name="_Toc26801005"/>
      <w:bookmarkStart w:id="56" w:name="_Toc276925246"/>
      <w:bookmarkStart w:id="57" w:name="_Toc26800888"/>
      <w:bookmarkStart w:id="58" w:name="_Toc26800621"/>
      <w:bookmarkStart w:id="59" w:name="_Toc429827533"/>
      <w:r>
        <w:rPr>
          <w:rFonts w:hint="eastAsia" w:ascii="宋体" w:hAnsi="宋体"/>
          <w:b w:val="0"/>
          <w:bCs/>
          <w:sz w:val="21"/>
        </w:rPr>
        <w:t>资金来源</w:t>
      </w:r>
      <w:bookmarkEnd w:id="54"/>
      <w:bookmarkEnd w:id="55"/>
      <w:bookmarkEnd w:id="56"/>
      <w:bookmarkEnd w:id="57"/>
      <w:bookmarkEnd w:id="58"/>
      <w:bookmarkEnd w:id="59"/>
    </w:p>
    <w:p>
      <w:pPr>
        <w:numPr>
          <w:ilvl w:val="1"/>
          <w:numId w:val="11"/>
        </w:numPr>
        <w:tabs>
          <w:tab w:val="left" w:pos="800"/>
          <w:tab w:val="clear" w:pos="360"/>
        </w:tabs>
        <w:spacing w:line="360" w:lineRule="auto"/>
        <w:ind w:left="800" w:hanging="800"/>
        <w:jc w:val="both"/>
        <w:rPr>
          <w:rFonts w:ascii="宋体" w:hAnsi="宋体"/>
          <w:sz w:val="21"/>
        </w:rPr>
      </w:pPr>
      <w:r>
        <w:rPr>
          <w:rFonts w:hint="eastAsia" w:ascii="宋体" w:hAnsi="宋体"/>
          <w:sz w:val="21"/>
        </w:rPr>
        <w:t>资金来源见投标人须知前附表，其中部分资金用于本工程项目施工合同项下的合格支付。</w:t>
      </w:r>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60" w:name="_Toc26801006"/>
      <w:bookmarkStart w:id="61" w:name="_Toc26800889"/>
      <w:bookmarkStart w:id="62" w:name="_Toc26800622"/>
      <w:bookmarkStart w:id="63" w:name="_Toc26805596"/>
      <w:bookmarkStart w:id="64" w:name="_Toc276925247"/>
      <w:bookmarkStart w:id="65" w:name="_Toc429827534"/>
      <w:r>
        <w:rPr>
          <w:rFonts w:hint="eastAsia" w:ascii="宋体" w:hAnsi="宋体"/>
          <w:b w:val="0"/>
          <w:bCs/>
          <w:sz w:val="21"/>
        </w:rPr>
        <w:t>合格的投标人</w:t>
      </w:r>
      <w:bookmarkEnd w:id="60"/>
      <w:bookmarkEnd w:id="61"/>
      <w:bookmarkEnd w:id="62"/>
      <w:bookmarkEnd w:id="63"/>
      <w:bookmarkEnd w:id="64"/>
      <w:bookmarkEnd w:id="65"/>
    </w:p>
    <w:p>
      <w:pPr>
        <w:numPr>
          <w:ilvl w:val="1"/>
          <w:numId w:val="12"/>
        </w:numPr>
        <w:tabs>
          <w:tab w:val="left" w:pos="800"/>
          <w:tab w:val="clear" w:pos="525"/>
        </w:tabs>
        <w:spacing w:line="360" w:lineRule="auto"/>
        <w:ind w:left="800" w:hanging="800"/>
        <w:jc w:val="both"/>
        <w:rPr>
          <w:rFonts w:ascii="宋体" w:hAnsi="宋体"/>
          <w:sz w:val="21"/>
        </w:rPr>
      </w:pPr>
      <w:r>
        <w:rPr>
          <w:rFonts w:hint="eastAsia" w:ascii="宋体" w:hAnsi="宋体"/>
          <w:sz w:val="21"/>
        </w:rPr>
        <w:t>已通过本项目资格审查的投标人。</w:t>
      </w:r>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66" w:name="_Toc276925248"/>
      <w:bookmarkStart w:id="67" w:name="_Toc26800623"/>
      <w:bookmarkStart w:id="68" w:name="_Toc26800890"/>
      <w:bookmarkStart w:id="69" w:name="_Toc429827535"/>
      <w:bookmarkStart w:id="70" w:name="_Toc26805597"/>
      <w:bookmarkStart w:id="71" w:name="_Toc26801007"/>
      <w:r>
        <w:rPr>
          <w:rFonts w:hint="eastAsia" w:ascii="宋体" w:hAnsi="宋体"/>
          <w:b w:val="0"/>
          <w:bCs/>
          <w:sz w:val="21"/>
        </w:rPr>
        <w:t>踏勘现场</w:t>
      </w:r>
      <w:bookmarkEnd w:id="66"/>
      <w:bookmarkEnd w:id="67"/>
      <w:bookmarkEnd w:id="68"/>
      <w:bookmarkEnd w:id="69"/>
      <w:bookmarkEnd w:id="70"/>
      <w:bookmarkEnd w:id="71"/>
    </w:p>
    <w:p>
      <w:pPr>
        <w:numPr>
          <w:ilvl w:val="1"/>
          <w:numId w:val="13"/>
        </w:numPr>
        <w:tabs>
          <w:tab w:val="left" w:pos="800"/>
          <w:tab w:val="clear" w:pos="360"/>
        </w:tabs>
        <w:spacing w:line="360" w:lineRule="auto"/>
        <w:ind w:left="800" w:hanging="800"/>
        <w:jc w:val="both"/>
        <w:rPr>
          <w:rFonts w:ascii="宋体" w:hAnsi="宋体"/>
          <w:sz w:val="21"/>
        </w:rPr>
      </w:pPr>
      <w:r>
        <w:rPr>
          <w:rFonts w:hint="eastAsia" w:ascii="宋体" w:hAnsi="宋体"/>
          <w:sz w:val="21"/>
        </w:rPr>
        <w:t>招标人不组织投标人进行现场踏勘，投标人承担踏勘现场所发生的自身费用。</w:t>
      </w:r>
    </w:p>
    <w:p>
      <w:pPr>
        <w:widowControl w:val="0"/>
        <w:numPr>
          <w:ilvl w:val="1"/>
          <w:numId w:val="13"/>
        </w:numPr>
        <w:tabs>
          <w:tab w:val="left" w:pos="800"/>
          <w:tab w:val="clear" w:pos="360"/>
        </w:tabs>
        <w:spacing w:line="360" w:lineRule="auto"/>
        <w:ind w:left="800" w:hanging="800"/>
        <w:jc w:val="both"/>
        <w:rPr>
          <w:rFonts w:ascii="宋体" w:hAnsi="宋体"/>
          <w:sz w:val="21"/>
        </w:rPr>
      </w:pPr>
      <w:r>
        <w:rPr>
          <w:rFonts w:hint="eastAsia" w:ascii="宋体" w:hAnsi="宋体"/>
          <w:sz w:val="21"/>
        </w:rPr>
        <w:t>招标人向投标人提供的有关现场的数据和资料，是招标人现有的能被投标人利用的资料，招标人对投标人做出的任何推论、理解和结论均不负责任。</w:t>
      </w:r>
    </w:p>
    <w:p>
      <w:pPr>
        <w:widowControl w:val="0"/>
        <w:numPr>
          <w:ilvl w:val="1"/>
          <w:numId w:val="13"/>
        </w:numPr>
        <w:tabs>
          <w:tab w:val="left" w:pos="800"/>
          <w:tab w:val="clear" w:pos="360"/>
        </w:tabs>
        <w:spacing w:line="360" w:lineRule="auto"/>
        <w:ind w:left="800" w:hanging="800"/>
        <w:jc w:val="both"/>
        <w:rPr>
          <w:rFonts w:ascii="宋体" w:hAnsi="宋体"/>
          <w:sz w:val="21"/>
        </w:rPr>
      </w:pPr>
      <w:r>
        <w:rPr>
          <w:rFonts w:hint="eastAsia" w:ascii="宋体" w:hAnsi="宋体"/>
          <w:sz w:val="21"/>
        </w:rPr>
        <w:t>若因投标人在投标前未仔细阅读地质勘察报告或未进行现场踏勘，导致在报价中或施工过程中，因对地质勘察报告所列明的地质条件不清楚或对现场情况的不了解，引起报价失误或施工中增加费用及导致工期拖延，招标人概不负责。</w:t>
      </w:r>
    </w:p>
    <w:p>
      <w:pPr>
        <w:widowControl w:val="0"/>
        <w:numPr>
          <w:ilvl w:val="1"/>
          <w:numId w:val="13"/>
        </w:numPr>
        <w:tabs>
          <w:tab w:val="left" w:pos="800"/>
          <w:tab w:val="clear" w:pos="360"/>
        </w:tabs>
        <w:spacing w:line="360" w:lineRule="auto"/>
        <w:ind w:left="800" w:hanging="800"/>
        <w:jc w:val="both"/>
        <w:rPr>
          <w:rFonts w:ascii="宋体" w:hAnsi="宋体"/>
          <w:sz w:val="21"/>
        </w:rPr>
      </w:pPr>
      <w:r>
        <w:rPr>
          <w:rFonts w:hint="eastAsia" w:ascii="宋体" w:hAnsi="宋体"/>
          <w:sz w:val="21"/>
        </w:rPr>
        <w:t>经招标人允许，投标人可为踏勘目的进入招标人的项目现场，但投标人不得因此使招标人承担有关的责任和蒙受损失。投标人应承担踏勘现场的费用、责任和风险。</w:t>
      </w:r>
    </w:p>
    <w:p>
      <w:pPr>
        <w:pStyle w:val="6"/>
        <w:keepNext w:val="0"/>
        <w:keepLines w:val="0"/>
        <w:widowControl w:val="0"/>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72" w:name="_Toc26801008"/>
      <w:bookmarkStart w:id="73" w:name="_Toc276925249"/>
      <w:bookmarkStart w:id="74" w:name="_Toc26800891"/>
      <w:bookmarkStart w:id="75" w:name="_Toc26805598"/>
      <w:bookmarkStart w:id="76" w:name="_Toc429827536"/>
      <w:bookmarkStart w:id="77" w:name="_Toc26800624"/>
      <w:r>
        <w:rPr>
          <w:rFonts w:hint="eastAsia" w:ascii="宋体" w:hAnsi="宋体"/>
          <w:b w:val="0"/>
          <w:bCs/>
          <w:sz w:val="21"/>
        </w:rPr>
        <w:t>投标费用</w:t>
      </w:r>
      <w:bookmarkEnd w:id="72"/>
      <w:bookmarkEnd w:id="73"/>
      <w:bookmarkEnd w:id="74"/>
      <w:bookmarkEnd w:id="75"/>
      <w:bookmarkEnd w:id="76"/>
      <w:bookmarkEnd w:id="77"/>
    </w:p>
    <w:p>
      <w:pPr>
        <w:widowControl w:val="0"/>
        <w:numPr>
          <w:ilvl w:val="1"/>
          <w:numId w:val="14"/>
        </w:numPr>
        <w:tabs>
          <w:tab w:val="left" w:pos="800"/>
          <w:tab w:val="clear" w:pos="525"/>
        </w:tabs>
        <w:spacing w:line="360" w:lineRule="auto"/>
        <w:jc w:val="both"/>
        <w:rPr>
          <w:rFonts w:ascii="宋体" w:hAnsi="宋体"/>
          <w:sz w:val="21"/>
        </w:rPr>
      </w:pPr>
      <w:r>
        <w:rPr>
          <w:rFonts w:hint="eastAsia" w:ascii="宋体" w:hAnsi="宋体"/>
          <w:sz w:val="21"/>
        </w:rPr>
        <w:t>投标人应承担其参加本招标活动自身所发生的所有费用。</w:t>
      </w:r>
    </w:p>
    <w:p>
      <w:pPr>
        <w:rPr>
          <w:rFonts w:ascii="宋体" w:hAnsi="宋体"/>
          <w:bCs/>
          <w:sz w:val="21"/>
        </w:rPr>
      </w:pPr>
      <w:bookmarkStart w:id="78" w:name="_Toc429827537"/>
      <w:bookmarkStart w:id="79" w:name="_Toc26800625"/>
      <w:bookmarkStart w:id="80" w:name="_Toc12633_WPSOffice_Level3"/>
      <w:bookmarkStart w:id="81" w:name="_Toc26801009"/>
      <w:bookmarkStart w:id="82" w:name="_Toc26800892"/>
      <w:bookmarkStart w:id="83" w:name="_Toc26805599"/>
      <w:bookmarkStart w:id="84" w:name="_Toc276925250"/>
      <w:r>
        <w:rPr>
          <w:rFonts w:hint="eastAsia" w:ascii="宋体" w:hAnsi="宋体"/>
          <w:bCs/>
          <w:sz w:val="21"/>
        </w:rPr>
        <w:br w:type="page"/>
      </w:r>
    </w:p>
    <w:p>
      <w:pPr>
        <w:pStyle w:val="6"/>
        <w:numPr>
          <w:ilvl w:val="0"/>
          <w:numId w:val="0"/>
        </w:numPr>
        <w:spacing w:before="0" w:after="0" w:line="360" w:lineRule="auto"/>
        <w:rPr>
          <w:rFonts w:ascii="宋体" w:hAnsi="宋体"/>
          <w:bCs/>
          <w:sz w:val="21"/>
        </w:rPr>
      </w:pPr>
      <w:r>
        <w:rPr>
          <w:rFonts w:hint="eastAsia" w:ascii="宋体" w:hAnsi="宋体"/>
          <w:bCs/>
          <w:sz w:val="21"/>
        </w:rPr>
        <w:t>（二）招标文件</w:t>
      </w:r>
      <w:bookmarkEnd w:id="78"/>
      <w:bookmarkEnd w:id="79"/>
      <w:bookmarkEnd w:id="80"/>
      <w:bookmarkEnd w:id="81"/>
      <w:bookmarkEnd w:id="82"/>
      <w:bookmarkEnd w:id="83"/>
      <w:bookmarkEnd w:id="84"/>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85" w:name="_Toc26800626"/>
      <w:bookmarkStart w:id="86" w:name="_Toc276925251"/>
      <w:bookmarkStart w:id="87" w:name="_Toc26801010"/>
      <w:bookmarkStart w:id="88" w:name="_Toc26800893"/>
      <w:bookmarkStart w:id="89" w:name="_Toc429827538"/>
      <w:bookmarkStart w:id="90" w:name="_Toc26805600"/>
      <w:r>
        <w:rPr>
          <w:rFonts w:hint="eastAsia" w:ascii="宋体" w:hAnsi="宋体"/>
          <w:b w:val="0"/>
          <w:bCs/>
          <w:sz w:val="21"/>
        </w:rPr>
        <w:t>招标文件的组成</w:t>
      </w:r>
      <w:bookmarkEnd w:id="85"/>
      <w:bookmarkEnd w:id="86"/>
      <w:bookmarkEnd w:id="87"/>
      <w:bookmarkEnd w:id="88"/>
      <w:bookmarkEnd w:id="89"/>
      <w:bookmarkEnd w:id="90"/>
    </w:p>
    <w:p>
      <w:pPr>
        <w:numPr>
          <w:ilvl w:val="1"/>
          <w:numId w:val="15"/>
        </w:numPr>
        <w:tabs>
          <w:tab w:val="left" w:pos="800"/>
          <w:tab w:val="clear" w:pos="525"/>
        </w:tabs>
        <w:spacing w:line="360" w:lineRule="auto"/>
        <w:jc w:val="both"/>
        <w:rPr>
          <w:rFonts w:ascii="宋体" w:hAnsi="宋体"/>
          <w:sz w:val="21"/>
        </w:rPr>
      </w:pPr>
      <w:r>
        <w:rPr>
          <w:rFonts w:hint="eastAsia" w:ascii="宋体" w:hAnsi="宋体"/>
          <w:sz w:val="21"/>
        </w:rPr>
        <w:t>招标文件包括下列内容：</w:t>
      </w:r>
    </w:p>
    <w:p>
      <w:pPr>
        <w:spacing w:line="360" w:lineRule="auto"/>
        <w:ind w:firstLine="800"/>
        <w:jc w:val="both"/>
        <w:rPr>
          <w:rFonts w:ascii="宋体" w:hAnsi="宋体"/>
          <w:sz w:val="21"/>
        </w:rPr>
      </w:pPr>
      <w:r>
        <w:rPr>
          <w:rFonts w:hint="eastAsia" w:ascii="宋体" w:hAnsi="宋体"/>
          <w:sz w:val="21"/>
        </w:rPr>
        <w:t>第一章  招标公告</w:t>
      </w:r>
    </w:p>
    <w:p>
      <w:pPr>
        <w:spacing w:line="360" w:lineRule="auto"/>
        <w:ind w:firstLine="800"/>
        <w:jc w:val="both"/>
        <w:rPr>
          <w:rFonts w:ascii="宋体" w:hAnsi="宋体"/>
          <w:sz w:val="21"/>
        </w:rPr>
      </w:pPr>
      <w:r>
        <w:rPr>
          <w:rFonts w:hint="eastAsia" w:ascii="宋体" w:hAnsi="宋体"/>
          <w:sz w:val="21"/>
        </w:rPr>
        <w:t>第二章  投标须知及投标须知前附表</w:t>
      </w:r>
    </w:p>
    <w:p>
      <w:pPr>
        <w:spacing w:line="360" w:lineRule="auto"/>
        <w:ind w:firstLine="800"/>
        <w:jc w:val="both"/>
        <w:rPr>
          <w:rFonts w:ascii="宋体" w:hAnsi="宋体"/>
          <w:sz w:val="21"/>
        </w:rPr>
      </w:pPr>
      <w:r>
        <w:rPr>
          <w:rFonts w:hint="eastAsia" w:ascii="宋体" w:hAnsi="宋体"/>
          <w:sz w:val="21"/>
        </w:rPr>
        <w:t>第三章  合同格式</w:t>
      </w:r>
    </w:p>
    <w:p>
      <w:pPr>
        <w:spacing w:line="360" w:lineRule="auto"/>
        <w:ind w:firstLine="800"/>
        <w:jc w:val="both"/>
        <w:rPr>
          <w:rFonts w:ascii="宋体" w:hAnsi="宋体"/>
          <w:sz w:val="21"/>
        </w:rPr>
      </w:pPr>
      <w:r>
        <w:rPr>
          <w:rFonts w:hint="eastAsia" w:ascii="宋体" w:hAnsi="宋体"/>
          <w:sz w:val="21"/>
        </w:rPr>
        <w:t>第四章  工程建设标准</w:t>
      </w:r>
    </w:p>
    <w:p>
      <w:pPr>
        <w:spacing w:line="360" w:lineRule="auto"/>
        <w:ind w:firstLine="800"/>
        <w:jc w:val="both"/>
        <w:rPr>
          <w:rFonts w:ascii="宋体" w:hAnsi="宋体"/>
          <w:sz w:val="21"/>
        </w:rPr>
      </w:pPr>
      <w:r>
        <w:rPr>
          <w:rFonts w:hint="eastAsia" w:ascii="宋体" w:hAnsi="宋体"/>
          <w:sz w:val="21"/>
        </w:rPr>
        <w:t>第五章  图纸、工程量清单</w:t>
      </w:r>
    </w:p>
    <w:p>
      <w:pPr>
        <w:spacing w:line="360" w:lineRule="auto"/>
        <w:ind w:firstLine="800"/>
        <w:jc w:val="both"/>
        <w:rPr>
          <w:rFonts w:ascii="宋体" w:hAnsi="宋体"/>
          <w:sz w:val="21"/>
        </w:rPr>
      </w:pPr>
      <w:r>
        <w:rPr>
          <w:rFonts w:hint="eastAsia" w:ascii="宋体" w:hAnsi="宋体"/>
          <w:sz w:val="21"/>
        </w:rPr>
        <w:t>第六章  投标函格式</w:t>
      </w:r>
    </w:p>
    <w:p>
      <w:pPr>
        <w:spacing w:line="360" w:lineRule="auto"/>
        <w:ind w:firstLine="800"/>
        <w:jc w:val="both"/>
        <w:rPr>
          <w:rFonts w:ascii="宋体" w:hAnsi="宋体"/>
          <w:sz w:val="21"/>
        </w:rPr>
      </w:pPr>
      <w:r>
        <w:rPr>
          <w:rFonts w:hint="eastAsia" w:ascii="宋体" w:hAnsi="宋体"/>
          <w:sz w:val="21"/>
        </w:rPr>
        <w:t>第七章  投标文件商务部分格式</w:t>
      </w:r>
    </w:p>
    <w:p>
      <w:pPr>
        <w:spacing w:line="360" w:lineRule="auto"/>
        <w:ind w:firstLine="800"/>
        <w:jc w:val="both"/>
        <w:rPr>
          <w:rFonts w:ascii="宋体" w:hAnsi="宋体"/>
          <w:sz w:val="21"/>
        </w:rPr>
      </w:pPr>
      <w:r>
        <w:rPr>
          <w:rFonts w:hint="eastAsia" w:ascii="宋体" w:hAnsi="宋体"/>
          <w:sz w:val="21"/>
        </w:rPr>
        <w:t>第八章  投标文件技术部分格式</w:t>
      </w:r>
    </w:p>
    <w:p>
      <w:pPr>
        <w:spacing w:line="360" w:lineRule="auto"/>
        <w:ind w:firstLine="800"/>
        <w:jc w:val="both"/>
        <w:rPr>
          <w:rFonts w:ascii="宋体" w:hAnsi="宋体"/>
          <w:sz w:val="21"/>
        </w:rPr>
      </w:pPr>
      <w:r>
        <w:rPr>
          <w:rFonts w:hint="eastAsia" w:ascii="宋体" w:hAnsi="宋体"/>
          <w:sz w:val="21"/>
        </w:rPr>
        <w:t>第九章  评标办法</w:t>
      </w:r>
    </w:p>
    <w:p>
      <w:pPr>
        <w:numPr>
          <w:ilvl w:val="1"/>
          <w:numId w:val="15"/>
        </w:numPr>
        <w:tabs>
          <w:tab w:val="left" w:pos="800"/>
          <w:tab w:val="clear" w:pos="525"/>
        </w:tabs>
        <w:spacing w:line="360" w:lineRule="auto"/>
        <w:ind w:left="800" w:hanging="800"/>
        <w:jc w:val="both"/>
        <w:rPr>
          <w:rFonts w:ascii="宋体" w:hAnsi="宋体"/>
          <w:sz w:val="21"/>
        </w:rPr>
      </w:pPr>
      <w:r>
        <w:rPr>
          <w:rFonts w:hint="eastAsia" w:ascii="宋体" w:hAnsi="宋体"/>
          <w:sz w:val="21"/>
        </w:rPr>
        <w:t>除7.1内容外，招标人在提交投标文件截止时间</w:t>
      </w:r>
      <w:bookmarkStart w:id="91" w:name="_Hlt20582287"/>
      <w:bookmarkEnd w:id="91"/>
      <w:r>
        <w:rPr>
          <w:rFonts w:hint="eastAsia" w:ascii="宋体" w:hAnsi="宋体"/>
          <w:sz w:val="21"/>
        </w:rPr>
        <w:t>15天前，以书面形式发出的对招标文件的澄清或修改内容，均为招标文件的组成部分，对招标人和投标人起约束作用。</w:t>
      </w:r>
    </w:p>
    <w:p>
      <w:pPr>
        <w:numPr>
          <w:ilvl w:val="1"/>
          <w:numId w:val="15"/>
        </w:numPr>
        <w:tabs>
          <w:tab w:val="left" w:pos="800"/>
          <w:tab w:val="clear" w:pos="525"/>
        </w:tabs>
        <w:spacing w:line="360" w:lineRule="auto"/>
        <w:ind w:left="800" w:hanging="800"/>
        <w:jc w:val="both"/>
        <w:rPr>
          <w:rFonts w:ascii="宋体" w:hAnsi="宋体"/>
          <w:sz w:val="21"/>
        </w:rPr>
      </w:pPr>
      <w:r>
        <w:rPr>
          <w:rFonts w:hint="eastAsia" w:ascii="宋体" w:hAnsi="宋体"/>
          <w:sz w:val="21"/>
        </w:rPr>
        <w:t>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numPr>
          <w:ilvl w:val="0"/>
          <w:numId w:val="8"/>
        </w:numPr>
        <w:tabs>
          <w:tab w:val="left" w:pos="800"/>
          <w:tab w:val="clear" w:pos="525"/>
          <w:tab w:val="clear" w:pos="720"/>
        </w:tabs>
        <w:spacing w:before="0" w:after="0" w:line="360" w:lineRule="auto"/>
        <w:ind w:left="800" w:hanging="800"/>
        <w:jc w:val="both"/>
        <w:rPr>
          <w:rFonts w:ascii="宋体" w:hAnsi="宋体"/>
          <w:b w:val="0"/>
          <w:bCs/>
          <w:sz w:val="21"/>
        </w:rPr>
      </w:pPr>
      <w:bookmarkStart w:id="92" w:name="_Toc26805601"/>
      <w:bookmarkStart w:id="93" w:name="_Toc429827539"/>
      <w:bookmarkStart w:id="94" w:name="_Toc276925252"/>
      <w:bookmarkStart w:id="95" w:name="_Toc26800627"/>
      <w:bookmarkStart w:id="96" w:name="_Toc26800894"/>
      <w:bookmarkStart w:id="97" w:name="_Toc26801011"/>
      <w:r>
        <w:rPr>
          <w:rFonts w:hint="eastAsia" w:ascii="宋体" w:hAnsi="宋体"/>
          <w:b w:val="0"/>
          <w:bCs/>
          <w:sz w:val="21"/>
        </w:rPr>
        <w:t>招标文件的澄清</w:t>
      </w:r>
      <w:bookmarkEnd w:id="92"/>
      <w:bookmarkEnd w:id="93"/>
      <w:bookmarkEnd w:id="94"/>
      <w:bookmarkEnd w:id="95"/>
      <w:bookmarkEnd w:id="96"/>
      <w:bookmarkEnd w:id="97"/>
    </w:p>
    <w:p>
      <w:pPr>
        <w:widowControl w:val="0"/>
        <w:numPr>
          <w:ilvl w:val="1"/>
          <w:numId w:val="16"/>
        </w:numPr>
        <w:tabs>
          <w:tab w:val="left" w:pos="800"/>
          <w:tab w:val="clear" w:pos="360"/>
        </w:tabs>
        <w:spacing w:line="360" w:lineRule="auto"/>
        <w:ind w:left="799" w:hanging="799"/>
        <w:rPr>
          <w:rFonts w:ascii="宋体" w:hAnsi="宋体"/>
          <w:sz w:val="21"/>
        </w:rPr>
      </w:pPr>
      <w:r>
        <w:rPr>
          <w:rFonts w:hint="eastAsia" w:ascii="宋体" w:hAnsi="宋体"/>
          <w:sz w:val="21"/>
        </w:rPr>
        <w:t>投标人若对招标文件有任何疑问，应于投标截止时间18天前以书面形式提出澄清要求，传真至广州海建工程咨询有限公司。无论是招标人根据需要主动对招标文件进行必要的澄清，或是根据投标人的要求对招标文件做出澄清，招标人都将于</w:t>
      </w:r>
      <w:r>
        <w:rPr>
          <w:rFonts w:hint="eastAsia" w:ascii="宋体" w:hAnsi="宋体"/>
          <w:b/>
          <w:bCs/>
          <w:sz w:val="21"/>
        </w:rPr>
        <w:t>投标截止时间15天</w:t>
      </w:r>
      <w:r>
        <w:rPr>
          <w:rFonts w:hint="eastAsia" w:ascii="宋体" w:hAnsi="宋体"/>
          <w:sz w:val="21"/>
        </w:rPr>
        <w:t>前以书面形式予以答复，同时将书面答复向所有投标人发送。投标人在收到该答复文件后应于当日内，以书面形式给予确认，该答复作为招标文件的组成部分，具有约束作用。</w:t>
      </w:r>
    </w:p>
    <w:p>
      <w:pPr>
        <w:pStyle w:val="6"/>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98" w:name="_Toc276925253"/>
      <w:bookmarkStart w:id="99" w:name="_Toc26800628"/>
      <w:bookmarkStart w:id="100" w:name="_Toc26800895"/>
      <w:bookmarkStart w:id="101" w:name="_Toc26805602"/>
      <w:bookmarkStart w:id="102" w:name="_Toc429827540"/>
      <w:bookmarkStart w:id="103" w:name="_Toc26801012"/>
      <w:r>
        <w:rPr>
          <w:rFonts w:hint="eastAsia" w:ascii="宋体" w:hAnsi="宋体"/>
          <w:b w:val="0"/>
          <w:bCs/>
          <w:sz w:val="21"/>
        </w:rPr>
        <w:t>招标文件的修改</w:t>
      </w:r>
      <w:bookmarkEnd w:id="98"/>
      <w:bookmarkEnd w:id="99"/>
      <w:bookmarkEnd w:id="100"/>
      <w:bookmarkEnd w:id="101"/>
      <w:bookmarkEnd w:id="102"/>
      <w:bookmarkEnd w:id="103"/>
    </w:p>
    <w:p>
      <w:pPr>
        <w:widowControl w:val="0"/>
        <w:numPr>
          <w:ilvl w:val="1"/>
          <w:numId w:val="17"/>
        </w:numPr>
        <w:tabs>
          <w:tab w:val="left" w:pos="800"/>
          <w:tab w:val="clear" w:pos="360"/>
        </w:tabs>
        <w:spacing w:line="360" w:lineRule="auto"/>
        <w:ind w:left="799" w:hanging="799"/>
        <w:jc w:val="both"/>
        <w:rPr>
          <w:rFonts w:ascii="宋体" w:hAnsi="宋体"/>
          <w:sz w:val="21"/>
        </w:rPr>
      </w:pPr>
      <w:r>
        <w:rPr>
          <w:rFonts w:hint="eastAsia" w:ascii="宋体" w:hAnsi="宋体"/>
          <w:sz w:val="21"/>
        </w:rPr>
        <w:t>招标文件发出后，在提交投标文件截止时间15天前，招标人可对招标文件进行必要的澄清或修改。</w:t>
      </w:r>
    </w:p>
    <w:p>
      <w:pPr>
        <w:widowControl w:val="0"/>
        <w:numPr>
          <w:ilvl w:val="1"/>
          <w:numId w:val="17"/>
        </w:numPr>
        <w:tabs>
          <w:tab w:val="left" w:pos="800"/>
          <w:tab w:val="clear" w:pos="360"/>
        </w:tabs>
        <w:spacing w:line="360" w:lineRule="auto"/>
        <w:ind w:left="799" w:hanging="799"/>
        <w:jc w:val="both"/>
        <w:rPr>
          <w:rFonts w:ascii="宋体" w:hAnsi="宋体"/>
          <w:sz w:val="21"/>
        </w:rPr>
      </w:pPr>
      <w:r>
        <w:rPr>
          <w:rFonts w:hint="eastAsia" w:ascii="宋体" w:hAnsi="宋体"/>
          <w:sz w:val="21"/>
        </w:rPr>
        <w:t>招标文件的修改将以书面形式发送给所有投标人，投标人应于收到该修改文件后当日内以书面形式给予确认。招标文件的修改内容作为招标文件的组成部分，具有约束作用。</w:t>
      </w:r>
    </w:p>
    <w:p>
      <w:pPr>
        <w:numPr>
          <w:ilvl w:val="1"/>
          <w:numId w:val="17"/>
        </w:numPr>
        <w:tabs>
          <w:tab w:val="left" w:pos="800"/>
          <w:tab w:val="clear" w:pos="360"/>
        </w:tabs>
        <w:spacing w:line="360" w:lineRule="auto"/>
        <w:ind w:left="800" w:hanging="800"/>
        <w:jc w:val="both"/>
        <w:rPr>
          <w:rFonts w:ascii="宋体" w:hAnsi="宋体"/>
          <w:sz w:val="21"/>
        </w:rPr>
      </w:pPr>
      <w:r>
        <w:rPr>
          <w:rFonts w:hint="eastAsia" w:ascii="宋体" w:hAnsi="宋体"/>
          <w:sz w:val="21"/>
        </w:rPr>
        <w:t>招标文件的澄清、修改、补充等内容均以书面形式明确的内容为准。当招标文件、招标文件的澄清、修改、补充等在同一内容的表述上不一致时，以最后发出的书面文件为准。</w:t>
      </w:r>
    </w:p>
    <w:p>
      <w:pPr>
        <w:numPr>
          <w:ilvl w:val="1"/>
          <w:numId w:val="17"/>
        </w:numPr>
        <w:tabs>
          <w:tab w:val="left" w:pos="800"/>
          <w:tab w:val="clear" w:pos="360"/>
        </w:tabs>
        <w:spacing w:line="360" w:lineRule="auto"/>
        <w:ind w:left="800" w:hanging="800"/>
        <w:jc w:val="both"/>
        <w:rPr>
          <w:rFonts w:ascii="宋体" w:hAnsi="宋体"/>
          <w:sz w:val="21"/>
        </w:rPr>
      </w:pPr>
      <w:r>
        <w:rPr>
          <w:rFonts w:hint="eastAsia" w:ascii="宋体" w:hAnsi="宋体"/>
          <w:sz w:val="21"/>
        </w:rPr>
        <w:t>为使投标人在编制投标文件时有充分的时间对招标文件的澄清、修改、补充等内容进行研究，招标人将酌情延长提交投标文件的截止时间，具体时间将在招标文件的修改、补充通知中予以明确。</w:t>
      </w:r>
    </w:p>
    <w:p>
      <w:pPr>
        <w:pStyle w:val="6"/>
        <w:numPr>
          <w:ilvl w:val="0"/>
          <w:numId w:val="0"/>
        </w:numPr>
        <w:spacing w:before="0" w:after="0" w:line="360" w:lineRule="auto"/>
        <w:rPr>
          <w:rFonts w:ascii="宋体" w:hAnsi="宋体"/>
          <w:bCs/>
          <w:sz w:val="21"/>
        </w:rPr>
      </w:pPr>
      <w:bookmarkStart w:id="104" w:name="_Toc276925254"/>
      <w:bookmarkStart w:id="105" w:name="_Toc7360_WPSOffice_Level3"/>
      <w:bookmarkStart w:id="106" w:name="_Toc26800629"/>
      <w:bookmarkStart w:id="107" w:name="_Toc26801013"/>
      <w:bookmarkStart w:id="108" w:name="_Toc26805603"/>
      <w:bookmarkStart w:id="109" w:name="_Toc429827541"/>
      <w:bookmarkStart w:id="110" w:name="_Toc26800896"/>
      <w:r>
        <w:rPr>
          <w:rFonts w:hint="eastAsia" w:ascii="宋体" w:hAnsi="宋体"/>
          <w:bCs/>
          <w:sz w:val="21"/>
        </w:rPr>
        <w:t>（三）投标文件</w:t>
      </w:r>
      <w:bookmarkStart w:id="111" w:name="_Hlt20142683"/>
      <w:bookmarkEnd w:id="111"/>
      <w:r>
        <w:rPr>
          <w:rFonts w:hint="eastAsia" w:ascii="宋体" w:hAnsi="宋体"/>
          <w:bCs/>
          <w:sz w:val="21"/>
        </w:rPr>
        <w:t>的编制</w:t>
      </w:r>
      <w:bookmarkEnd w:id="104"/>
      <w:bookmarkEnd w:id="105"/>
      <w:bookmarkEnd w:id="106"/>
      <w:bookmarkEnd w:id="107"/>
      <w:bookmarkEnd w:id="108"/>
      <w:bookmarkEnd w:id="109"/>
      <w:bookmarkEnd w:id="110"/>
    </w:p>
    <w:p>
      <w:pPr>
        <w:pStyle w:val="6"/>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12" w:name="_Toc26805604"/>
      <w:bookmarkStart w:id="113" w:name="_Toc429827542"/>
      <w:bookmarkStart w:id="114" w:name="_Toc276925255"/>
      <w:bookmarkStart w:id="115" w:name="_Toc26801014"/>
      <w:bookmarkStart w:id="116" w:name="_Toc26800897"/>
      <w:bookmarkStart w:id="117" w:name="_Toc26800630"/>
      <w:r>
        <w:rPr>
          <w:rFonts w:hint="eastAsia" w:ascii="宋体" w:hAnsi="宋体"/>
          <w:b w:val="0"/>
          <w:bCs/>
          <w:sz w:val="21"/>
        </w:rPr>
        <w:t>投标文件的语言及度量衡单位</w:t>
      </w:r>
      <w:bookmarkEnd w:id="112"/>
      <w:bookmarkEnd w:id="113"/>
      <w:bookmarkEnd w:id="114"/>
      <w:bookmarkEnd w:id="115"/>
      <w:bookmarkEnd w:id="116"/>
      <w:bookmarkEnd w:id="117"/>
    </w:p>
    <w:p>
      <w:pPr>
        <w:numPr>
          <w:ilvl w:val="1"/>
          <w:numId w:val="18"/>
        </w:numPr>
        <w:tabs>
          <w:tab w:val="left" w:pos="800"/>
          <w:tab w:val="clear" w:pos="630"/>
        </w:tabs>
        <w:spacing w:line="360" w:lineRule="auto"/>
        <w:ind w:left="800" w:hanging="800"/>
        <w:jc w:val="both"/>
        <w:rPr>
          <w:rFonts w:ascii="宋体" w:hAnsi="宋体"/>
          <w:sz w:val="21"/>
        </w:rPr>
      </w:pPr>
      <w:r>
        <w:rPr>
          <w:rFonts w:hint="eastAsia" w:ascii="宋体" w:hAnsi="宋体"/>
          <w:sz w:val="21"/>
        </w:rPr>
        <w:t>投标文件和与投标有关的所有文件均应使用中文。</w:t>
      </w:r>
    </w:p>
    <w:p>
      <w:pPr>
        <w:numPr>
          <w:ilvl w:val="1"/>
          <w:numId w:val="18"/>
        </w:numPr>
        <w:tabs>
          <w:tab w:val="left" w:pos="800"/>
          <w:tab w:val="clear" w:pos="630"/>
        </w:tabs>
        <w:spacing w:line="360" w:lineRule="auto"/>
        <w:ind w:left="800" w:hanging="800"/>
        <w:jc w:val="both"/>
        <w:rPr>
          <w:rFonts w:ascii="宋体" w:hAnsi="宋体"/>
          <w:sz w:val="21"/>
        </w:rPr>
      </w:pPr>
      <w:r>
        <w:rPr>
          <w:rFonts w:hint="eastAsia" w:ascii="宋体" w:hAnsi="宋体"/>
          <w:sz w:val="21"/>
        </w:rPr>
        <w:t>除工程规范另有规定外，投标文件使用的度量衡单位，均采用中华人民共和国法定计量单位。</w:t>
      </w:r>
    </w:p>
    <w:p>
      <w:pPr>
        <w:pStyle w:val="6"/>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18" w:name="_Toc276925256"/>
      <w:bookmarkStart w:id="119" w:name="_Toc26800898"/>
      <w:bookmarkStart w:id="120" w:name="_Toc26800631"/>
      <w:bookmarkStart w:id="121" w:name="_Toc26801015"/>
      <w:bookmarkStart w:id="122" w:name="_Toc429827543"/>
      <w:bookmarkStart w:id="123" w:name="_Toc26805605"/>
      <w:r>
        <w:rPr>
          <w:rFonts w:hint="eastAsia" w:ascii="宋体" w:hAnsi="宋体"/>
          <w:b w:val="0"/>
          <w:bCs/>
          <w:sz w:val="21"/>
        </w:rPr>
        <w:t>投标文件的组成</w:t>
      </w:r>
      <w:bookmarkEnd w:id="118"/>
      <w:bookmarkEnd w:id="119"/>
      <w:bookmarkEnd w:id="120"/>
      <w:bookmarkEnd w:id="121"/>
      <w:bookmarkEnd w:id="122"/>
      <w:bookmarkEnd w:id="123"/>
    </w:p>
    <w:p>
      <w:pPr>
        <w:numPr>
          <w:ilvl w:val="1"/>
          <w:numId w:val="19"/>
        </w:numPr>
        <w:tabs>
          <w:tab w:val="left" w:pos="800"/>
          <w:tab w:val="clear" w:pos="630"/>
        </w:tabs>
        <w:spacing w:line="360" w:lineRule="auto"/>
        <w:jc w:val="both"/>
        <w:rPr>
          <w:rFonts w:ascii="宋体" w:hAnsi="宋体"/>
          <w:sz w:val="21"/>
        </w:rPr>
      </w:pPr>
      <w:r>
        <w:rPr>
          <w:rFonts w:hint="eastAsia" w:ascii="宋体" w:hAnsi="宋体"/>
          <w:sz w:val="21"/>
        </w:rPr>
        <w:t>投标文件由投标函、商务部分和技术部分三部分组成。</w:t>
      </w:r>
    </w:p>
    <w:p>
      <w:pPr>
        <w:numPr>
          <w:ilvl w:val="1"/>
          <w:numId w:val="19"/>
        </w:numPr>
        <w:tabs>
          <w:tab w:val="left" w:pos="800"/>
          <w:tab w:val="clear" w:pos="630"/>
        </w:tabs>
        <w:spacing w:line="360" w:lineRule="auto"/>
        <w:jc w:val="both"/>
        <w:rPr>
          <w:rFonts w:ascii="宋体" w:hAnsi="宋体"/>
          <w:sz w:val="21"/>
        </w:rPr>
      </w:pPr>
      <w:r>
        <w:rPr>
          <w:rFonts w:hint="eastAsia" w:ascii="宋体" w:hAnsi="宋体"/>
          <w:sz w:val="21"/>
        </w:rPr>
        <w:t>投标函部分主要包括下列内容：</w:t>
      </w:r>
    </w:p>
    <w:p>
      <w:pPr>
        <w:spacing w:line="360" w:lineRule="auto"/>
        <w:ind w:left="500" w:firstLine="300"/>
        <w:jc w:val="both"/>
        <w:rPr>
          <w:rFonts w:ascii="宋体" w:hAnsi="宋体"/>
          <w:sz w:val="21"/>
        </w:rPr>
      </w:pPr>
      <w:r>
        <w:rPr>
          <w:rFonts w:hint="eastAsia" w:ascii="宋体" w:hAnsi="宋体"/>
          <w:sz w:val="21"/>
        </w:rPr>
        <w:t>（1） 投标函；</w:t>
      </w:r>
    </w:p>
    <w:p>
      <w:pPr>
        <w:spacing w:line="360" w:lineRule="auto"/>
        <w:ind w:left="500" w:firstLine="300"/>
        <w:jc w:val="both"/>
        <w:rPr>
          <w:rFonts w:ascii="宋体" w:hAnsi="宋体"/>
          <w:sz w:val="21"/>
        </w:rPr>
      </w:pPr>
      <w:r>
        <w:rPr>
          <w:rFonts w:hint="eastAsia" w:ascii="宋体" w:hAnsi="宋体"/>
          <w:sz w:val="21"/>
        </w:rPr>
        <w:t>（2） 投标函附</w:t>
      </w:r>
      <w:bookmarkStart w:id="124" w:name="_Hlt30837334"/>
      <w:bookmarkEnd w:id="124"/>
      <w:r>
        <w:rPr>
          <w:rFonts w:hint="eastAsia" w:ascii="宋体" w:hAnsi="宋体"/>
          <w:sz w:val="21"/>
        </w:rPr>
        <w:t>录；</w:t>
      </w:r>
    </w:p>
    <w:p>
      <w:pPr>
        <w:spacing w:line="360" w:lineRule="auto"/>
        <w:ind w:left="500" w:firstLine="300"/>
        <w:jc w:val="both"/>
        <w:rPr>
          <w:rFonts w:ascii="宋体" w:hAnsi="宋体"/>
          <w:sz w:val="21"/>
        </w:rPr>
      </w:pPr>
      <w:r>
        <w:rPr>
          <w:rFonts w:hint="eastAsia" w:ascii="宋体" w:hAnsi="宋体"/>
          <w:sz w:val="21"/>
        </w:rPr>
        <w:t>（3） 投标保证金（</w:t>
      </w:r>
      <w:r>
        <w:rPr>
          <w:rFonts w:hint="eastAsia"/>
          <w:spacing w:val="6"/>
          <w:sz w:val="21"/>
          <w:szCs w:val="21"/>
        </w:rPr>
        <w:t>保证金转账回执及基本开户许可证</w:t>
      </w:r>
      <w:r>
        <w:rPr>
          <w:spacing w:val="6"/>
          <w:sz w:val="21"/>
          <w:szCs w:val="21"/>
        </w:rPr>
        <w:t>复印件</w:t>
      </w:r>
      <w:r>
        <w:rPr>
          <w:rFonts w:hint="eastAsia" w:ascii="宋体" w:hAnsi="宋体"/>
          <w:sz w:val="21"/>
        </w:rPr>
        <w:t>）；</w:t>
      </w:r>
    </w:p>
    <w:p>
      <w:pPr>
        <w:spacing w:line="360" w:lineRule="auto"/>
        <w:ind w:left="500" w:firstLine="300"/>
        <w:jc w:val="both"/>
        <w:rPr>
          <w:rFonts w:ascii="宋体" w:hAnsi="宋体"/>
          <w:sz w:val="21"/>
        </w:rPr>
      </w:pPr>
      <w:r>
        <w:rPr>
          <w:rFonts w:hint="eastAsia" w:ascii="宋体" w:hAnsi="宋体"/>
          <w:sz w:val="21"/>
        </w:rPr>
        <w:t>（4） 法定代表人身份证明书；</w:t>
      </w:r>
    </w:p>
    <w:p>
      <w:pPr>
        <w:spacing w:line="360" w:lineRule="auto"/>
        <w:ind w:left="500" w:firstLine="300"/>
        <w:jc w:val="both"/>
        <w:rPr>
          <w:rFonts w:ascii="宋体" w:hAnsi="宋体"/>
          <w:sz w:val="21"/>
        </w:rPr>
      </w:pPr>
      <w:bookmarkStart w:id="125" w:name="OLE_LINK10"/>
      <w:r>
        <w:rPr>
          <w:rFonts w:hint="eastAsia" w:ascii="宋体" w:hAnsi="宋体"/>
          <w:sz w:val="21"/>
        </w:rPr>
        <w:t>（5）</w:t>
      </w:r>
      <w:bookmarkEnd w:id="125"/>
      <w:r>
        <w:rPr>
          <w:rFonts w:hint="eastAsia" w:ascii="宋体" w:hAnsi="宋体"/>
          <w:sz w:val="21"/>
        </w:rPr>
        <w:t xml:space="preserve"> 投标文件签署授权委托书；</w:t>
      </w:r>
    </w:p>
    <w:p>
      <w:pPr>
        <w:numPr>
          <w:ilvl w:val="1"/>
          <w:numId w:val="19"/>
        </w:numPr>
        <w:tabs>
          <w:tab w:val="left" w:pos="800"/>
          <w:tab w:val="clear" w:pos="630"/>
        </w:tabs>
        <w:spacing w:line="360" w:lineRule="auto"/>
        <w:ind w:left="800" w:hanging="800"/>
        <w:jc w:val="both"/>
        <w:rPr>
          <w:rFonts w:ascii="宋体" w:hAnsi="宋体"/>
          <w:sz w:val="21"/>
        </w:rPr>
      </w:pPr>
      <w:r>
        <w:rPr>
          <w:rFonts w:hint="eastAsia" w:ascii="宋体" w:hAnsi="宋体"/>
          <w:sz w:val="21"/>
        </w:rPr>
        <w:t>商务部分主要包括下列内容：</w:t>
      </w:r>
    </w:p>
    <w:p>
      <w:pPr>
        <w:spacing w:line="360" w:lineRule="auto"/>
        <w:ind w:left="1500" w:hanging="800"/>
        <w:jc w:val="both"/>
        <w:rPr>
          <w:rFonts w:ascii="宋体" w:hAnsi="宋体"/>
          <w:sz w:val="21"/>
        </w:rPr>
      </w:pPr>
      <w:r>
        <w:rPr>
          <w:rFonts w:hint="eastAsia" w:ascii="宋体" w:hAnsi="宋体"/>
          <w:sz w:val="21"/>
        </w:rPr>
        <w:t>（一）企业业绩及信誉、项目管理等内容</w:t>
      </w:r>
    </w:p>
    <w:p>
      <w:pPr>
        <w:numPr>
          <w:ilvl w:val="0"/>
          <w:numId w:val="20"/>
        </w:numPr>
        <w:spacing w:line="360" w:lineRule="auto"/>
        <w:jc w:val="both"/>
        <w:rPr>
          <w:rFonts w:ascii="宋体" w:hAnsi="宋体"/>
          <w:color w:val="000000" w:themeColor="text1"/>
          <w:sz w:val="21"/>
          <w14:textFill>
            <w14:solidFill>
              <w14:schemeClr w14:val="tx1"/>
            </w14:solidFill>
          </w14:textFill>
        </w:rPr>
      </w:pPr>
      <w:bookmarkStart w:id="126" w:name="_Hlt26801237"/>
      <w:bookmarkEnd w:id="126"/>
      <w:r>
        <w:rPr>
          <w:rFonts w:hint="eastAsia" w:ascii="宋体" w:hAnsi="宋体"/>
          <w:color w:val="000000" w:themeColor="text1"/>
          <w:sz w:val="21"/>
          <w14:textFill>
            <w14:solidFill>
              <w14:schemeClr w14:val="tx1"/>
            </w14:solidFill>
          </w14:textFill>
        </w:rPr>
        <w:t>企业营业执照副本；</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企业资质等级证书；</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企业安全生产许可证；</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企业</w:t>
      </w:r>
      <w:r>
        <w:rPr>
          <w:rFonts w:hint="eastAsia" w:ascii="宋体" w:hAnsi="宋体"/>
          <w:color w:val="000000" w:themeColor="text1"/>
          <w:sz w:val="21"/>
          <w:szCs w:val="21"/>
          <w14:textFill>
            <w14:solidFill>
              <w14:schemeClr w14:val="tx1"/>
            </w14:solidFill>
          </w14:textFill>
        </w:rPr>
        <w:t>类似</w:t>
      </w:r>
      <w:r>
        <w:rPr>
          <w:rFonts w:hint="eastAsia" w:ascii="宋体" w:hAnsi="宋体"/>
          <w:color w:val="000000" w:themeColor="text1"/>
          <w:sz w:val="21"/>
          <w14:textFill>
            <w14:solidFill>
              <w14:schemeClr w14:val="tx1"/>
            </w14:solidFill>
          </w14:textFill>
        </w:rPr>
        <w:t>工程业绩；</w:t>
      </w:r>
    </w:p>
    <w:p>
      <w:pPr>
        <w:numPr>
          <w:ilvl w:val="0"/>
          <w:numId w:val="20"/>
        </w:numPr>
        <w:spacing w:line="360" w:lineRule="auto"/>
        <w:ind w:left="1417"/>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拟派项目负责人资质等级；</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拟派项目部人员的组成；</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企业综合实力（根据商务评分表提供相应的证明资料）；</w:t>
      </w:r>
    </w:p>
    <w:p>
      <w:pPr>
        <w:numPr>
          <w:ilvl w:val="0"/>
          <w:numId w:val="20"/>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其他相关证明文件。</w:t>
      </w:r>
    </w:p>
    <w:p>
      <w:pPr>
        <w:spacing w:line="360" w:lineRule="auto"/>
        <w:ind w:left="1500" w:hanging="800"/>
        <w:jc w:val="both"/>
        <w:rPr>
          <w:rFonts w:ascii="宋体" w:hAnsi="宋体"/>
          <w:sz w:val="21"/>
        </w:rPr>
      </w:pPr>
    </w:p>
    <w:p>
      <w:pPr>
        <w:spacing w:line="360" w:lineRule="auto"/>
        <w:ind w:left="1500" w:hanging="800"/>
        <w:jc w:val="both"/>
        <w:rPr>
          <w:rFonts w:ascii="宋体" w:hAnsi="宋体"/>
          <w:sz w:val="21"/>
        </w:rPr>
      </w:pPr>
      <w:r>
        <w:rPr>
          <w:rFonts w:hint="eastAsia" w:ascii="宋体" w:hAnsi="宋体"/>
          <w:sz w:val="21"/>
        </w:rPr>
        <w:t>（二）投标报价内容</w:t>
      </w:r>
    </w:p>
    <w:p>
      <w:pPr>
        <w:numPr>
          <w:ilvl w:val="0"/>
          <w:numId w:val="21"/>
        </w:numPr>
        <w:tabs>
          <w:tab w:val="clear" w:pos="1420"/>
        </w:tabs>
        <w:spacing w:line="360" w:lineRule="auto"/>
        <w:jc w:val="both"/>
        <w:rPr>
          <w:rFonts w:ascii="宋体" w:hAnsi="宋体"/>
          <w:sz w:val="21"/>
        </w:rPr>
      </w:pPr>
      <w:bookmarkStart w:id="127" w:name="_Hlt28144863"/>
      <w:bookmarkEnd w:id="127"/>
      <w:bookmarkStart w:id="128" w:name="_Hlt30837287"/>
      <w:bookmarkEnd w:id="128"/>
      <w:bookmarkStart w:id="129" w:name="_Hlt28144861"/>
      <w:bookmarkEnd w:id="129"/>
      <w:bookmarkStart w:id="130" w:name="_Hlt28144864"/>
      <w:bookmarkEnd w:id="130"/>
      <w:bookmarkStart w:id="131" w:name="_Hlt28144816"/>
      <w:bookmarkEnd w:id="131"/>
      <w:bookmarkStart w:id="132" w:name="_Hlt26801169"/>
      <w:bookmarkEnd w:id="132"/>
      <w:r>
        <w:rPr>
          <w:rFonts w:hint="eastAsia" w:ascii="宋体" w:hAnsi="宋体"/>
          <w:sz w:val="21"/>
        </w:rPr>
        <w:t>已标价的工程量清单</w:t>
      </w:r>
    </w:p>
    <w:p>
      <w:pPr>
        <w:numPr>
          <w:ilvl w:val="1"/>
          <w:numId w:val="19"/>
        </w:numPr>
        <w:tabs>
          <w:tab w:val="left" w:pos="800"/>
          <w:tab w:val="clear" w:pos="630"/>
        </w:tabs>
        <w:spacing w:line="360" w:lineRule="auto"/>
        <w:ind w:left="800" w:hanging="800"/>
        <w:jc w:val="both"/>
        <w:rPr>
          <w:rFonts w:ascii="宋体" w:hAnsi="宋体"/>
          <w:sz w:val="21"/>
        </w:rPr>
      </w:pPr>
      <w:r>
        <w:rPr>
          <w:rFonts w:hint="eastAsia" w:ascii="宋体" w:hAnsi="宋体"/>
          <w:sz w:val="21"/>
        </w:rPr>
        <w:t>技术部分</w:t>
      </w:r>
      <w:bookmarkStart w:id="133" w:name="_Hlt30393556"/>
      <w:bookmarkEnd w:id="133"/>
      <w:r>
        <w:rPr>
          <w:rFonts w:hint="eastAsia" w:ascii="宋体" w:hAnsi="宋体"/>
          <w:sz w:val="21"/>
        </w:rPr>
        <w:t xml:space="preserve">主要包括但不限于下列内容： </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总体施工部署；</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进度计划安排及工期保证措施；</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拟投入机械设备、劳动力资源配备计划；</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施工工艺流程及施工方案；</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质量保证措施；</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安全文明施工措施；</w:t>
      </w:r>
    </w:p>
    <w:p>
      <w:pPr>
        <w:numPr>
          <w:ilvl w:val="0"/>
          <w:numId w:val="22"/>
        </w:numPr>
        <w:spacing w:line="360" w:lineRule="auto"/>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其他相关证明文件。</w:t>
      </w:r>
    </w:p>
    <w:p>
      <w:pPr>
        <w:pStyle w:val="6"/>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34" w:name="_Hlt30840863"/>
      <w:bookmarkEnd w:id="134"/>
      <w:bookmarkStart w:id="135" w:name="_Toc276925257"/>
      <w:bookmarkStart w:id="136" w:name="_Toc26800899"/>
      <w:bookmarkStart w:id="137" w:name="_Toc429827544"/>
      <w:bookmarkStart w:id="138" w:name="_Toc26801016"/>
      <w:bookmarkStart w:id="139" w:name="_Toc26800632"/>
      <w:bookmarkStart w:id="140" w:name="_Toc26805606"/>
      <w:r>
        <w:rPr>
          <w:rFonts w:hint="eastAsia" w:ascii="宋体" w:hAnsi="宋体"/>
          <w:b w:val="0"/>
          <w:bCs/>
          <w:sz w:val="21"/>
        </w:rPr>
        <w:t>投标文件格式</w:t>
      </w:r>
      <w:bookmarkEnd w:id="135"/>
      <w:bookmarkEnd w:id="136"/>
      <w:bookmarkEnd w:id="137"/>
      <w:bookmarkEnd w:id="138"/>
      <w:bookmarkEnd w:id="139"/>
      <w:bookmarkEnd w:id="140"/>
    </w:p>
    <w:p>
      <w:pPr>
        <w:numPr>
          <w:ilvl w:val="1"/>
          <w:numId w:val="23"/>
        </w:numPr>
        <w:tabs>
          <w:tab w:val="left" w:pos="800"/>
          <w:tab w:val="clear" w:pos="360"/>
        </w:tabs>
        <w:spacing w:line="360" w:lineRule="auto"/>
        <w:ind w:left="800" w:hanging="800"/>
        <w:jc w:val="both"/>
        <w:rPr>
          <w:rFonts w:ascii="宋体" w:hAnsi="宋体"/>
          <w:sz w:val="21"/>
        </w:rPr>
      </w:pPr>
      <w:r>
        <w:rPr>
          <w:rFonts w:hint="eastAsia" w:ascii="宋体" w:hAnsi="宋体"/>
          <w:sz w:val="21"/>
        </w:rPr>
        <w:t>投标文件包括本须知第11条中规定的内容，投标人提交的投标文件应当使用招标文件所提供的投标文件全部格式（表格可以按同样格式扩展）。</w:t>
      </w:r>
    </w:p>
    <w:p>
      <w:pPr>
        <w:pStyle w:val="6"/>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41" w:name="_Toc26805607"/>
      <w:bookmarkStart w:id="142" w:name="_Toc276925258"/>
      <w:bookmarkStart w:id="143" w:name="_Toc26800900"/>
      <w:bookmarkStart w:id="144" w:name="_Toc26800633"/>
      <w:bookmarkStart w:id="145" w:name="_Toc26801017"/>
      <w:bookmarkStart w:id="146" w:name="_Toc429827545"/>
      <w:r>
        <w:rPr>
          <w:rFonts w:hint="eastAsia" w:ascii="宋体" w:hAnsi="宋体"/>
          <w:b w:val="0"/>
          <w:bCs/>
          <w:sz w:val="21"/>
        </w:rPr>
        <w:t>投标报价</w:t>
      </w:r>
      <w:bookmarkEnd w:id="141"/>
      <w:bookmarkEnd w:id="142"/>
      <w:bookmarkEnd w:id="143"/>
      <w:bookmarkEnd w:id="144"/>
      <w:bookmarkEnd w:id="145"/>
      <w:bookmarkEnd w:id="146"/>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本工程的投标报价采用本须知前附表规定的方式。投标人应按第五章中的“工程量清单”的要求填写相应表格。</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投标人的投标报价，应是完成本须知第2条和合同条款上所列招标工程范围及工期的全部，不得以任何理由予以重复。除非合同中另有规定，投标人的报价包括但不限于完成该工程项目的设计费、直接费、间接费、利润、税金、开办费、技术措施费、</w:t>
      </w:r>
      <w:r>
        <w:rPr>
          <w:rFonts w:hint="eastAsia" w:ascii="宋体" w:cs="宋体"/>
          <w:sz w:val="21"/>
          <w:szCs w:val="21"/>
          <w:lang w:val="zh-CN"/>
        </w:rPr>
        <w:t xml:space="preserve">专项评审费 </w:t>
      </w:r>
      <w:r>
        <w:rPr>
          <w:rFonts w:hint="eastAsia" w:ascii="宋体" w:hAnsi="宋体"/>
          <w:sz w:val="21"/>
        </w:rPr>
        <w:t>、风险费、政策性文件规定费用等所有费用。</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投标人应先到工地踏勘以充分了解工地位置、情况、道路、储存空间、装卸限制及任何其他足以影响承包价的情况，任何因忽视或误解工地情况而导致的索赔或工期延长申请将不被批准。</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本工程采用工程量清单报价方式进行报价。投标人按照招标人提供的工程量清单中列出的工程项目和工程量填报单价和合价。分部分项工程量清单计价表中如有相同项目，其报价必须保持一致，否则招标人有权认定以低价为准。</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本工程采用综合单价包干、项目措施费包干方式，包括但不限于:</w:t>
      </w:r>
    </w:p>
    <w:p>
      <w:pPr>
        <w:spacing w:line="360" w:lineRule="auto"/>
        <w:ind w:left="1155" w:hanging="1155" w:hangingChars="550"/>
        <w:rPr>
          <w:rFonts w:ascii="宋体" w:hAnsi="宋体" w:cs="仿宋_GB2312"/>
          <w:sz w:val="21"/>
          <w:szCs w:val="21"/>
        </w:rPr>
      </w:pPr>
      <w:r>
        <w:rPr>
          <w:rFonts w:hint="eastAsia" w:ascii="宋体" w:hAnsi="宋体" w:cs="仿宋_GB2312"/>
          <w:sz w:val="21"/>
          <w:szCs w:val="21"/>
        </w:rPr>
        <w:t>　     (1) 包工、包料、包工期、包质量、包安全、包文明施工。</w:t>
      </w:r>
      <w:bookmarkStart w:id="147" w:name="OLE_LINK13"/>
      <w:r>
        <w:rPr>
          <w:rFonts w:hint="eastAsia" w:ascii="宋体" w:hAnsi="宋体" w:cs="仿宋_GB2312"/>
          <w:sz w:val="21"/>
          <w:szCs w:val="21"/>
        </w:rPr>
        <w:t>综合单价包干、项目措施费包干</w:t>
      </w:r>
      <w:bookmarkEnd w:id="147"/>
      <w:r>
        <w:rPr>
          <w:rFonts w:hint="eastAsia" w:ascii="宋体" w:hAnsi="宋体" w:cs="仿宋_GB2312"/>
          <w:sz w:val="21"/>
          <w:szCs w:val="21"/>
        </w:rPr>
        <w:t>；</w:t>
      </w:r>
    </w:p>
    <w:p>
      <w:pPr>
        <w:spacing w:line="360" w:lineRule="auto"/>
        <w:ind w:left="1155" w:hanging="1155" w:hangingChars="550"/>
        <w:rPr>
          <w:rFonts w:ascii="宋体" w:hAnsi="宋体" w:cs="仿宋_GB2312"/>
          <w:sz w:val="21"/>
          <w:szCs w:val="21"/>
        </w:rPr>
      </w:pPr>
      <w:r>
        <w:rPr>
          <w:rFonts w:hint="eastAsia" w:ascii="宋体" w:hAnsi="宋体" w:cs="仿宋_GB2312"/>
          <w:sz w:val="21"/>
          <w:szCs w:val="21"/>
        </w:rPr>
        <w:t>　   　(2) 按国家规定由承包商缴纳的各种税费（包含开具合法有效的增值税专用发票）已包含在本工程造价内，由承包商向相关部门缴纳。</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本次投标报价的计价办法为清单计价。</w:t>
      </w:r>
      <w:r>
        <w:rPr>
          <w:rFonts w:hint="eastAsia" w:ascii="宋体" w:hAnsi="宋体"/>
          <w:sz w:val="21"/>
          <w:szCs w:val="21"/>
        </w:rPr>
        <w:t>工程量清单的组成、编制、计价、格式、项目编码、项目名称、工程内容、计量单位和工程量计算规则按照及中华人民共和国国家标准《建设工程量清单计价规范》（GB50500-2013）及广东省相关定额及计价文件执行</w:t>
      </w:r>
      <w:r>
        <w:rPr>
          <w:rFonts w:hint="eastAsia" w:ascii="宋体" w:hAnsi="宋体"/>
          <w:sz w:val="21"/>
        </w:rPr>
        <w:t>。</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本次招标不承诺低价者中标，坚决反对并抵制低于成本价报价、变相索赔，因此投标人应据实、全面、合理地进行报价。本项目投标限价见本须知前附表第13项。</w:t>
      </w:r>
    </w:p>
    <w:p>
      <w:pPr>
        <w:widowControl w:val="0"/>
        <w:numPr>
          <w:ilvl w:val="1"/>
          <w:numId w:val="24"/>
        </w:numPr>
        <w:tabs>
          <w:tab w:val="left" w:pos="800"/>
          <w:tab w:val="clear" w:pos="360"/>
        </w:tabs>
        <w:spacing w:line="360" w:lineRule="auto"/>
        <w:ind w:left="800" w:hanging="800"/>
        <w:jc w:val="both"/>
        <w:rPr>
          <w:rFonts w:ascii="宋体" w:hAnsi="宋体"/>
          <w:sz w:val="21"/>
        </w:rPr>
      </w:pPr>
      <w:r>
        <w:rPr>
          <w:rFonts w:hint="eastAsia" w:ascii="宋体" w:hAnsi="宋体"/>
          <w:sz w:val="21"/>
        </w:rPr>
        <w:t>各投标人应仔细阅读招标文件和相关资料，结合自身经验、经济、技术的实际能力，综合考虑各种风险确定投标报价；投标人漏报、错报由投标人自行承担风险，除投标人未专门注明的内容外，招标人将视为己全部包括在招标范围内。</w:t>
      </w:r>
    </w:p>
    <w:p>
      <w:pPr>
        <w:pStyle w:val="6"/>
        <w:keepNext w:val="0"/>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48" w:name="_Toc429827546"/>
      <w:bookmarkStart w:id="149" w:name="_Toc26801018"/>
      <w:bookmarkStart w:id="150" w:name="_Toc26800634"/>
      <w:bookmarkStart w:id="151" w:name="_Toc26800901"/>
      <w:bookmarkStart w:id="152" w:name="_Toc276925259"/>
      <w:bookmarkStart w:id="153" w:name="_Toc26805608"/>
      <w:r>
        <w:rPr>
          <w:rFonts w:hint="eastAsia" w:ascii="宋体" w:hAnsi="宋体"/>
          <w:b w:val="0"/>
          <w:bCs/>
          <w:sz w:val="21"/>
        </w:rPr>
        <w:t>投标货币</w:t>
      </w:r>
      <w:bookmarkEnd w:id="148"/>
      <w:bookmarkEnd w:id="149"/>
      <w:bookmarkEnd w:id="150"/>
      <w:bookmarkEnd w:id="151"/>
      <w:bookmarkEnd w:id="152"/>
      <w:bookmarkEnd w:id="153"/>
    </w:p>
    <w:p>
      <w:pPr>
        <w:widowControl w:val="0"/>
        <w:numPr>
          <w:ilvl w:val="1"/>
          <w:numId w:val="25"/>
        </w:numPr>
        <w:tabs>
          <w:tab w:val="left" w:pos="800"/>
          <w:tab w:val="clear" w:pos="630"/>
        </w:tabs>
        <w:spacing w:line="360" w:lineRule="auto"/>
        <w:jc w:val="both"/>
        <w:rPr>
          <w:rFonts w:ascii="宋体" w:hAnsi="宋体"/>
          <w:sz w:val="21"/>
        </w:rPr>
      </w:pPr>
      <w:r>
        <w:rPr>
          <w:rFonts w:hint="eastAsia" w:ascii="宋体" w:hAnsi="宋体"/>
          <w:sz w:val="21"/>
        </w:rPr>
        <w:t>本工程投标报价采用的币种为人民币。</w:t>
      </w:r>
    </w:p>
    <w:p>
      <w:pPr>
        <w:pStyle w:val="6"/>
        <w:keepNext w:val="0"/>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54" w:name="_Toc26801019"/>
      <w:bookmarkStart w:id="155" w:name="_Toc26800902"/>
      <w:bookmarkStart w:id="156" w:name="_Toc276925260"/>
      <w:bookmarkStart w:id="157" w:name="_Toc26805609"/>
      <w:bookmarkStart w:id="158" w:name="_Toc429827547"/>
      <w:bookmarkStart w:id="159" w:name="_Toc26800635"/>
      <w:r>
        <w:rPr>
          <w:rFonts w:hint="eastAsia" w:ascii="宋体" w:hAnsi="宋体"/>
          <w:b w:val="0"/>
          <w:bCs/>
          <w:sz w:val="21"/>
        </w:rPr>
        <w:t>投标有效期</w:t>
      </w:r>
      <w:bookmarkEnd w:id="154"/>
      <w:bookmarkEnd w:id="155"/>
      <w:bookmarkEnd w:id="156"/>
      <w:bookmarkEnd w:id="157"/>
      <w:bookmarkEnd w:id="158"/>
      <w:bookmarkEnd w:id="159"/>
    </w:p>
    <w:p>
      <w:pPr>
        <w:widowControl w:val="0"/>
        <w:numPr>
          <w:ilvl w:val="1"/>
          <w:numId w:val="26"/>
        </w:numPr>
        <w:tabs>
          <w:tab w:val="left" w:pos="800"/>
          <w:tab w:val="clear" w:pos="360"/>
        </w:tabs>
        <w:spacing w:line="360" w:lineRule="auto"/>
        <w:ind w:left="800" w:hanging="800"/>
        <w:jc w:val="both"/>
        <w:rPr>
          <w:rFonts w:ascii="宋体" w:hAnsi="宋体"/>
          <w:sz w:val="21"/>
        </w:rPr>
      </w:pPr>
      <w:r>
        <w:rPr>
          <w:rFonts w:hint="eastAsia" w:ascii="宋体" w:hAnsi="宋体"/>
          <w:sz w:val="21"/>
        </w:rPr>
        <w:t>投标有效期见本须知前附表，在此期限内，凡符合本招标文件要求的投标文件均保持有效。</w:t>
      </w:r>
    </w:p>
    <w:p>
      <w:pPr>
        <w:widowControl w:val="0"/>
        <w:numPr>
          <w:ilvl w:val="1"/>
          <w:numId w:val="26"/>
        </w:numPr>
        <w:tabs>
          <w:tab w:val="left" w:pos="800"/>
          <w:tab w:val="clear" w:pos="360"/>
        </w:tabs>
        <w:spacing w:line="360" w:lineRule="auto"/>
        <w:ind w:left="800" w:hanging="800"/>
        <w:jc w:val="both"/>
        <w:rPr>
          <w:rFonts w:ascii="宋体" w:hAnsi="宋体"/>
          <w:sz w:val="21"/>
        </w:rPr>
      </w:pPr>
      <w:r>
        <w:rPr>
          <w:rFonts w:hint="eastAsia" w:ascii="宋体" w:hAnsi="宋体"/>
          <w:sz w:val="21"/>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第16条关于投标保证金或投标保函的退还与没收的规定仍然适用。</w:t>
      </w:r>
    </w:p>
    <w:p>
      <w:pPr>
        <w:pStyle w:val="6"/>
        <w:keepNext w:val="0"/>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60" w:name="_Toc26801020"/>
      <w:bookmarkStart w:id="161" w:name="_Toc26800903"/>
      <w:bookmarkStart w:id="162" w:name="_Toc429827548"/>
      <w:bookmarkStart w:id="163" w:name="_Toc26800636"/>
      <w:bookmarkStart w:id="164" w:name="_Toc26805610"/>
      <w:bookmarkStart w:id="165" w:name="_Toc276925261"/>
      <w:r>
        <w:rPr>
          <w:rFonts w:hint="eastAsia" w:ascii="宋体" w:hAnsi="宋体"/>
          <w:b w:val="0"/>
          <w:bCs/>
          <w:sz w:val="21"/>
        </w:rPr>
        <w:t>投标担保</w:t>
      </w:r>
      <w:bookmarkEnd w:id="160"/>
      <w:bookmarkEnd w:id="161"/>
      <w:bookmarkEnd w:id="162"/>
      <w:bookmarkEnd w:id="163"/>
      <w:bookmarkEnd w:id="164"/>
      <w:bookmarkEnd w:id="165"/>
    </w:p>
    <w:p>
      <w:pPr>
        <w:widowControl w:val="0"/>
        <w:numPr>
          <w:ilvl w:val="1"/>
          <w:numId w:val="27"/>
        </w:numPr>
        <w:tabs>
          <w:tab w:val="left" w:pos="800"/>
          <w:tab w:val="clear" w:pos="360"/>
        </w:tabs>
        <w:spacing w:line="360" w:lineRule="auto"/>
        <w:ind w:left="800" w:hanging="800"/>
        <w:jc w:val="both"/>
        <w:rPr>
          <w:rFonts w:ascii="宋体" w:hAnsi="宋体"/>
          <w:sz w:val="21"/>
        </w:rPr>
      </w:pPr>
      <w:r>
        <w:rPr>
          <w:rFonts w:hint="eastAsia" w:ascii="宋体" w:hAnsi="宋体"/>
          <w:sz w:val="21"/>
        </w:rPr>
        <w:t>投标人应在提交投标文件的同时，应按有关规定提交本须知前附表所规定数额的投标担保，并作为其投标文件的一部分（</w:t>
      </w:r>
      <w:r>
        <w:rPr>
          <w:rFonts w:hint="eastAsia"/>
          <w:spacing w:val="6"/>
          <w:sz w:val="21"/>
          <w:szCs w:val="21"/>
        </w:rPr>
        <w:t>保证金收款收据在广州海建工程咨询有限公司凭汇款底单开具</w:t>
      </w:r>
      <w:r>
        <w:rPr>
          <w:rFonts w:hint="eastAsia" w:ascii="宋体" w:hAnsi="宋体"/>
          <w:sz w:val="21"/>
        </w:rPr>
        <w:t>）。</w:t>
      </w:r>
    </w:p>
    <w:p>
      <w:pPr>
        <w:widowControl w:val="0"/>
        <w:numPr>
          <w:ilvl w:val="1"/>
          <w:numId w:val="27"/>
        </w:numPr>
        <w:tabs>
          <w:tab w:val="left" w:pos="800"/>
          <w:tab w:val="clear" w:pos="360"/>
        </w:tabs>
        <w:spacing w:line="360" w:lineRule="auto"/>
        <w:ind w:left="800" w:hanging="800"/>
        <w:jc w:val="both"/>
        <w:rPr>
          <w:spacing w:val="6"/>
          <w:sz w:val="21"/>
          <w:szCs w:val="21"/>
        </w:rPr>
      </w:pPr>
      <w:r>
        <w:rPr>
          <w:rFonts w:hint="eastAsia" w:ascii="宋体" w:hAnsi="宋体"/>
          <w:sz w:val="21"/>
        </w:rPr>
        <w:t>投标人应按要求提交投标担保</w:t>
      </w:r>
      <w:r>
        <w:rPr>
          <w:rFonts w:hint="eastAsia"/>
          <w:spacing w:val="6"/>
          <w:sz w:val="21"/>
          <w:szCs w:val="21"/>
        </w:rPr>
        <w:t>，并</w:t>
      </w:r>
      <w:r>
        <w:rPr>
          <w:spacing w:val="6"/>
          <w:sz w:val="21"/>
          <w:szCs w:val="21"/>
        </w:rPr>
        <w:t>将</w:t>
      </w:r>
      <w:r>
        <w:rPr>
          <w:rFonts w:hint="eastAsia"/>
          <w:spacing w:val="6"/>
          <w:sz w:val="21"/>
          <w:szCs w:val="21"/>
        </w:rPr>
        <w:t>保证金收款回执</w:t>
      </w:r>
      <w:r>
        <w:rPr>
          <w:spacing w:val="6"/>
          <w:sz w:val="21"/>
          <w:szCs w:val="21"/>
        </w:rPr>
        <w:t>复印件附在投标文件中，交款时请注明为</w:t>
      </w:r>
      <w:r>
        <w:rPr>
          <w:rFonts w:hint="eastAsia"/>
          <w:spacing w:val="6"/>
          <w:sz w:val="21"/>
          <w:szCs w:val="21"/>
        </w:rPr>
        <w:t>（</w:t>
      </w:r>
      <w:r>
        <w:rPr>
          <w:rFonts w:hint="eastAsia"/>
          <w:spacing w:val="6"/>
          <w:sz w:val="21"/>
          <w:szCs w:val="21"/>
          <w:u w:val="single"/>
        </w:rPr>
        <w:t>项目名称</w:t>
      </w:r>
      <w:r>
        <w:rPr>
          <w:rFonts w:hint="eastAsia"/>
          <w:spacing w:val="6"/>
          <w:sz w:val="21"/>
          <w:szCs w:val="21"/>
        </w:rPr>
        <w:t>）</w:t>
      </w:r>
      <w:r>
        <w:rPr>
          <w:spacing w:val="6"/>
          <w:sz w:val="21"/>
          <w:szCs w:val="21"/>
        </w:rPr>
        <w:t>的投标保证金。</w:t>
      </w:r>
    </w:p>
    <w:p>
      <w:pPr>
        <w:widowControl w:val="0"/>
        <w:numPr>
          <w:ilvl w:val="1"/>
          <w:numId w:val="27"/>
        </w:numPr>
        <w:tabs>
          <w:tab w:val="left" w:pos="800"/>
          <w:tab w:val="clear" w:pos="360"/>
        </w:tabs>
        <w:spacing w:line="360" w:lineRule="auto"/>
        <w:ind w:left="800" w:hanging="800"/>
        <w:jc w:val="both"/>
        <w:rPr>
          <w:rFonts w:ascii="宋体" w:hAnsi="宋体"/>
          <w:sz w:val="21"/>
        </w:rPr>
      </w:pPr>
      <w:r>
        <w:rPr>
          <w:rFonts w:hint="eastAsia" w:ascii="宋体" w:hAnsi="宋体"/>
          <w:sz w:val="21"/>
        </w:rPr>
        <w:t>对于未能按要求提交投标担保的投标，招标人将视为不响应招标文件而予以拒绝。</w:t>
      </w:r>
    </w:p>
    <w:p>
      <w:pPr>
        <w:widowControl w:val="0"/>
        <w:numPr>
          <w:ilvl w:val="1"/>
          <w:numId w:val="27"/>
        </w:numPr>
        <w:tabs>
          <w:tab w:val="left" w:pos="800"/>
          <w:tab w:val="clear" w:pos="360"/>
        </w:tabs>
        <w:spacing w:line="360" w:lineRule="auto"/>
        <w:jc w:val="both"/>
        <w:rPr>
          <w:rFonts w:ascii="宋体" w:hAnsi="宋体"/>
          <w:sz w:val="21"/>
        </w:rPr>
      </w:pPr>
      <w:r>
        <w:rPr>
          <w:rFonts w:hint="eastAsia" w:ascii="宋体" w:hAnsi="宋体"/>
          <w:sz w:val="21"/>
        </w:rPr>
        <w:t>未中标的投标人的投标担保，在发出中标通知书七个工作日后办理退款。</w:t>
      </w:r>
    </w:p>
    <w:p>
      <w:pPr>
        <w:widowControl w:val="0"/>
        <w:numPr>
          <w:ilvl w:val="1"/>
          <w:numId w:val="2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中标人的投标担保，在中标人按本须知第37条规定签订合同且经工程招标单位确认后予以办理退还。</w:t>
      </w:r>
    </w:p>
    <w:p>
      <w:pPr>
        <w:widowControl w:val="0"/>
        <w:numPr>
          <w:ilvl w:val="1"/>
          <w:numId w:val="27"/>
        </w:numPr>
        <w:tabs>
          <w:tab w:val="left" w:pos="800"/>
          <w:tab w:val="clear" w:pos="360"/>
        </w:tabs>
        <w:spacing w:line="360" w:lineRule="auto"/>
        <w:ind w:left="800" w:hanging="800"/>
        <w:jc w:val="both"/>
        <w:rPr>
          <w:rFonts w:ascii="宋体" w:hAnsi="宋体"/>
          <w:sz w:val="21"/>
        </w:rPr>
      </w:pPr>
      <w:r>
        <w:rPr>
          <w:rFonts w:hint="eastAsia" w:ascii="宋体" w:hAnsi="宋体"/>
          <w:sz w:val="21"/>
        </w:rPr>
        <w:t>如投标人发生下列情况之一时，投标担保将被没收：</w:t>
      </w:r>
    </w:p>
    <w:p>
      <w:pPr>
        <w:widowControl w:val="0"/>
        <w:numPr>
          <w:ilvl w:val="0"/>
          <w:numId w:val="28"/>
        </w:numPr>
        <w:spacing w:line="360" w:lineRule="auto"/>
        <w:ind w:hanging="480"/>
        <w:jc w:val="both"/>
        <w:rPr>
          <w:rFonts w:ascii="宋体" w:hAnsi="宋体"/>
          <w:sz w:val="21"/>
        </w:rPr>
      </w:pPr>
      <w:r>
        <w:rPr>
          <w:rFonts w:hint="eastAsia" w:ascii="宋体" w:hAnsi="宋体"/>
          <w:sz w:val="21"/>
        </w:rPr>
        <w:t>开标后，投标人在投标有效期内撤回投标的；</w:t>
      </w:r>
    </w:p>
    <w:p>
      <w:pPr>
        <w:widowControl w:val="0"/>
        <w:numPr>
          <w:ilvl w:val="0"/>
          <w:numId w:val="28"/>
        </w:numPr>
        <w:spacing w:line="360" w:lineRule="auto"/>
        <w:ind w:hanging="480"/>
        <w:jc w:val="both"/>
        <w:rPr>
          <w:rFonts w:ascii="宋体" w:hAnsi="宋体"/>
          <w:sz w:val="21"/>
        </w:rPr>
      </w:pPr>
      <w:r>
        <w:rPr>
          <w:rFonts w:hint="eastAsia" w:ascii="宋体" w:hAnsi="宋体"/>
          <w:sz w:val="21"/>
        </w:rPr>
        <w:t>评标过程中发现投标人有明显的串标行为的；</w:t>
      </w:r>
    </w:p>
    <w:p>
      <w:pPr>
        <w:widowControl w:val="0"/>
        <w:numPr>
          <w:ilvl w:val="0"/>
          <w:numId w:val="28"/>
        </w:numPr>
        <w:spacing w:line="360" w:lineRule="auto"/>
        <w:ind w:hanging="480"/>
        <w:jc w:val="both"/>
        <w:rPr>
          <w:rFonts w:ascii="宋体" w:hAnsi="宋体"/>
          <w:sz w:val="21"/>
        </w:rPr>
      </w:pPr>
      <w:r>
        <w:rPr>
          <w:rFonts w:hint="eastAsia" w:ascii="宋体" w:hAnsi="宋体"/>
          <w:sz w:val="21"/>
        </w:rPr>
        <w:t>投标人拒绝按本须知第32条规定修正标价的；</w:t>
      </w:r>
    </w:p>
    <w:p>
      <w:pPr>
        <w:widowControl w:val="0"/>
        <w:numPr>
          <w:ilvl w:val="0"/>
          <w:numId w:val="28"/>
        </w:numPr>
        <w:spacing w:line="360" w:lineRule="auto"/>
        <w:ind w:hanging="480"/>
        <w:jc w:val="both"/>
        <w:rPr>
          <w:rFonts w:ascii="宋体" w:hAnsi="宋体"/>
          <w:sz w:val="21"/>
        </w:rPr>
      </w:pPr>
      <w:r>
        <w:rPr>
          <w:rFonts w:hint="eastAsia" w:ascii="宋体" w:hAnsi="宋体"/>
          <w:sz w:val="21"/>
        </w:rPr>
        <w:t>投标人有本须知第35.2条的行为的；</w:t>
      </w:r>
    </w:p>
    <w:p>
      <w:pPr>
        <w:widowControl w:val="0"/>
        <w:numPr>
          <w:ilvl w:val="0"/>
          <w:numId w:val="28"/>
        </w:numPr>
        <w:spacing w:line="360" w:lineRule="auto"/>
        <w:ind w:hanging="480"/>
        <w:jc w:val="both"/>
        <w:rPr>
          <w:rFonts w:ascii="宋体" w:hAnsi="宋体"/>
          <w:sz w:val="21"/>
        </w:rPr>
      </w:pPr>
      <w:r>
        <w:rPr>
          <w:rFonts w:hint="eastAsia" w:ascii="宋体" w:hAnsi="宋体"/>
          <w:sz w:val="21"/>
        </w:rPr>
        <w:t>中标人未能在规定期限内签订合同的；</w:t>
      </w:r>
    </w:p>
    <w:p>
      <w:pPr>
        <w:widowControl w:val="0"/>
        <w:numPr>
          <w:ilvl w:val="0"/>
          <w:numId w:val="28"/>
        </w:numPr>
        <w:spacing w:line="360" w:lineRule="auto"/>
        <w:ind w:hanging="480"/>
        <w:jc w:val="both"/>
        <w:rPr>
          <w:rFonts w:ascii="宋体" w:hAnsi="宋体"/>
          <w:sz w:val="21"/>
        </w:rPr>
      </w:pPr>
      <w:r>
        <w:rPr>
          <w:rFonts w:hint="eastAsia" w:ascii="宋体" w:hAnsi="宋体"/>
          <w:sz w:val="21"/>
        </w:rPr>
        <w:t>中标人未按招标文件规定提交招标代理服务费。</w:t>
      </w:r>
    </w:p>
    <w:p>
      <w:pPr>
        <w:pStyle w:val="6"/>
        <w:keepNext w:val="0"/>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Cs/>
          <w:sz w:val="21"/>
        </w:rPr>
      </w:pPr>
      <w:bookmarkStart w:id="166" w:name="_Toc26805611"/>
      <w:bookmarkStart w:id="167" w:name="_Toc26801021"/>
      <w:bookmarkStart w:id="168" w:name="_Toc26800637"/>
      <w:bookmarkStart w:id="169" w:name="_Toc26800904"/>
      <w:bookmarkStart w:id="170" w:name="_Toc429827549"/>
      <w:bookmarkStart w:id="171" w:name="_Toc276925262"/>
      <w:r>
        <w:rPr>
          <w:rFonts w:hint="eastAsia" w:ascii="宋体" w:hAnsi="宋体"/>
          <w:bCs/>
          <w:sz w:val="21"/>
        </w:rPr>
        <w:t>投标人的替代方案</w:t>
      </w:r>
      <w:bookmarkEnd w:id="166"/>
      <w:bookmarkEnd w:id="167"/>
      <w:bookmarkEnd w:id="168"/>
      <w:bookmarkEnd w:id="169"/>
      <w:r>
        <w:rPr>
          <w:rFonts w:hint="eastAsia" w:ascii="宋体" w:hAnsi="宋体"/>
          <w:bCs/>
          <w:sz w:val="21"/>
        </w:rPr>
        <w:t>（此条不适用）</w:t>
      </w:r>
      <w:bookmarkEnd w:id="170"/>
      <w:bookmarkEnd w:id="171"/>
    </w:p>
    <w:p>
      <w:pPr>
        <w:pStyle w:val="6"/>
        <w:keepNext w:val="0"/>
        <w:keepLines w:val="0"/>
        <w:widowControl w:val="0"/>
        <w:numPr>
          <w:ilvl w:val="0"/>
          <w:numId w:val="8"/>
        </w:numPr>
        <w:tabs>
          <w:tab w:val="left" w:pos="800"/>
          <w:tab w:val="clear" w:pos="525"/>
          <w:tab w:val="clear" w:pos="720"/>
        </w:tabs>
        <w:spacing w:before="0" w:after="0" w:line="360" w:lineRule="auto"/>
        <w:ind w:left="799" w:hanging="799"/>
        <w:jc w:val="both"/>
        <w:rPr>
          <w:rFonts w:ascii="宋体" w:hAnsi="宋体"/>
          <w:b w:val="0"/>
          <w:bCs/>
          <w:sz w:val="21"/>
        </w:rPr>
      </w:pPr>
      <w:bookmarkStart w:id="172" w:name="_Toc26800638"/>
      <w:bookmarkStart w:id="173" w:name="_Toc429827550"/>
      <w:bookmarkStart w:id="174" w:name="_Toc276925263"/>
      <w:bookmarkStart w:id="175" w:name="_Toc26805612"/>
      <w:bookmarkStart w:id="176" w:name="_Toc26800905"/>
      <w:bookmarkStart w:id="177" w:name="_Toc26801022"/>
      <w:r>
        <w:rPr>
          <w:rFonts w:hint="eastAsia" w:ascii="宋体" w:hAnsi="宋体"/>
          <w:b w:val="0"/>
          <w:bCs/>
          <w:sz w:val="21"/>
        </w:rPr>
        <w:t>投标文件的份数和签署</w:t>
      </w:r>
      <w:bookmarkEnd w:id="172"/>
      <w:bookmarkEnd w:id="173"/>
      <w:bookmarkEnd w:id="174"/>
      <w:bookmarkEnd w:id="175"/>
      <w:bookmarkEnd w:id="176"/>
      <w:bookmarkEnd w:id="177"/>
    </w:p>
    <w:p>
      <w:pPr>
        <w:widowControl w:val="0"/>
        <w:numPr>
          <w:ilvl w:val="1"/>
          <w:numId w:val="29"/>
        </w:numPr>
        <w:tabs>
          <w:tab w:val="left" w:pos="800"/>
          <w:tab w:val="clear" w:pos="630"/>
        </w:tabs>
        <w:spacing w:line="360" w:lineRule="auto"/>
        <w:ind w:left="800" w:hanging="800"/>
        <w:jc w:val="both"/>
        <w:rPr>
          <w:rFonts w:ascii="宋体" w:hAnsi="宋体"/>
          <w:sz w:val="21"/>
        </w:rPr>
      </w:pPr>
      <w:r>
        <w:rPr>
          <w:rFonts w:hint="eastAsia" w:ascii="宋体" w:hAnsi="宋体"/>
          <w:sz w:val="21"/>
        </w:rPr>
        <w:t>投标人应按本须知前附表规定的份数提交投标文件。</w:t>
      </w:r>
    </w:p>
    <w:p>
      <w:pPr>
        <w:widowControl w:val="0"/>
        <w:numPr>
          <w:ilvl w:val="1"/>
          <w:numId w:val="29"/>
        </w:numPr>
        <w:tabs>
          <w:tab w:val="left" w:pos="800"/>
          <w:tab w:val="clear" w:pos="630"/>
        </w:tabs>
        <w:spacing w:line="360" w:lineRule="auto"/>
        <w:ind w:left="800" w:hanging="800"/>
        <w:jc w:val="both"/>
        <w:rPr>
          <w:rFonts w:ascii="宋体" w:hAnsi="宋体"/>
          <w:sz w:val="21"/>
        </w:rPr>
      </w:pPr>
      <w:r>
        <w:rPr>
          <w:rFonts w:hint="eastAsia" w:ascii="宋体" w:hAnsi="宋体"/>
          <w:sz w:val="21"/>
        </w:rPr>
        <w:t>投标文件的所有正本均需打印，副本可以打印或由正本复印而成，并应在投标文件封面的右上角清楚地注明“正本”或“副本”，正本和副本如有不一致之处，以正本为准。</w:t>
      </w:r>
    </w:p>
    <w:p>
      <w:pPr>
        <w:widowControl w:val="0"/>
        <w:numPr>
          <w:ilvl w:val="1"/>
          <w:numId w:val="29"/>
        </w:numPr>
        <w:tabs>
          <w:tab w:val="left" w:pos="800"/>
          <w:tab w:val="clear" w:pos="630"/>
        </w:tabs>
        <w:spacing w:line="360" w:lineRule="auto"/>
        <w:ind w:left="800" w:hanging="800"/>
        <w:jc w:val="both"/>
        <w:rPr>
          <w:rFonts w:ascii="宋体" w:hAnsi="宋体"/>
          <w:sz w:val="21"/>
        </w:rPr>
      </w:pPr>
      <w:r>
        <w:rPr>
          <w:rFonts w:hint="eastAsia" w:ascii="宋体" w:hAnsi="宋体"/>
          <w:sz w:val="21"/>
        </w:rPr>
        <w:t>招标文件要求投标文件加盖印章的地方，均应按招标文件的规定加盖。由委托代理人签字或盖章的在投标文件中须同时提交投标文件签署授权委托书。投标文件签署授权委托书格式、签字、盖章及内容均应符合要求，否则投标文件签署授权委托书无效。</w:t>
      </w:r>
    </w:p>
    <w:p>
      <w:pPr>
        <w:widowControl w:val="0"/>
        <w:numPr>
          <w:ilvl w:val="1"/>
          <w:numId w:val="29"/>
        </w:numPr>
        <w:tabs>
          <w:tab w:val="left" w:pos="800"/>
          <w:tab w:val="clear" w:pos="630"/>
        </w:tabs>
        <w:spacing w:line="360" w:lineRule="auto"/>
        <w:ind w:left="800" w:hanging="800"/>
        <w:jc w:val="both"/>
        <w:rPr>
          <w:rFonts w:ascii="宋体" w:hAnsi="宋体"/>
          <w:sz w:val="21"/>
        </w:rPr>
      </w:pPr>
      <w:r>
        <w:rPr>
          <w:rFonts w:hint="eastAsia" w:ascii="宋体" w:hAnsi="宋体"/>
          <w:sz w:val="21"/>
        </w:rPr>
        <w:t>除投标人对错误处须修改外，全套投标文件应无涂改或行间插字和增删。如有修改，修改处应由投标人加盖投标人的印章或由投标文件签字人签字或盖章。</w:t>
      </w:r>
    </w:p>
    <w:p>
      <w:pPr>
        <w:pStyle w:val="6"/>
        <w:keepNext w:val="0"/>
        <w:keepLines w:val="0"/>
        <w:widowControl w:val="0"/>
        <w:numPr>
          <w:ilvl w:val="0"/>
          <w:numId w:val="0"/>
        </w:numPr>
        <w:spacing w:before="0" w:after="0" w:line="360" w:lineRule="auto"/>
        <w:rPr>
          <w:rFonts w:ascii="宋体" w:hAnsi="宋体"/>
          <w:bCs/>
          <w:sz w:val="21"/>
        </w:rPr>
      </w:pPr>
      <w:bookmarkStart w:id="178" w:name="_Toc429827551"/>
      <w:bookmarkStart w:id="179" w:name="_Toc276925264"/>
      <w:bookmarkStart w:id="180" w:name="_Toc26800639"/>
      <w:bookmarkStart w:id="181" w:name="_Toc679_WPSOffice_Level3"/>
      <w:r>
        <w:rPr>
          <w:rFonts w:hint="eastAsia" w:ascii="宋体" w:hAnsi="宋体"/>
          <w:bCs/>
          <w:sz w:val="21"/>
        </w:rPr>
        <w:t>（四）投标文件的提交</w:t>
      </w:r>
      <w:bookmarkEnd w:id="178"/>
      <w:bookmarkEnd w:id="179"/>
      <w:bookmarkEnd w:id="180"/>
      <w:bookmarkEnd w:id="181"/>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182" w:name="_Toc26801023"/>
      <w:bookmarkStart w:id="183" w:name="_Toc276925265"/>
      <w:bookmarkStart w:id="184" w:name="_Toc26805613"/>
      <w:bookmarkStart w:id="185" w:name="_Toc26800640"/>
      <w:bookmarkStart w:id="186" w:name="_Toc429827552"/>
      <w:bookmarkStart w:id="187" w:name="_Toc26800906"/>
      <w:r>
        <w:rPr>
          <w:rFonts w:hint="eastAsia" w:ascii="宋体" w:hAnsi="宋体"/>
          <w:b w:val="0"/>
          <w:bCs/>
          <w:sz w:val="21"/>
        </w:rPr>
        <w:t>投标文件的装订、密封和标记</w:t>
      </w:r>
      <w:bookmarkEnd w:id="182"/>
      <w:bookmarkEnd w:id="183"/>
      <w:bookmarkEnd w:id="184"/>
      <w:bookmarkEnd w:id="185"/>
      <w:bookmarkEnd w:id="186"/>
      <w:bookmarkEnd w:id="187"/>
    </w:p>
    <w:p>
      <w:pPr>
        <w:widowControl w:val="0"/>
        <w:numPr>
          <w:ilvl w:val="1"/>
          <w:numId w:val="30"/>
        </w:numPr>
        <w:tabs>
          <w:tab w:val="left" w:pos="800"/>
          <w:tab w:val="clear" w:pos="360"/>
        </w:tabs>
        <w:spacing w:line="360" w:lineRule="auto"/>
        <w:ind w:left="800" w:hanging="800"/>
        <w:jc w:val="both"/>
        <w:rPr>
          <w:rFonts w:ascii="宋体" w:hAnsi="宋体"/>
          <w:sz w:val="21"/>
        </w:rPr>
      </w:pPr>
      <w:r>
        <w:rPr>
          <w:rFonts w:hint="eastAsia" w:ascii="宋体" w:hAnsi="宋体"/>
          <w:sz w:val="21"/>
        </w:rPr>
        <w:t>投标文件的装订要求：A4页面、左边装订。投标函、商务部分和技术部分三部分，分别装订成册。</w:t>
      </w:r>
    </w:p>
    <w:p>
      <w:pPr>
        <w:widowControl w:val="0"/>
        <w:numPr>
          <w:ilvl w:val="1"/>
          <w:numId w:val="30"/>
        </w:numPr>
        <w:tabs>
          <w:tab w:val="left" w:pos="800"/>
          <w:tab w:val="clear" w:pos="360"/>
        </w:tabs>
        <w:spacing w:line="360" w:lineRule="auto"/>
        <w:ind w:left="800" w:hanging="800"/>
        <w:jc w:val="both"/>
        <w:rPr>
          <w:rFonts w:ascii="宋体" w:hAnsi="宋体"/>
          <w:sz w:val="21"/>
        </w:rPr>
      </w:pPr>
      <w:r>
        <w:rPr>
          <w:rFonts w:hint="eastAsia" w:ascii="宋体" w:hAnsi="宋体"/>
          <w:sz w:val="21"/>
        </w:rPr>
        <w:t>在投标文件密封袋上均应：</w:t>
      </w:r>
    </w:p>
    <w:p>
      <w:pPr>
        <w:widowControl w:val="0"/>
        <w:spacing w:line="360" w:lineRule="auto"/>
        <w:ind w:left="800"/>
        <w:jc w:val="both"/>
        <w:rPr>
          <w:rFonts w:ascii="宋体" w:hAnsi="宋体"/>
          <w:sz w:val="21"/>
        </w:rPr>
      </w:pPr>
      <w:r>
        <w:rPr>
          <w:rFonts w:hint="eastAsia" w:ascii="宋体" w:hAnsi="宋体"/>
          <w:sz w:val="21"/>
        </w:rPr>
        <w:t>（1） 写明招标人名称；</w:t>
      </w:r>
    </w:p>
    <w:p>
      <w:pPr>
        <w:widowControl w:val="0"/>
        <w:spacing w:line="360" w:lineRule="auto"/>
        <w:ind w:left="800"/>
        <w:jc w:val="both"/>
        <w:rPr>
          <w:rFonts w:ascii="宋体" w:hAnsi="宋体"/>
          <w:sz w:val="21"/>
        </w:rPr>
      </w:pPr>
      <w:r>
        <w:rPr>
          <w:rFonts w:hint="eastAsia" w:ascii="宋体" w:hAnsi="宋体"/>
          <w:sz w:val="21"/>
        </w:rPr>
        <w:t>（2） 注明下列识别标志：</w:t>
      </w:r>
    </w:p>
    <w:p>
      <w:pPr>
        <w:widowControl w:val="0"/>
        <w:spacing w:line="360" w:lineRule="auto"/>
        <w:ind w:left="800" w:firstLine="298"/>
        <w:jc w:val="both"/>
        <w:rPr>
          <w:rFonts w:ascii="宋体" w:hAnsi="宋体"/>
          <w:sz w:val="21"/>
        </w:rPr>
      </w:pPr>
      <w:r>
        <w:rPr>
          <w:rFonts w:hint="eastAsia" w:ascii="宋体" w:hAnsi="宋体"/>
          <w:sz w:val="21"/>
        </w:rPr>
        <w:t>a、工程名称；</w:t>
      </w:r>
    </w:p>
    <w:p>
      <w:pPr>
        <w:widowControl w:val="0"/>
        <w:spacing w:line="360" w:lineRule="auto"/>
        <w:ind w:left="800" w:firstLine="298"/>
        <w:jc w:val="both"/>
        <w:rPr>
          <w:rFonts w:ascii="宋体" w:hAnsi="宋体"/>
          <w:sz w:val="21"/>
        </w:rPr>
      </w:pPr>
      <w:r>
        <w:rPr>
          <w:rFonts w:hint="eastAsia" w:ascii="宋体" w:hAnsi="宋体"/>
          <w:sz w:val="21"/>
        </w:rPr>
        <w:t>b、</w:t>
      </w:r>
      <w:r>
        <w:rPr>
          <w:rFonts w:ascii="宋体" w:hAnsi="宋体"/>
          <w:sz w:val="21"/>
          <w:u w:val="single"/>
        </w:rPr>
        <w:t xml:space="preserve"> </w:t>
      </w:r>
      <w:r>
        <w:rPr>
          <w:rFonts w:hint="eastAsia" w:ascii="宋体" w:hAnsi="宋体"/>
          <w:sz w:val="21"/>
          <w:u w:val="single"/>
        </w:rPr>
        <w:t xml:space="preserve">    </w:t>
      </w:r>
      <w:r>
        <w:rPr>
          <w:rFonts w:hint="eastAsia" w:ascii="宋体" w:hAnsi="宋体"/>
          <w:sz w:val="21"/>
        </w:rPr>
        <w:t>年</w:t>
      </w:r>
      <w:r>
        <w:rPr>
          <w:rFonts w:ascii="宋体" w:hAnsi="宋体"/>
          <w:sz w:val="21"/>
          <w:u w:val="single"/>
        </w:rPr>
        <w:t xml:space="preserve"> </w:t>
      </w:r>
      <w:r>
        <w:rPr>
          <w:rFonts w:hint="eastAsia" w:ascii="宋体" w:hAnsi="宋体"/>
          <w:sz w:val="21"/>
          <w:u w:val="single"/>
        </w:rPr>
        <w:t xml:space="preserve">    </w:t>
      </w:r>
      <w:r>
        <w:rPr>
          <w:rFonts w:hint="eastAsia" w:ascii="宋体" w:hAnsi="宋体"/>
          <w:sz w:val="21"/>
        </w:rPr>
        <w:t>月</w:t>
      </w:r>
      <w:r>
        <w:rPr>
          <w:rFonts w:hint="eastAsia" w:ascii="宋体" w:hAnsi="宋体"/>
          <w:sz w:val="21"/>
          <w:u w:val="single"/>
        </w:rPr>
        <w:t xml:space="preserve">     </w:t>
      </w:r>
      <w:r>
        <w:rPr>
          <w:rFonts w:hint="eastAsia" w:ascii="宋体" w:hAnsi="宋体"/>
          <w:sz w:val="21"/>
        </w:rPr>
        <w:t>日</w:t>
      </w:r>
      <w:r>
        <w:rPr>
          <w:rFonts w:hint="eastAsia" w:ascii="宋体" w:hAnsi="宋体"/>
          <w:sz w:val="21"/>
          <w:u w:val="single"/>
        </w:rPr>
        <w:t xml:space="preserve">     </w:t>
      </w:r>
      <w:r>
        <w:rPr>
          <w:rFonts w:hint="eastAsia" w:ascii="宋体" w:hAnsi="宋体"/>
          <w:sz w:val="21"/>
        </w:rPr>
        <w:t>时开标，此时间以前不得开封。</w:t>
      </w:r>
    </w:p>
    <w:p>
      <w:pPr>
        <w:widowControl w:val="0"/>
        <w:numPr>
          <w:ilvl w:val="1"/>
          <w:numId w:val="30"/>
        </w:numPr>
        <w:tabs>
          <w:tab w:val="left" w:pos="800"/>
          <w:tab w:val="clear" w:pos="360"/>
        </w:tabs>
        <w:spacing w:line="360" w:lineRule="auto"/>
        <w:ind w:left="800" w:hanging="800"/>
        <w:jc w:val="both"/>
        <w:rPr>
          <w:rFonts w:ascii="宋体" w:hAnsi="宋体"/>
          <w:sz w:val="21"/>
        </w:rPr>
      </w:pPr>
      <w:r>
        <w:rPr>
          <w:rFonts w:hint="eastAsia" w:ascii="宋体" w:hAnsi="宋体"/>
          <w:sz w:val="21"/>
        </w:rPr>
        <w:t>除了按本须知所要求的识别字样外，在密封袋上还应写明投标人的名称与地址、邮政编码，以便本须知第22条规定情况发生时，投标文件可按密封袋上标明的投标人地址将密封袋原封退回。</w:t>
      </w:r>
    </w:p>
    <w:p>
      <w:pPr>
        <w:widowControl w:val="0"/>
        <w:numPr>
          <w:ilvl w:val="1"/>
          <w:numId w:val="30"/>
        </w:numPr>
        <w:tabs>
          <w:tab w:val="left" w:pos="800"/>
          <w:tab w:val="clear" w:pos="360"/>
        </w:tabs>
        <w:spacing w:line="360" w:lineRule="auto"/>
        <w:ind w:left="800" w:hanging="800"/>
        <w:jc w:val="both"/>
        <w:rPr>
          <w:rFonts w:ascii="宋体" w:hAnsi="宋体"/>
          <w:sz w:val="21"/>
        </w:rPr>
      </w:pPr>
      <w:r>
        <w:rPr>
          <w:rFonts w:hint="eastAsia" w:ascii="宋体" w:hAnsi="宋体"/>
          <w:sz w:val="21"/>
        </w:rPr>
        <w:t>如果投标文件没有按本投标须知第19</w:t>
      </w:r>
      <w:r>
        <w:rPr>
          <w:rFonts w:ascii="宋体" w:hAnsi="宋体"/>
          <w:sz w:val="21"/>
        </w:rPr>
        <w:t>.1</w:t>
      </w:r>
      <w:r>
        <w:rPr>
          <w:rFonts w:hint="eastAsia" w:ascii="宋体" w:hAnsi="宋体"/>
          <w:sz w:val="21"/>
        </w:rPr>
        <w:t>款、第19.2款的规定，招标人将拒收或者告知投标人，招标人将不承担投标文件错放或提前开封的责任。对由此造成的提前开封的投标文件将予以拒绝，并退还给投标人。</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188" w:name="_Toc26800641"/>
      <w:bookmarkStart w:id="189" w:name="_Toc429827553"/>
      <w:bookmarkStart w:id="190" w:name="_Toc26800907"/>
      <w:bookmarkStart w:id="191" w:name="_Toc26801024"/>
      <w:bookmarkStart w:id="192" w:name="_Toc276925266"/>
      <w:bookmarkStart w:id="193" w:name="_Toc26805614"/>
      <w:r>
        <w:rPr>
          <w:rFonts w:hint="eastAsia" w:ascii="宋体" w:hAnsi="宋体"/>
          <w:b w:val="0"/>
          <w:bCs/>
          <w:sz w:val="21"/>
        </w:rPr>
        <w:t>投标文件的提交</w:t>
      </w:r>
      <w:bookmarkEnd w:id="188"/>
      <w:bookmarkEnd w:id="189"/>
      <w:bookmarkEnd w:id="190"/>
      <w:bookmarkEnd w:id="191"/>
      <w:bookmarkEnd w:id="192"/>
      <w:bookmarkEnd w:id="193"/>
    </w:p>
    <w:p>
      <w:pPr>
        <w:widowControl w:val="0"/>
        <w:numPr>
          <w:ilvl w:val="1"/>
          <w:numId w:val="31"/>
        </w:numPr>
        <w:tabs>
          <w:tab w:val="left" w:pos="800"/>
          <w:tab w:val="clear" w:pos="630"/>
        </w:tabs>
        <w:spacing w:line="360" w:lineRule="auto"/>
        <w:jc w:val="both"/>
        <w:rPr>
          <w:rFonts w:ascii="宋体" w:hAnsi="宋体"/>
          <w:sz w:val="21"/>
        </w:rPr>
      </w:pPr>
      <w:r>
        <w:rPr>
          <w:rFonts w:hint="eastAsia" w:ascii="宋体" w:hAnsi="宋体"/>
          <w:sz w:val="21"/>
        </w:rPr>
        <w:t>投标人应在开标日期当天在投标截止时间前将投标文件直接送达开标地点。</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194" w:name="_Toc26800642"/>
      <w:bookmarkStart w:id="195" w:name="_Toc26805615"/>
      <w:bookmarkStart w:id="196" w:name="_Toc276925267"/>
      <w:bookmarkStart w:id="197" w:name="_Toc429827554"/>
      <w:bookmarkStart w:id="198" w:name="_Toc26801025"/>
      <w:bookmarkStart w:id="199" w:name="_Toc26800908"/>
      <w:r>
        <w:rPr>
          <w:rFonts w:hint="eastAsia" w:ascii="宋体" w:hAnsi="宋体"/>
          <w:b w:val="0"/>
          <w:bCs/>
          <w:sz w:val="21"/>
        </w:rPr>
        <w:t>投标文件提交的截止时间</w:t>
      </w:r>
      <w:bookmarkEnd w:id="194"/>
      <w:bookmarkEnd w:id="195"/>
      <w:bookmarkEnd w:id="196"/>
      <w:bookmarkEnd w:id="197"/>
      <w:bookmarkEnd w:id="198"/>
      <w:bookmarkEnd w:id="199"/>
    </w:p>
    <w:p>
      <w:pPr>
        <w:widowControl w:val="0"/>
        <w:numPr>
          <w:ilvl w:val="1"/>
          <w:numId w:val="32"/>
        </w:numPr>
        <w:tabs>
          <w:tab w:val="left" w:pos="800"/>
          <w:tab w:val="clear" w:pos="630"/>
        </w:tabs>
        <w:spacing w:line="360" w:lineRule="auto"/>
        <w:ind w:left="800" w:hanging="800"/>
        <w:jc w:val="both"/>
        <w:rPr>
          <w:rFonts w:ascii="宋体" w:hAnsi="宋体"/>
          <w:sz w:val="21"/>
        </w:rPr>
      </w:pPr>
      <w:r>
        <w:rPr>
          <w:rFonts w:hint="eastAsia" w:ascii="宋体" w:hAnsi="宋体"/>
          <w:sz w:val="21"/>
        </w:rPr>
        <w:t>投标文件的截止时间见本须知前附表第18项规定。</w:t>
      </w:r>
    </w:p>
    <w:p>
      <w:pPr>
        <w:widowControl w:val="0"/>
        <w:numPr>
          <w:ilvl w:val="1"/>
          <w:numId w:val="32"/>
        </w:numPr>
        <w:tabs>
          <w:tab w:val="left" w:pos="800"/>
          <w:tab w:val="clear" w:pos="630"/>
        </w:tabs>
        <w:spacing w:line="360" w:lineRule="auto"/>
        <w:ind w:left="800" w:hanging="800"/>
        <w:jc w:val="both"/>
        <w:rPr>
          <w:rFonts w:ascii="宋体" w:hAnsi="宋体"/>
          <w:sz w:val="21"/>
        </w:rPr>
      </w:pPr>
      <w:r>
        <w:rPr>
          <w:rFonts w:hint="eastAsia" w:ascii="宋体" w:hAnsi="宋体"/>
          <w:sz w:val="21"/>
        </w:rPr>
        <w:t>招标人可按本须知第9条规定以修改补充通知的方式，酌情延长提交投标文件的截止时间。在此情况下，投标人的所有权利和义务以及投标人受制约的截止时间，均以延长后新的投标截止时间为准。</w:t>
      </w:r>
    </w:p>
    <w:p>
      <w:pPr>
        <w:widowControl w:val="0"/>
        <w:numPr>
          <w:ilvl w:val="1"/>
          <w:numId w:val="32"/>
        </w:numPr>
        <w:tabs>
          <w:tab w:val="left" w:pos="800"/>
          <w:tab w:val="clear" w:pos="630"/>
        </w:tabs>
        <w:spacing w:line="360" w:lineRule="auto"/>
        <w:ind w:left="800" w:hanging="800"/>
        <w:jc w:val="both"/>
        <w:rPr>
          <w:rFonts w:ascii="宋体" w:hAnsi="宋体"/>
          <w:sz w:val="21"/>
        </w:rPr>
      </w:pPr>
      <w:r>
        <w:rPr>
          <w:rFonts w:hint="eastAsia" w:ascii="宋体" w:hAnsi="宋体"/>
          <w:sz w:val="21"/>
        </w:rPr>
        <w:t>到投标截止时间止，招标人收到的投标文件少于3个的，招标人将宣布本次招标无效。</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00" w:name="_Toc26800643"/>
      <w:bookmarkStart w:id="201" w:name="_Toc26805616"/>
      <w:bookmarkStart w:id="202" w:name="_Toc26801026"/>
      <w:bookmarkStart w:id="203" w:name="_Toc26800909"/>
      <w:bookmarkStart w:id="204" w:name="_Toc429827555"/>
      <w:bookmarkStart w:id="205" w:name="_Toc276925268"/>
      <w:r>
        <w:rPr>
          <w:rFonts w:hint="eastAsia" w:ascii="宋体" w:hAnsi="宋体"/>
          <w:b w:val="0"/>
          <w:bCs/>
          <w:sz w:val="21"/>
        </w:rPr>
        <w:t>迟交的投标文件</w:t>
      </w:r>
      <w:bookmarkEnd w:id="200"/>
      <w:bookmarkEnd w:id="201"/>
      <w:bookmarkEnd w:id="202"/>
      <w:bookmarkEnd w:id="203"/>
      <w:bookmarkEnd w:id="204"/>
      <w:bookmarkEnd w:id="205"/>
    </w:p>
    <w:p>
      <w:pPr>
        <w:widowControl w:val="0"/>
        <w:numPr>
          <w:ilvl w:val="1"/>
          <w:numId w:val="33"/>
        </w:numPr>
        <w:tabs>
          <w:tab w:val="left" w:pos="800"/>
          <w:tab w:val="clear" w:pos="360"/>
        </w:tabs>
        <w:spacing w:line="360" w:lineRule="auto"/>
        <w:ind w:left="800" w:hanging="800"/>
        <w:jc w:val="both"/>
        <w:rPr>
          <w:rFonts w:ascii="宋体" w:hAnsi="宋体"/>
          <w:sz w:val="21"/>
        </w:rPr>
      </w:pPr>
      <w:r>
        <w:rPr>
          <w:rFonts w:hint="eastAsia" w:ascii="宋体" w:hAnsi="宋体"/>
          <w:sz w:val="21"/>
        </w:rPr>
        <w:t>招标人在本须知第21条规定的投标截止时间以后收到的投标文件，将被拒绝接收并退回给投标人。</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06" w:name="_Toc429827556"/>
      <w:bookmarkStart w:id="207" w:name="_Toc26800644"/>
      <w:bookmarkStart w:id="208" w:name="_Toc26800910"/>
      <w:bookmarkStart w:id="209" w:name="_Toc26801027"/>
      <w:bookmarkStart w:id="210" w:name="_Toc26805617"/>
      <w:bookmarkStart w:id="211" w:name="_Toc276925269"/>
      <w:r>
        <w:rPr>
          <w:rFonts w:hint="eastAsia" w:ascii="宋体" w:hAnsi="宋体"/>
          <w:b w:val="0"/>
          <w:bCs/>
          <w:sz w:val="21"/>
        </w:rPr>
        <w:t>投标文件的补充、修改与撤回</w:t>
      </w:r>
      <w:bookmarkEnd w:id="206"/>
      <w:bookmarkEnd w:id="207"/>
      <w:bookmarkEnd w:id="208"/>
      <w:bookmarkEnd w:id="209"/>
      <w:bookmarkEnd w:id="210"/>
      <w:bookmarkEnd w:id="211"/>
    </w:p>
    <w:p>
      <w:pPr>
        <w:widowControl w:val="0"/>
        <w:numPr>
          <w:ilvl w:val="1"/>
          <w:numId w:val="34"/>
        </w:numPr>
        <w:tabs>
          <w:tab w:val="left" w:pos="800"/>
          <w:tab w:val="clear" w:pos="360"/>
        </w:tabs>
        <w:spacing w:line="360" w:lineRule="auto"/>
        <w:ind w:left="800" w:hanging="800"/>
        <w:jc w:val="both"/>
        <w:rPr>
          <w:rFonts w:ascii="宋体" w:hAnsi="宋体"/>
          <w:sz w:val="21"/>
        </w:rPr>
      </w:pPr>
      <w:r>
        <w:rPr>
          <w:rFonts w:hint="eastAsia" w:ascii="宋体" w:hAnsi="宋体"/>
          <w:sz w:val="21"/>
        </w:rPr>
        <w:t>投标人在提交投标文件以后，在规定的投标截止时间之前，可以书面形式补充修改或撤回已提交的投标文件，并以书面形式通知招标人。补充、修改的内容为投标文件的组成部分。</w:t>
      </w:r>
    </w:p>
    <w:p>
      <w:pPr>
        <w:widowControl w:val="0"/>
        <w:numPr>
          <w:ilvl w:val="1"/>
          <w:numId w:val="34"/>
        </w:numPr>
        <w:tabs>
          <w:tab w:val="left" w:pos="800"/>
          <w:tab w:val="clear" w:pos="360"/>
        </w:tabs>
        <w:spacing w:line="360" w:lineRule="auto"/>
        <w:ind w:left="800" w:hanging="800"/>
        <w:jc w:val="both"/>
        <w:rPr>
          <w:rFonts w:ascii="宋体" w:hAnsi="宋体"/>
          <w:sz w:val="21"/>
        </w:rPr>
      </w:pPr>
      <w:r>
        <w:rPr>
          <w:rFonts w:hint="eastAsia" w:ascii="宋体" w:hAnsi="宋体"/>
          <w:sz w:val="21"/>
        </w:rPr>
        <w:t>投标人对投标文件的补充、修改，应按本须知第19条有关规定密封、标记和提交，并在内外层投标文件密封袋上清楚标明“补充、修改”或“撤回”字样。</w:t>
      </w:r>
    </w:p>
    <w:p>
      <w:pPr>
        <w:widowControl w:val="0"/>
        <w:numPr>
          <w:ilvl w:val="1"/>
          <w:numId w:val="34"/>
        </w:numPr>
        <w:tabs>
          <w:tab w:val="left" w:pos="800"/>
          <w:tab w:val="clear" w:pos="360"/>
        </w:tabs>
        <w:spacing w:line="360" w:lineRule="auto"/>
        <w:ind w:left="800" w:hanging="800"/>
        <w:jc w:val="both"/>
        <w:rPr>
          <w:rFonts w:ascii="宋体" w:hAnsi="宋体"/>
          <w:sz w:val="21"/>
        </w:rPr>
      </w:pPr>
      <w:r>
        <w:rPr>
          <w:rFonts w:hint="eastAsia" w:ascii="宋体" w:hAnsi="宋体"/>
          <w:sz w:val="21"/>
        </w:rPr>
        <w:t>在投标截止时间之后，投标人不得补充、修改投标文件。</w:t>
      </w:r>
    </w:p>
    <w:p>
      <w:pPr>
        <w:widowControl w:val="0"/>
        <w:numPr>
          <w:ilvl w:val="1"/>
          <w:numId w:val="34"/>
        </w:numPr>
        <w:tabs>
          <w:tab w:val="left" w:pos="800"/>
          <w:tab w:val="clear" w:pos="360"/>
        </w:tabs>
        <w:spacing w:line="360" w:lineRule="auto"/>
        <w:ind w:left="800" w:hanging="800"/>
        <w:jc w:val="both"/>
        <w:rPr>
          <w:rFonts w:ascii="宋体" w:hAnsi="宋体"/>
          <w:sz w:val="21"/>
        </w:rPr>
      </w:pPr>
      <w:r>
        <w:rPr>
          <w:rFonts w:hint="eastAsia" w:ascii="宋体" w:hAnsi="宋体"/>
          <w:sz w:val="21"/>
        </w:rPr>
        <w:t>在投标截止时间至投标有效期满之前，投标人不得撤回投标文件，否则其投标保证金将被没收。</w:t>
      </w:r>
    </w:p>
    <w:p>
      <w:pPr>
        <w:widowControl w:val="0"/>
        <w:numPr>
          <w:ilvl w:val="1"/>
          <w:numId w:val="34"/>
        </w:numPr>
        <w:tabs>
          <w:tab w:val="left" w:pos="800"/>
          <w:tab w:val="clear" w:pos="360"/>
        </w:tabs>
        <w:spacing w:line="360" w:lineRule="auto"/>
        <w:ind w:left="800" w:hanging="800"/>
        <w:jc w:val="both"/>
        <w:rPr>
          <w:rFonts w:ascii="宋体" w:hAnsi="宋体"/>
          <w:sz w:val="21"/>
        </w:rPr>
      </w:pPr>
      <w:r>
        <w:rPr>
          <w:rFonts w:hint="eastAsia" w:ascii="宋体" w:hAnsi="宋体"/>
          <w:sz w:val="21"/>
        </w:rPr>
        <w:t>无论投标结果如何，投标文件均不予以退还。</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12" w:name="_Toc276925270"/>
      <w:bookmarkStart w:id="213" w:name="_Toc26801028"/>
      <w:bookmarkStart w:id="214" w:name="_Toc26800911"/>
      <w:bookmarkStart w:id="215" w:name="_Toc26800645"/>
      <w:bookmarkStart w:id="216" w:name="_Toc26805618"/>
      <w:bookmarkStart w:id="217" w:name="_Toc429827557"/>
      <w:r>
        <w:rPr>
          <w:rFonts w:hint="eastAsia" w:ascii="宋体" w:hAnsi="宋体"/>
          <w:b w:val="0"/>
          <w:bCs/>
          <w:sz w:val="21"/>
        </w:rPr>
        <w:t>资格预审申请书材料的更新</w:t>
      </w:r>
      <w:bookmarkEnd w:id="212"/>
      <w:bookmarkEnd w:id="213"/>
      <w:bookmarkEnd w:id="214"/>
      <w:bookmarkEnd w:id="215"/>
      <w:bookmarkEnd w:id="216"/>
      <w:r>
        <w:rPr>
          <w:rFonts w:hint="eastAsia" w:ascii="宋体" w:hAnsi="宋体"/>
          <w:b w:val="0"/>
          <w:bCs/>
          <w:sz w:val="21"/>
        </w:rPr>
        <w:t>（不适用）</w:t>
      </w:r>
      <w:bookmarkEnd w:id="217"/>
    </w:p>
    <w:p>
      <w:pPr>
        <w:pStyle w:val="6"/>
        <w:keepNext w:val="0"/>
        <w:keepLines w:val="0"/>
        <w:widowControl w:val="0"/>
        <w:numPr>
          <w:ilvl w:val="0"/>
          <w:numId w:val="0"/>
        </w:numPr>
        <w:spacing w:before="0" w:after="0" w:line="360" w:lineRule="auto"/>
        <w:rPr>
          <w:rFonts w:ascii="宋体" w:hAnsi="宋体"/>
          <w:bCs/>
          <w:sz w:val="21"/>
        </w:rPr>
      </w:pPr>
      <w:bookmarkStart w:id="218" w:name="_Toc26805619"/>
      <w:bookmarkStart w:id="219" w:name="_Toc4558_WPSOffice_Level3"/>
      <w:bookmarkStart w:id="220" w:name="_Toc26800912"/>
      <w:bookmarkStart w:id="221" w:name="_Toc26800646"/>
      <w:bookmarkStart w:id="222" w:name="_Toc26801029"/>
      <w:bookmarkStart w:id="223" w:name="_Toc429827558"/>
      <w:bookmarkStart w:id="224" w:name="_Toc276925271"/>
      <w:r>
        <w:rPr>
          <w:rFonts w:hint="eastAsia" w:ascii="宋体" w:hAnsi="宋体"/>
          <w:bCs/>
          <w:sz w:val="21"/>
        </w:rPr>
        <w:t>（五）开    标</w:t>
      </w:r>
      <w:bookmarkEnd w:id="218"/>
      <w:bookmarkEnd w:id="219"/>
      <w:bookmarkEnd w:id="220"/>
      <w:bookmarkEnd w:id="221"/>
      <w:bookmarkEnd w:id="222"/>
      <w:bookmarkEnd w:id="223"/>
      <w:bookmarkEnd w:id="224"/>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25" w:name="_Toc429827559"/>
      <w:bookmarkStart w:id="226" w:name="_Toc26800913"/>
      <w:bookmarkStart w:id="227" w:name="_Toc26805620"/>
      <w:bookmarkStart w:id="228" w:name="_Toc26800647"/>
      <w:bookmarkStart w:id="229" w:name="_Toc276925272"/>
      <w:bookmarkStart w:id="230" w:name="_Toc26801030"/>
      <w:r>
        <w:rPr>
          <w:rFonts w:hint="eastAsia" w:ascii="宋体" w:hAnsi="宋体"/>
          <w:b w:val="0"/>
          <w:bCs/>
          <w:sz w:val="21"/>
        </w:rPr>
        <w:t>开标</w:t>
      </w:r>
      <w:bookmarkEnd w:id="225"/>
      <w:bookmarkEnd w:id="226"/>
      <w:bookmarkEnd w:id="227"/>
      <w:bookmarkEnd w:id="228"/>
      <w:bookmarkEnd w:id="229"/>
      <w:bookmarkEnd w:id="230"/>
    </w:p>
    <w:p>
      <w:pPr>
        <w:widowControl w:val="0"/>
        <w:numPr>
          <w:ilvl w:val="1"/>
          <w:numId w:val="35"/>
        </w:numPr>
        <w:tabs>
          <w:tab w:val="left" w:pos="800"/>
          <w:tab w:val="clear" w:pos="360"/>
        </w:tabs>
        <w:spacing w:line="360" w:lineRule="auto"/>
        <w:ind w:left="800" w:hanging="800"/>
        <w:jc w:val="both"/>
        <w:rPr>
          <w:rFonts w:ascii="宋体" w:hAnsi="宋体"/>
          <w:b/>
          <w:sz w:val="21"/>
        </w:rPr>
      </w:pPr>
      <w:r>
        <w:rPr>
          <w:rFonts w:hint="eastAsia" w:ascii="宋体" w:hAnsi="宋体"/>
          <w:b/>
          <w:sz w:val="21"/>
        </w:rPr>
        <w:t>招标人按本须知前附表所规定的时间和地点公开开标。投标人的法定代表人应当参加开标会，并携带法定代表人证件（或法定代表人证明书）及本人身份证，如果投标人法定代表人不能出席开标会，应当指定代理人参加，代理人必须持法定代表人委托书及代理人本人身份证。参加开标的投标人代表应签名报到，以证明其出席开标会议。</w:t>
      </w:r>
    </w:p>
    <w:p>
      <w:pPr>
        <w:widowControl w:val="0"/>
        <w:numPr>
          <w:ilvl w:val="1"/>
          <w:numId w:val="35"/>
        </w:numPr>
        <w:tabs>
          <w:tab w:val="left" w:pos="800"/>
          <w:tab w:val="clear" w:pos="360"/>
        </w:tabs>
        <w:spacing w:line="360" w:lineRule="auto"/>
        <w:ind w:left="800" w:hanging="800"/>
        <w:jc w:val="both"/>
        <w:rPr>
          <w:rFonts w:ascii="宋体" w:hAnsi="宋体"/>
          <w:sz w:val="21"/>
        </w:rPr>
      </w:pPr>
      <w:r>
        <w:rPr>
          <w:rFonts w:hint="eastAsia" w:ascii="宋体" w:hAnsi="宋体"/>
          <w:sz w:val="21"/>
        </w:rPr>
        <w:t>按规定提交合格的撤回通知的投标文件不予开封，并退回给投标人；按本须知第26条规定确定为无效的投标文件，不予送交评审。</w:t>
      </w:r>
    </w:p>
    <w:p>
      <w:pPr>
        <w:widowControl w:val="0"/>
        <w:numPr>
          <w:ilvl w:val="1"/>
          <w:numId w:val="35"/>
        </w:numPr>
        <w:tabs>
          <w:tab w:val="left" w:pos="800"/>
          <w:tab w:val="clear" w:pos="360"/>
        </w:tabs>
        <w:spacing w:line="360" w:lineRule="auto"/>
        <w:ind w:left="800" w:hanging="800"/>
        <w:jc w:val="both"/>
        <w:rPr>
          <w:rFonts w:ascii="宋体" w:hAnsi="宋体"/>
          <w:sz w:val="21"/>
        </w:rPr>
      </w:pPr>
      <w:r>
        <w:rPr>
          <w:rFonts w:hint="eastAsia" w:ascii="宋体" w:hAnsi="宋体"/>
          <w:sz w:val="21"/>
        </w:rPr>
        <w:t>开标程序：</w:t>
      </w:r>
    </w:p>
    <w:p>
      <w:pPr>
        <w:widowControl w:val="0"/>
        <w:spacing w:line="360" w:lineRule="auto"/>
        <w:ind w:left="1400" w:hanging="600"/>
        <w:jc w:val="both"/>
        <w:rPr>
          <w:rFonts w:ascii="宋体" w:hAnsi="宋体"/>
          <w:sz w:val="21"/>
        </w:rPr>
      </w:pPr>
      <w:r>
        <w:rPr>
          <w:rFonts w:hint="eastAsia" w:ascii="宋体" w:hAnsi="宋体"/>
          <w:sz w:val="21"/>
        </w:rPr>
        <w:t>（1） 开标由招标人委托招标代理机构主持；</w:t>
      </w:r>
    </w:p>
    <w:p>
      <w:pPr>
        <w:widowControl w:val="0"/>
        <w:spacing w:line="360" w:lineRule="auto"/>
        <w:ind w:left="1400" w:hanging="600"/>
        <w:jc w:val="both"/>
        <w:rPr>
          <w:rFonts w:ascii="宋体" w:hAnsi="宋体"/>
          <w:sz w:val="21"/>
        </w:rPr>
      </w:pPr>
      <w:r>
        <w:rPr>
          <w:rFonts w:hint="eastAsia" w:ascii="宋体" w:hAnsi="宋体"/>
          <w:sz w:val="21"/>
        </w:rPr>
        <w:t>（2） 由投标人或其推选的代表检查投标文件的密封情况；</w:t>
      </w:r>
    </w:p>
    <w:p>
      <w:pPr>
        <w:widowControl w:val="0"/>
        <w:spacing w:line="360" w:lineRule="auto"/>
        <w:ind w:left="1400" w:hanging="600"/>
        <w:jc w:val="both"/>
        <w:rPr>
          <w:rFonts w:ascii="宋体" w:hAnsi="宋体"/>
          <w:sz w:val="21"/>
        </w:rPr>
      </w:pPr>
      <w:r>
        <w:rPr>
          <w:rFonts w:hint="eastAsia" w:ascii="宋体" w:hAnsi="宋体"/>
          <w:sz w:val="21"/>
        </w:rPr>
        <w:t>（3） 经确认无误后，由有关工作人员当众拆封投标函，宣读投标人名称、投标价格、工期、质量标准和投标保证金及招标人认为必要的其他内容。</w:t>
      </w:r>
    </w:p>
    <w:p>
      <w:pPr>
        <w:widowControl w:val="0"/>
        <w:numPr>
          <w:ilvl w:val="1"/>
          <w:numId w:val="35"/>
        </w:numPr>
        <w:tabs>
          <w:tab w:val="left" w:pos="800"/>
          <w:tab w:val="clear" w:pos="360"/>
        </w:tabs>
        <w:spacing w:line="360" w:lineRule="auto"/>
        <w:ind w:left="800" w:hanging="800"/>
        <w:jc w:val="both"/>
        <w:rPr>
          <w:rFonts w:ascii="宋体" w:hAnsi="宋体"/>
          <w:sz w:val="21"/>
        </w:rPr>
      </w:pPr>
      <w:r>
        <w:rPr>
          <w:rFonts w:hint="eastAsia" w:ascii="宋体" w:hAnsi="宋体"/>
          <w:sz w:val="21"/>
        </w:rPr>
        <w:t>招标人在招标文件要求提交投标文件的截止时间前收到的合格的投标文件，开标时都应当众予以拆封、宣读。</w:t>
      </w:r>
    </w:p>
    <w:p>
      <w:pPr>
        <w:widowControl w:val="0"/>
        <w:numPr>
          <w:ilvl w:val="1"/>
          <w:numId w:val="35"/>
        </w:numPr>
        <w:tabs>
          <w:tab w:val="left" w:pos="800"/>
          <w:tab w:val="clear" w:pos="360"/>
        </w:tabs>
        <w:spacing w:line="360" w:lineRule="auto"/>
        <w:ind w:left="800" w:hanging="800"/>
        <w:jc w:val="both"/>
        <w:rPr>
          <w:rFonts w:ascii="宋体" w:hAnsi="宋体"/>
          <w:sz w:val="21"/>
        </w:rPr>
      </w:pPr>
      <w:r>
        <w:rPr>
          <w:rFonts w:hint="eastAsia" w:ascii="宋体" w:hAnsi="宋体"/>
          <w:sz w:val="21"/>
        </w:rPr>
        <w:t>招标人对开标过程进行记录，投标人授权代表签字确认，并存档备查。</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31" w:name="_Toc26805621"/>
      <w:bookmarkStart w:id="232" w:name="_Toc26801031"/>
      <w:bookmarkStart w:id="233" w:name="_Toc26800648"/>
      <w:bookmarkStart w:id="234" w:name="_Toc429827560"/>
      <w:bookmarkStart w:id="235" w:name="_Toc276925273"/>
      <w:bookmarkStart w:id="236" w:name="_Toc26800914"/>
      <w:r>
        <w:rPr>
          <w:rFonts w:hint="eastAsia" w:ascii="宋体" w:hAnsi="宋体"/>
          <w:b w:val="0"/>
          <w:bCs/>
          <w:sz w:val="21"/>
        </w:rPr>
        <w:t>投标文件的有效性</w:t>
      </w:r>
      <w:bookmarkEnd w:id="231"/>
      <w:bookmarkEnd w:id="232"/>
      <w:bookmarkEnd w:id="233"/>
      <w:bookmarkEnd w:id="234"/>
      <w:bookmarkEnd w:id="235"/>
      <w:bookmarkEnd w:id="236"/>
    </w:p>
    <w:p>
      <w:pPr>
        <w:widowControl w:val="0"/>
        <w:numPr>
          <w:ilvl w:val="1"/>
          <w:numId w:val="36"/>
        </w:numPr>
        <w:tabs>
          <w:tab w:val="left" w:pos="800"/>
          <w:tab w:val="clear" w:pos="630"/>
        </w:tabs>
        <w:spacing w:line="360" w:lineRule="auto"/>
        <w:ind w:left="800" w:hanging="800"/>
        <w:jc w:val="both"/>
        <w:rPr>
          <w:rFonts w:ascii="宋体" w:hAnsi="宋体"/>
          <w:sz w:val="21"/>
        </w:rPr>
      </w:pPr>
      <w:r>
        <w:rPr>
          <w:rFonts w:hint="eastAsia" w:ascii="宋体" w:hAnsi="宋体"/>
          <w:sz w:val="21"/>
        </w:rPr>
        <w:t>开标时，投标文件出现下列情形之一的，应当作为无效投标文件，不得进入评标：</w:t>
      </w:r>
    </w:p>
    <w:p>
      <w:pPr>
        <w:widowControl w:val="0"/>
        <w:spacing w:line="360" w:lineRule="auto"/>
        <w:ind w:left="1400" w:hanging="600"/>
        <w:jc w:val="both"/>
        <w:rPr>
          <w:rFonts w:ascii="宋体" w:hAnsi="宋体"/>
          <w:sz w:val="21"/>
        </w:rPr>
      </w:pPr>
      <w:r>
        <w:rPr>
          <w:rFonts w:hint="eastAsia" w:ascii="宋体" w:hAnsi="宋体"/>
          <w:sz w:val="21"/>
        </w:rPr>
        <w:t>（1） 投标文件未按照本须知第19条的要求装订、密封和标记的；</w:t>
      </w:r>
    </w:p>
    <w:p>
      <w:pPr>
        <w:widowControl w:val="0"/>
        <w:spacing w:line="360" w:lineRule="auto"/>
        <w:ind w:left="1400" w:hanging="600"/>
        <w:jc w:val="both"/>
        <w:rPr>
          <w:rFonts w:ascii="宋体" w:hAnsi="宋体"/>
          <w:sz w:val="21"/>
        </w:rPr>
      </w:pPr>
      <w:r>
        <w:rPr>
          <w:rFonts w:hint="eastAsia" w:ascii="宋体" w:hAnsi="宋体"/>
          <w:sz w:val="21"/>
        </w:rPr>
        <w:t>（2）</w:t>
      </w:r>
      <w:r>
        <w:rPr>
          <w:rFonts w:ascii="宋体" w:hAnsi="宋体"/>
          <w:sz w:val="21"/>
        </w:rPr>
        <w:t xml:space="preserve"> </w:t>
      </w:r>
      <w:r>
        <w:rPr>
          <w:rFonts w:hint="eastAsia" w:ascii="宋体" w:hAnsi="宋体"/>
          <w:sz w:val="21"/>
        </w:rPr>
        <w:t>本须知第11条规定的投标文件有关内容未按本须知第18.3款规定加盖投标人公章或未经法定代表人或其委托代理人签字或盖章的，由委托代理人签字或盖章的，但未随投标文件一起提交有效的“授权委托书”原件的；</w:t>
      </w:r>
    </w:p>
    <w:p>
      <w:pPr>
        <w:widowControl w:val="0"/>
        <w:spacing w:line="360" w:lineRule="auto"/>
        <w:ind w:left="1400" w:hanging="600"/>
        <w:jc w:val="both"/>
        <w:rPr>
          <w:rFonts w:ascii="宋体" w:hAnsi="宋体"/>
          <w:sz w:val="21"/>
        </w:rPr>
      </w:pPr>
      <w:r>
        <w:rPr>
          <w:rFonts w:hint="eastAsia" w:ascii="宋体" w:hAnsi="宋体"/>
          <w:sz w:val="21"/>
        </w:rPr>
        <w:t>（3） 投标文件的关键内容字迹模糊、无法辨认的；</w:t>
      </w:r>
    </w:p>
    <w:p>
      <w:pPr>
        <w:widowControl w:val="0"/>
        <w:spacing w:line="360" w:lineRule="auto"/>
        <w:ind w:left="1400" w:hanging="600"/>
        <w:jc w:val="both"/>
        <w:rPr>
          <w:rFonts w:ascii="宋体" w:hAnsi="宋体"/>
          <w:sz w:val="21"/>
        </w:rPr>
      </w:pPr>
      <w:r>
        <w:rPr>
          <w:rFonts w:hint="eastAsia" w:ascii="宋体" w:hAnsi="宋体"/>
          <w:sz w:val="21"/>
        </w:rPr>
        <w:t>（4） 投标人未按照招标文件的要求提供投标保证金的；</w:t>
      </w:r>
    </w:p>
    <w:p>
      <w:pPr>
        <w:widowControl w:val="0"/>
        <w:spacing w:line="360" w:lineRule="auto"/>
        <w:ind w:left="1400" w:hanging="600"/>
        <w:jc w:val="both"/>
        <w:rPr>
          <w:rFonts w:ascii="宋体" w:hAnsi="宋体"/>
          <w:sz w:val="21"/>
        </w:rPr>
      </w:pPr>
      <w:r>
        <w:rPr>
          <w:rFonts w:hint="eastAsia" w:ascii="宋体" w:hAnsi="宋体"/>
          <w:sz w:val="21"/>
        </w:rPr>
        <w:t>（5） 投标文件逾期送达的；</w:t>
      </w:r>
    </w:p>
    <w:p>
      <w:pPr>
        <w:widowControl w:val="0"/>
        <w:numPr>
          <w:ilvl w:val="1"/>
          <w:numId w:val="36"/>
        </w:numPr>
        <w:tabs>
          <w:tab w:val="left" w:pos="800"/>
          <w:tab w:val="clear" w:pos="630"/>
        </w:tabs>
        <w:spacing w:line="360" w:lineRule="auto"/>
        <w:ind w:left="800" w:hanging="800"/>
        <w:jc w:val="both"/>
        <w:rPr>
          <w:rFonts w:ascii="宋体" w:hAnsi="宋体"/>
          <w:sz w:val="21"/>
        </w:rPr>
      </w:pPr>
      <w:r>
        <w:rPr>
          <w:rFonts w:hint="eastAsia" w:ascii="宋体" w:hAnsi="宋体"/>
          <w:sz w:val="21"/>
        </w:rPr>
        <w:t>招标人将有效投标文件送评标委员会进行评审、比较。</w:t>
      </w:r>
    </w:p>
    <w:p>
      <w:pPr>
        <w:pStyle w:val="6"/>
        <w:keepNext w:val="0"/>
        <w:keepLines w:val="0"/>
        <w:widowControl w:val="0"/>
        <w:numPr>
          <w:ilvl w:val="0"/>
          <w:numId w:val="0"/>
        </w:numPr>
        <w:spacing w:before="0" w:after="0" w:line="360" w:lineRule="auto"/>
        <w:rPr>
          <w:rFonts w:ascii="宋体" w:hAnsi="宋体"/>
          <w:bCs/>
          <w:sz w:val="21"/>
        </w:rPr>
      </w:pPr>
      <w:bookmarkStart w:id="237" w:name="_Toc26800649"/>
      <w:bookmarkStart w:id="238" w:name="_Toc26801032"/>
      <w:bookmarkStart w:id="239" w:name="_Toc13881_WPSOffice_Level3"/>
      <w:bookmarkStart w:id="240" w:name="_Toc429827561"/>
      <w:bookmarkStart w:id="241" w:name="_Toc26805622"/>
      <w:bookmarkStart w:id="242" w:name="_Toc276925274"/>
      <w:bookmarkStart w:id="243" w:name="_Toc26800915"/>
      <w:r>
        <w:rPr>
          <w:rFonts w:hint="eastAsia" w:ascii="宋体" w:hAnsi="宋体"/>
          <w:bCs/>
          <w:sz w:val="21"/>
        </w:rPr>
        <w:t xml:space="preserve">（六）评   </w:t>
      </w:r>
      <w:bookmarkStart w:id="244" w:name="_Hlt19957491"/>
      <w:bookmarkEnd w:id="244"/>
      <w:r>
        <w:rPr>
          <w:rFonts w:hint="eastAsia" w:ascii="宋体" w:hAnsi="宋体"/>
          <w:bCs/>
          <w:sz w:val="21"/>
        </w:rPr>
        <w:t xml:space="preserve"> 标</w:t>
      </w:r>
      <w:bookmarkEnd w:id="237"/>
      <w:bookmarkEnd w:id="238"/>
      <w:bookmarkEnd w:id="239"/>
      <w:bookmarkEnd w:id="240"/>
      <w:bookmarkEnd w:id="241"/>
      <w:bookmarkEnd w:id="242"/>
      <w:bookmarkEnd w:id="243"/>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45" w:name="_Toc276925275"/>
      <w:bookmarkStart w:id="246" w:name="_Toc26801033"/>
      <w:bookmarkStart w:id="247" w:name="_Toc429827562"/>
      <w:bookmarkStart w:id="248" w:name="_Toc26805623"/>
      <w:bookmarkStart w:id="249" w:name="_Toc26800650"/>
      <w:bookmarkStart w:id="250" w:name="_Toc26800916"/>
      <w:r>
        <w:rPr>
          <w:rFonts w:hint="eastAsia" w:ascii="宋体" w:hAnsi="宋体"/>
          <w:b w:val="0"/>
          <w:bCs/>
          <w:sz w:val="21"/>
        </w:rPr>
        <w:t>评标委员会与评标</w:t>
      </w:r>
      <w:bookmarkEnd w:id="245"/>
      <w:bookmarkEnd w:id="246"/>
      <w:bookmarkEnd w:id="247"/>
      <w:bookmarkEnd w:id="248"/>
      <w:bookmarkEnd w:id="249"/>
      <w:bookmarkEnd w:id="250"/>
    </w:p>
    <w:p>
      <w:pPr>
        <w:widowControl w:val="0"/>
        <w:numPr>
          <w:ilvl w:val="1"/>
          <w:numId w:val="37"/>
        </w:numPr>
        <w:tabs>
          <w:tab w:val="left" w:pos="800"/>
          <w:tab w:val="clear" w:pos="630"/>
        </w:tabs>
        <w:spacing w:line="360" w:lineRule="auto"/>
        <w:jc w:val="both"/>
        <w:rPr>
          <w:rFonts w:ascii="宋体" w:hAnsi="宋体"/>
          <w:sz w:val="21"/>
        </w:rPr>
      </w:pPr>
      <w:r>
        <w:rPr>
          <w:rFonts w:hint="eastAsia" w:ascii="宋体" w:hAnsi="宋体"/>
          <w:sz w:val="21"/>
        </w:rPr>
        <w:t>评标委员会由招标人依法组建，负责评标活动。</w:t>
      </w:r>
    </w:p>
    <w:p>
      <w:pPr>
        <w:widowControl w:val="0"/>
        <w:numPr>
          <w:ilvl w:val="1"/>
          <w:numId w:val="37"/>
        </w:numPr>
        <w:tabs>
          <w:tab w:val="left" w:pos="800"/>
          <w:tab w:val="clear" w:pos="630"/>
        </w:tabs>
        <w:spacing w:line="360" w:lineRule="auto"/>
        <w:jc w:val="both"/>
        <w:rPr>
          <w:rFonts w:ascii="宋体" w:hAnsi="宋体"/>
          <w:sz w:val="21"/>
        </w:rPr>
      </w:pPr>
      <w:r>
        <w:rPr>
          <w:rFonts w:hint="eastAsia" w:ascii="宋体" w:hAnsi="宋体"/>
          <w:sz w:val="21"/>
        </w:rPr>
        <w:t>开标结束后，开始评标，评标采用保密方式进行。</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51" w:name="_Toc26801034"/>
      <w:bookmarkStart w:id="252" w:name="_Toc26800917"/>
      <w:bookmarkStart w:id="253" w:name="_Toc26800651"/>
      <w:bookmarkStart w:id="254" w:name="_Toc26805624"/>
      <w:bookmarkStart w:id="255" w:name="_Toc429827563"/>
      <w:bookmarkStart w:id="256" w:name="_Toc276925276"/>
      <w:r>
        <w:rPr>
          <w:rFonts w:hint="eastAsia" w:ascii="宋体" w:hAnsi="宋体"/>
          <w:b w:val="0"/>
          <w:bCs/>
          <w:sz w:val="21"/>
        </w:rPr>
        <w:t>评标过程的保密</w:t>
      </w:r>
      <w:bookmarkEnd w:id="251"/>
      <w:bookmarkEnd w:id="252"/>
      <w:bookmarkEnd w:id="253"/>
      <w:bookmarkEnd w:id="254"/>
      <w:bookmarkEnd w:id="255"/>
      <w:bookmarkEnd w:id="256"/>
    </w:p>
    <w:p>
      <w:pPr>
        <w:widowControl w:val="0"/>
        <w:numPr>
          <w:ilvl w:val="1"/>
          <w:numId w:val="38"/>
        </w:numPr>
        <w:tabs>
          <w:tab w:val="left" w:pos="800"/>
          <w:tab w:val="clear" w:pos="360"/>
        </w:tabs>
        <w:spacing w:line="360" w:lineRule="auto"/>
        <w:ind w:left="800" w:hanging="800"/>
        <w:jc w:val="both"/>
        <w:rPr>
          <w:rFonts w:ascii="宋体" w:hAnsi="宋体"/>
          <w:sz w:val="21"/>
        </w:rPr>
      </w:pPr>
      <w:r>
        <w:rPr>
          <w:rFonts w:hint="eastAsia" w:ascii="宋体" w:hAnsi="宋体"/>
          <w:sz w:val="21"/>
        </w:rPr>
        <w:t>开标后，直至确定中标人时为止，凡属于对投标文件的审查、澄清、评价和比较的有关资料以及中标候选人的推荐情况，与评标有关的其他任何情况均严格保密。</w:t>
      </w:r>
    </w:p>
    <w:p>
      <w:pPr>
        <w:widowControl w:val="0"/>
        <w:numPr>
          <w:ilvl w:val="1"/>
          <w:numId w:val="38"/>
        </w:numPr>
        <w:tabs>
          <w:tab w:val="left" w:pos="800"/>
          <w:tab w:val="clear" w:pos="360"/>
        </w:tabs>
        <w:spacing w:line="360" w:lineRule="auto"/>
        <w:ind w:left="800" w:hanging="800"/>
        <w:jc w:val="both"/>
        <w:rPr>
          <w:rFonts w:ascii="宋体" w:hAnsi="宋体"/>
          <w:sz w:val="21"/>
        </w:rPr>
      </w:pPr>
      <w:r>
        <w:rPr>
          <w:rFonts w:hint="eastAsia" w:ascii="宋体" w:hAnsi="宋体"/>
          <w:sz w:val="21"/>
        </w:rPr>
        <w:t>在投标文件的评审和比较、中标候选人推荐以及授予合同的过程中，投标人向招标人和评标委员会施加影响的任何行为，都将会导致其投标被拒绝。</w:t>
      </w:r>
    </w:p>
    <w:p>
      <w:pPr>
        <w:widowControl w:val="0"/>
        <w:numPr>
          <w:ilvl w:val="1"/>
          <w:numId w:val="38"/>
        </w:numPr>
        <w:tabs>
          <w:tab w:val="left" w:pos="800"/>
          <w:tab w:val="clear" w:pos="360"/>
        </w:tabs>
        <w:spacing w:line="360" w:lineRule="auto"/>
        <w:ind w:left="800" w:hanging="800"/>
        <w:jc w:val="both"/>
        <w:rPr>
          <w:rFonts w:ascii="宋体" w:hAnsi="宋体"/>
          <w:sz w:val="21"/>
        </w:rPr>
      </w:pPr>
      <w:r>
        <w:rPr>
          <w:rFonts w:hint="eastAsia" w:ascii="宋体" w:hAnsi="宋体"/>
          <w:sz w:val="21"/>
        </w:rPr>
        <w:t>中标人确定后，招标人不对未中标人就评标过程以及未能中标原因作出任何解释。未中标人不得向评标委员会组成人员或其他有关人员索问评标过程的情况和材料。</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Cs/>
          <w:sz w:val="21"/>
        </w:rPr>
      </w:pPr>
      <w:bookmarkStart w:id="257" w:name="_Toc26801035"/>
      <w:bookmarkStart w:id="258" w:name="_Toc429827564"/>
      <w:bookmarkStart w:id="259" w:name="_Toc26800652"/>
      <w:bookmarkStart w:id="260" w:name="_Toc276925277"/>
      <w:bookmarkStart w:id="261" w:name="_Toc26805625"/>
      <w:bookmarkStart w:id="262" w:name="_Toc26800918"/>
      <w:r>
        <w:rPr>
          <w:rFonts w:hint="eastAsia" w:ascii="宋体" w:hAnsi="宋体"/>
          <w:b w:val="0"/>
          <w:bCs/>
          <w:sz w:val="21"/>
        </w:rPr>
        <w:t>资格后审</w:t>
      </w:r>
      <w:bookmarkEnd w:id="257"/>
      <w:bookmarkEnd w:id="258"/>
      <w:bookmarkEnd w:id="259"/>
      <w:bookmarkEnd w:id="260"/>
      <w:bookmarkEnd w:id="261"/>
      <w:bookmarkEnd w:id="262"/>
    </w:p>
    <w:p>
      <w:pPr>
        <w:widowControl w:val="0"/>
        <w:numPr>
          <w:ilvl w:val="1"/>
          <w:numId w:val="39"/>
        </w:numPr>
        <w:tabs>
          <w:tab w:val="left" w:pos="800"/>
          <w:tab w:val="clear" w:pos="360"/>
        </w:tabs>
        <w:spacing w:line="360" w:lineRule="auto"/>
        <w:ind w:left="800" w:hanging="800"/>
        <w:jc w:val="both"/>
        <w:rPr>
          <w:rFonts w:ascii="宋体" w:hAnsi="宋体"/>
          <w:sz w:val="21"/>
        </w:rPr>
      </w:pPr>
      <w:r>
        <w:rPr>
          <w:rFonts w:hint="eastAsia" w:ascii="宋体" w:hAnsi="宋体"/>
          <w:sz w:val="21"/>
        </w:rPr>
        <w:t>评标委员会将按照招标公告第3条“投标人资格要求”对送交评标委员会审查的所有投标文件进行资格后审。</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63" w:name="_Toc26805626"/>
      <w:bookmarkStart w:id="264" w:name="_Toc26800919"/>
      <w:bookmarkStart w:id="265" w:name="_Toc276925278"/>
      <w:bookmarkStart w:id="266" w:name="_Toc26800653"/>
      <w:bookmarkStart w:id="267" w:name="_Toc429827565"/>
      <w:bookmarkStart w:id="268" w:name="_Toc26801036"/>
      <w:r>
        <w:rPr>
          <w:rFonts w:hint="eastAsia" w:ascii="宋体" w:hAnsi="宋体"/>
          <w:b w:val="0"/>
          <w:bCs/>
          <w:sz w:val="21"/>
        </w:rPr>
        <w:t>投标文件的澄清</w:t>
      </w:r>
      <w:bookmarkEnd w:id="263"/>
      <w:bookmarkEnd w:id="264"/>
      <w:bookmarkEnd w:id="265"/>
      <w:bookmarkEnd w:id="266"/>
      <w:bookmarkEnd w:id="267"/>
      <w:bookmarkEnd w:id="268"/>
    </w:p>
    <w:p>
      <w:pPr>
        <w:widowControl w:val="0"/>
        <w:numPr>
          <w:ilvl w:val="1"/>
          <w:numId w:val="40"/>
        </w:numPr>
        <w:tabs>
          <w:tab w:val="left" w:pos="800"/>
          <w:tab w:val="clear" w:pos="360"/>
        </w:tabs>
        <w:spacing w:line="360" w:lineRule="auto"/>
        <w:ind w:left="800" w:hanging="800"/>
        <w:jc w:val="both"/>
        <w:rPr>
          <w:rFonts w:ascii="宋体" w:hAnsi="宋体"/>
          <w:sz w:val="21"/>
        </w:rPr>
      </w:pPr>
      <w:r>
        <w:rPr>
          <w:rFonts w:hint="eastAsia" w:ascii="宋体" w:hAnsi="宋体"/>
          <w:sz w:val="21"/>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32条规定，凡属于评标委员会在评标中发现的计算错误进行核实的修改不在此列。</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69" w:name="_Toc276925279"/>
      <w:bookmarkStart w:id="270" w:name="_Toc26801037"/>
      <w:bookmarkStart w:id="271" w:name="_Toc26800654"/>
      <w:bookmarkStart w:id="272" w:name="_Toc429827566"/>
      <w:bookmarkStart w:id="273" w:name="_Toc26800920"/>
      <w:bookmarkStart w:id="274" w:name="_Toc26805627"/>
      <w:r>
        <w:rPr>
          <w:rFonts w:hint="eastAsia" w:ascii="宋体" w:hAnsi="宋体"/>
          <w:b w:val="0"/>
          <w:bCs/>
          <w:sz w:val="21"/>
        </w:rPr>
        <w:t>投标文件的初步评审</w:t>
      </w:r>
      <w:bookmarkEnd w:id="269"/>
      <w:bookmarkEnd w:id="270"/>
      <w:bookmarkEnd w:id="271"/>
      <w:bookmarkEnd w:id="272"/>
      <w:bookmarkEnd w:id="273"/>
      <w:bookmarkEnd w:id="274"/>
    </w:p>
    <w:p>
      <w:pPr>
        <w:widowControl w:val="0"/>
        <w:numPr>
          <w:ilvl w:val="1"/>
          <w:numId w:val="41"/>
        </w:numPr>
        <w:tabs>
          <w:tab w:val="left" w:pos="800"/>
          <w:tab w:val="clear" w:pos="360"/>
        </w:tabs>
        <w:spacing w:line="360" w:lineRule="auto"/>
        <w:ind w:left="800" w:hanging="800"/>
        <w:jc w:val="both"/>
        <w:rPr>
          <w:rFonts w:ascii="宋体" w:hAnsi="宋体"/>
          <w:sz w:val="21"/>
        </w:rPr>
      </w:pPr>
      <w:r>
        <w:rPr>
          <w:rFonts w:hint="eastAsia" w:ascii="宋体" w:hAnsi="宋体"/>
          <w:sz w:val="21"/>
        </w:rPr>
        <w:t>开标后，经招标人审查符合本須知第26条有关规定的投标文件，才能提交评标委员会进行评审。</w:t>
      </w:r>
    </w:p>
    <w:p>
      <w:pPr>
        <w:widowControl w:val="0"/>
        <w:numPr>
          <w:ilvl w:val="1"/>
          <w:numId w:val="41"/>
        </w:numPr>
        <w:tabs>
          <w:tab w:val="left" w:pos="800"/>
          <w:tab w:val="clear" w:pos="360"/>
        </w:tabs>
        <w:spacing w:line="360" w:lineRule="auto"/>
        <w:ind w:left="800" w:hanging="800"/>
        <w:jc w:val="both"/>
        <w:rPr>
          <w:rFonts w:ascii="宋体" w:hAnsi="宋体"/>
          <w:sz w:val="21"/>
        </w:rPr>
      </w:pPr>
      <w:r>
        <w:rPr>
          <w:rFonts w:hint="eastAsia" w:ascii="宋体" w:hAnsi="宋体"/>
          <w:sz w:val="21"/>
        </w:rPr>
        <w:t>评标时，评标委员会将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widowControl w:val="0"/>
        <w:numPr>
          <w:ilvl w:val="1"/>
          <w:numId w:val="41"/>
        </w:numPr>
        <w:tabs>
          <w:tab w:val="left" w:pos="800"/>
          <w:tab w:val="clear" w:pos="360"/>
        </w:tabs>
        <w:spacing w:line="360" w:lineRule="auto"/>
        <w:ind w:left="800" w:hanging="800"/>
        <w:jc w:val="both"/>
        <w:rPr>
          <w:rFonts w:ascii="宋体" w:hAnsi="宋体"/>
          <w:sz w:val="21"/>
        </w:rPr>
      </w:pPr>
      <w:r>
        <w:rPr>
          <w:rFonts w:hint="eastAsia" w:ascii="宋体" w:hAnsi="宋体"/>
          <w:sz w:val="21"/>
        </w:rPr>
        <w:t>如果投标文件实质上不响应招标文件的各项要求，评标委员会将予以拒绝，并且不允许投标人通过修改或撤销其不符合要求的差异或保留，使之成为具有响应性的投标。</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75" w:name="_Hlt20144252"/>
      <w:bookmarkEnd w:id="275"/>
      <w:bookmarkStart w:id="276" w:name="_Toc429827567"/>
      <w:bookmarkStart w:id="277" w:name="_Toc276925280"/>
      <w:r>
        <w:rPr>
          <w:rFonts w:hint="eastAsia" w:ascii="宋体" w:hAnsi="宋体"/>
          <w:b w:val="0"/>
          <w:bCs/>
          <w:sz w:val="21"/>
        </w:rPr>
        <w:t>价格评审原则</w:t>
      </w:r>
      <w:bookmarkEnd w:id="276"/>
      <w:bookmarkEnd w:id="277"/>
    </w:p>
    <w:p>
      <w:pPr>
        <w:widowControl w:val="0"/>
        <w:numPr>
          <w:ilvl w:val="1"/>
          <w:numId w:val="42"/>
        </w:numPr>
        <w:tabs>
          <w:tab w:val="left" w:pos="800"/>
          <w:tab w:val="clear" w:pos="360"/>
        </w:tabs>
        <w:spacing w:line="360" w:lineRule="auto"/>
        <w:ind w:left="800" w:hanging="800"/>
        <w:jc w:val="both"/>
        <w:rPr>
          <w:rFonts w:ascii="宋体" w:hAnsi="宋体"/>
          <w:sz w:val="21"/>
        </w:rPr>
      </w:pPr>
      <w:r>
        <w:rPr>
          <w:rFonts w:hint="eastAsia" w:ascii="宋体" w:hAnsi="宋体"/>
          <w:sz w:val="21"/>
        </w:rPr>
        <w:t>评标委员会将对确定为实质上响应招标文件要求的投标文件进行校核，原则如下：</w:t>
      </w:r>
    </w:p>
    <w:p>
      <w:pPr>
        <w:widowControl w:val="0"/>
        <w:spacing w:line="360" w:lineRule="auto"/>
        <w:ind w:left="1300" w:hanging="500"/>
        <w:jc w:val="both"/>
        <w:rPr>
          <w:rFonts w:ascii="宋体" w:hAnsi="宋体"/>
          <w:sz w:val="21"/>
        </w:rPr>
      </w:pPr>
      <w:r>
        <w:rPr>
          <w:rFonts w:hint="eastAsia" w:ascii="宋体" w:hAnsi="宋体"/>
          <w:sz w:val="21"/>
        </w:rPr>
        <w:t>（1）如果数字表示的金额和用文字表示的金额不一致时，应以文字表示的金额为准；</w:t>
      </w:r>
    </w:p>
    <w:p>
      <w:pPr>
        <w:widowControl w:val="0"/>
        <w:spacing w:line="360" w:lineRule="auto"/>
        <w:ind w:left="1300" w:hanging="500"/>
        <w:jc w:val="both"/>
        <w:rPr>
          <w:rFonts w:ascii="宋体" w:hAnsi="宋体"/>
          <w:sz w:val="21"/>
        </w:rPr>
      </w:pPr>
      <w:r>
        <w:rPr>
          <w:rFonts w:hint="eastAsia" w:ascii="宋体" w:hAnsi="宋体"/>
          <w:sz w:val="21"/>
        </w:rPr>
        <w:t>（2）当单价与数量的乘积与合价不一致时，以单价为准，除非评标委员会认为单价有明显的小数点错误，此时应以标出的合价为准，并修改单价。</w:t>
      </w:r>
    </w:p>
    <w:p>
      <w:pPr>
        <w:widowControl w:val="0"/>
        <w:spacing w:line="360" w:lineRule="auto"/>
        <w:ind w:left="1300" w:hanging="500"/>
        <w:jc w:val="both"/>
        <w:rPr>
          <w:rFonts w:ascii="宋体" w:hAnsi="宋体"/>
          <w:sz w:val="21"/>
        </w:rPr>
      </w:pPr>
      <w:r>
        <w:rPr>
          <w:rFonts w:hint="eastAsia" w:ascii="宋体" w:hAnsi="宋体"/>
          <w:sz w:val="21"/>
        </w:rPr>
        <w:t>（3）分部分项工程量清单计价表中如有相同项目，其报价必须保持一致，否则评标委员会有权认定以较低价为准，调整投标人的投标报价。</w:t>
      </w:r>
    </w:p>
    <w:p>
      <w:pPr>
        <w:widowControl w:val="0"/>
        <w:numPr>
          <w:ilvl w:val="1"/>
          <w:numId w:val="42"/>
        </w:numPr>
        <w:tabs>
          <w:tab w:val="left" w:pos="800"/>
          <w:tab w:val="clear" w:pos="360"/>
        </w:tabs>
        <w:spacing w:line="360" w:lineRule="auto"/>
        <w:ind w:left="800" w:hanging="800"/>
        <w:jc w:val="both"/>
        <w:rPr>
          <w:rFonts w:ascii="宋体" w:hAnsi="宋体"/>
          <w:sz w:val="21"/>
        </w:rPr>
      </w:pPr>
      <w:r>
        <w:rPr>
          <w:rFonts w:hint="eastAsia" w:ascii="宋体" w:hAnsi="宋体"/>
          <w:sz w:val="21"/>
        </w:rPr>
        <w:t>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78" w:name="_Hlt20219929"/>
      <w:bookmarkEnd w:id="278"/>
      <w:bookmarkStart w:id="279" w:name="_Toc26805629"/>
      <w:bookmarkStart w:id="280" w:name="_Toc429827568"/>
      <w:bookmarkStart w:id="281" w:name="_Toc26800656"/>
      <w:bookmarkStart w:id="282" w:name="_Toc26801039"/>
      <w:bookmarkStart w:id="283" w:name="_Toc26800922"/>
      <w:bookmarkStart w:id="284" w:name="_Toc276925281"/>
      <w:r>
        <w:rPr>
          <w:rFonts w:hint="eastAsia" w:ascii="宋体" w:hAnsi="宋体"/>
          <w:b w:val="0"/>
          <w:bCs/>
          <w:sz w:val="21"/>
        </w:rPr>
        <w:t>投标文件的评审、比较和否决</w:t>
      </w:r>
      <w:bookmarkEnd w:id="279"/>
      <w:bookmarkEnd w:id="280"/>
      <w:bookmarkEnd w:id="281"/>
      <w:bookmarkEnd w:id="282"/>
      <w:bookmarkEnd w:id="283"/>
      <w:bookmarkEnd w:id="284"/>
    </w:p>
    <w:p>
      <w:pPr>
        <w:widowControl w:val="0"/>
        <w:numPr>
          <w:ilvl w:val="1"/>
          <w:numId w:val="43"/>
        </w:numPr>
        <w:tabs>
          <w:tab w:val="left" w:pos="800"/>
          <w:tab w:val="clear" w:pos="360"/>
        </w:tabs>
        <w:spacing w:line="360" w:lineRule="auto"/>
        <w:ind w:left="800" w:hanging="800"/>
        <w:jc w:val="both"/>
        <w:rPr>
          <w:rFonts w:ascii="宋体" w:hAnsi="宋体"/>
          <w:sz w:val="21"/>
        </w:rPr>
      </w:pPr>
      <w:r>
        <w:rPr>
          <w:rFonts w:hint="eastAsia" w:ascii="宋体" w:hAnsi="宋体"/>
          <w:sz w:val="21"/>
        </w:rPr>
        <w:t>评标委员会将按照本须知第31条规定，仅对在实质上响应招标文件要求的投标文件进行评估和比较。</w:t>
      </w:r>
    </w:p>
    <w:p>
      <w:pPr>
        <w:widowControl w:val="0"/>
        <w:numPr>
          <w:ilvl w:val="1"/>
          <w:numId w:val="43"/>
        </w:numPr>
        <w:tabs>
          <w:tab w:val="left" w:pos="800"/>
          <w:tab w:val="clear" w:pos="360"/>
        </w:tabs>
        <w:spacing w:line="360" w:lineRule="auto"/>
        <w:ind w:left="800" w:hanging="800"/>
        <w:jc w:val="both"/>
        <w:rPr>
          <w:rFonts w:ascii="宋体" w:hAnsi="宋体"/>
          <w:sz w:val="21"/>
        </w:rPr>
      </w:pPr>
      <w:r>
        <w:rPr>
          <w:rFonts w:hint="eastAsia" w:ascii="宋体" w:hAnsi="宋体"/>
          <w:sz w:val="21"/>
        </w:rPr>
        <w:t>在评审过程中,评标委员会可以书面形式要求投标人就投标文件中含义不明确的内容进行书面说明并提供相关材料。</w:t>
      </w:r>
    </w:p>
    <w:p>
      <w:pPr>
        <w:widowControl w:val="0"/>
        <w:numPr>
          <w:ilvl w:val="1"/>
          <w:numId w:val="43"/>
        </w:numPr>
        <w:tabs>
          <w:tab w:val="left" w:pos="800"/>
          <w:tab w:val="clear" w:pos="360"/>
        </w:tabs>
        <w:spacing w:line="360" w:lineRule="auto"/>
        <w:ind w:left="800" w:hanging="800"/>
        <w:jc w:val="both"/>
        <w:rPr>
          <w:rFonts w:ascii="宋体" w:hAnsi="宋体"/>
          <w:sz w:val="21"/>
        </w:rPr>
      </w:pPr>
      <w:r>
        <w:rPr>
          <w:rFonts w:hint="eastAsia" w:ascii="宋体" w:hAnsi="宋体"/>
          <w:sz w:val="21"/>
        </w:rPr>
        <w:t>评标委员会依据本须知前附表第20项规定的评标标准和方法，对投标文件进行评审和比较，向招标人提出书面评标报告，并推荐三名合格的中标候选人。招标人根据评标委员会提出的书面评标报告和推荐的中标候选人确定中标人。</w:t>
      </w:r>
    </w:p>
    <w:p>
      <w:pPr>
        <w:widowControl w:val="0"/>
        <w:numPr>
          <w:ilvl w:val="1"/>
          <w:numId w:val="43"/>
        </w:numPr>
        <w:tabs>
          <w:tab w:val="left" w:pos="800"/>
          <w:tab w:val="clear" w:pos="360"/>
        </w:tabs>
        <w:spacing w:line="360" w:lineRule="auto"/>
        <w:ind w:left="800" w:hanging="800"/>
        <w:jc w:val="both"/>
        <w:rPr>
          <w:rFonts w:ascii="宋体" w:hAnsi="宋体"/>
          <w:sz w:val="21"/>
        </w:rPr>
      </w:pPr>
      <w:r>
        <w:rPr>
          <w:rFonts w:hint="eastAsia" w:ascii="宋体" w:hAnsi="宋体"/>
          <w:sz w:val="21"/>
        </w:rPr>
        <w:t>评标方法和标准</w:t>
      </w:r>
    </w:p>
    <w:p>
      <w:pPr>
        <w:widowControl w:val="0"/>
        <w:spacing w:line="360" w:lineRule="auto"/>
        <w:ind w:left="1100" w:hanging="300"/>
        <w:jc w:val="both"/>
        <w:rPr>
          <w:rFonts w:ascii="宋体" w:hAnsi="宋体"/>
          <w:sz w:val="21"/>
        </w:rPr>
      </w:pPr>
      <w:r>
        <w:rPr>
          <w:rFonts w:hint="eastAsia" w:ascii="宋体" w:hAnsi="宋体"/>
          <w:sz w:val="21"/>
        </w:rPr>
        <w:t>（1）综合评分法：即最大限度地满足招标文件中规定的各项综合评价标准，进行百分制打分，评出中标候选人；</w:t>
      </w:r>
    </w:p>
    <w:p>
      <w:pPr>
        <w:widowControl w:val="0"/>
        <w:spacing w:line="360" w:lineRule="auto"/>
        <w:ind w:left="999" w:hanging="300"/>
        <w:jc w:val="both"/>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2）具体的评分分值为：</w:t>
      </w:r>
    </w:p>
    <w:p>
      <w:pPr>
        <w:widowControl w:val="0"/>
        <w:adjustRightInd w:val="0"/>
        <w:spacing w:line="360" w:lineRule="auto"/>
        <w:ind w:left="1400" w:hanging="30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A、商务部分：20%；</w:t>
      </w:r>
    </w:p>
    <w:p>
      <w:pPr>
        <w:widowControl w:val="0"/>
        <w:adjustRightInd w:val="0"/>
        <w:spacing w:line="360" w:lineRule="auto"/>
        <w:ind w:left="1400" w:hanging="30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B、技术部分：</w:t>
      </w:r>
      <w:r>
        <w:rPr>
          <w:rFonts w:hint="eastAsia" w:ascii="宋体" w:hAnsi="宋体"/>
          <w:color w:val="000000" w:themeColor="text1"/>
          <w:sz w:val="21"/>
          <w14:textFill>
            <w14:solidFill>
              <w14:schemeClr w14:val="tx1"/>
            </w14:solidFill>
          </w14:textFill>
        </w:rPr>
        <w:t>20</w:t>
      </w:r>
      <w:r>
        <w:rPr>
          <w:rFonts w:ascii="宋体" w:hAnsi="宋体"/>
          <w:color w:val="000000" w:themeColor="text1"/>
          <w:sz w:val="21"/>
          <w14:textFill>
            <w14:solidFill>
              <w14:schemeClr w14:val="tx1"/>
            </w14:solidFill>
          </w14:textFill>
        </w:rPr>
        <w:t>%；</w:t>
      </w:r>
    </w:p>
    <w:p>
      <w:pPr>
        <w:widowControl w:val="0"/>
        <w:adjustRightInd w:val="0"/>
        <w:spacing w:line="360" w:lineRule="auto"/>
        <w:ind w:left="1400" w:hanging="30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C、投标报价：6</w:t>
      </w:r>
      <w:r>
        <w:rPr>
          <w:rFonts w:hint="eastAsia" w:ascii="宋体" w:hAnsi="宋体"/>
          <w:color w:val="000000" w:themeColor="text1"/>
          <w:sz w:val="21"/>
          <w14:textFill>
            <w14:solidFill>
              <w14:schemeClr w14:val="tx1"/>
            </w14:solidFill>
          </w14:textFill>
        </w:rPr>
        <w:t>0</w:t>
      </w:r>
      <w:r>
        <w:rPr>
          <w:rFonts w:ascii="宋体" w:hAnsi="宋体"/>
          <w:color w:val="000000" w:themeColor="text1"/>
          <w:sz w:val="21"/>
          <w14:textFill>
            <w14:solidFill>
              <w14:schemeClr w14:val="tx1"/>
            </w14:solidFill>
          </w14:textFill>
        </w:rPr>
        <w:t>%。</w:t>
      </w:r>
    </w:p>
    <w:p>
      <w:pPr>
        <w:widowControl w:val="0"/>
        <w:spacing w:line="360" w:lineRule="auto"/>
        <w:ind w:left="999" w:hanging="300"/>
        <w:jc w:val="both"/>
        <w:rPr>
          <w:rFonts w:ascii="宋体" w:hAnsi="宋体"/>
          <w:sz w:val="21"/>
        </w:rPr>
      </w:pPr>
      <w:r>
        <w:rPr>
          <w:rFonts w:hint="eastAsia" w:ascii="宋体" w:hAnsi="宋体"/>
          <w:sz w:val="21"/>
        </w:rPr>
        <w:t>（3）具体评分细则详见招标文件“评标办法”部分。</w:t>
      </w:r>
    </w:p>
    <w:p>
      <w:pPr>
        <w:widowControl w:val="0"/>
        <w:numPr>
          <w:ilvl w:val="1"/>
          <w:numId w:val="43"/>
        </w:numPr>
        <w:tabs>
          <w:tab w:val="left" w:pos="800"/>
          <w:tab w:val="clear" w:pos="360"/>
        </w:tabs>
        <w:spacing w:line="360" w:lineRule="auto"/>
        <w:ind w:left="800" w:hanging="800"/>
        <w:jc w:val="both"/>
        <w:rPr>
          <w:rFonts w:ascii="宋体" w:hAnsi="宋体"/>
          <w:sz w:val="21"/>
        </w:rPr>
      </w:pPr>
      <w:r>
        <w:rPr>
          <w:rFonts w:hint="eastAsia" w:ascii="宋体" w:hAnsi="宋体"/>
          <w:sz w:val="21"/>
        </w:rPr>
        <w:t>评标委员会经评审，认为所有投标都不符合招标文件要求的，可以否决所有投标。</w:t>
      </w:r>
    </w:p>
    <w:p>
      <w:pPr>
        <w:pStyle w:val="6"/>
        <w:keepNext w:val="0"/>
        <w:keepLines w:val="0"/>
        <w:widowControl w:val="0"/>
        <w:numPr>
          <w:ilvl w:val="0"/>
          <w:numId w:val="0"/>
        </w:numPr>
        <w:spacing w:before="0" w:after="0" w:line="360" w:lineRule="auto"/>
        <w:rPr>
          <w:rFonts w:ascii="宋体" w:hAnsi="宋体"/>
          <w:bCs/>
          <w:sz w:val="21"/>
        </w:rPr>
      </w:pPr>
      <w:bookmarkStart w:id="285" w:name="_Toc276925282"/>
      <w:bookmarkStart w:id="286" w:name="_Toc26800657"/>
      <w:bookmarkStart w:id="287" w:name="_Toc22021_WPSOffice_Level3"/>
      <w:bookmarkStart w:id="288" w:name="_Toc26805630"/>
      <w:bookmarkStart w:id="289" w:name="_Toc26800923"/>
      <w:bookmarkStart w:id="290" w:name="_Toc429827569"/>
      <w:bookmarkStart w:id="291" w:name="_Toc26801040"/>
      <w:r>
        <w:rPr>
          <w:rFonts w:hint="eastAsia" w:ascii="宋体" w:hAnsi="宋体"/>
          <w:bCs/>
          <w:sz w:val="21"/>
        </w:rPr>
        <w:t>（七）合同的授予</w:t>
      </w:r>
      <w:bookmarkEnd w:id="285"/>
      <w:bookmarkEnd w:id="286"/>
      <w:bookmarkEnd w:id="287"/>
      <w:bookmarkEnd w:id="288"/>
      <w:bookmarkEnd w:id="289"/>
      <w:bookmarkEnd w:id="290"/>
      <w:bookmarkEnd w:id="291"/>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92" w:name="_Toc26800658"/>
      <w:bookmarkStart w:id="293" w:name="_Toc26805631"/>
      <w:bookmarkStart w:id="294" w:name="_Toc429827570"/>
      <w:bookmarkStart w:id="295" w:name="_Toc276925283"/>
      <w:bookmarkStart w:id="296" w:name="_Toc26801041"/>
      <w:bookmarkStart w:id="297" w:name="_Toc26800924"/>
      <w:r>
        <w:rPr>
          <w:rFonts w:hint="eastAsia" w:ascii="宋体" w:hAnsi="宋体"/>
          <w:b w:val="0"/>
          <w:bCs/>
          <w:sz w:val="21"/>
        </w:rPr>
        <w:t>合同授予标准</w:t>
      </w:r>
      <w:bookmarkEnd w:id="292"/>
      <w:bookmarkEnd w:id="293"/>
      <w:bookmarkEnd w:id="294"/>
      <w:bookmarkEnd w:id="295"/>
      <w:bookmarkEnd w:id="296"/>
      <w:bookmarkEnd w:id="297"/>
    </w:p>
    <w:p>
      <w:pPr>
        <w:widowControl w:val="0"/>
        <w:numPr>
          <w:ilvl w:val="1"/>
          <w:numId w:val="44"/>
        </w:numPr>
        <w:tabs>
          <w:tab w:val="left" w:pos="800"/>
          <w:tab w:val="clear" w:pos="630"/>
        </w:tabs>
        <w:spacing w:line="360" w:lineRule="auto"/>
        <w:ind w:left="800" w:hanging="800"/>
        <w:jc w:val="both"/>
        <w:rPr>
          <w:rFonts w:ascii="宋体" w:hAnsi="宋体"/>
          <w:sz w:val="21"/>
        </w:rPr>
      </w:pPr>
      <w:r>
        <w:rPr>
          <w:rFonts w:hint="eastAsia" w:ascii="宋体" w:hAnsi="宋体"/>
          <w:sz w:val="21"/>
        </w:rPr>
        <w:t>本招标工程的施工合同将授予按本须知第33.3款所确定的中标人。</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298" w:name="_Toc429827571"/>
      <w:bookmarkStart w:id="299" w:name="_Toc26800659"/>
      <w:bookmarkStart w:id="300" w:name="_Toc26800925"/>
      <w:bookmarkStart w:id="301" w:name="_Toc26805632"/>
      <w:bookmarkStart w:id="302" w:name="_Toc276925284"/>
      <w:bookmarkStart w:id="303" w:name="_Toc26801042"/>
      <w:r>
        <w:rPr>
          <w:rFonts w:hint="eastAsia" w:ascii="宋体" w:hAnsi="宋体"/>
          <w:b w:val="0"/>
          <w:bCs/>
          <w:sz w:val="21"/>
        </w:rPr>
        <w:t>招标人拒绝投标的权力</w:t>
      </w:r>
      <w:bookmarkEnd w:id="298"/>
      <w:bookmarkEnd w:id="299"/>
      <w:bookmarkEnd w:id="300"/>
      <w:bookmarkEnd w:id="301"/>
      <w:bookmarkEnd w:id="302"/>
      <w:bookmarkEnd w:id="303"/>
    </w:p>
    <w:p>
      <w:pPr>
        <w:widowControl w:val="0"/>
        <w:numPr>
          <w:ilvl w:val="1"/>
          <w:numId w:val="45"/>
        </w:numPr>
        <w:tabs>
          <w:tab w:val="left" w:pos="800"/>
          <w:tab w:val="clear" w:pos="360"/>
        </w:tabs>
        <w:spacing w:line="360" w:lineRule="auto"/>
        <w:ind w:left="800" w:hanging="800"/>
        <w:jc w:val="both"/>
        <w:rPr>
          <w:rFonts w:ascii="宋体" w:hAnsi="宋体"/>
          <w:sz w:val="21"/>
        </w:rPr>
      </w:pPr>
      <w:r>
        <w:rPr>
          <w:rFonts w:hint="eastAsia" w:ascii="宋体" w:hAnsi="宋体"/>
          <w:sz w:val="21"/>
        </w:rPr>
        <w:t>招标人不承诺将合同授予报价最低的投标人。招标人在发出中标通知书前，有权依据评标委员会的评标报告拒绝不合格的投标。</w:t>
      </w:r>
    </w:p>
    <w:p>
      <w:pPr>
        <w:widowControl w:val="0"/>
        <w:numPr>
          <w:ilvl w:val="1"/>
          <w:numId w:val="45"/>
        </w:numPr>
        <w:tabs>
          <w:tab w:val="left" w:pos="800"/>
          <w:tab w:val="clear" w:pos="360"/>
        </w:tabs>
        <w:spacing w:line="360" w:lineRule="auto"/>
        <w:ind w:left="800" w:hanging="800"/>
        <w:jc w:val="both"/>
        <w:rPr>
          <w:rFonts w:ascii="宋体" w:hAnsi="宋体"/>
          <w:sz w:val="21"/>
        </w:rPr>
      </w:pPr>
      <w:r>
        <w:rPr>
          <w:rFonts w:hint="eastAsia" w:ascii="宋体" w:hAnsi="宋体"/>
          <w:sz w:val="21"/>
        </w:rPr>
        <w:t>如果投标人在以往的工程中受到过有关主管行政部门的处罚、处理、通报等，在投标截止时间前仍有时效而隐瞒不报的，一经发现查实，招标人有权取消其投标、中标、签订合同、执行合同的权利并保留进一步追究其经济、法律责任的权利。</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304" w:name="_Toc26800926"/>
      <w:bookmarkStart w:id="305" w:name="_Toc26801043"/>
      <w:bookmarkStart w:id="306" w:name="_Toc26800660"/>
      <w:bookmarkStart w:id="307" w:name="_Toc26805633"/>
      <w:bookmarkStart w:id="308" w:name="_Toc276925285"/>
      <w:bookmarkStart w:id="309" w:name="_Toc429827572"/>
      <w:r>
        <w:rPr>
          <w:rFonts w:hint="eastAsia" w:ascii="宋体" w:hAnsi="宋体"/>
          <w:b w:val="0"/>
          <w:bCs/>
          <w:sz w:val="21"/>
        </w:rPr>
        <w:t>中标通知书</w:t>
      </w:r>
      <w:bookmarkEnd w:id="304"/>
      <w:bookmarkEnd w:id="305"/>
      <w:bookmarkEnd w:id="306"/>
      <w:bookmarkEnd w:id="307"/>
      <w:bookmarkEnd w:id="308"/>
      <w:bookmarkEnd w:id="309"/>
    </w:p>
    <w:p>
      <w:pPr>
        <w:pStyle w:val="27"/>
        <w:numPr>
          <w:ilvl w:val="1"/>
          <w:numId w:val="46"/>
        </w:numPr>
        <w:tabs>
          <w:tab w:val="left" w:pos="800"/>
          <w:tab w:val="clear" w:pos="360"/>
        </w:tabs>
        <w:spacing w:line="360" w:lineRule="auto"/>
        <w:ind w:left="800" w:hanging="800"/>
        <w:rPr>
          <w:rFonts w:hAnsi="宋体" w:eastAsia="宋体" w:cs="宋体"/>
          <w:kern w:val="0"/>
        </w:rPr>
      </w:pPr>
      <w:r>
        <w:rPr>
          <w:rFonts w:hint="eastAsia" w:hAnsi="宋体" w:eastAsia="宋体" w:cs="宋体"/>
        </w:rPr>
        <w:t>中标通知书是工程承包合同的组成部分。</w:t>
      </w:r>
    </w:p>
    <w:p>
      <w:pPr>
        <w:pStyle w:val="27"/>
        <w:numPr>
          <w:ilvl w:val="1"/>
          <w:numId w:val="46"/>
        </w:numPr>
        <w:tabs>
          <w:tab w:val="left" w:pos="800"/>
          <w:tab w:val="clear" w:pos="360"/>
        </w:tabs>
        <w:spacing w:line="360" w:lineRule="auto"/>
        <w:ind w:left="800" w:hanging="800"/>
        <w:rPr>
          <w:rFonts w:hAnsi="宋体" w:eastAsia="宋体" w:cs="宋体"/>
          <w:kern w:val="0"/>
        </w:rPr>
      </w:pPr>
      <w:r>
        <w:rPr>
          <w:rFonts w:hint="eastAsia" w:hAnsi="宋体" w:eastAsia="宋体" w:cs="宋体"/>
        </w:rPr>
        <w:t>招标人将在发出中标通知书的同时，将中标结果以书面形式通知所有未中标的投标人。</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310" w:name="_Toc26805634"/>
      <w:bookmarkStart w:id="311" w:name="_Toc429827573"/>
      <w:bookmarkStart w:id="312" w:name="_Toc26800661"/>
      <w:bookmarkStart w:id="313" w:name="_Toc26800927"/>
      <w:bookmarkStart w:id="314" w:name="_Toc26801044"/>
      <w:bookmarkStart w:id="315" w:name="_Toc276925286"/>
      <w:r>
        <w:rPr>
          <w:rFonts w:hint="eastAsia" w:ascii="宋体" w:hAnsi="宋体"/>
          <w:b w:val="0"/>
          <w:bCs/>
          <w:sz w:val="21"/>
        </w:rPr>
        <w:t>合同协议书的签订</w:t>
      </w:r>
      <w:bookmarkEnd w:id="310"/>
      <w:bookmarkEnd w:id="311"/>
      <w:bookmarkEnd w:id="312"/>
      <w:bookmarkEnd w:id="313"/>
      <w:bookmarkEnd w:id="314"/>
      <w:bookmarkEnd w:id="315"/>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招标人与中标人将于中标通知书发出之日起30日内，按照招标文件和中标人的投标文件订立书面工程施工合同，招标人和中标人不得再行订立背离合同实质性内容的其他协议。</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中标人如不按本投标须知第37.1款的规定与招标人订立合同，则招标人将废除授标，投标担保不予退还，给招标人造成的损失超过投标担保数额的，还应当对超过部分予以赔偿，同时依法承担相应法律责任。</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中标人应当按照合同约定履行义务，完成中标项目施工，不得将中标项目施工转让（转包）给他人。</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中标人须在合同协议书签订后15日内自行办理完成工程施工报建等备案手续并组织进场施工。</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合同签订及工程实施期间，如招标人提出约谈要求，中标人法人代表需无条件响应招标人的要求并前往项目所在地。</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必须在项目所在地开设银行专户，主动接受发包方监督，做到专款专用，严禁在工程完工前将工程款转到与本项目无关的单位，一经发现，发包人有权拒绝支付下笔进度款，直至中标人妥善解决此类问题，中标人不得以此拖延工期</w:t>
      </w:r>
    </w:p>
    <w:p>
      <w:pPr>
        <w:widowControl w:val="0"/>
        <w:numPr>
          <w:ilvl w:val="1"/>
          <w:numId w:val="47"/>
        </w:numPr>
        <w:tabs>
          <w:tab w:val="left" w:pos="800"/>
          <w:tab w:val="clear" w:pos="360"/>
        </w:tabs>
        <w:spacing w:line="360" w:lineRule="auto"/>
        <w:ind w:left="800" w:hanging="800"/>
        <w:jc w:val="both"/>
        <w:rPr>
          <w:rFonts w:ascii="宋体" w:hAnsi="宋体"/>
          <w:sz w:val="21"/>
        </w:rPr>
      </w:pPr>
      <w:r>
        <w:rPr>
          <w:rFonts w:hint="eastAsia" w:ascii="宋体" w:hAnsi="宋体"/>
          <w:sz w:val="21"/>
        </w:rPr>
        <w:t>中标人负责协调项目建设所在地相关部门关系，包括但不限于相关报建、测量、检测、验收等手续的办理、协调。</w:t>
      </w:r>
    </w:p>
    <w:p>
      <w:pPr>
        <w:pStyle w:val="6"/>
        <w:keepNext w:val="0"/>
        <w:keepLines w:val="0"/>
        <w:widowControl w:val="0"/>
        <w:numPr>
          <w:ilvl w:val="0"/>
          <w:numId w:val="8"/>
        </w:numPr>
        <w:tabs>
          <w:tab w:val="left" w:pos="800"/>
          <w:tab w:val="clear" w:pos="525"/>
          <w:tab w:val="clear" w:pos="720"/>
        </w:tabs>
        <w:spacing w:before="0" w:after="0" w:line="360" w:lineRule="auto"/>
        <w:jc w:val="both"/>
        <w:rPr>
          <w:rFonts w:ascii="宋体" w:hAnsi="宋体"/>
          <w:b w:val="0"/>
          <w:bCs/>
          <w:sz w:val="21"/>
        </w:rPr>
      </w:pPr>
      <w:bookmarkStart w:id="316" w:name="_Hlt27311876"/>
      <w:bookmarkEnd w:id="316"/>
      <w:bookmarkStart w:id="317" w:name="_Toc276925287"/>
      <w:bookmarkStart w:id="318" w:name="_Toc26800662"/>
      <w:bookmarkStart w:id="319" w:name="_Toc26801045"/>
      <w:bookmarkStart w:id="320" w:name="_Toc429827574"/>
      <w:bookmarkStart w:id="321" w:name="_Toc26800928"/>
      <w:bookmarkStart w:id="322" w:name="_Toc26805635"/>
      <w:r>
        <w:rPr>
          <w:rFonts w:hint="eastAsia" w:ascii="宋体" w:hAnsi="宋体"/>
          <w:b w:val="0"/>
          <w:bCs/>
          <w:sz w:val="21"/>
        </w:rPr>
        <w:t>履约担保</w:t>
      </w:r>
      <w:bookmarkEnd w:id="317"/>
      <w:bookmarkEnd w:id="318"/>
      <w:bookmarkEnd w:id="319"/>
      <w:bookmarkEnd w:id="320"/>
      <w:bookmarkEnd w:id="321"/>
      <w:bookmarkEnd w:id="322"/>
    </w:p>
    <w:p>
      <w:pPr>
        <w:widowControl w:val="0"/>
        <w:numPr>
          <w:ilvl w:val="1"/>
          <w:numId w:val="48"/>
        </w:numPr>
        <w:tabs>
          <w:tab w:val="left" w:pos="800"/>
          <w:tab w:val="clear" w:pos="360"/>
        </w:tabs>
        <w:spacing w:line="360" w:lineRule="auto"/>
        <w:ind w:left="800" w:hanging="800"/>
        <w:jc w:val="both"/>
        <w:rPr>
          <w:rFonts w:ascii="宋体" w:hAnsi="宋体"/>
          <w:sz w:val="21"/>
        </w:rPr>
      </w:pPr>
      <w:r>
        <w:rPr>
          <w:rFonts w:hint="eastAsia" w:ascii="宋体" w:hAnsi="宋体"/>
          <w:sz w:val="21"/>
        </w:rPr>
        <w:t>合同协议书签署的同时，中标人应按本须知前附表第21项规定的金额向招标人提交履约担保，履约担保须使用本招标文件第三章中提供的格式。</w:t>
      </w:r>
    </w:p>
    <w:p>
      <w:pPr>
        <w:widowControl w:val="0"/>
        <w:numPr>
          <w:ilvl w:val="1"/>
          <w:numId w:val="48"/>
        </w:numPr>
        <w:tabs>
          <w:tab w:val="left" w:pos="800"/>
          <w:tab w:val="clear" w:pos="360"/>
        </w:tabs>
        <w:spacing w:line="360" w:lineRule="auto"/>
        <w:ind w:left="800" w:hanging="800"/>
        <w:jc w:val="both"/>
        <w:rPr>
          <w:rFonts w:ascii="宋体" w:hAnsi="宋体"/>
          <w:sz w:val="21"/>
        </w:rPr>
      </w:pPr>
      <w:r>
        <w:rPr>
          <w:rFonts w:hint="eastAsia" w:ascii="宋体" w:hAnsi="宋体"/>
          <w:sz w:val="21"/>
        </w:rPr>
        <w:t>若中标人不能按本须知第</w:t>
      </w:r>
      <w:r>
        <w:rPr>
          <w:rFonts w:ascii="宋体" w:hAnsi="宋体"/>
          <w:sz w:val="21"/>
        </w:rPr>
        <w:t>3</w:t>
      </w:r>
      <w:r>
        <w:rPr>
          <w:rFonts w:hint="eastAsia" w:ascii="宋体" w:hAnsi="宋体"/>
          <w:sz w:val="21"/>
        </w:rPr>
        <w:t>8</w:t>
      </w:r>
      <w:r>
        <w:rPr>
          <w:rFonts w:ascii="宋体" w:hAnsi="宋体"/>
          <w:sz w:val="21"/>
        </w:rPr>
        <w:t>.1</w:t>
      </w:r>
      <w:r>
        <w:rPr>
          <w:rFonts w:hint="eastAsia" w:ascii="宋体" w:hAnsi="宋体"/>
          <w:sz w:val="21"/>
        </w:rPr>
        <w:t>款的规定执行，招标人将有充分的理由解除合同，并没收其投标保证金，给招标人造成的损失超过投标担保数额的，还应当对超过部分予以赔偿。</w:t>
      </w:r>
    </w:p>
    <w:p>
      <w:pPr>
        <w:spacing w:line="360" w:lineRule="auto"/>
        <w:ind w:left="100" w:leftChars="50" w:firstLine="420" w:firstLineChars="200"/>
        <w:jc w:val="both"/>
        <w:rPr>
          <w:rFonts w:ascii="宋体" w:hAnsi="宋体"/>
          <w:sz w:val="21"/>
        </w:rPr>
      </w:pPr>
      <w:r>
        <w:rPr>
          <w:rFonts w:ascii="宋体" w:hAnsi="宋体"/>
          <w:sz w:val="21"/>
        </w:rPr>
        <w:br w:type="page"/>
      </w: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69"/>
        <w:rPr>
          <w:rFonts w:hint="default"/>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323" w:name="_Hlt26801120"/>
      <w:bookmarkEnd w:id="323"/>
      <w:bookmarkStart w:id="324" w:name="_Toc26805638"/>
      <w:bookmarkStart w:id="325" w:name="_Toc26800931"/>
      <w:bookmarkStart w:id="326" w:name="_Toc276925289"/>
      <w:bookmarkStart w:id="327" w:name="_Toc26800813"/>
      <w:bookmarkStart w:id="328" w:name="_Toc26800665"/>
      <w:bookmarkStart w:id="329" w:name="_Toc26801048"/>
      <w:bookmarkStart w:id="330" w:name="_Toc429827576"/>
      <w:bookmarkStart w:id="331" w:name="_Toc16819_WPSOffice_Level1"/>
      <w:bookmarkStart w:id="332" w:name="_Toc777777"/>
      <w:bookmarkStart w:id="333" w:name="_Toc19591"/>
      <w:r>
        <w:rPr>
          <w:rFonts w:hint="eastAsia"/>
          <w:color w:val="auto"/>
        </w:rPr>
        <w:t>第三章  合同</w:t>
      </w:r>
      <w:bookmarkEnd w:id="324"/>
      <w:bookmarkEnd w:id="325"/>
      <w:bookmarkEnd w:id="326"/>
      <w:bookmarkEnd w:id="327"/>
      <w:bookmarkEnd w:id="328"/>
      <w:bookmarkEnd w:id="329"/>
      <w:bookmarkStart w:id="334" w:name="_Hlt19963541"/>
      <w:bookmarkEnd w:id="334"/>
      <w:r>
        <w:rPr>
          <w:rFonts w:hint="eastAsia"/>
          <w:color w:val="auto"/>
        </w:rPr>
        <w:t>格式</w:t>
      </w:r>
      <w:bookmarkEnd w:id="330"/>
      <w:bookmarkEnd w:id="331"/>
      <w:bookmarkEnd w:id="332"/>
      <w:bookmarkEnd w:id="333"/>
    </w:p>
    <w:p>
      <w:pPr>
        <w:spacing w:line="360" w:lineRule="auto"/>
        <w:ind w:firstLine="607"/>
        <w:jc w:val="center"/>
        <w:rPr>
          <w:rFonts w:ascii="宋体" w:hAnsi="宋体"/>
          <w:sz w:val="21"/>
        </w:rPr>
      </w:pPr>
      <w:r>
        <w:rPr>
          <w:rFonts w:hint="eastAsia" w:ascii="宋体" w:hAnsi="宋体"/>
          <w:sz w:val="21"/>
        </w:rPr>
        <w:t xml:space="preserve">                           </w:t>
      </w: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spacing w:line="360" w:lineRule="auto"/>
        <w:ind w:firstLine="607"/>
        <w:jc w:val="center"/>
        <w:rPr>
          <w:rFonts w:ascii="宋体" w:hAnsi="宋体"/>
          <w:sz w:val="21"/>
        </w:rPr>
      </w:pPr>
    </w:p>
    <w:p>
      <w:pPr>
        <w:rPr>
          <w:rFonts w:ascii="宋体" w:hAnsi="宋体"/>
          <w:sz w:val="21"/>
        </w:rPr>
      </w:pPr>
      <w:r>
        <w:rPr>
          <w:rFonts w:ascii="宋体" w:hAnsi="宋体"/>
          <w:sz w:val="21"/>
        </w:rPr>
        <w:br w:type="page"/>
      </w:r>
    </w:p>
    <w:p>
      <w:pPr>
        <w:pStyle w:val="2"/>
      </w:pPr>
    </w:p>
    <w:p>
      <w:pPr>
        <w:spacing w:line="360" w:lineRule="auto"/>
        <w:ind w:firstLine="607"/>
        <w:jc w:val="center"/>
        <w:rPr>
          <w:rFonts w:ascii="宋体" w:hAnsi="宋体"/>
          <w:sz w:val="21"/>
        </w:rPr>
      </w:pPr>
    </w:p>
    <w:p>
      <w:pPr>
        <w:jc w:val="center"/>
        <w:rPr>
          <w:rFonts w:ascii="宋体" w:hAnsi="宋体"/>
          <w:sz w:val="28"/>
          <w:szCs w:val="28"/>
        </w:rPr>
      </w:pPr>
      <w:r>
        <w:rPr>
          <w:rFonts w:hint="eastAsia" w:ascii="宋体" w:hAnsi="宋体"/>
          <w:sz w:val="24"/>
          <w:szCs w:val="24"/>
        </w:rPr>
        <w:t xml:space="preserve">                                            </w:t>
      </w:r>
      <w:r>
        <w:rPr>
          <w:rFonts w:hint="eastAsia" w:ascii="宋体" w:hAnsi="宋体"/>
          <w:sz w:val="28"/>
          <w:szCs w:val="28"/>
        </w:rPr>
        <w:t>合同编号：2023-SS-00</w:t>
      </w:r>
    </w:p>
    <w:p>
      <w:pPr>
        <w:jc w:val="center"/>
        <w:rPr>
          <w:rFonts w:ascii="宋体" w:hAnsi="宋体"/>
          <w:sz w:val="24"/>
          <w:szCs w:val="24"/>
        </w:rPr>
      </w:pPr>
    </w:p>
    <w:p>
      <w:pPr>
        <w:jc w:val="center"/>
        <w:rPr>
          <w:rFonts w:ascii="宋体" w:hAnsi="宋体"/>
          <w:sz w:val="24"/>
          <w:szCs w:val="24"/>
        </w:rPr>
      </w:pPr>
      <w:bookmarkStart w:id="335" w:name="_Hlt19963555"/>
      <w:bookmarkEnd w:id="335"/>
      <w:bookmarkStart w:id="336" w:name="_Toc26800775"/>
      <w:bookmarkStart w:id="337" w:name="_Toc26805668"/>
      <w:bookmarkStart w:id="338" w:name="_Toc26800964"/>
      <w:bookmarkStart w:id="339" w:name="_Toc26801081"/>
      <w:bookmarkStart w:id="340" w:name="_Toc777778"/>
      <w:bookmarkStart w:id="341" w:name="_Toc26800846"/>
      <w:bookmarkStart w:id="342" w:name="_Toc429827762"/>
      <w:bookmarkStart w:id="343" w:name="_Toc276925318"/>
    </w:p>
    <w:p>
      <w:pPr>
        <w:jc w:val="center"/>
        <w:rPr>
          <w:rFonts w:ascii="宋体" w:hAnsi="宋体"/>
          <w:sz w:val="24"/>
          <w:szCs w:val="24"/>
        </w:rPr>
      </w:pPr>
    </w:p>
    <w:p>
      <w:pPr>
        <w:jc w:val="center"/>
        <w:rPr>
          <w:rFonts w:ascii="宋体" w:hAnsi="宋体"/>
          <w:sz w:val="24"/>
          <w:szCs w:val="24"/>
        </w:rPr>
      </w:pPr>
    </w:p>
    <w:p>
      <w:pPr>
        <w:spacing w:line="360" w:lineRule="auto"/>
        <w:jc w:val="center"/>
        <w:rPr>
          <w:sz w:val="44"/>
          <w:szCs w:val="44"/>
        </w:rPr>
      </w:pPr>
      <w:r>
        <w:rPr>
          <w:rFonts w:hint="eastAsia"/>
          <w:sz w:val="44"/>
          <w:szCs w:val="44"/>
        </w:rPr>
        <w:t>特箱折叠箱设备基础工程</w:t>
      </w:r>
    </w:p>
    <w:p>
      <w:pPr>
        <w:spacing w:line="360" w:lineRule="auto"/>
        <w:jc w:val="center"/>
        <w:rPr>
          <w:sz w:val="44"/>
          <w:szCs w:val="44"/>
        </w:rPr>
      </w:pPr>
      <w:r>
        <w:rPr>
          <w:rFonts w:hint="eastAsia"/>
          <w:sz w:val="44"/>
          <w:szCs w:val="44"/>
        </w:rPr>
        <w:t>施工合同</w:t>
      </w:r>
    </w:p>
    <w:p>
      <w:pPr>
        <w:spacing w:line="460" w:lineRule="exact"/>
        <w:ind w:firstLine="1800" w:firstLineChars="500"/>
        <w:rPr>
          <w:sz w:val="36"/>
          <w:u w:val="single"/>
        </w:rPr>
      </w:pPr>
    </w:p>
    <w:p>
      <w:pPr>
        <w:spacing w:line="460" w:lineRule="exact"/>
        <w:rPr>
          <w:sz w:val="36"/>
          <w:u w:val="single"/>
        </w:rPr>
      </w:pPr>
    </w:p>
    <w:p>
      <w:pPr>
        <w:spacing w:line="460" w:lineRule="exact"/>
        <w:rPr>
          <w:sz w:val="36"/>
          <w:u w:val="single"/>
        </w:rPr>
      </w:pPr>
    </w:p>
    <w:p>
      <w:pPr>
        <w:spacing w:line="460" w:lineRule="exact"/>
        <w:rPr>
          <w:sz w:val="36"/>
          <w:u w:val="single"/>
        </w:rPr>
      </w:pPr>
    </w:p>
    <w:p>
      <w:pPr>
        <w:spacing w:line="460" w:lineRule="exact"/>
        <w:rPr>
          <w:sz w:val="36"/>
          <w:u w:val="single"/>
        </w:rPr>
      </w:pPr>
    </w:p>
    <w:p>
      <w:pPr>
        <w:spacing w:line="460" w:lineRule="exact"/>
        <w:rPr>
          <w:sz w:val="36"/>
          <w:u w:val="single"/>
        </w:rPr>
      </w:pPr>
    </w:p>
    <w:p>
      <w:pPr>
        <w:spacing w:line="460" w:lineRule="exact"/>
        <w:ind w:firstLine="632" w:firstLineChars="210"/>
        <w:rPr>
          <w:b/>
          <w:sz w:val="30"/>
          <w:szCs w:val="30"/>
        </w:rPr>
      </w:pPr>
    </w:p>
    <w:p>
      <w:pPr>
        <w:spacing w:line="460" w:lineRule="exact"/>
        <w:ind w:firstLine="630" w:firstLineChars="210"/>
        <w:rPr>
          <w:rFonts w:ascii="宋体" w:hAnsi="宋体"/>
          <w:sz w:val="30"/>
          <w:szCs w:val="30"/>
        </w:rPr>
      </w:pPr>
      <w:r>
        <w:rPr>
          <w:rFonts w:hint="eastAsia" w:ascii="宋体" w:hAnsi="宋体"/>
          <w:sz w:val="30"/>
          <w:szCs w:val="30"/>
        </w:rPr>
        <w:t>发包人：东方国际集装箱（广州）有限公司</w:t>
      </w:r>
    </w:p>
    <w:p>
      <w:pPr>
        <w:spacing w:line="460" w:lineRule="exact"/>
        <w:ind w:firstLine="600" w:firstLineChars="200"/>
        <w:rPr>
          <w:rFonts w:ascii="宋体" w:hAnsi="宋体"/>
          <w:sz w:val="30"/>
          <w:szCs w:val="30"/>
        </w:rPr>
      </w:pPr>
      <w:r>
        <w:rPr>
          <w:rFonts w:hint="eastAsia" w:ascii="宋体" w:hAnsi="宋体"/>
          <w:sz w:val="30"/>
          <w:szCs w:val="30"/>
        </w:rPr>
        <w:t>承包人：</w:t>
      </w:r>
    </w:p>
    <w:p>
      <w:pPr>
        <w:spacing w:line="460" w:lineRule="exact"/>
        <w:rPr>
          <w:rFonts w:ascii="宋体" w:hAnsi="宋体"/>
          <w:sz w:val="30"/>
          <w:szCs w:val="30"/>
        </w:rPr>
      </w:pPr>
    </w:p>
    <w:p>
      <w:pPr>
        <w:spacing w:line="460" w:lineRule="exact"/>
        <w:rPr>
          <w:rFonts w:ascii="宋体" w:hAnsi="宋体"/>
          <w:sz w:val="30"/>
          <w:szCs w:val="30"/>
        </w:rPr>
      </w:pPr>
    </w:p>
    <w:p>
      <w:pPr>
        <w:spacing w:line="460" w:lineRule="exact"/>
        <w:ind w:firstLine="630"/>
        <w:rPr>
          <w:rFonts w:ascii="宋体" w:hAnsi="宋体"/>
          <w:sz w:val="30"/>
          <w:szCs w:val="30"/>
        </w:rPr>
      </w:pPr>
      <w:r>
        <w:rPr>
          <w:rFonts w:hint="eastAsia" w:ascii="宋体" w:hAnsi="宋体"/>
          <w:sz w:val="30"/>
          <w:szCs w:val="30"/>
        </w:rPr>
        <w:t>签约日期：      年   月   日</w:t>
      </w:r>
    </w:p>
    <w:p>
      <w:pPr>
        <w:spacing w:line="460" w:lineRule="exact"/>
        <w:ind w:firstLine="600" w:firstLineChars="200"/>
        <w:rPr>
          <w:rFonts w:ascii="宋体" w:hAnsi="宋体"/>
          <w:sz w:val="30"/>
          <w:szCs w:val="30"/>
        </w:rPr>
      </w:pPr>
      <w:r>
        <w:rPr>
          <w:rStyle w:val="472"/>
          <w:rFonts w:hint="eastAsia"/>
          <w:b w:val="0"/>
          <w:szCs w:val="30"/>
        </w:rPr>
        <w:t>签约地点</w:t>
      </w:r>
      <w:r>
        <w:rPr>
          <w:rFonts w:hint="eastAsia" w:ascii="宋体" w:hAnsi="宋体"/>
          <w:sz w:val="30"/>
          <w:szCs w:val="30"/>
        </w:rPr>
        <w:t>：广州市南沙区万顷沙镇红安路二号</w:t>
      </w:r>
    </w:p>
    <w:p>
      <w:pPr>
        <w:spacing w:line="460" w:lineRule="exact"/>
        <w:ind w:firstLine="600" w:firstLineChars="200"/>
        <w:rPr>
          <w:rFonts w:ascii="宋体" w:hAnsi="宋体"/>
          <w:sz w:val="30"/>
          <w:szCs w:val="30"/>
        </w:rPr>
      </w:pPr>
    </w:p>
    <w:p>
      <w:pPr>
        <w:pStyle w:val="5"/>
      </w:pPr>
      <w:bookmarkStart w:id="344" w:name="_Toc263924407"/>
    </w:p>
    <w:p>
      <w:r>
        <w:br w:type="page"/>
      </w:r>
    </w:p>
    <w:bookmarkEnd w:id="344"/>
    <w:p>
      <w:pPr>
        <w:shd w:val="clear" w:color="auto" w:fill="FFFFFF"/>
        <w:adjustRightInd w:val="0"/>
        <w:snapToGrid w:val="0"/>
        <w:spacing w:line="360" w:lineRule="auto"/>
        <w:jc w:val="center"/>
        <w:rPr>
          <w:rFonts w:ascii="微软雅黑" w:hAnsi="微软雅黑" w:eastAsia="微软雅黑" w:cs="宋体"/>
          <w:b/>
          <w:bCs/>
          <w:color w:val="333333"/>
          <w:spacing w:val="7"/>
          <w:sz w:val="24"/>
          <w:szCs w:val="24"/>
        </w:rPr>
      </w:pPr>
      <w:r>
        <w:rPr>
          <w:rFonts w:hint="eastAsia" w:ascii="微软雅黑" w:hAnsi="微软雅黑" w:eastAsia="微软雅黑" w:cs="宋体"/>
          <w:b/>
          <w:bCs/>
          <w:color w:val="333333"/>
          <w:spacing w:val="7"/>
          <w:sz w:val="24"/>
          <w:szCs w:val="24"/>
        </w:rPr>
        <w:t>第一部分　协议书</w:t>
      </w:r>
    </w:p>
    <w:p>
      <w:pPr>
        <w:adjustRightInd w:val="0"/>
        <w:snapToGrid w:val="0"/>
        <w:spacing w:line="360" w:lineRule="auto"/>
        <w:ind w:right="-57" w:firstLine="468" w:firstLineChars="195"/>
        <w:jc w:val="both"/>
        <w:rPr>
          <w:rFonts w:ascii="宋体" w:hAnsi="宋体"/>
          <w:sz w:val="24"/>
          <w:szCs w:val="24"/>
          <w:u w:val="single"/>
        </w:rPr>
      </w:pPr>
      <w:r>
        <w:rPr>
          <w:rFonts w:hint="eastAsia" w:ascii="宋体" w:hAnsi="宋体"/>
          <w:sz w:val="24"/>
          <w:szCs w:val="24"/>
        </w:rPr>
        <w:t>发包人（全称）：</w:t>
      </w:r>
      <w:r>
        <w:rPr>
          <w:rFonts w:hint="eastAsia" w:ascii="宋体" w:hAnsi="宋体"/>
          <w:sz w:val="24"/>
          <w:szCs w:val="24"/>
          <w:u w:val="single"/>
        </w:rPr>
        <w:t>东方国际集装箱（广州）有限公司</w:t>
      </w:r>
    </w:p>
    <w:p>
      <w:pPr>
        <w:adjustRightInd w:val="0"/>
        <w:snapToGrid w:val="0"/>
        <w:spacing w:line="360" w:lineRule="auto"/>
        <w:ind w:right="-57" w:firstLine="480" w:firstLineChars="200"/>
        <w:jc w:val="both"/>
        <w:rPr>
          <w:rFonts w:ascii="宋体" w:hAnsi="宋体"/>
          <w:sz w:val="24"/>
          <w:szCs w:val="24"/>
          <w:u w:val="single"/>
        </w:rPr>
      </w:pPr>
      <w:r>
        <w:rPr>
          <w:rFonts w:hint="eastAsia" w:ascii="宋体" w:hAnsi="宋体"/>
          <w:sz w:val="24"/>
          <w:szCs w:val="24"/>
        </w:rPr>
        <w:t>承包人（全称）：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jc w:val="both"/>
        <w:rPr>
          <w:rFonts w:ascii="宋体" w:hAnsi="宋体"/>
          <w:sz w:val="24"/>
          <w:szCs w:val="24"/>
        </w:rPr>
      </w:pPr>
      <w:r>
        <w:rPr>
          <w:rFonts w:hint="eastAsia" w:ascii="宋体" w:hAnsi="宋体"/>
          <w:sz w:val="24"/>
          <w:szCs w:val="24"/>
        </w:rPr>
        <w:t xml:space="preserve">     依照《中华人民共和国民法典》、《中华人民共和国建筑法》及其他有关法律、行政法规，遵循平等、自愿、公平和诚实信用的原则，双方就本建设工程施工事项协商一致，订立本合同。</w:t>
      </w:r>
    </w:p>
    <w:p>
      <w:pPr>
        <w:spacing w:line="360" w:lineRule="auto"/>
        <w:jc w:val="both"/>
        <w:rPr>
          <w:rFonts w:ascii="宋体" w:hAnsi="宋体"/>
          <w:sz w:val="24"/>
          <w:szCs w:val="24"/>
        </w:rPr>
      </w:pPr>
      <w:r>
        <w:rPr>
          <w:rFonts w:hint="eastAsia" w:ascii="宋体" w:hAnsi="宋体"/>
          <w:sz w:val="24"/>
          <w:szCs w:val="24"/>
        </w:rPr>
        <w:t>　   一  工程概况</w:t>
      </w:r>
    </w:p>
    <w:p>
      <w:pPr>
        <w:adjustRightInd w:val="0"/>
        <w:snapToGrid w:val="0"/>
        <w:spacing w:line="360" w:lineRule="auto"/>
        <w:ind w:right="-57" w:firstLine="480" w:firstLineChars="200"/>
        <w:jc w:val="both"/>
        <w:rPr>
          <w:rFonts w:ascii="宋体" w:hAnsi="宋体"/>
          <w:sz w:val="24"/>
          <w:szCs w:val="24"/>
        </w:rPr>
      </w:pPr>
      <w:r>
        <w:rPr>
          <w:rFonts w:hint="eastAsia" w:ascii="宋体" w:hAnsi="宋体"/>
          <w:sz w:val="24"/>
          <w:szCs w:val="24"/>
        </w:rPr>
        <w:t>工程名称：特箱折叠箱设备基础工程</w:t>
      </w:r>
    </w:p>
    <w:p>
      <w:pPr>
        <w:adjustRightInd w:val="0"/>
        <w:snapToGrid w:val="0"/>
        <w:spacing w:line="360" w:lineRule="auto"/>
        <w:ind w:right="-57" w:firstLine="480" w:firstLineChars="200"/>
        <w:jc w:val="both"/>
        <w:rPr>
          <w:rFonts w:ascii="宋体" w:hAnsi="宋体"/>
          <w:sz w:val="24"/>
          <w:szCs w:val="24"/>
          <w:u w:val="single"/>
        </w:rPr>
      </w:pPr>
      <w:r>
        <w:rPr>
          <w:rFonts w:hint="eastAsia" w:ascii="宋体" w:hAnsi="宋体"/>
          <w:sz w:val="24"/>
          <w:szCs w:val="24"/>
        </w:rPr>
        <w:t>工程地点：</w:t>
      </w:r>
      <w:r>
        <w:rPr>
          <w:rFonts w:hint="eastAsia" w:ascii="宋体" w:hAnsi="宋体"/>
          <w:sz w:val="24"/>
          <w:szCs w:val="24"/>
          <w:u w:val="single"/>
        </w:rPr>
        <w:t>广州市南沙区万顷沙镇新安工业园红安路</w:t>
      </w:r>
      <w:r>
        <w:rPr>
          <w:rFonts w:ascii="宋体" w:hAnsi="宋体"/>
          <w:sz w:val="24"/>
          <w:szCs w:val="24"/>
          <w:u w:val="single"/>
        </w:rPr>
        <w:t>2</w:t>
      </w:r>
      <w:r>
        <w:rPr>
          <w:rFonts w:hint="eastAsia" w:ascii="宋体" w:hAnsi="宋体"/>
          <w:sz w:val="24"/>
          <w:szCs w:val="24"/>
          <w:u w:val="single"/>
        </w:rPr>
        <w:t>号。</w:t>
      </w:r>
    </w:p>
    <w:p>
      <w:pPr>
        <w:adjustRightInd w:val="0"/>
        <w:snapToGrid w:val="0"/>
        <w:spacing w:line="360" w:lineRule="auto"/>
        <w:ind w:firstLine="470" w:firstLineChars="196"/>
        <w:jc w:val="both"/>
        <w:rPr>
          <w:rFonts w:ascii="宋体" w:hAnsi="宋体"/>
          <w:sz w:val="24"/>
          <w:szCs w:val="24"/>
        </w:rPr>
      </w:pPr>
      <w:r>
        <w:rPr>
          <w:rFonts w:hint="eastAsia" w:ascii="宋体" w:hAnsi="宋体"/>
          <w:sz w:val="24"/>
          <w:szCs w:val="24"/>
        </w:rPr>
        <w:t>工程内容：</w:t>
      </w:r>
      <w:r>
        <w:rPr>
          <w:rFonts w:hint="eastAsia" w:ascii="宋体" w:hAnsi="宋体"/>
          <w:sz w:val="24"/>
          <w:szCs w:val="24"/>
          <w:u w:val="single"/>
        </w:rPr>
        <w:t>本项目为特箱折叠箱设备基础工程，增加折叠箱设备的相关基础。按照特箱折叠箱设备基础方案施工，工程量如下：挖一般土方约122立方，平整场地约2392平方，挖基坑土方约333立方，挖沟槽土方约22立方，回填方约230立方，余方弃置约248立方，预制Ф300钢筋混凝土管桩约2475米，Ф300试验桩约50米，Ф300送桩约79米，桩底顶C35微膨胀砼约2立方，截桩头约99根，桩尖约99个，桩头插筋约1吨，垫层约250立方，底板约628立方，基础梁约7立方，直行墙约24立方，现浇构件钢筋约43吨，预埋铁件约2吨，Ф110预埋管约227米。基础图见附件增加基础。 具体详见工程量清单。</w:t>
      </w:r>
    </w:p>
    <w:p>
      <w:pPr>
        <w:adjustRightInd w:val="0"/>
        <w:snapToGrid w:val="0"/>
        <w:spacing w:line="360" w:lineRule="auto"/>
        <w:ind w:right="-57" w:firstLine="480"/>
        <w:jc w:val="both"/>
        <w:rPr>
          <w:rFonts w:ascii="宋体" w:hAnsi="宋体"/>
          <w:sz w:val="24"/>
          <w:szCs w:val="24"/>
          <w:u w:val="single"/>
        </w:rPr>
      </w:pPr>
      <w:r>
        <w:rPr>
          <w:rFonts w:hint="eastAsia" w:ascii="宋体" w:hAnsi="宋体"/>
          <w:sz w:val="24"/>
          <w:szCs w:val="24"/>
        </w:rPr>
        <w:t>资金来源：</w:t>
      </w:r>
      <w:r>
        <w:rPr>
          <w:rFonts w:hint="eastAsia" w:ascii="宋体" w:hAnsi="宋体"/>
          <w:sz w:val="24"/>
          <w:szCs w:val="24"/>
          <w:u w:val="single"/>
        </w:rPr>
        <w:t>自筹资金</w:t>
      </w:r>
    </w:p>
    <w:p>
      <w:p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二  工程承包范围</w:t>
      </w:r>
    </w:p>
    <w:p>
      <w:pPr>
        <w:adjustRightInd w:val="0"/>
        <w:snapToGrid w:val="0"/>
        <w:spacing w:line="360" w:lineRule="auto"/>
        <w:ind w:firstLine="480" w:firstLineChars="200"/>
        <w:jc w:val="both"/>
        <w:rPr>
          <w:rFonts w:ascii="宋体"/>
          <w:b/>
          <w:bCs/>
          <w:spacing w:val="20"/>
          <w:sz w:val="24"/>
        </w:rPr>
      </w:pPr>
      <w:r>
        <w:rPr>
          <w:rFonts w:hint="eastAsia" w:ascii="宋体" w:hAnsi="宋体"/>
          <w:sz w:val="24"/>
          <w:szCs w:val="24"/>
        </w:rPr>
        <w:t>　承包范围：</w:t>
      </w:r>
      <w:r>
        <w:rPr>
          <w:rFonts w:hint="eastAsia" w:ascii="宋体" w:hAnsi="宋体"/>
          <w:sz w:val="24"/>
          <w:szCs w:val="24"/>
          <w:u w:val="single"/>
        </w:rPr>
        <w:t>具体依照招标文件、招标图纸、答疑纪要及招标人报价说明文件。</w:t>
      </w:r>
      <w:r>
        <w:rPr>
          <w:rFonts w:hint="eastAsia" w:ascii="宋体" w:hAnsi="宋体"/>
          <w:sz w:val="24"/>
          <w:u w:val="single"/>
        </w:rPr>
        <w:t>本工程采用综合单价（含税）包干、工程量按实结算的承包方式。措施费合价包干方式承包。包括但</w:t>
      </w:r>
      <w:r>
        <w:rPr>
          <w:rFonts w:ascii="宋体" w:hAnsi="宋体"/>
          <w:sz w:val="24"/>
          <w:u w:val="single"/>
        </w:rPr>
        <w:t>不限于：</w:t>
      </w:r>
      <w:r>
        <w:rPr>
          <w:rFonts w:hint="eastAsia" w:ascii="宋体" w:hAnsi="宋体"/>
          <w:sz w:val="24"/>
          <w:u w:val="single"/>
        </w:rPr>
        <w:t>对承包范围内的工程包人工、包材料、包机械、包工期、包质量、包保险、包成品保护、包环保、包劳保、包安全生产、包文明施工、包综合治理、包竣工图（含电子版）、包设备交接试验、包系统调试、物料运输（包材料、机具、设备及建筑垃圾等,含多次运输）、包办理施工许可等工作、包招标范围内工程竣工验收通过（含不能通过所需要发生整改的一切费用）包施工图深化完善、包检测检验配合、包移交、包结算、包保修、包利润、包税金等。</w:t>
      </w:r>
    </w:p>
    <w:p>
      <w:pPr>
        <w:adjustRightInd w:val="0"/>
        <w:snapToGrid w:val="0"/>
        <w:spacing w:line="360" w:lineRule="auto"/>
        <w:ind w:right="-55" w:firstLine="480" w:firstLineChars="200"/>
        <w:jc w:val="both"/>
        <w:rPr>
          <w:rFonts w:ascii="宋体" w:hAnsi="宋体"/>
          <w:sz w:val="24"/>
          <w:szCs w:val="24"/>
        </w:rPr>
      </w:pPr>
      <w:r>
        <w:rPr>
          <w:rFonts w:hint="eastAsia" w:ascii="宋体" w:hAnsi="宋体"/>
          <w:sz w:val="24"/>
          <w:szCs w:val="24"/>
        </w:rPr>
        <w:t>三  合同工期</w:t>
      </w:r>
    </w:p>
    <w:p>
      <w:pPr>
        <w:adjustRightInd w:val="0"/>
        <w:snapToGrid w:val="0"/>
        <w:spacing w:line="360" w:lineRule="auto"/>
        <w:ind w:right="-55" w:firstLine="480" w:firstLineChars="200"/>
        <w:jc w:val="both"/>
        <w:rPr>
          <w:rFonts w:ascii="宋体" w:hAnsi="宋体"/>
          <w:sz w:val="24"/>
          <w:szCs w:val="24"/>
          <w:u w:val="single"/>
        </w:rPr>
      </w:pPr>
      <w:r>
        <w:rPr>
          <w:rFonts w:hint="eastAsia" w:ascii="宋体" w:hAnsi="宋体"/>
          <w:sz w:val="24"/>
          <w:szCs w:val="24"/>
        </w:rPr>
        <w:t>　　开工日期：</w:t>
      </w:r>
      <w:r>
        <w:rPr>
          <w:rFonts w:hint="eastAsia" w:ascii="宋体" w:hAnsi="宋体"/>
          <w:sz w:val="24"/>
          <w:szCs w:val="24"/>
          <w:u w:val="single"/>
        </w:rPr>
        <w:t>开工日期  20</w:t>
      </w:r>
      <w:r>
        <w:rPr>
          <w:rFonts w:ascii="宋体" w:hAnsi="宋体"/>
          <w:sz w:val="24"/>
          <w:szCs w:val="24"/>
          <w:u w:val="single"/>
        </w:rPr>
        <w:t xml:space="preserve">  </w:t>
      </w:r>
      <w:r>
        <w:rPr>
          <w:rFonts w:hint="eastAsia" w:ascii="宋体" w:hAnsi="宋体"/>
          <w:sz w:val="24"/>
          <w:szCs w:val="24"/>
          <w:u w:val="single"/>
        </w:rPr>
        <w:t>年</w:t>
      </w:r>
      <w:r>
        <w:rPr>
          <w:rFonts w:ascii="宋体" w:hAnsi="宋体"/>
          <w:sz w:val="24"/>
          <w:szCs w:val="24"/>
          <w:u w:val="single"/>
        </w:rPr>
        <w:t xml:space="preserve">  </w:t>
      </w:r>
      <w:r>
        <w:rPr>
          <w:rFonts w:hint="eastAsia" w:ascii="宋体" w:hAnsi="宋体"/>
          <w:sz w:val="24"/>
          <w:szCs w:val="24"/>
          <w:u w:val="single"/>
        </w:rPr>
        <w:t xml:space="preserve"> 月 </w:t>
      </w:r>
      <w:r>
        <w:rPr>
          <w:rFonts w:ascii="宋体" w:hAnsi="宋体"/>
          <w:sz w:val="24"/>
          <w:szCs w:val="24"/>
          <w:u w:val="single"/>
        </w:rPr>
        <w:t xml:space="preserve"> </w:t>
      </w:r>
      <w:r>
        <w:rPr>
          <w:rFonts w:hint="eastAsia" w:ascii="宋体" w:hAnsi="宋体"/>
          <w:sz w:val="24"/>
          <w:szCs w:val="24"/>
          <w:u w:val="single"/>
        </w:rPr>
        <w:t xml:space="preserve"> 日。</w:t>
      </w:r>
    </w:p>
    <w:p>
      <w:pPr>
        <w:adjustRightInd w:val="0"/>
        <w:snapToGrid w:val="0"/>
        <w:spacing w:line="360" w:lineRule="auto"/>
        <w:ind w:right="-55" w:firstLine="480" w:firstLineChars="200"/>
        <w:jc w:val="both"/>
        <w:rPr>
          <w:rFonts w:ascii="宋体" w:hAnsi="宋体"/>
          <w:sz w:val="24"/>
          <w:szCs w:val="24"/>
          <w:u w:val="single"/>
        </w:rPr>
      </w:pPr>
      <w:r>
        <w:rPr>
          <w:rFonts w:hint="eastAsia" w:ascii="宋体" w:hAnsi="宋体"/>
          <w:sz w:val="24"/>
          <w:szCs w:val="24"/>
        </w:rPr>
        <w:t>　　竣工日期：</w:t>
      </w:r>
      <w:r>
        <w:rPr>
          <w:rFonts w:hint="eastAsia" w:ascii="宋体" w:hAnsi="宋体"/>
          <w:sz w:val="24"/>
          <w:szCs w:val="24"/>
          <w:u w:val="single"/>
        </w:rPr>
        <w:t>计划竣工日期   20</w:t>
      </w:r>
      <w:r>
        <w:rPr>
          <w:rFonts w:ascii="宋体" w:hAnsi="宋体"/>
          <w:sz w:val="24"/>
          <w:szCs w:val="24"/>
          <w:u w:val="single"/>
        </w:rPr>
        <w:t xml:space="preserve"> </w:t>
      </w:r>
      <w:r>
        <w:rPr>
          <w:rFonts w:hint="eastAsia" w:ascii="宋体" w:hAnsi="宋体"/>
          <w:sz w:val="24"/>
          <w:szCs w:val="24"/>
          <w:u w:val="single"/>
        </w:rPr>
        <w:t xml:space="preserve">  年 </w:t>
      </w:r>
      <w:r>
        <w:rPr>
          <w:rFonts w:ascii="宋体" w:hAnsi="宋体"/>
          <w:sz w:val="24"/>
          <w:szCs w:val="24"/>
          <w:u w:val="single"/>
        </w:rPr>
        <w:t xml:space="preserve"> </w:t>
      </w:r>
      <w:r>
        <w:rPr>
          <w:rFonts w:hint="eastAsia" w:ascii="宋体" w:hAnsi="宋体"/>
          <w:sz w:val="24"/>
          <w:szCs w:val="24"/>
          <w:u w:val="single"/>
        </w:rPr>
        <w:t xml:space="preserve"> 月</w:t>
      </w:r>
      <w:r>
        <w:rPr>
          <w:rFonts w:ascii="宋体" w:hAnsi="宋体"/>
          <w:sz w:val="24"/>
          <w:szCs w:val="24"/>
          <w:u w:val="single"/>
        </w:rPr>
        <w:t xml:space="preserve">   </w:t>
      </w:r>
      <w:r>
        <w:rPr>
          <w:rFonts w:hint="eastAsia" w:ascii="宋体" w:hAnsi="宋体"/>
          <w:sz w:val="24"/>
          <w:szCs w:val="24"/>
          <w:u w:val="single"/>
        </w:rPr>
        <w:t>日。</w:t>
      </w:r>
    </w:p>
    <w:p>
      <w:pPr>
        <w:adjustRightInd w:val="0"/>
        <w:snapToGrid w:val="0"/>
        <w:spacing w:line="360" w:lineRule="auto"/>
        <w:ind w:right="-55" w:firstLine="480" w:firstLineChars="200"/>
        <w:jc w:val="both"/>
        <w:rPr>
          <w:rFonts w:ascii="宋体" w:hAnsi="宋体"/>
          <w:sz w:val="24"/>
          <w:szCs w:val="24"/>
        </w:rPr>
      </w:pPr>
      <w:r>
        <w:rPr>
          <w:rFonts w:hint="eastAsia" w:ascii="宋体" w:hAnsi="宋体"/>
          <w:sz w:val="24"/>
          <w:szCs w:val="24"/>
        </w:rPr>
        <w:t>　　合同工期总日历天数</w:t>
      </w:r>
      <w:r>
        <w:rPr>
          <w:rFonts w:ascii="宋体" w:hAnsi="宋体"/>
          <w:sz w:val="24"/>
          <w:szCs w:val="24"/>
          <w:u w:val="single"/>
        </w:rPr>
        <w:t xml:space="preserve">  </w:t>
      </w:r>
      <w:r>
        <w:rPr>
          <w:rFonts w:hint="eastAsia" w:ascii="宋体" w:hAnsi="宋体"/>
          <w:sz w:val="24"/>
          <w:szCs w:val="24"/>
          <w:u w:val="single"/>
        </w:rPr>
        <w:t>日历</w:t>
      </w:r>
      <w:r>
        <w:rPr>
          <w:rFonts w:hint="eastAsia" w:ascii="宋体" w:hAnsi="宋体"/>
          <w:sz w:val="24"/>
          <w:szCs w:val="24"/>
        </w:rPr>
        <w:t>天。</w:t>
      </w:r>
    </w:p>
    <w:p>
      <w:pPr>
        <w:adjustRightInd w:val="0"/>
        <w:snapToGrid w:val="0"/>
        <w:spacing w:line="360" w:lineRule="auto"/>
        <w:ind w:firstLine="470" w:firstLineChars="196"/>
        <w:jc w:val="both"/>
        <w:rPr>
          <w:rFonts w:ascii="宋体" w:hAnsi="宋体"/>
          <w:sz w:val="24"/>
          <w:szCs w:val="24"/>
        </w:rPr>
      </w:pPr>
      <w:r>
        <w:rPr>
          <w:rFonts w:hint="eastAsia" w:ascii="宋体" w:hAnsi="宋体"/>
          <w:sz w:val="24"/>
          <w:szCs w:val="24"/>
        </w:rPr>
        <w:t>四  质量标准</w:t>
      </w:r>
    </w:p>
    <w:p>
      <w:pPr>
        <w:adjustRightInd w:val="0"/>
        <w:snapToGrid w:val="0"/>
        <w:spacing w:line="360" w:lineRule="auto"/>
        <w:ind w:firstLine="470" w:firstLineChars="196"/>
        <w:jc w:val="both"/>
        <w:rPr>
          <w:rFonts w:ascii="宋体" w:hAnsi="宋体"/>
          <w:sz w:val="24"/>
          <w:szCs w:val="24"/>
        </w:rPr>
      </w:pPr>
      <w:r>
        <w:rPr>
          <w:rFonts w:hint="eastAsia" w:ascii="宋体" w:hAnsi="宋体"/>
          <w:sz w:val="24"/>
          <w:szCs w:val="24"/>
        </w:rPr>
        <w:t>工程质量标准：</w:t>
      </w:r>
      <w:r>
        <w:rPr>
          <w:rFonts w:hint="eastAsia" w:ascii="宋体" w:hAnsi="宋体"/>
          <w:sz w:val="24"/>
          <w:szCs w:val="24"/>
          <w:u w:val="single"/>
        </w:rPr>
        <w:t>严格按发包人确认的施工图进行施工，按照设计文件和有关技术标准、规范和合同规定施工，验收标准按国家颁发的建设工程质量验收规范。</w:t>
      </w:r>
      <w:r>
        <w:rPr>
          <w:rFonts w:hint="eastAsia" w:ascii="宋体" w:hAnsi="宋体"/>
          <w:sz w:val="24"/>
          <w:szCs w:val="24"/>
        </w:rPr>
        <w:t xml:space="preserve">　　    </w:t>
      </w:r>
    </w:p>
    <w:p>
      <w:pPr>
        <w:spacing w:line="360" w:lineRule="auto"/>
        <w:jc w:val="both"/>
        <w:rPr>
          <w:rFonts w:ascii="宋体" w:hAnsi="宋体"/>
          <w:sz w:val="24"/>
          <w:szCs w:val="24"/>
        </w:rPr>
      </w:pPr>
      <w:r>
        <w:rPr>
          <w:rFonts w:hint="eastAsia" w:ascii="宋体" w:hAnsi="宋体"/>
          <w:sz w:val="24"/>
          <w:szCs w:val="24"/>
        </w:rPr>
        <w:t xml:space="preserve">    五 合同价款</w:t>
      </w:r>
    </w:p>
    <w:p>
      <w:pPr>
        <w:spacing w:line="360" w:lineRule="auto"/>
        <w:jc w:val="both"/>
        <w:rPr>
          <w:rFonts w:cs="宋体" w:asciiTheme="minorEastAsia" w:hAnsiTheme="minorEastAsia" w:eastAsiaTheme="minorEastAsia"/>
          <w:color w:val="333333"/>
          <w:sz w:val="24"/>
          <w:szCs w:val="24"/>
          <w:u w:val="single"/>
        </w:rPr>
      </w:pPr>
      <w:r>
        <w:rPr>
          <w:rFonts w:hint="eastAsia" w:ascii="宋体" w:hAnsi="宋体"/>
          <w:sz w:val="24"/>
          <w:szCs w:val="24"/>
        </w:rPr>
        <w:t>　　</w:t>
      </w:r>
      <w:r>
        <w:rPr>
          <w:rFonts w:hint="eastAsia" w:asciiTheme="minorEastAsia" w:hAnsiTheme="minorEastAsia" w:eastAsiaTheme="minorEastAsia"/>
          <w:sz w:val="24"/>
          <w:szCs w:val="24"/>
        </w:rPr>
        <w:t>暂定合同承包价人民币</w:t>
      </w:r>
      <w:r>
        <w:rPr>
          <w:rFonts w:hint="eastAsia" w:asciiTheme="minorEastAsia" w:hAnsiTheme="minorEastAsia" w:eastAsiaTheme="minorEastAsia"/>
          <w:sz w:val="24"/>
          <w:szCs w:val="24"/>
          <w:u w:val="single"/>
        </w:rPr>
        <w:t xml:space="preserve">          元</w:t>
      </w:r>
      <w:r>
        <w:rPr>
          <w:rFonts w:hint="eastAsia" w:asciiTheme="minorEastAsia" w:hAnsiTheme="minorEastAsia" w:eastAsiaTheme="minorEastAsia"/>
          <w:sz w:val="24"/>
          <w:szCs w:val="24"/>
        </w:rPr>
        <w:t>(大写：</w:t>
      </w:r>
      <w:r>
        <w:rPr>
          <w:rFonts w:hint="eastAsia" w:cs="宋体" w:asciiTheme="minorEastAsia" w:hAnsiTheme="minorEastAsia" w:eastAsiaTheme="minorEastAsia"/>
          <w:color w:val="333333"/>
          <w:sz w:val="24"/>
          <w:szCs w:val="24"/>
          <w:u w:val="single"/>
        </w:rPr>
        <w:t xml:space="preserve">                     </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w:t>
      </w:r>
    </w:p>
    <w:p>
      <w:pPr>
        <w:adjustRightInd w:val="0"/>
        <w:snapToGrid w:val="0"/>
        <w:spacing w:line="360" w:lineRule="auto"/>
        <w:jc w:val="both"/>
        <w:rPr>
          <w:rFonts w:ascii="宋体" w:hAnsi="宋体"/>
          <w:sz w:val="24"/>
          <w:szCs w:val="24"/>
        </w:rPr>
      </w:pPr>
      <w:r>
        <w:rPr>
          <w:rFonts w:hint="eastAsia" w:ascii="宋体" w:hAnsi="宋体"/>
          <w:sz w:val="24"/>
          <w:szCs w:val="24"/>
        </w:rPr>
        <w:t>　 六  组成本合同的文件包括：</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1</w:t>
      </w:r>
      <w:r>
        <w:rPr>
          <w:rFonts w:hint="eastAsia" w:ascii="宋体" w:hAnsi="宋体"/>
          <w:sz w:val="24"/>
          <w:szCs w:val="24"/>
        </w:rPr>
        <w:t xml:space="preserve">  本合同履行期间发包人与承包人双方签订的补充合同（协议）或修正文件;</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2</w:t>
      </w:r>
      <w:r>
        <w:rPr>
          <w:rFonts w:hint="eastAsia" w:ascii="宋体" w:hAnsi="宋体"/>
          <w:sz w:val="24"/>
          <w:szCs w:val="24"/>
        </w:rPr>
        <w:t xml:space="preserve">  本合同协议书;</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3</w:t>
      </w:r>
      <w:r>
        <w:rPr>
          <w:rFonts w:hint="eastAsia" w:ascii="宋体" w:hAnsi="宋体"/>
          <w:sz w:val="24"/>
          <w:szCs w:val="24"/>
        </w:rPr>
        <w:t xml:space="preserve">  中标通知书;</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4</w:t>
      </w:r>
      <w:r>
        <w:rPr>
          <w:rFonts w:hint="eastAsia" w:ascii="宋体" w:hAnsi="宋体"/>
          <w:sz w:val="24"/>
          <w:szCs w:val="24"/>
        </w:rPr>
        <w:t xml:space="preserve">  本合同专用条款;</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5</w:t>
      </w:r>
      <w:r>
        <w:rPr>
          <w:rFonts w:hint="eastAsia" w:ascii="宋体" w:hAnsi="宋体"/>
          <w:sz w:val="24"/>
          <w:szCs w:val="24"/>
        </w:rPr>
        <w:t xml:space="preserve">  本合同通用条款;</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6</w:t>
      </w:r>
      <w:r>
        <w:rPr>
          <w:rFonts w:hint="eastAsia" w:ascii="宋体" w:hAnsi="宋体"/>
          <w:sz w:val="24"/>
          <w:szCs w:val="24"/>
        </w:rPr>
        <w:t xml:space="preserve">  投标书及其附件（除特别说明外工程量清单与图纸矛盾的以图纸为准）;</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7</w:t>
      </w:r>
      <w:r>
        <w:rPr>
          <w:rFonts w:hint="eastAsia" w:ascii="宋体" w:hAnsi="宋体"/>
          <w:sz w:val="24"/>
          <w:szCs w:val="24"/>
        </w:rPr>
        <w:t xml:space="preserve">  招标文件、招标答疑会议纪要;</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8</w:t>
      </w:r>
      <w:r>
        <w:rPr>
          <w:rFonts w:hint="eastAsia" w:ascii="宋体" w:hAnsi="宋体"/>
          <w:sz w:val="24"/>
          <w:szCs w:val="24"/>
        </w:rPr>
        <w:t xml:space="preserve">  标准、规范及有关技术文件;</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9</w:t>
      </w:r>
      <w:r>
        <w:rPr>
          <w:rFonts w:hint="eastAsia" w:ascii="宋体" w:hAnsi="宋体"/>
          <w:sz w:val="24"/>
          <w:szCs w:val="24"/>
        </w:rPr>
        <w:t xml:space="preserve">  图纸;</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10</w:t>
      </w:r>
      <w:r>
        <w:rPr>
          <w:rFonts w:hint="eastAsia" w:ascii="宋体" w:hAnsi="宋体"/>
          <w:sz w:val="24"/>
          <w:szCs w:val="24"/>
        </w:rPr>
        <w:t xml:space="preserve">  工程量清单;</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11</w:t>
      </w:r>
      <w:r>
        <w:rPr>
          <w:rFonts w:hint="eastAsia" w:ascii="宋体" w:hAnsi="宋体"/>
          <w:sz w:val="24"/>
          <w:szCs w:val="24"/>
        </w:rPr>
        <w:t xml:space="preserve">  工程报价单或预算书;</w:t>
      </w:r>
    </w:p>
    <w:p>
      <w:pPr>
        <w:adjustRightInd w:val="0"/>
        <w:snapToGrid w:val="0"/>
        <w:spacing w:line="360" w:lineRule="auto"/>
        <w:ind w:right="-55" w:firstLine="480" w:firstLineChars="200"/>
        <w:jc w:val="both"/>
        <w:rPr>
          <w:rFonts w:ascii="宋体" w:hAnsi="宋体"/>
          <w:sz w:val="24"/>
          <w:szCs w:val="24"/>
        </w:rPr>
      </w:pPr>
      <w:r>
        <w:rPr>
          <w:rFonts w:ascii="宋体" w:hAnsi="宋体"/>
          <w:sz w:val="24"/>
          <w:szCs w:val="24"/>
        </w:rPr>
        <w:t>12</w:t>
      </w:r>
      <w:r>
        <w:rPr>
          <w:rFonts w:hint="eastAsia" w:ascii="宋体" w:hAnsi="宋体"/>
          <w:sz w:val="24"/>
          <w:szCs w:val="24"/>
        </w:rPr>
        <w:t xml:space="preserve">  组成合同的其他文件;</w:t>
      </w:r>
    </w:p>
    <w:p>
      <w:pPr>
        <w:adjustRightInd w:val="0"/>
        <w:snapToGrid w:val="0"/>
        <w:spacing w:line="360" w:lineRule="auto"/>
        <w:ind w:right="-55" w:firstLine="456" w:firstLineChars="200"/>
        <w:jc w:val="both"/>
        <w:rPr>
          <w:rFonts w:ascii="宋体" w:hAnsi="宋体"/>
          <w:spacing w:val="-6"/>
          <w:sz w:val="24"/>
          <w:szCs w:val="24"/>
        </w:rPr>
      </w:pPr>
      <w:r>
        <w:rPr>
          <w:rFonts w:hint="eastAsia" w:ascii="宋体" w:hAnsi="宋体"/>
          <w:spacing w:val="-6"/>
          <w:sz w:val="24"/>
          <w:szCs w:val="24"/>
        </w:rPr>
        <w:t>双方有关工程的洽商、变更等书面协议或文件视为本合同的组成部分。</w:t>
      </w:r>
    </w:p>
    <w:p>
      <w:pPr>
        <w:adjustRightInd w:val="0"/>
        <w:snapToGrid w:val="0"/>
        <w:spacing w:line="360" w:lineRule="auto"/>
        <w:ind w:right="-55" w:firstLine="480" w:firstLineChars="200"/>
        <w:jc w:val="both"/>
        <w:rPr>
          <w:rFonts w:ascii="宋体" w:hAnsi="宋体"/>
          <w:sz w:val="24"/>
          <w:szCs w:val="24"/>
        </w:rPr>
      </w:pPr>
      <w:r>
        <w:rPr>
          <w:rFonts w:hint="eastAsia" w:ascii="宋体" w:hAnsi="宋体"/>
          <w:sz w:val="24"/>
          <w:szCs w:val="24"/>
        </w:rPr>
        <w:t>七  本协议书中有关词语含义与本合同第二部分《通用条款》中分别赋予它们的定义相同。</w:t>
      </w:r>
    </w:p>
    <w:p>
      <w:pPr>
        <w:adjustRightInd w:val="0"/>
        <w:snapToGrid w:val="0"/>
        <w:spacing w:line="360" w:lineRule="auto"/>
        <w:ind w:right="-55" w:firstLine="456" w:firstLineChars="200"/>
        <w:jc w:val="both"/>
        <w:rPr>
          <w:rFonts w:ascii="宋体" w:hAnsi="宋体"/>
          <w:spacing w:val="-6"/>
          <w:sz w:val="24"/>
          <w:szCs w:val="24"/>
        </w:rPr>
      </w:pPr>
      <w:r>
        <w:rPr>
          <w:rFonts w:hint="eastAsia" w:ascii="宋体" w:hAnsi="宋体"/>
          <w:spacing w:val="-6"/>
          <w:sz w:val="24"/>
          <w:szCs w:val="24"/>
        </w:rPr>
        <w:t>八  承包人向发包人承诺按照合同约定进行施工、竣工并在质量保修期内承担工程质量保修责任。</w:t>
      </w:r>
    </w:p>
    <w:p>
      <w:pPr>
        <w:adjustRightInd w:val="0"/>
        <w:snapToGrid w:val="0"/>
        <w:spacing w:line="360" w:lineRule="auto"/>
        <w:ind w:right="-55" w:firstLine="456" w:firstLineChars="200"/>
        <w:jc w:val="both"/>
        <w:rPr>
          <w:rFonts w:ascii="宋体" w:hAnsi="宋体"/>
          <w:spacing w:val="-6"/>
          <w:sz w:val="24"/>
          <w:szCs w:val="24"/>
        </w:rPr>
      </w:pPr>
      <w:r>
        <w:rPr>
          <w:rFonts w:hint="eastAsia" w:ascii="宋体" w:hAnsi="宋体"/>
          <w:spacing w:val="-6"/>
          <w:sz w:val="24"/>
          <w:szCs w:val="24"/>
        </w:rPr>
        <w:t>九  发包人向承包人承诺按照合同约定的期限和方式支付合同价款及其他应当支付的款项。</w:t>
      </w:r>
    </w:p>
    <w:p>
      <w:pPr>
        <w:adjustRightInd w:val="0"/>
        <w:snapToGrid w:val="0"/>
        <w:spacing w:line="360" w:lineRule="auto"/>
        <w:ind w:right="-55" w:firstLine="480" w:firstLineChars="200"/>
        <w:jc w:val="both"/>
        <w:rPr>
          <w:rFonts w:ascii="宋体" w:hAnsi="宋体"/>
          <w:sz w:val="24"/>
          <w:szCs w:val="24"/>
        </w:rPr>
      </w:pPr>
      <w:r>
        <w:rPr>
          <w:rFonts w:hint="eastAsia" w:ascii="宋体" w:hAnsi="宋体"/>
          <w:sz w:val="24"/>
          <w:szCs w:val="24"/>
        </w:rPr>
        <w:t>十  合同生效</w:t>
      </w:r>
    </w:p>
    <w:p>
      <w:pPr>
        <w:adjustRightInd w:val="0"/>
        <w:snapToGrid w:val="0"/>
        <w:spacing w:line="360" w:lineRule="auto"/>
        <w:ind w:right="-55" w:firstLine="480" w:firstLineChars="200"/>
        <w:jc w:val="both"/>
        <w:rPr>
          <w:rFonts w:ascii="宋体" w:hAnsi="宋体"/>
          <w:sz w:val="24"/>
          <w:szCs w:val="24"/>
        </w:rPr>
      </w:pPr>
      <w:r>
        <w:rPr>
          <w:rFonts w:hint="eastAsia" w:ascii="宋体" w:hAnsi="宋体"/>
          <w:sz w:val="24"/>
          <w:szCs w:val="24"/>
        </w:rPr>
        <w:t>　　合同订立时间：</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rPr>
        <w:t>___</w:t>
      </w:r>
      <w:r>
        <w:rPr>
          <w:rFonts w:hint="eastAsia" w:ascii="宋体" w:hAnsi="宋体"/>
          <w:sz w:val="24"/>
          <w:szCs w:val="24"/>
        </w:rPr>
        <w:t>月</w:t>
      </w:r>
      <w:r>
        <w:rPr>
          <w:rFonts w:ascii="宋体" w:hAnsi="宋体"/>
          <w:sz w:val="24"/>
          <w:szCs w:val="24"/>
        </w:rPr>
        <w:t>___</w:t>
      </w:r>
      <w:r>
        <w:rPr>
          <w:rFonts w:hint="eastAsia" w:ascii="宋体" w:hAnsi="宋体"/>
          <w:sz w:val="24"/>
          <w:szCs w:val="24"/>
        </w:rPr>
        <w:t>日</w:t>
      </w:r>
    </w:p>
    <w:p>
      <w:pPr>
        <w:adjustRightInd w:val="0"/>
        <w:snapToGrid w:val="0"/>
        <w:spacing w:line="360" w:lineRule="auto"/>
        <w:ind w:right="-55" w:firstLine="480" w:firstLineChars="200"/>
        <w:jc w:val="both"/>
        <w:rPr>
          <w:rFonts w:ascii="宋体" w:hAnsi="宋体"/>
          <w:sz w:val="24"/>
          <w:szCs w:val="24"/>
          <w:u w:val="single"/>
        </w:rPr>
      </w:pPr>
      <w:r>
        <w:rPr>
          <w:rFonts w:hint="eastAsia" w:ascii="宋体" w:hAnsi="宋体"/>
          <w:sz w:val="24"/>
          <w:szCs w:val="24"/>
        </w:rPr>
        <w:t>　　合同订立地点：</w:t>
      </w:r>
      <w:r>
        <w:rPr>
          <w:rFonts w:hint="eastAsia" w:ascii="宋体" w:hAnsi="宋体"/>
          <w:sz w:val="24"/>
          <w:szCs w:val="24"/>
          <w:u w:val="single"/>
        </w:rPr>
        <w:t>广州市南沙区万顷沙镇红安路二号</w:t>
      </w:r>
    </w:p>
    <w:p>
      <w:pPr>
        <w:adjustRightInd w:val="0"/>
        <w:snapToGrid w:val="0"/>
        <w:spacing w:line="360" w:lineRule="auto"/>
        <w:ind w:right="-55"/>
        <w:jc w:val="both"/>
        <w:rPr>
          <w:rFonts w:ascii="宋体" w:hAnsi="宋体"/>
          <w:spacing w:val="-6"/>
          <w:sz w:val="24"/>
          <w:szCs w:val="24"/>
        </w:rPr>
      </w:pPr>
      <w:r>
        <w:rPr>
          <w:rFonts w:hint="eastAsia" w:ascii="宋体" w:hAnsi="宋体"/>
          <w:sz w:val="24"/>
          <w:szCs w:val="24"/>
        </w:rPr>
        <w:t>　　本合同双方约定：</w:t>
      </w:r>
      <w:r>
        <w:rPr>
          <w:rFonts w:hint="eastAsia" w:ascii="宋体" w:hAnsi="宋体"/>
          <w:sz w:val="24"/>
          <w:szCs w:val="24"/>
          <w:u w:val="single"/>
        </w:rPr>
        <w:t>双方签(章)字盖章后生效</w:t>
      </w:r>
      <w:r>
        <w:rPr>
          <w:rFonts w:hint="eastAsia" w:ascii="宋体" w:hAnsi="宋体"/>
          <w:sz w:val="24"/>
          <w:szCs w:val="24"/>
        </w:rPr>
        <w:t>。</w:t>
      </w:r>
    </w:p>
    <w:p>
      <w:pPr>
        <w:adjustRightInd w:val="0"/>
        <w:snapToGrid w:val="0"/>
        <w:spacing w:line="360" w:lineRule="auto"/>
        <w:ind w:left="1404" w:leftChars="228" w:right="-386" w:hanging="948" w:hangingChars="395"/>
        <w:jc w:val="both"/>
        <w:rPr>
          <w:rFonts w:ascii="宋体" w:hAnsi="宋体"/>
          <w:sz w:val="24"/>
        </w:rPr>
      </w:pPr>
    </w:p>
    <w:p>
      <w:pPr>
        <w:spacing w:line="360" w:lineRule="auto"/>
        <w:ind w:right="-384"/>
        <w:jc w:val="both"/>
        <w:rPr>
          <w:rFonts w:ascii="宋体" w:hAnsi="宋体"/>
          <w:sz w:val="24"/>
        </w:rPr>
      </w:pPr>
      <w:r>
        <w:rPr>
          <w:rFonts w:hint="eastAsia" w:ascii="宋体" w:hAnsi="宋体"/>
          <w:sz w:val="24"/>
        </w:rPr>
        <w:t>发包人</w:t>
      </w:r>
      <w:r>
        <w:rPr>
          <w:rFonts w:hint="eastAsia" w:ascii="宋体" w:hAnsi="宋体"/>
          <w:snapToGrid w:val="0"/>
          <w:sz w:val="24"/>
        </w:rPr>
        <w:t>：（公章）</w:t>
      </w:r>
      <w:r>
        <w:rPr>
          <w:rFonts w:hint="eastAsia" w:ascii="宋体" w:hAnsi="宋体"/>
          <w:sz w:val="24"/>
          <w:u w:val="single"/>
        </w:rPr>
        <w:t>东方国际集装箱（广州）</w:t>
      </w:r>
      <w:r>
        <w:rPr>
          <w:rFonts w:hint="eastAsia" w:ascii="宋体" w:hAnsi="宋体"/>
          <w:sz w:val="24"/>
        </w:rPr>
        <w:t xml:space="preserve">  承包人：（公章） </w:t>
      </w:r>
    </w:p>
    <w:p>
      <w:pPr>
        <w:spacing w:line="360" w:lineRule="auto"/>
        <w:ind w:left="456" w:leftChars="228" w:right="-384" w:firstLine="1663" w:firstLineChars="693"/>
        <w:jc w:val="both"/>
        <w:rPr>
          <w:rFonts w:ascii="宋体" w:hAnsi="宋体"/>
          <w:sz w:val="24"/>
        </w:rPr>
      </w:pPr>
      <w:r>
        <w:rPr>
          <w:rFonts w:hint="eastAsia" w:ascii="宋体" w:hAnsi="宋体"/>
          <w:sz w:val="24"/>
          <w:u w:val="single"/>
        </w:rPr>
        <w:t>有限公司</w:t>
      </w:r>
    </w:p>
    <w:p>
      <w:pPr>
        <w:spacing w:line="360" w:lineRule="auto"/>
        <w:ind w:right="-384"/>
        <w:jc w:val="both"/>
        <w:rPr>
          <w:rFonts w:ascii="宋体" w:hAnsi="宋体"/>
          <w:sz w:val="24"/>
        </w:rPr>
      </w:pPr>
    </w:p>
    <w:p>
      <w:pPr>
        <w:spacing w:line="360" w:lineRule="auto"/>
        <w:ind w:right="-384"/>
        <w:jc w:val="both"/>
        <w:rPr>
          <w:rFonts w:ascii="宋体" w:hAnsi="宋体"/>
          <w:sz w:val="24"/>
        </w:rPr>
      </w:pPr>
      <w:r>
        <w:rPr>
          <w:rFonts w:hint="eastAsia" w:ascii="宋体" w:hAnsi="宋体"/>
          <w:sz w:val="24"/>
        </w:rPr>
        <w:t>法定代表人：　　　　　　　              法定代表人：</w:t>
      </w:r>
    </w:p>
    <w:p>
      <w:pPr>
        <w:spacing w:line="360" w:lineRule="auto"/>
        <w:ind w:right="-384"/>
        <w:jc w:val="both"/>
        <w:rPr>
          <w:rFonts w:ascii="宋体" w:hAnsi="宋体"/>
          <w:sz w:val="24"/>
        </w:rPr>
      </w:pPr>
      <w:r>
        <w:rPr>
          <w:rFonts w:hint="eastAsia" w:ascii="宋体" w:hAnsi="宋体"/>
          <w:sz w:val="24"/>
        </w:rPr>
        <w:t>委托代理人：　　　　　　　　  　        委托代理人：</w:t>
      </w:r>
    </w:p>
    <w:p>
      <w:pPr>
        <w:spacing w:line="360" w:lineRule="auto"/>
        <w:ind w:right="-384"/>
        <w:jc w:val="both"/>
        <w:rPr>
          <w:rFonts w:ascii="宋体" w:hAnsi="宋体"/>
          <w:sz w:val="24"/>
          <w:szCs w:val="24"/>
          <w:u w:val="single"/>
        </w:rPr>
      </w:pPr>
      <w:r>
        <w:rPr>
          <w:rFonts w:hint="eastAsia" w:ascii="宋体" w:hAnsi="宋体"/>
          <w:sz w:val="24"/>
        </w:rPr>
        <w:t>住　所：</w:t>
      </w:r>
      <w:r>
        <w:rPr>
          <w:rFonts w:hint="eastAsia" w:ascii="宋体" w:hAnsi="宋体"/>
          <w:sz w:val="24"/>
          <w:szCs w:val="24"/>
          <w:u w:val="single"/>
        </w:rPr>
        <w:t>南沙区万顷沙镇红安路2号</w:t>
      </w:r>
      <w:r>
        <w:rPr>
          <w:rFonts w:hint="eastAsia" w:ascii="宋体" w:hAnsi="宋体"/>
          <w:sz w:val="24"/>
        </w:rPr>
        <w:t>　　　  住所：</w:t>
      </w:r>
    </w:p>
    <w:p>
      <w:pPr>
        <w:spacing w:line="360" w:lineRule="auto"/>
        <w:ind w:right="-384"/>
        <w:jc w:val="both"/>
        <w:rPr>
          <w:rFonts w:ascii="宋体" w:hAnsi="宋体"/>
          <w:sz w:val="24"/>
          <w:szCs w:val="24"/>
          <w:u w:val="single"/>
        </w:rPr>
      </w:pPr>
      <w:r>
        <w:rPr>
          <w:rFonts w:hint="eastAsia" w:ascii="宋体" w:hAnsi="宋体"/>
          <w:sz w:val="24"/>
        </w:rPr>
        <w:t>电　　话：　　　　　　                  电　　话：</w:t>
      </w:r>
    </w:p>
    <w:p>
      <w:pPr>
        <w:spacing w:line="360" w:lineRule="auto"/>
        <w:ind w:right="-384"/>
        <w:jc w:val="both"/>
        <w:rPr>
          <w:rFonts w:ascii="宋体" w:hAnsi="宋体"/>
          <w:sz w:val="24"/>
        </w:rPr>
      </w:pPr>
      <w:r>
        <w:rPr>
          <w:rFonts w:hint="eastAsia" w:ascii="宋体" w:hAnsi="宋体"/>
          <w:sz w:val="24"/>
        </w:rPr>
        <w:t>传　　真：　　　　　　                  传　　真：</w:t>
      </w:r>
    </w:p>
    <w:p>
      <w:pPr>
        <w:spacing w:line="360" w:lineRule="auto"/>
        <w:ind w:right="-384"/>
        <w:jc w:val="both"/>
        <w:rPr>
          <w:rFonts w:ascii="宋体" w:hAnsi="宋体"/>
          <w:sz w:val="24"/>
          <w:szCs w:val="24"/>
          <w:u w:val="single"/>
        </w:rPr>
      </w:pPr>
      <w:r>
        <w:rPr>
          <w:rFonts w:hint="eastAsia" w:ascii="宋体" w:hAnsi="宋体"/>
          <w:sz w:val="24"/>
        </w:rPr>
        <w:t>开户银行：　　                         开户银行：</w:t>
      </w:r>
    </w:p>
    <w:p>
      <w:pPr>
        <w:spacing w:line="360" w:lineRule="auto"/>
        <w:ind w:right="-384"/>
        <w:jc w:val="both"/>
        <w:rPr>
          <w:rFonts w:ascii="宋体" w:hAnsi="宋体"/>
          <w:sz w:val="24"/>
        </w:rPr>
      </w:pPr>
      <w:r>
        <w:rPr>
          <w:rFonts w:hint="eastAsia" w:ascii="宋体" w:hAnsi="宋体"/>
          <w:sz w:val="24"/>
        </w:rPr>
        <w:t>账　　号：　　　　                      账　　号：</w:t>
      </w:r>
    </w:p>
    <w:p>
      <w:pPr>
        <w:spacing w:line="360" w:lineRule="auto"/>
        <w:jc w:val="both"/>
        <w:rPr>
          <w:rFonts w:ascii="宋体" w:hAnsi="宋体"/>
        </w:rPr>
      </w:pPr>
    </w:p>
    <w:p>
      <w:pPr>
        <w:spacing w:line="360" w:lineRule="auto"/>
        <w:jc w:val="both"/>
        <w:rPr>
          <w:rFonts w:ascii="微软雅黑" w:hAnsi="微软雅黑" w:eastAsia="微软雅黑" w:cs="宋体"/>
          <w:color w:val="333333"/>
          <w:spacing w:val="7"/>
          <w:sz w:val="24"/>
          <w:szCs w:val="24"/>
        </w:rPr>
      </w:pPr>
      <w:r>
        <w:rPr>
          <w:rFonts w:ascii="微软雅黑" w:hAnsi="微软雅黑" w:eastAsia="微软雅黑" w:cs="宋体"/>
          <w:color w:val="333333"/>
          <w:spacing w:val="7"/>
          <w:sz w:val="24"/>
          <w:szCs w:val="24"/>
        </w:rPr>
        <w:br w:type="page"/>
      </w:r>
    </w:p>
    <w:p>
      <w:pPr>
        <w:shd w:val="clear" w:color="auto" w:fill="FFFFFF"/>
        <w:adjustRightInd w:val="0"/>
        <w:snapToGrid w:val="0"/>
        <w:spacing w:line="360" w:lineRule="auto"/>
        <w:jc w:val="both"/>
        <w:rPr>
          <w:rFonts w:cs="宋体" w:asciiTheme="majorEastAsia" w:hAnsiTheme="majorEastAsia" w:eastAsiaTheme="majorEastAsia"/>
          <w:b/>
          <w:bCs/>
          <w:color w:val="333333"/>
          <w:spacing w:val="7"/>
          <w:sz w:val="24"/>
          <w:szCs w:val="24"/>
        </w:rPr>
      </w:pPr>
      <w:r>
        <w:rPr>
          <w:rFonts w:hint="eastAsia" w:cs="宋体" w:asciiTheme="majorEastAsia" w:hAnsiTheme="majorEastAsia" w:eastAsiaTheme="majorEastAsia"/>
          <w:b/>
          <w:bCs/>
          <w:color w:val="333333"/>
          <w:spacing w:val="7"/>
          <w:sz w:val="24"/>
          <w:szCs w:val="24"/>
        </w:rPr>
        <w:t>第二部分 通用条款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一　词语定义及合同文件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　词语定义</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下列词语除专用条款另有约定外，应具有本条所赋予的定义:</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　通用条款:是根据法律、行政法规规定及建设工程施工的需要订立，通用于建设工程施工的条款。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1.2专用条款: 是发包人与承包人根据法律、行政法规规定，结合具体工程实际，经协商达成一致意见的条款，是对通用条款的具体化、补充或修改。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1.3发包人: 指在协议书中约定，具有工程发包主体资格和支付工程价款能力的当事人以及取得该当事人资格的合法继承人。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1.4 承包人: 指在协议书中约定，被发包人接受的具有工程施工承包主体资格的当事人以及取得该当事人资格的合法继承人。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1.5 项目经理:指承包人在专用条款中指定的负责施工管理和合同履行的代表。</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1.6 设计单位:指发包人委托的负责本工程设计并取得相应工程设计资质等级证书的单位。</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1.7监理单位:指发包人委托的负责本工程监理并取得相应工程监理资质等级证书的单位。</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1.8工程师: 指本工程监理单位委派的总监理工程师或发包人指定的履行本合同的代表，其具体身份和职权由发包人承包人在专用条款中约定。</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1.9工程造价管理部门: 指国务院有关部门、县级以上人民政府建设行政主管部门或其委托的工程造价管理机构。</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1.10工程:指发包人承包人在协议书中约定的承包范围内的工程。</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1.11合同价款:指发包人承包人在协议书中约定，发包人用以支付承包人按照合同约定完成承包范围内全部工程并承担质量保修责任的款项。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1.12追加合同价款:指在合同履行中发生需要增加合同价款的情况，经发包人确认后按计算合同价款的方法增加的合同价款。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1.13费用:指不包含在合同价款之内的应当由发包人或承包人承担的经济支出。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1.14工期:指发包人承包人在协议书中约定，按总日历天数(包括法定节假日)计算的承包天数。</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1.15开工日期:指发包人承包人在协议书中约定，承包人开始施工的绝对或相对的日期。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1.16竣工日期:指发包人承包人在协议书约定，承包人完成承包范围内工程的绝对或相对的日期。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1.17图纸:指由发包人提供或由承包人提供并经发包人批准，满足承包人施工需要的所有图纸(包括配套说明和有关资料)。</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1.18施工场地:指由发包人提供的用于工程施工的场所以及发包人在图纸中具体指定的供施工使用的任何其他场所。</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1.19书面形式:指合同书、信件和数据电文(包括电报、电传、传真、电子数据交换和电子邮件)等可以有形地表现所载内容的形式。</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1.20违约责任:指合同一方不履行合同义务或履行合同义务不符合约定所应承担的责任。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1.21索赔:指在合同履行过程中，对于并非自己的过错，而是应由对方承担责任的情况造成的实际损失，向对方提出经济补偿和(或)工期顺延的要求。</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1.22不可抗力:指不能预见、不能避免并不能克服的客观情况。</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2、合同文件及解释顺序</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2.1合同文件应能相互解释，互为说明。除专用条款另有约定外，组成本合同的文件及优先解释顺序如下:</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(1)本合同协议书</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(2)中标通知书</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(3)投标书及其附件</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(4)本合同专用条款</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(5)本合同通用条款</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(6)标准、规范及有关技术文件</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(7)图纸</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(8)工程量清单</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color w:val="333333"/>
          <w:spacing w:val="7"/>
          <w:sz w:val="24"/>
          <w:szCs w:val="24"/>
        </w:rPr>
      </w:pPr>
      <w:r>
        <w:rPr>
          <w:rFonts w:hint="eastAsia" w:cs="宋体" w:asciiTheme="majorEastAsia" w:hAnsiTheme="majorEastAsia" w:eastAsiaTheme="majorEastAsia"/>
          <w:color w:val="333333"/>
          <w:spacing w:val="7"/>
          <w:sz w:val="24"/>
          <w:szCs w:val="24"/>
        </w:rPr>
        <w:t>(9)工程报价单或预算书</w:t>
      </w:r>
      <w:r>
        <w:rPr>
          <w:rFonts w:hint="eastAsia" w:cs="宋体" w:asciiTheme="majorEastAsia" w:hAnsiTheme="majorEastAsia"/>
          <w:color w:val="333333"/>
          <w:spacing w:val="7"/>
          <w:sz w:val="24"/>
          <w:szCs w:val="24"/>
        </w:rPr>
        <w:t>;</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合同履行中，发包人承包人有关工程的洽商、变更等书面协议或文件视为本合同的组成部分。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2.2当合同文件内容含糊不清或不相一致时，在不影响工程正常进行的情况下，由发包人与承包人协商解决。双方协商不成或不同意负责监理的工程师的解释时，按本通用条款第37条关于争议的约定处理。</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 语言文字和适用法律、标准及规范</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3.1语言文字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本合同文件使用汉语语言文字书写、解释和说明。如专用条款约定使用两种以上(含两种)语言文字时，汉语应为解释和说明本合同的标准语言文字。</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在少数民族地区，双方可以约定使用少数民族语言文字书写和解释、说明本合同。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3.2适用法律和法规</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本合同文件适用国家的法律和行政法规。需要明示的法律、行政法规，由双方在专用条款中约定。</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3.3适用标准、规范</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本条所发生的购买、翻译标准、规范或制定施工工艺的费用，由发包人承担。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4、图纸</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4.2承包人未经发包人同意，不得将本工程图纸转给第三人。工程质量保修期满后，除承包人存档需要的图纸外，应将全部图纸退还给发包人。</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4.3承包人应在施工现场保留一套完整图纸，供工程师及有关人员进行工程检查时使用。</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二 双方一般权利和义务</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 工程师</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5.1实行工程监理的，发包人应在实施监理前将委托的监理单位名称、监理内容及监理权限以书面形式通知承包人。</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5.4合同履行中，发生影响发包人承包人双方权利或义务的事件时，负责监理的工程师应依据合同在其职权范围内客观公正地进行处理。一方对工程师的处理有异议时，按本通用条款第37条关于争议的约定处理。</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5.5除合同内有明确约定或经发包人同意外，负责监理的工程师无权解除本合同约定的承包人的任何权利与义务。</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5.6不实行工程监理的，本合同中工程师专指发包人派驻施工场地履行合同的代表，其具体职权由发包人在专用条款内写明。</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 工程师的委派和指令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除工程师或工程师代表外，发包人派驻工地的其他人员均无权向承包人发出任何指令。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承包人认为工程师指令不合理，应在收到指令后24小时内向工程师提出修改指令的书面报告，工程师在收到承包人报告后24小时内作出修改指令或继续执行原指令的决定，并以书面形式通知承包人。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6.3工程师应按合同约定，及时向承包人提供所需指令、批准并履行约定的其他义务。</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6.4如需更换工程师，发包人应至少提前7天以书面形式通知承包人，后任继续行使合同文件约定的前任的职权，履行前任的义务。</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 项目经理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7.1项目经理的姓名、职务在专用条款内写明。</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7.2承包人依据合同发出的通知，以书面形式由项目经理签字后送交工程师，工程师在回执上签署姓名和收到时间后生效。</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提交报告。责任在发包人或第三人，由发包人承担由此发生的追加合同价款，相应顺延工期;责任在承包人，由承包人承担费用，不顺延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7.4承包人如需要更换项目经理，应至少提前7天以书面形式通知发包人，并征得发包人同意。后任继续行使合同文件约定的前任的职权，履行前任的义务。</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7.5发包人可以与承包人协商，建议更换其认为不称职的项目经理。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8 发包人工作</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8.1发包人按专用条款约定的内容和时间完成以下工作:</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(1)办理土地征用、拆迁补偿、平整施工场地等工作，使施工场地具备施工条件，在开工后继续负责解决以上事项遗留问题;</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(2)将施工所需水、电、电讯线路从施工场地外部接至专用条款约定地点，保证施工期间的需要;</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(3)开通施工场地与城乡公共道路的通道，以及专用条款约定的施工场地内的主要道路，满足施工运输的需要，保证施工期间的畅通;</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(4)向承包人提供施工场地的工程地质和地下管线资料，对资料的真实准确性负责;</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(5)办理施工许可证及其他施工所需证件、批件和临时用地、停水、停电、中断道路交通、爆破作业等的申请批准手续(证明承包人自身资质的证件除外);</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(6)确定水准点与座标控制点，以书面形式交给承包人，进行现场交验;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(7)组织承包人和设计单位进行图纸会审和设计交底;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(8)协调处理施工场地周围地下管线和邻近建筑物、构筑物(包括文物保护建筑)、古树名木的保护工作、承担有关费用;</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(9)发包人应做的其他工作，双方在专用条款内约定。</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8.2发包人可以将8.1款部分工作委托承包人办理，双方在专用条款内约定，其费用由发包人承担。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8.3发包人未能履行8.1款各项义务，导致工期延误或给承包人造成损失的，发包人赔偿承包人有关损失，顺延延误的工期。</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9 承包人工作</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9.1承包人按专用条款约定的内容和时间完成以下工作:</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(1)根据发包人委托，在其设计资质等级和业务允许的范围内，完成施工图设计或与工程配套的设计，经工程师确认后使用，发包人承担由此发生的费用;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(2)向工程师提供年、季、月度工程进度计划及相应进度统计报表;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(3)根据工程需要，提供和维修非夜间施工使用的照明、围栏设施，负责安全保卫;</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(4)按专用条款约定的数量和要求，向发包人提供施工场地办公和生活的房屋及设施，发包人承担由此发生的费用;</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(5)遵守政府有关主管部门对施工场地交通、施工噪音以及环境保护和安全生产等的管理规定，按规定办理有关手续，并以书面形式通知发包人，发包人承担由此发生的费用，因承包人责任造成的罚款除外;</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(7)按专用条款约定做好施工场地地下管线和邻近建筑物、构筑物(包括文物保护建筑)、古树名木的保护工作;</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(8)保证施工场地清洁符合环境卫生管理的有关规定，交工前清理现场达到专用条款约定的要求，承担因自身原因违反有关规定造成的损失和罚款;</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(9)承包人应做的其他工作，双方在专用条款内约定。</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9.2承包人未能履行9.1款各项义务，造成发包人损失的，承包人赔偿发包人有关损失。</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三　施工组织设计和工期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10　进度计划</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10.1承包人应按专用条款约定的日期，将施工组织设计和工程进度计划提交修改意见，逾期不确认也不提出书面意见的，视为同意。</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10.2群体工程中单位工程分期进行施工的，承包人应按照发包人提供图纸及有关资料的时间，按单位工程编制进度计划，其具体内容双方在专用条款中约定。</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　开工及延期开工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11.1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不同意延期要求或承包人未在规定时间内提出延期开工要求，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11.2因发包人原因不能按照协议书约定的开工日期开工，工程师应以书面形式通知承包人，推迟开工日期。发包人赔偿承包人因延期开工造成的损失，并相应顺延工期。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12 暂停施工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因发包人原因造成停工的，相应顺延工期;因承包人原因造成停工的，由承包人承担发生的费用，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13 工期延误</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13.1因以下原因造成工期延误，经工程师确认，工期相应顺延: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(1)发包人未能按专用条款的约定提供图纸及开工条件;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w:t>
      </w:r>
      <w:r>
        <w:rPr>
          <w:rFonts w:cs="宋体" w:asciiTheme="majorEastAsia" w:hAnsiTheme="majorEastAsia" w:eastAsiaTheme="majorEastAsia"/>
          <w:color w:val="333333"/>
          <w:spacing w:val="7"/>
          <w:sz w:val="24"/>
          <w:szCs w:val="24"/>
        </w:rPr>
        <w:t>2</w:t>
      </w:r>
      <w:r>
        <w:rPr>
          <w:rFonts w:hint="eastAsia" w:cs="宋体" w:asciiTheme="majorEastAsia" w:hAnsiTheme="majorEastAsia" w:eastAsiaTheme="majorEastAsia"/>
          <w:color w:val="333333"/>
          <w:spacing w:val="7"/>
          <w:sz w:val="24"/>
          <w:szCs w:val="24"/>
        </w:rPr>
        <w:t>)工程师未按合同约定提供所需指令、批准等，致使施工不能正常进行;</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w:t>
      </w:r>
      <w:r>
        <w:rPr>
          <w:rFonts w:cs="宋体" w:asciiTheme="majorEastAsia" w:hAnsiTheme="majorEastAsia" w:eastAsiaTheme="majorEastAsia"/>
          <w:color w:val="333333"/>
          <w:spacing w:val="7"/>
          <w:sz w:val="24"/>
          <w:szCs w:val="24"/>
        </w:rPr>
        <w:t>3</w:t>
      </w:r>
      <w:r>
        <w:rPr>
          <w:rFonts w:hint="eastAsia" w:cs="宋体" w:asciiTheme="majorEastAsia" w:hAnsiTheme="majorEastAsia" w:eastAsiaTheme="majorEastAsia"/>
          <w:color w:val="333333"/>
          <w:spacing w:val="7"/>
          <w:sz w:val="24"/>
          <w:szCs w:val="24"/>
        </w:rPr>
        <w:t>)设计变更和工程量增加;</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w:t>
      </w:r>
      <w:r>
        <w:rPr>
          <w:rFonts w:cs="宋体" w:asciiTheme="majorEastAsia" w:hAnsiTheme="majorEastAsia" w:eastAsiaTheme="majorEastAsia"/>
          <w:color w:val="333333"/>
          <w:spacing w:val="7"/>
          <w:sz w:val="24"/>
          <w:szCs w:val="24"/>
        </w:rPr>
        <w:t>4</w:t>
      </w:r>
      <w:r>
        <w:rPr>
          <w:rFonts w:hint="eastAsia" w:cs="宋体" w:asciiTheme="majorEastAsia" w:hAnsiTheme="majorEastAsia" w:eastAsiaTheme="majorEastAsia"/>
          <w:color w:val="333333"/>
          <w:spacing w:val="7"/>
          <w:sz w:val="24"/>
          <w:szCs w:val="24"/>
        </w:rPr>
        <w:t>)一周内非承包人原因停水、停电、停气造成停工累计超过8小时;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w:t>
      </w:r>
      <w:r>
        <w:rPr>
          <w:rFonts w:cs="宋体" w:asciiTheme="majorEastAsia" w:hAnsiTheme="majorEastAsia" w:eastAsiaTheme="majorEastAsia"/>
          <w:color w:val="333333"/>
          <w:spacing w:val="7"/>
          <w:sz w:val="24"/>
          <w:szCs w:val="24"/>
        </w:rPr>
        <w:t>5</w:t>
      </w:r>
      <w:r>
        <w:rPr>
          <w:rFonts w:hint="eastAsia" w:cs="宋体" w:asciiTheme="majorEastAsia" w:hAnsiTheme="majorEastAsia" w:eastAsiaTheme="majorEastAsia"/>
          <w:color w:val="333333"/>
          <w:spacing w:val="7"/>
          <w:sz w:val="24"/>
          <w:szCs w:val="24"/>
        </w:rPr>
        <w:t>)不可抗力;</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w:t>
      </w:r>
      <w:r>
        <w:rPr>
          <w:rFonts w:cs="宋体" w:asciiTheme="majorEastAsia" w:hAnsiTheme="majorEastAsia" w:eastAsiaTheme="majorEastAsia"/>
          <w:color w:val="333333"/>
          <w:spacing w:val="7"/>
          <w:sz w:val="24"/>
          <w:szCs w:val="24"/>
        </w:rPr>
        <w:t>6</w:t>
      </w:r>
      <w:r>
        <w:rPr>
          <w:rFonts w:hint="eastAsia" w:cs="宋体" w:asciiTheme="majorEastAsia" w:hAnsiTheme="majorEastAsia" w:eastAsiaTheme="majorEastAsia"/>
          <w:color w:val="333333"/>
          <w:spacing w:val="7"/>
          <w:sz w:val="24"/>
          <w:szCs w:val="24"/>
        </w:rPr>
        <w:t>)专用条款中约定或工程师同意工期顺延的其他情况。</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13.2承包人在13.1款情况发生后14天内，就延误的工期以书面形式向工程师提出报告。工程师在收到报告后14天内予以确认，逾期不予确认也不提出修改意见，视为同意顺延工期。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14 工程竣工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14.1承包人必须按照协议书约定的竣工日期或工程师同意顺延的工期竣工。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14.2因承包人原因不能按照协议书约定的竣工日期或工程师同意顺延的工期竣工的，承包人承担违约责任。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四 质量与检验</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15 工程质量</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15.1工程质量应当达到协议书约定的质量标准，质量标准的评定以国家或行业的质量检验评定标准为依据。因承包人原因工程质量达不到约定的质量标准，承包人承担违约责任。</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15.2双方对工程质量有争议，由发包人指定的工程质量检测机构鉴定，所需费用及因此造成的损失，由承包人垫付，由最终责任方承担。双方均有责任，由双方根据其责任分别承担。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16　检查和返工</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16.1承包人应认真按照标准、规范和设计图纸要求以及工程师依据合同发出的指令施工，随时接受工程师的检查检验，为检查检验提供便利条件。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16.2工程质量达不到约定标准的部分（含隐蔽工程部分），应按工程师的要求拆除和重新施工，直到符合约定标准。因承包人原因达不到约定标准，由承包人承担拆除和重新施工的费用，工期不予顺延。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16.3工程师的检查检验不应影响施工正常进行，如影响施工正常进行，检查检验不合格时，影响正常施工的费用由承包人承担。除此之外影响正常施工的追加合同价款由发包人承担，相应顺延工期。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17　隐蔽工程和中间验收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17.2工程师不能按时进行验收，应在验收前24小时以书面形式向承包人提出延期要求，延期不能超过48小时。</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17.3经工程师验收，工程质量符合标准、规范和设计图纸等要求，验收</w:t>
      </w:r>
      <w:r>
        <w:rPr>
          <w:rFonts w:cs="宋体" w:asciiTheme="majorEastAsia" w:hAnsiTheme="majorEastAsia" w:eastAsiaTheme="majorEastAsia"/>
          <w:color w:val="333333"/>
          <w:spacing w:val="7"/>
          <w:sz w:val="24"/>
          <w:szCs w:val="24"/>
        </w:rPr>
        <w:t>48</w:t>
      </w:r>
      <w:r>
        <w:rPr>
          <w:rFonts w:hint="eastAsia" w:cs="宋体" w:asciiTheme="majorEastAsia" w:hAnsiTheme="majorEastAsia" w:eastAsiaTheme="majorEastAsia"/>
          <w:color w:val="333333"/>
          <w:spacing w:val="7"/>
          <w:sz w:val="24"/>
          <w:szCs w:val="24"/>
        </w:rPr>
        <w:t>小时后，工程师不在验收记录上签字，视为工程师已经认可验收记录，承包人可进行隐蔽或继续施工。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18 重新检验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并按本合同约定的期限整改至合格标准，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 工程试车</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19.1双方约定需要试车的，试车内容应与承包人承包的安装范围相一致。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19.3工程师不能按时参加试车，须在开始试车前24小时以书面形式向承包人提出延期要求。</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19.4设备安装工程具备无负荷联动试车条件，发包人组织试车，并在试车内容、时间、地点和对承包人的要求，承包人按要求做好准备工作。试车合格，双方在试车记录上签字。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19.5双方责任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(1)由于设计原因试车达不到验收要求，发包人应要求设计单位修改设计，承包人按修改后的设计重新安装。发包人承担修改设计、拆除及重新安装的全部费用和追加合同价款，工期相应顺延。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(3)由于承包人施工原因试车不到验收要求，承包人按工程师要求重新安装和试车，并承担重新安装和试车的费用，工期不予顺延。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(4)试车费用除已包括在合同价款之内或专用条款另有约定外，均由发包人承担。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(5)工程师在试车合格后不在试车记录上签字，试车结束24小时后，视为工程师已经认可试车记录，承包人可继续施工或办理竣工手续。</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19.6投料试车应在工程竣工验收后由发包人负责，如发包人要求在工程竣工验收前进行或需要承包人配合时，应征得承包人同意，另行签订补充协议。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五 安全施工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20　安全施工与检查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20.2发包人应对其在施工场地的工作人员进行安全教育，并对他们的安全负责。发包人不得要求承包人违反安全管理的规定进行施工。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21　安全防护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21.1承包人在动力设备、输电线路、地下管道、密封防震车间、易燃易爆地段以及临街交通要道附近施工时，施工开始前应向工程师提出安全防护措施，经工程师认可后实施，防护措施费用由承包人承担。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21.2实施爆破作业，在放射、毒害性环境中施工(含储存、运输、使用)及使用毒害性、腐蚀性物品施工时，承包人应在施工前14天以书面通知工程师，并提出相应的安全防护措施，经工程师认可后实施，由承包人承担安全防护措施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22 事故处理</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22.1发生重大伤亡及其他安全事故，承包人应按有关规定立即上报有关部门并通知工程师，同时按政府有关部门要求处理，由事故责任方承担发生的一切合理费用。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22.2发包人、承包人对事故责任有争议时，应按政府有关部门的认定处理。</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六 合同价款与支付</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23、合同价款及调整</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23.1招标工程的合同价款由发包人承包人依据中标通知书中的中标价格在协议书内约定。非招标工程的合同价款由发包人承包人依据工程预算书在协议书或本合同专用条款内约定。</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23.2合同价款在协议书内约定后，任何一方不得擅自改变。下列三种确定合同价款的方式，双方可在专用条款内约定采用其中一种:</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(1)固定价格合同。双方在专用条款内约定合同价款包含的风险范围和风险费用的计算方法，在约定的风险范围内合同价款不再调整。风险范围以外的合同价款调整方法。应当在专用条款内约定。</w:t>
      </w:r>
    </w:p>
    <w:p>
      <w:pPr>
        <w:shd w:val="clear" w:color="auto" w:fill="FFFFFF"/>
        <w:adjustRightInd w:val="0"/>
        <w:snapToGrid w:val="0"/>
        <w:spacing w:line="360" w:lineRule="auto"/>
        <w:ind w:firstLine="243" w:firstLineChars="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(2)可调价格合同。合同价款可根据双方的约定而调整，双方在专用条款内约定合同价款调整方法。</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 (3)成本加酬金合同。合同价款包括成本和酬金两部分，双方在专用条款内约定成本构成和酬金的计算方法。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23.3可调价格合同中合同价款的调整因素包括:</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 法律、行政法规和国家有关政策变化影响合同价款;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(2)工程造价管理部门公布的价格调整;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(3)一周内非承包人原因停水、停电、停气造成停工累计超过8小时;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(4)双方约定的其他因素。</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23.4承包人应当在23.3款情况发生后14天内，将调整原因、金额以书面形式通知工程师，工程师确认调整金额后作为追加合同价款，与工程款同期支付。</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24 工程预付款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 承包人可在发出通知后7天停止施工。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25　工程量的确认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25.2工程师收到承包人报告后7天内未进行计量，从第8天起，承包人报告中开列的工程量即视为被确认，作为工程价款支付的依据。工程师不按约定时间通知承包人，致命承包人未能参加计量，计量结果无效。</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25.3对承包人超出设计图纸范围和因承包人原因造成返工的工程量，工程师不予计量。</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26　工程款</w:t>
      </w:r>
      <w:r>
        <w:rPr>
          <w:rFonts w:cs="宋体" w:asciiTheme="majorEastAsia" w:hAnsiTheme="majorEastAsia" w:eastAsiaTheme="majorEastAsia"/>
          <w:color w:val="333333"/>
          <w:spacing w:val="7"/>
          <w:sz w:val="24"/>
          <w:szCs w:val="24"/>
        </w:rPr>
        <w:t>(进度款)支付</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26.1在确认计量结果后20天内，发包人应向承包人支付工程款(进度款)。按约定时间发包人应扣回的预付款，与工程款(进度款)同期结算。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26.2本通用条款第23条确定调整的合同价款，第31条工程变更调整的合同价款及其他条款中约定的追加合同价款，应与工程款(进度款)同期调整支付。</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26.3发包人超过约定的支付时间不支付工程款(进度款)，承包人可向发包人发出要求付款的通知，发包人收到承包人通知后仍不能按要求付款，可与承包人协商签订延期付款协议，经承包人同意后可延期支付。</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26.4发包人不按合同约定支付工程款(进度款)超过</w:t>
      </w:r>
      <w:r>
        <w:rPr>
          <w:rFonts w:cs="宋体" w:asciiTheme="majorEastAsia" w:hAnsiTheme="majorEastAsia" w:eastAsiaTheme="majorEastAsia"/>
          <w:color w:val="333333"/>
          <w:spacing w:val="7"/>
          <w:sz w:val="24"/>
          <w:szCs w:val="24"/>
        </w:rPr>
        <w:t>56</w:t>
      </w:r>
      <w:r>
        <w:rPr>
          <w:rFonts w:hint="eastAsia" w:cs="宋体" w:asciiTheme="majorEastAsia" w:hAnsiTheme="majorEastAsia" w:eastAsiaTheme="majorEastAsia"/>
          <w:color w:val="333333"/>
          <w:spacing w:val="7"/>
          <w:sz w:val="24"/>
          <w:szCs w:val="24"/>
        </w:rPr>
        <w:t>日，双方又未达成延期付款协议，导致施工无法进行，承包人可停止施工，由发包人承担违约责任。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七　材料设备供应</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　发包人供应材料设备</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27.1实行发包人供应材料设备的，双方应当约定发包人供应材料设备的一览表， 作为本合同附件(附件2)。一览表包括发包人供应材料设备的品种、规格、型号、数量、单价、质量等级、提供时间和地点。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27.2发包人按一览表约定的内容提供材料设备，并向承包人提供产品合格证明，对其质量负责。发包人在所供材料设备到贷前24小时，以书面形式通知承包人，由承包人派人与发包人共同清点。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27.3发包人供应的材料设备，承包人派人参加清点后由承包人妥善保管，发包人支付相应保管费用。因承包人原因发生丢失损坏，由承包人负责赔偿。</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发包人未通知承包人清点，承包人不负责材料设备的保管，丢失损坏由发包人负责。</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27.4发包人供应的材料设备与一览表不符时，发包人承担有关责任。发包人应承担责任的具体内容，双方根据下列情况在专用条款内约定:</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(1)材料设备单价与一览表不符，由发包人承担所有价差;</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(2)材料设备的品种、规格、型号、质量等级与一览表不符，承包人可拒绝接收保管，由发包人运出施工场地并重新采购;</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(3)发包人供应的材料规格、型号与一览表不符，经发包人同意，承包人可代为调剂串换，由发包人承担相应费用;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(4)到达地点与一览表不符，由发包人负责运至一览表指定地点;</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(5)供应数量少于一览表约定的数量时，由发包人补齐，多于一览表约定数量时，发包人负责将多出部分运出施工场地;</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(6)到达时间早于一览表约定时间，由发包人承担因此发生的保管费用;到达时间迟于一览表约定的供应时间，造成工期延误的，相应顺延工期;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27.5发包人供应的材料设备使用前，由承包人负责检验或试验，不合格的不得使用，检验或试验费用由发包人承担。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27.6发包人供应材料设备的结算方法，双方在专用条款内约定。</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　承包人采购材料设备</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28.1承包人负责采购材料设备的，应按照专用条款约定及设计和有关标准要求采购，并提供产品合格证明，对材料设备质量负责。承包人在材料设备到货前24小时通知工程师清点。</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28.2承包人采购的材料设备与设计标准要求不符时，承包人应按工程师要求的时间运出施工场地，重新采购符合要求的产品，承担由此发生的费用，由此延误的工期不予顺延。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28.3承包人采购的材料设备在使用前，承包人应按工程师的要求进行检验或试验，不合格的不得使用，检验或试验费用由承包人承担。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28.4工程师发现承包人采购并使用不符合设计和标准要求的材料设备时，应要求承包人负责修复、拆除或重新采购，由承包人承担发生的费用，由此延误的工期不予顺延。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28.5承包人需要使用代用材料时，应经工程师认可后才能使用，由此增减的合同价款双方以书面形式议定。</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28.6由承包人采购的材料设备，发包人不得指定生产厂或供应商。</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八　工程变更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29　工程设计变更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(1)更改工程有关部分的标高、基线、位置和尺寸;</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(2)增减合同中约定的工程量;</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(3)改变有关工程的施工时间和顺序;</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(4)其他有关工程变更需要的附加工作。</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因变更导致合同价款的增减及造成的承包人损失，由发包人承担，延误的工期相应顺延。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29.2施工中承包人不得对原工程设计进行变更。因承包人擅自变更设计发生的费用和由此导致发包人的一切损失，由承包人承担，延误的工期不予顺延。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工程师同意采用承包人合理化建议，所发生的费用和获得的收益，发包人承包人另行约定分担或分享。</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30　其他变更</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合同履行中发包人要求变更工程质量标准及发生其他实质性变更，由双方协商解决。</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　确定变更价款</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31.1承包人在工程变更确定后14天内，提出变更工程价款的报告，经工程师确认后调整合同价款。变更合同价款按下列方法进行: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(1)合同中已有适用于变更工程的价格，按合同已有的价格变更合同价款;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(2)合同中只有类似于变更工程的价格，可以参照类似价格变更合同</w:t>
      </w:r>
      <w:r>
        <w:rPr>
          <w:rFonts w:hint="eastAsia" w:cs="宋体" w:asciiTheme="majorEastAsia" w:hAnsiTheme="majorEastAsia"/>
          <w:color w:val="333333"/>
          <w:spacing w:val="7"/>
          <w:sz w:val="24"/>
          <w:szCs w:val="24"/>
        </w:rPr>
        <w:t>价</w:t>
      </w:r>
      <w:r>
        <w:rPr>
          <w:rFonts w:hint="eastAsia" w:cs="宋体" w:asciiTheme="majorEastAsia" w:hAnsiTheme="majorEastAsia" w:eastAsiaTheme="majorEastAsia"/>
          <w:color w:val="333333"/>
          <w:spacing w:val="7"/>
          <w:sz w:val="24"/>
          <w:szCs w:val="24"/>
        </w:rPr>
        <w:t>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(3)合同中没有适用或类似于变更工程的价格，由承包人提出适当的变更价格，经工程师确认后执行。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31.2承包人在双方确定变更后14天内不向工程师提出变更工程价款报告时，视为该项变更不涉及合同价款的变更。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31.3工程师应在收到变更工程价款报告之日起14天内予以确认，工程师无正当理由不确认时，自变更工程价款报告送达之日起14天后视为变更工程价款报告已被确认。</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31.4工程师不同意承包人提出的变更价款，按本通用条款第37条关于争议的约定处理。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31.5工程师确认增加的工程变更价款作为追加合同价款，与工程款同期支付。</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31.6因承包人自身原因导致的工程变更，承包人无权要求追加合同价款。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九　竣工验收与结算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　竣工验收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32.1工程具备竣工验收条件，承包人按国家工程竣工验收有关规定，向发包人提供完整竣工资料及竣工验收报告。双方约定由承包人提供竣工图的，应当在专用条款内约定提供的日期和份数。</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32.2发包人收到竣工验收报告后28天内组织有关单位验收，并在验收后14天内给予认可或提出修改意见。承包人按要求修改并重新提交竣工验收报告，并承担由自身原因造成修改的费用。</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32.3发包人收到承包人送交的竣工验收报告后28天内不组织验收，或验收后14天内不提出修改意见，视为竣工验收报告已被认可。</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32.4工程竣工验收通过，承包人送交竣工验收报告的日期为实际竣工日期，如经承包人修改后验收通过的，最终验收通过之日为实际竣工日期。工程按发包人要求修改后通过竣工验收的，实际竣工日期为承包人修改后提请发包人验收的日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32.5发包人收到承包人竣工验收报告后28天内不组织验收，承包人应继续承担工程保管及一切意外责任。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32.6中间交工工程的范围和竣工时间，双方在专用条款内约定，其验收程序按本通用条款32.1款至32.4款办理。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32.7因特殊原因，发包人要求部分单位工程或工程部位甩项竣工的，双方另行签订甩项竣工协议，明确双方责任和工程价款的支付方法。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32.8工程未经竣工验收或竣工验收未通过的，发包人不得使用。发包人强行使用时，由此发生的质量问题及其他问题，由发包人承担责任。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　竣工结算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33.1工程竣工验收报告经发包人认可后28天内，承包人向发包人递交竣工结算报告及完整的结算资料，双方按照协议书约定的合同价款及专用条款约定的合同价款调整内容，进行工程竣工结算。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33.3发包人收到竣工结算报告及结算资料后28天内无正当理由不支付工程竣工结算价款，从第29天起按承包人同期向银行贷款利率支付拖欠工程价款的利息，利息最高不超过工程竣工结算价款的1</w:t>
      </w:r>
      <w:r>
        <w:rPr>
          <w:rFonts w:cs="宋体" w:asciiTheme="majorEastAsia" w:hAnsiTheme="majorEastAsia" w:eastAsiaTheme="majorEastAsia"/>
          <w:color w:val="333333"/>
          <w:spacing w:val="7"/>
          <w:sz w:val="24"/>
          <w:szCs w:val="24"/>
        </w:rPr>
        <w:t>%</w:t>
      </w:r>
      <w:r>
        <w:rPr>
          <w:rFonts w:hint="eastAsia" w:cs="宋体" w:asciiTheme="majorEastAsia" w:hAnsiTheme="majorEastAsia" w:eastAsiaTheme="majorEastAsia"/>
          <w:color w:val="333333"/>
          <w:spacing w:val="7"/>
          <w:sz w:val="24"/>
          <w:szCs w:val="24"/>
        </w:rPr>
        <w:t>。</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33.6发包人承包人对工程竣工结算价款发生争议时，按本通用条款第37条关于争议的约定处理。</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34　质量保修</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34.1承包人应按法律、行政法规或国家关于工程质量保修的在关规定，对交付发包人使用的工程在质量保修期内承担质量保修责任。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34.2质量保修工作的实施。承包人应在工程竣工验收之前，与发包人签订质量保修书，作为本合同附件。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34.3质量保修书的主要内容包括:</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(1)质量保修项目内容及范围;</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(2)质量保修期;</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(3)质量保修责任;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(4)质量保修金的支付方法。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十　违约、索赔和争议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35　违约</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35.1 发包人违约。当发生下列情况时: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(1)本通用条款第24条提到的发包人不按时支付工程预付款;</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(2)本通用条款第26.4款提到的发包人不按合同约定支付工程款，导致施工无法进行;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(3)本通用条款第33.3款提到的发包人无正当理由不支付工程竣工结算价款;</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(4)发包人不履行合同义务或不按合同约定履行义务的其他情况。</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发包人承担违约责任，赔偿因其违约给承包人造成的经济损失，顺延延误的工期。双方在专用条款内约定发包人赔偿承包人损失的计算方法或者发包人应当支付违约金的数额或计算方法。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35.2承包人违约。当发生下列情况时:</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(1)本通用条款第14.2款提到的因承包人原因不能按照协议书约定的竣工日期或工程师同意顺延的工期竣工;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(2)本通用条款第15.1款提到的因承包人原因工程质量达不到协议书约定的质量标准;</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 本合同专有条款约定的其他情况；</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(4)承包人不履行合同义务或不按合同约定履行义务的其他情况。</w:t>
      </w:r>
    </w:p>
    <w:p>
      <w:pPr>
        <w:shd w:val="clear" w:color="auto" w:fill="FFFFFF"/>
        <w:adjustRightInd w:val="0"/>
        <w:snapToGrid w:val="0"/>
        <w:spacing w:line="360" w:lineRule="auto"/>
        <w:ind w:firstLine="508" w:firstLineChars="200"/>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承包人承担违约责任，赔偿因其违约给发包人造成的损失，双方在专用条款内约定承包人赔偿发包人损失的计算方法或者承包人应当支付违约金的数额或计算方法。</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35.3一方违约后，另一方要求违约方继续履行合同时，违约方承担上述违约责任后仍应继续履行合同。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36　索赔</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36.1当一方向另一方提出索赔时，要有正当索赔理由，且有索赔事件发生时的有效证据。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(1)索赔事件发生后28天内，向工程师发出索赔意向通知;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(2)发出索赔意向通知后28天内，向工程师提出延长工期和(或)补偿经济损失的索赔报告及有关资料;</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(3)工程师在收到承包人送交的索赔报告和有关资料后，于28天内给予答复，或要求承包人进一步补充索赔理由和证据;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(4)工程师在收到承包人送交的索赔报告和有关资料后28天内未予答复或未对承包人作进一步要求，视为该项索赔已经认可;</w:t>
      </w:r>
    </w:p>
    <w:p>
      <w:pPr>
        <w:shd w:val="clear" w:color="auto" w:fill="FFFFFF"/>
        <w:adjustRightInd w:val="0"/>
        <w:snapToGrid w:val="0"/>
        <w:spacing w:line="360" w:lineRule="auto"/>
        <w:ind w:firstLine="495" w:firstLineChars="19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(5)当该索赔事件持续进行时，承包人应当阶段性向工程师发出索赔意向，在索赔事件终了后28天内，向工程师送交索赔的有关资料和最终索赔报告。索赔答复程序与(3)、(4)规定相同。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36.3承包人未能按合同约定履行自己的各项义务或发生错误，给发包人造成经济损失，发包人可按36.2款确定的时限向承包人提出索赔。</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37　争议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 xml:space="preserve">37.1发包人承包人在履行合同时发生争议，可以和解或者要求有关主管部门调解。当事人不愿和解、调解或者和解、调解不成的，双方可以在专用条款内约定以下     </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第二种方式解决争议:</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第一种解决方式:双方达成仲裁协议，向约定的仲裁委员会申请仲裁;</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第二种解决方式:向有管辖权的人民法院起诉。</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败诉方应当承担胜诉方由此产生的所有合理费用，包括但不限于诉讼费、担保费、律师费、交通费等。</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37.2发生争议后，除非出现下列情况的，双方都应继续履行合同，保持施工连续，保护好已完工程:</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(1)单方违约导致合同确已无法履行，双方协议停止施工;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(2)调解要求停止施工，且为双方接受;</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(3)仲裁机构要求停止施工;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(4)法院要求停止施工。</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十一　其他</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38　工程分包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38.1承包人按专用条款的约定分包所承包的部分工程，并与分包单位签订分包合同。非经发包人书面同意，承包人不得将承包工程的任何部分分包。</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38.2承包人不得将其承包的全部工程转包给他人，也不得将其承包的全部工程肢解以后以分包的名义分别转包给他人。</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38.3工程分包不能解除承包人任何责任与义务。承包人应在分包场地派驻相应管理人员，保证本合同的履行。分包单位的任何违约行为或疏忽导致工程损害或给发包人造成其他损失，承包人承担连带责任。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38.4分包工程价款由承包人与分包单位结算。发包人未经承包人同意不得以任何形式向分包单位支付各种工程款项。</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39　不可抗力</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39.1不可抗力包括因战争、动乱、空中飞行物体坠落或其他非发包人承包人责任造成的爆炸、火灾，以及专用条款约定的风雨、雪、洪、震等自然灾害。</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39.2不可抗力事件发生后，承包人应立即通知工程师，在力所能及的条件下迅速采取措施，尽力减少损失，发包人应协助承包人采取措施。不可抗力事件结束后 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39.3因不可抗力事件导致的费用及延误的工期由双方按以下方法分别承担: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(1)工程本身的损害、因工程损害导致第三人人员伤亡和财产损失以及运至施工场地用于施工的材料和待安装的设备的损害，由承包人承担;</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(2)发包人承包人人员伤亡由其所在单位负责，并承担相应费用;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(3)承包人机械设备损坏及停工损失，由承包人承担;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(4)停工期间，承包人应工程师要求留在施工场地的必要的管理人员及保卫人员的费用由承包人承担;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(5)工程所需清理、修复费用，由发包人承担;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(6)延误的工期相应顺延。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39.4因合同一方迟延履行合同后发生不可抗力的，不能免除迟延履行方的相应责任。</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　保险</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40.1工程开工前，发包人为建设工程和施工场内的自有人员生命财产办理保险，支付保险费用。其他人员的保险办理一概</w:t>
      </w:r>
      <w:r>
        <w:rPr>
          <w:rFonts w:hint="eastAsia" w:cs="宋体" w:asciiTheme="majorEastAsia" w:hAnsiTheme="majorEastAsia"/>
          <w:color w:val="333333"/>
          <w:spacing w:val="7"/>
          <w:sz w:val="24"/>
          <w:szCs w:val="24"/>
        </w:rPr>
        <w:t>由</w:t>
      </w:r>
      <w:r>
        <w:rPr>
          <w:rFonts w:hint="eastAsia" w:cs="宋体" w:asciiTheme="majorEastAsia" w:hAnsiTheme="majorEastAsia" w:eastAsiaTheme="majorEastAsia"/>
          <w:color w:val="333333"/>
          <w:spacing w:val="7"/>
          <w:sz w:val="24"/>
          <w:szCs w:val="24"/>
        </w:rPr>
        <w:t>承包人负责，费用由承包人承担。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40.2由发包人购买并运至施工场地内用于工程的材料和待安装设备，由发包人办理保险，并支付保险费用。其他材料和待安装设备的保险事宜由承包人负责，费用由承包人承担。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40.3发包人可以将有关保险事项委托承包人办理，费用由发包人承担。</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40.4承包人必须为人事危险作业的职工办理意外伤害保险，并为施工场地内自有人员生命财产和施工机械设备办理保险，支付保险费用。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40.5保险事故发生时，发包人承包人有责任尽力采取必要的措施，防止或者减少损失。</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40.6具体投保内容和相关责任，发包人承包人在专用条款中约定。</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41　担保</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41.1发包人承包人为了全面履行合同，应互相提供以下担保:</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(1)发包人向承包人提供履约担保，按合同约定支付工程价款及履行合同约定的其他义务。</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(2)承包人向发包人提供履约担保，按合同约定履行自己的各项义务。</w:t>
      </w:r>
    </w:p>
    <w:p>
      <w:pPr>
        <w:shd w:val="clear" w:color="auto" w:fill="FFFFFF"/>
        <w:adjustRightInd w:val="0"/>
        <w:snapToGrid w:val="0"/>
        <w:spacing w:line="360" w:lineRule="auto"/>
        <w:ind w:firstLine="370" w:firstLineChars="14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41.2一方违约后，另一方可要求提供担保的第三人承担相应责任。</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41.3提供担保的内容、方式和相关责任，发包人承包人除在专用条款中约定外，被担保方与担保方还应签订担保合同，作为本合同附件。</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42　专利技术及特殊工艺</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42.1发包人要求使用专利技术或特殊工艺，就负责办理相应的申报手续，承包人予以配合，相应申报、试验、使用等费用包含在本合同总价内;承包人提出使用专利技术或特殊工艺，应取得工程师认可，承包人负责办理申报手续并承担有关费用。</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42.2擅自使用专利技术侵犯他人专利权的，责任者依法承担相应责任，承包人擅自使用专利技术侵犯他人专利权或其他知识产权而产生的一切法律后果，与发包人无关，因此造成发包人损失的，承包人应予以赔偿。</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43　文物和地下障碍物</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如发现后隐瞒不报，致使文物遭受破坏，责任者依法承担相应责任。</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43.2施工中发现影响施工的地下障碍物时，承包人应于8小时内以书面形式通知工程师，同时提出处置方案，工程师收到处置方案后24小时内予以认可或提出修正方案。承包人承担由此发生的费用，如遇确属未能预见之障碍物时，发包人相应顺延延误的工期。</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所发现的地下障碍物有归属单位时，发包人应报请有关部门协同处置。</w:t>
      </w:r>
    </w:p>
    <w:p>
      <w:pPr>
        <w:shd w:val="clear" w:color="auto" w:fill="FFFFFF"/>
        <w:adjustRightInd w:val="0"/>
        <w:snapToGrid w:val="0"/>
        <w:spacing w:line="360" w:lineRule="auto"/>
        <w:ind w:firstLine="373" w:firstLineChars="147"/>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　合同解除</w:t>
      </w:r>
    </w:p>
    <w:p>
      <w:pPr>
        <w:shd w:val="clear" w:color="auto" w:fill="FFFFFF"/>
        <w:adjustRightInd w:val="0"/>
        <w:snapToGrid w:val="0"/>
        <w:spacing w:line="360" w:lineRule="auto"/>
        <w:ind w:firstLine="363"/>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44.1发包人承包人协商一致，可以解除合同。</w:t>
      </w:r>
    </w:p>
    <w:p>
      <w:pPr>
        <w:shd w:val="clear" w:color="auto" w:fill="FFFFFF"/>
        <w:adjustRightInd w:val="0"/>
        <w:snapToGrid w:val="0"/>
        <w:spacing w:line="360" w:lineRule="auto"/>
        <w:ind w:firstLine="378"/>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44.2发生本通用条款第26.4款情况，停止施工超过56天，发包人仍不支付工程款(进度款)，承包人有权解除合同。</w:t>
      </w:r>
    </w:p>
    <w:p>
      <w:pPr>
        <w:shd w:val="clear" w:color="auto" w:fill="FFFFFF"/>
        <w:adjustRightInd w:val="0"/>
        <w:snapToGrid w:val="0"/>
        <w:spacing w:line="360" w:lineRule="auto"/>
        <w:ind w:firstLine="484"/>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44.3发生本通用条款第38.2款禁止的情况，承包人将其承包的全部工程转包给他人或者肢解以后以分包的名义分别转包给他人，发包人有权解除合同。</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44.4有下列情形之一的，发包人承包人可以解除合同:</w:t>
      </w:r>
    </w:p>
    <w:p>
      <w:pPr>
        <w:shd w:val="clear" w:color="auto" w:fill="FFFFFF"/>
        <w:adjustRightInd w:val="0"/>
        <w:snapToGrid w:val="0"/>
        <w:spacing w:line="360" w:lineRule="auto"/>
        <w:ind w:firstLine="482"/>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(1)因不可抗力致使合同无法履行;</w:t>
      </w:r>
    </w:p>
    <w:p>
      <w:pPr>
        <w:shd w:val="clear" w:color="auto" w:fill="FFFFFF"/>
        <w:adjustRightInd w:val="0"/>
        <w:snapToGrid w:val="0"/>
        <w:spacing w:line="360" w:lineRule="auto"/>
        <w:ind w:firstLine="482"/>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(2)因一方违约(包括因发包人原因造成工程停建或缓建)致使合同无法履行。</w:t>
      </w:r>
    </w:p>
    <w:p>
      <w:pPr>
        <w:shd w:val="clear" w:color="auto" w:fill="FFFFFF"/>
        <w:adjustRightInd w:val="0"/>
        <w:snapToGrid w:val="0"/>
        <w:spacing w:line="360" w:lineRule="auto"/>
        <w:ind w:firstLine="484"/>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44.5一方依据44.2、44.3、44.4款或专用条款约定要求解除合同的，应以书面形式向对方发出解除合同的通知，并在发出通知前7天告知对方， 通知到达对方时合同解除。对解除合同有争议的，按专用条款关于争议的约定处理。</w:t>
      </w:r>
    </w:p>
    <w:p>
      <w:pPr>
        <w:shd w:val="clear" w:color="auto" w:fill="FFFFFF"/>
        <w:adjustRightInd w:val="0"/>
        <w:snapToGrid w:val="0"/>
        <w:spacing w:line="360" w:lineRule="auto"/>
        <w:ind w:firstLine="484"/>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44.6合同解除后，承包人应妥善做好已完工程和已购材料、设备的保护和移交工作，按发包人要求将自有机械设备和人员撤出施工场地。发包人应为承包人撤出提供必要条件，扣除承包人应付违约金等款项后，按合同约定支付剩余已完工程价款；如承包人已收预付款多于违约金的，承包人应予以退还，并支付相应违约金等款项。已经订货的材料、设备由订货方负责退货或解除订货合同，不能退还的货款和因退货、解除订货合同发生的费用，由订货方承担，因未及时退货造成的损失由责任方承担。除此之外，有过错的一方应当赔偿因合同解除给对方造成的损失。</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44.7合同解除后，不影响双方在合同中约定的结算、清理和争议解决条款的效力。</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45　合同生效与终止</w:t>
      </w:r>
    </w:p>
    <w:p>
      <w:pPr>
        <w:shd w:val="clear" w:color="auto" w:fill="FFFFFF"/>
        <w:adjustRightInd w:val="0"/>
        <w:snapToGrid w:val="0"/>
        <w:spacing w:line="360" w:lineRule="auto"/>
        <w:ind w:firstLine="497" w:firstLineChars="196"/>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45.1双方在协议书中约定合同生效方式。</w:t>
      </w:r>
    </w:p>
    <w:p>
      <w:pPr>
        <w:shd w:val="clear" w:color="auto" w:fill="FFFFFF"/>
        <w:adjustRightInd w:val="0"/>
        <w:snapToGrid w:val="0"/>
        <w:spacing w:line="360" w:lineRule="auto"/>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45.2除本通用条款第34条外，发包人承包人履行合同全部义务，竣工结算价款支付完毕，承包人向发包人交付竣工工程后，本合同即告终止。</w:t>
      </w:r>
    </w:p>
    <w:p>
      <w:pPr>
        <w:shd w:val="clear" w:color="auto" w:fill="FFFFFF"/>
        <w:adjustRightInd w:val="0"/>
        <w:snapToGrid w:val="0"/>
        <w:spacing w:line="360" w:lineRule="auto"/>
        <w:ind w:firstLine="606"/>
        <w:jc w:val="both"/>
        <w:rPr>
          <w:rFonts w:cs="宋体" w:asciiTheme="majorEastAsia" w:hAnsiTheme="majorEastAsia" w:eastAsiaTheme="majorEastAsia"/>
          <w:color w:val="333333"/>
          <w:spacing w:val="7"/>
          <w:sz w:val="23"/>
          <w:szCs w:val="23"/>
        </w:rPr>
      </w:pPr>
      <w:r>
        <w:rPr>
          <w:rFonts w:hint="eastAsia" w:cs="宋体" w:asciiTheme="majorEastAsia" w:hAnsiTheme="majorEastAsia" w:eastAsiaTheme="majorEastAsia"/>
          <w:color w:val="333333"/>
          <w:spacing w:val="7"/>
          <w:sz w:val="24"/>
          <w:szCs w:val="24"/>
        </w:rPr>
        <w:t>45.3合同的权利义务终止后，发包人承包人应当遵循诚实信用原则，履行通知、协助、保密等义务。</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46　合同份数</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46.1本合同正本两份，具有同等效力，由发包人承包人分别保存一份。</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46.2本合同副本份数，由双方根据需要在专用条款内约定。</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47　补充条款</w:t>
      </w:r>
    </w:p>
    <w:p>
      <w:pPr>
        <w:shd w:val="clear" w:color="auto" w:fill="FFFFFF"/>
        <w:adjustRightInd w:val="0"/>
        <w:snapToGrid w:val="0"/>
        <w:spacing w:line="360" w:lineRule="auto"/>
        <w:ind w:firstLine="622" w:firstLineChars="245"/>
        <w:jc w:val="both"/>
        <w:rPr>
          <w:rFonts w:cs="宋体" w:asciiTheme="majorEastAsia" w:hAnsiTheme="majorEastAsia" w:eastAsiaTheme="majorEastAsia"/>
          <w:color w:val="333333"/>
          <w:spacing w:val="7"/>
          <w:sz w:val="24"/>
          <w:szCs w:val="24"/>
        </w:rPr>
      </w:pPr>
      <w:r>
        <w:rPr>
          <w:rFonts w:hint="eastAsia" w:cs="宋体" w:asciiTheme="majorEastAsia" w:hAnsiTheme="majorEastAsia" w:eastAsiaTheme="majorEastAsia"/>
          <w:color w:val="333333"/>
          <w:spacing w:val="7"/>
          <w:sz w:val="24"/>
          <w:szCs w:val="24"/>
        </w:rPr>
        <w:t>双方根据有关法律、行政法规规定，结合工程实际经协商一致后，可对本通用条款内容具体化、补充或修改，在专用条款内约定。</w:t>
      </w:r>
    </w:p>
    <w:p>
      <w:pPr>
        <w:adjustRightInd w:val="0"/>
        <w:snapToGrid w:val="0"/>
        <w:spacing w:line="360" w:lineRule="auto"/>
        <w:ind w:firstLine="600" w:firstLineChars="250"/>
        <w:jc w:val="both"/>
        <w:rPr>
          <w:rFonts w:asciiTheme="majorEastAsia" w:hAnsiTheme="majorEastAsia" w:eastAsiaTheme="majorEastAsia"/>
          <w:sz w:val="24"/>
          <w:szCs w:val="24"/>
        </w:rPr>
      </w:pPr>
    </w:p>
    <w:p>
      <w:pPr>
        <w:adjustRightInd w:val="0"/>
        <w:snapToGrid w:val="0"/>
        <w:spacing w:line="360" w:lineRule="auto"/>
        <w:ind w:firstLine="600" w:firstLineChars="250"/>
        <w:jc w:val="both"/>
        <w:rPr>
          <w:rFonts w:asciiTheme="majorEastAsia" w:hAnsiTheme="majorEastAsia" w:eastAsiaTheme="majorEastAsia"/>
          <w:sz w:val="24"/>
          <w:szCs w:val="24"/>
        </w:rPr>
      </w:pPr>
    </w:p>
    <w:p>
      <w:pPr>
        <w:pStyle w:val="4"/>
        <w:ind w:right="-269"/>
        <w:rPr>
          <w:rFonts w:asciiTheme="majorEastAsia" w:hAnsiTheme="majorEastAsia" w:eastAsiaTheme="majorEastAsia"/>
          <w:b w:val="0"/>
          <w:sz w:val="24"/>
          <w:szCs w:val="24"/>
        </w:rPr>
      </w:pPr>
      <w:r>
        <w:rPr>
          <w:rFonts w:hint="eastAsia" w:ascii="微软雅黑" w:hAnsi="微软雅黑" w:eastAsia="微软雅黑" w:cs="宋体"/>
          <w:color w:val="333333"/>
          <w:spacing w:val="7"/>
          <w:sz w:val="24"/>
          <w:szCs w:val="24"/>
        </w:rPr>
        <w:t>第三部分  专用条款</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一  词语定义及合同文件</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1 合同文件及解释顺序</w:t>
      </w:r>
    </w:p>
    <w:p>
      <w:pPr>
        <w:spacing w:line="360" w:lineRule="auto"/>
        <w:ind w:right="-55"/>
        <w:jc w:val="both"/>
        <w:rPr>
          <w:rFonts w:asciiTheme="majorEastAsia" w:hAnsiTheme="majorEastAsia"/>
          <w:sz w:val="24"/>
          <w:u w:val="single"/>
        </w:rPr>
      </w:pPr>
      <w:r>
        <w:rPr>
          <w:rFonts w:hint="eastAsia" w:asciiTheme="majorEastAsia" w:hAnsiTheme="majorEastAsia" w:eastAsiaTheme="majorEastAsia"/>
          <w:sz w:val="24"/>
        </w:rPr>
        <w:t>　　合同文件组成及解释顺序：</w:t>
      </w:r>
      <w:r>
        <w:rPr>
          <w:rFonts w:asciiTheme="majorEastAsia" w:hAnsiTheme="majorEastAsia" w:eastAsiaTheme="majorEastAsia"/>
          <w:sz w:val="24"/>
          <w:u w:val="single"/>
        </w:rPr>
        <w:t>1</w:t>
      </w:r>
      <w:r>
        <w:rPr>
          <w:rFonts w:hint="eastAsia" w:asciiTheme="majorEastAsia" w:hAnsiTheme="majorEastAsia" w:eastAsiaTheme="majorEastAsia"/>
          <w:sz w:val="24"/>
          <w:u w:val="single"/>
        </w:rPr>
        <w:t>、本合同履行期间发包人与承包人签定的补充合同（协议）或修正文件；</w:t>
      </w:r>
      <w:r>
        <w:rPr>
          <w:rFonts w:asciiTheme="majorEastAsia" w:hAnsiTheme="majorEastAsia" w:eastAsiaTheme="majorEastAsia"/>
          <w:sz w:val="24"/>
          <w:u w:val="single"/>
        </w:rPr>
        <w:t>2</w:t>
      </w:r>
      <w:r>
        <w:rPr>
          <w:rFonts w:hint="eastAsia" w:asciiTheme="majorEastAsia" w:hAnsiTheme="majorEastAsia" w:eastAsiaTheme="majorEastAsia"/>
          <w:sz w:val="24"/>
          <w:u w:val="single"/>
        </w:rPr>
        <w:t>、本合同协议书；</w:t>
      </w:r>
      <w:r>
        <w:rPr>
          <w:rFonts w:asciiTheme="majorEastAsia" w:hAnsiTheme="majorEastAsia" w:eastAsiaTheme="majorEastAsia"/>
          <w:sz w:val="24"/>
          <w:u w:val="single"/>
        </w:rPr>
        <w:t>3</w:t>
      </w:r>
      <w:r>
        <w:rPr>
          <w:rFonts w:hint="eastAsia" w:asciiTheme="majorEastAsia" w:hAnsiTheme="majorEastAsia" w:eastAsiaTheme="majorEastAsia"/>
          <w:sz w:val="24"/>
          <w:u w:val="single"/>
        </w:rPr>
        <w:t>、中标通知书；</w:t>
      </w:r>
      <w:r>
        <w:rPr>
          <w:rFonts w:asciiTheme="majorEastAsia" w:hAnsiTheme="majorEastAsia" w:eastAsiaTheme="majorEastAsia"/>
          <w:sz w:val="24"/>
          <w:u w:val="single"/>
        </w:rPr>
        <w:t>4</w:t>
      </w:r>
      <w:r>
        <w:rPr>
          <w:rFonts w:hint="eastAsia" w:asciiTheme="majorEastAsia" w:hAnsiTheme="majorEastAsia" w:eastAsiaTheme="majorEastAsia"/>
          <w:sz w:val="24"/>
          <w:u w:val="single"/>
        </w:rPr>
        <w:t>、本合同专用条款；</w:t>
      </w:r>
      <w:r>
        <w:rPr>
          <w:rFonts w:asciiTheme="majorEastAsia" w:hAnsiTheme="majorEastAsia" w:eastAsiaTheme="majorEastAsia"/>
          <w:sz w:val="24"/>
          <w:u w:val="single"/>
        </w:rPr>
        <w:t>5</w:t>
      </w:r>
      <w:r>
        <w:rPr>
          <w:rFonts w:hint="eastAsia" w:asciiTheme="majorEastAsia" w:hAnsiTheme="majorEastAsia" w:eastAsiaTheme="majorEastAsia"/>
          <w:sz w:val="24"/>
          <w:u w:val="single"/>
        </w:rPr>
        <w:t>、本合同通用条款；</w:t>
      </w:r>
      <w:r>
        <w:rPr>
          <w:rFonts w:asciiTheme="majorEastAsia" w:hAnsiTheme="majorEastAsia" w:eastAsiaTheme="majorEastAsia"/>
          <w:sz w:val="24"/>
          <w:u w:val="single"/>
        </w:rPr>
        <w:t>6</w:t>
      </w:r>
      <w:r>
        <w:rPr>
          <w:rFonts w:hint="eastAsia" w:asciiTheme="majorEastAsia" w:hAnsiTheme="majorEastAsia" w:eastAsiaTheme="majorEastAsia"/>
          <w:sz w:val="24"/>
          <w:u w:val="single"/>
        </w:rPr>
        <w:t>、投标文件及其附件；</w:t>
      </w:r>
      <w:r>
        <w:rPr>
          <w:rFonts w:asciiTheme="majorEastAsia" w:hAnsiTheme="majorEastAsia" w:eastAsiaTheme="majorEastAsia"/>
          <w:sz w:val="24"/>
          <w:u w:val="single"/>
        </w:rPr>
        <w:t>7</w:t>
      </w:r>
      <w:r>
        <w:rPr>
          <w:rFonts w:hint="eastAsia" w:asciiTheme="majorEastAsia" w:hAnsiTheme="majorEastAsia" w:eastAsiaTheme="majorEastAsia"/>
          <w:sz w:val="24"/>
          <w:u w:val="single"/>
        </w:rPr>
        <w:t>招标文件、招标答疑会议纪要；</w:t>
      </w:r>
      <w:r>
        <w:rPr>
          <w:rFonts w:asciiTheme="majorEastAsia" w:hAnsiTheme="majorEastAsia" w:eastAsiaTheme="majorEastAsia"/>
          <w:sz w:val="24"/>
          <w:u w:val="single"/>
        </w:rPr>
        <w:t>8</w:t>
      </w:r>
      <w:r>
        <w:rPr>
          <w:rFonts w:hint="eastAsia" w:asciiTheme="majorEastAsia" w:hAnsiTheme="majorEastAsia" w:eastAsiaTheme="majorEastAsia"/>
          <w:sz w:val="24"/>
          <w:u w:val="single"/>
        </w:rPr>
        <w:t>、标准规范及有关技术文件；</w:t>
      </w:r>
      <w:r>
        <w:rPr>
          <w:rFonts w:asciiTheme="majorEastAsia" w:hAnsiTheme="majorEastAsia" w:eastAsiaTheme="majorEastAsia"/>
          <w:sz w:val="24"/>
          <w:u w:val="single"/>
        </w:rPr>
        <w:t>9</w:t>
      </w:r>
      <w:r>
        <w:rPr>
          <w:rFonts w:hint="eastAsia" w:asciiTheme="majorEastAsia" w:hAnsiTheme="majorEastAsia" w:eastAsiaTheme="majorEastAsia"/>
          <w:sz w:val="24"/>
          <w:u w:val="single"/>
        </w:rPr>
        <w:t>、图纸；</w:t>
      </w:r>
      <w:r>
        <w:rPr>
          <w:rFonts w:asciiTheme="majorEastAsia" w:hAnsiTheme="majorEastAsia" w:eastAsiaTheme="majorEastAsia"/>
          <w:sz w:val="24"/>
          <w:u w:val="single"/>
        </w:rPr>
        <w:t>10</w:t>
      </w:r>
      <w:r>
        <w:rPr>
          <w:rFonts w:hint="eastAsia" w:asciiTheme="majorEastAsia" w:hAnsiTheme="majorEastAsia" w:eastAsiaTheme="majorEastAsia"/>
          <w:sz w:val="24"/>
          <w:u w:val="single"/>
        </w:rPr>
        <w:t>、工程量清单</w:t>
      </w:r>
      <w:r>
        <w:rPr>
          <w:rFonts w:asciiTheme="majorEastAsia" w:hAnsiTheme="majorEastAsia" w:eastAsiaTheme="majorEastAsia"/>
          <w:sz w:val="24"/>
          <w:u w:val="single"/>
        </w:rPr>
        <w:t>; 11</w:t>
      </w:r>
      <w:r>
        <w:rPr>
          <w:rFonts w:hint="eastAsia" w:asciiTheme="majorEastAsia" w:hAnsiTheme="majorEastAsia" w:eastAsiaTheme="majorEastAsia"/>
          <w:sz w:val="24"/>
          <w:u w:val="single"/>
        </w:rPr>
        <w:t>、工程报价书或预算书；</w:t>
      </w:r>
      <w:r>
        <w:rPr>
          <w:rFonts w:asciiTheme="majorEastAsia" w:hAnsiTheme="majorEastAsia" w:eastAsiaTheme="majorEastAsia"/>
          <w:sz w:val="24"/>
          <w:u w:val="single"/>
        </w:rPr>
        <w:t>12</w:t>
      </w:r>
      <w:r>
        <w:rPr>
          <w:rFonts w:hint="eastAsia" w:asciiTheme="majorEastAsia" w:hAnsiTheme="majorEastAsia" w:eastAsiaTheme="majorEastAsia"/>
          <w:sz w:val="24"/>
          <w:u w:val="single"/>
        </w:rPr>
        <w:t>、组成合同的其他文件。</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　　2 语言文字和适用法律、标准及规范</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.1</w:t>
      </w:r>
      <w:r>
        <w:rPr>
          <w:rFonts w:hint="eastAsia" w:asciiTheme="majorEastAsia" w:hAnsiTheme="majorEastAsia" w:eastAsiaTheme="majorEastAsia"/>
          <w:sz w:val="24"/>
        </w:rPr>
        <w:t>本合同</w:t>
      </w:r>
      <w:r>
        <w:rPr>
          <w:rFonts w:hint="eastAsia" w:asciiTheme="majorEastAsia" w:hAnsiTheme="majorEastAsia"/>
          <w:sz w:val="24"/>
        </w:rPr>
        <w:t>只</w:t>
      </w:r>
      <w:r>
        <w:rPr>
          <w:rFonts w:hint="eastAsia" w:asciiTheme="majorEastAsia" w:hAnsiTheme="majorEastAsia" w:eastAsiaTheme="majorEastAsia"/>
          <w:sz w:val="24"/>
        </w:rPr>
        <w:t>使用汉语。</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.2</w:t>
      </w:r>
      <w:r>
        <w:rPr>
          <w:rFonts w:hint="eastAsia" w:asciiTheme="majorEastAsia" w:hAnsiTheme="majorEastAsia" w:eastAsiaTheme="majorEastAsia"/>
          <w:sz w:val="24"/>
        </w:rPr>
        <w:t>适用法律和法规</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需要明示的法律、行政法规：</w:t>
      </w:r>
      <w:r>
        <w:rPr>
          <w:rFonts w:hint="eastAsia" w:asciiTheme="majorEastAsia" w:hAnsiTheme="majorEastAsia" w:eastAsiaTheme="majorEastAsia"/>
          <w:sz w:val="24"/>
          <w:u w:val="single"/>
        </w:rPr>
        <w:t>《中华人民共和国民法典》、《中华人民共和国招投标法》、《建设工程质量管理条例》、《广东省建设工程造价管理规定》、《建设工程施工发包与承包价格暂行规定》、《关于加强项目经理承接工程管理的通知》、《广东省建筑施工企业安全生产许可证实施细则》及现行国家、省、市的相关法律、法规。</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.3</w:t>
      </w:r>
      <w:r>
        <w:rPr>
          <w:rFonts w:hint="eastAsia" w:asciiTheme="majorEastAsia" w:hAnsiTheme="majorEastAsia" w:eastAsiaTheme="majorEastAsia"/>
          <w:sz w:val="24"/>
        </w:rPr>
        <w:t xml:space="preserve"> 适用标准、规范</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适用标准、规范的名称</w:t>
      </w:r>
      <w:r>
        <w:rPr>
          <w:rFonts w:hint="eastAsia" w:asciiTheme="majorEastAsia" w:hAnsiTheme="majorEastAsia" w:eastAsiaTheme="majorEastAsia"/>
          <w:sz w:val="24"/>
          <w:u w:val="single"/>
        </w:rPr>
        <w:t>：国家及地方现行有关规范、标准及有关工程保修的规定。</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发包人提供标准、规范的时间：</w:t>
      </w:r>
      <w:r>
        <w:rPr>
          <w:rFonts w:hint="eastAsia" w:asciiTheme="majorEastAsia" w:hAnsiTheme="majorEastAsia" w:eastAsiaTheme="majorEastAsia"/>
          <w:sz w:val="24"/>
          <w:u w:val="single"/>
        </w:rPr>
        <w:t xml:space="preserve">    /   。</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国内没有相应标准、规范时的约定：</w:t>
      </w:r>
      <w:r>
        <w:rPr>
          <w:rFonts w:hint="eastAsia" w:asciiTheme="majorEastAsia" w:hAnsiTheme="majorEastAsia" w:eastAsiaTheme="majorEastAsia"/>
          <w:sz w:val="24"/>
          <w:u w:val="single"/>
        </w:rPr>
        <w:t>按发包人要求。</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3  图纸</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3</w:t>
      </w:r>
      <w:r>
        <w:rPr>
          <w:rFonts w:asciiTheme="majorEastAsia" w:hAnsiTheme="majorEastAsia" w:eastAsiaTheme="majorEastAsia"/>
          <w:sz w:val="24"/>
        </w:rPr>
        <w:t>.1</w:t>
      </w:r>
      <w:r>
        <w:rPr>
          <w:rFonts w:hint="eastAsia" w:asciiTheme="majorEastAsia" w:hAnsiTheme="majorEastAsia" w:eastAsiaTheme="majorEastAsia"/>
          <w:sz w:val="24"/>
        </w:rPr>
        <w:t xml:space="preserve"> 承包人提供图纸日期和套数：</w:t>
      </w:r>
      <w:r>
        <w:rPr>
          <w:rFonts w:hint="eastAsia" w:asciiTheme="majorEastAsia" w:hAnsiTheme="majorEastAsia" w:eastAsiaTheme="majorEastAsia"/>
          <w:sz w:val="24"/>
          <w:u w:val="single"/>
        </w:rPr>
        <w:t>在双方签定合同后</w:t>
      </w:r>
      <w:r>
        <w:rPr>
          <w:rFonts w:asciiTheme="majorEastAsia" w:hAnsiTheme="majorEastAsia" w:eastAsiaTheme="majorEastAsia"/>
          <w:sz w:val="24"/>
          <w:u w:val="single"/>
        </w:rPr>
        <w:t>7</w:t>
      </w:r>
      <w:r>
        <w:rPr>
          <w:rFonts w:hint="eastAsia" w:asciiTheme="majorEastAsia" w:hAnsiTheme="majorEastAsia" w:eastAsiaTheme="majorEastAsia"/>
          <w:sz w:val="24"/>
          <w:u w:val="single"/>
        </w:rPr>
        <w:t>天内，承包人提供满足施工要求的施工图纸捌套</w:t>
      </w:r>
      <w:r>
        <w:rPr>
          <w:rFonts w:asciiTheme="majorEastAsia" w:hAnsiTheme="majorEastAsia" w:eastAsiaTheme="majorEastAsia"/>
          <w:sz w:val="24"/>
          <w:u w:val="single"/>
        </w:rPr>
        <w:t>,</w:t>
      </w:r>
      <w:r>
        <w:rPr>
          <w:rFonts w:hint="eastAsia" w:asciiTheme="majorEastAsia" w:hAnsiTheme="majorEastAsia" w:eastAsiaTheme="majorEastAsia"/>
          <w:sz w:val="24"/>
          <w:u w:val="single"/>
        </w:rPr>
        <w:t>（含竣工图纸肆套）。有设计变更时，承包人提供变更蓝图陆份。</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二、双方一般权利和义务</w:t>
      </w:r>
    </w:p>
    <w:p>
      <w:pPr>
        <w:spacing w:line="360" w:lineRule="auto"/>
        <w:ind w:right="-55" w:firstLine="240" w:firstLineChars="100"/>
        <w:jc w:val="both"/>
        <w:rPr>
          <w:rFonts w:asciiTheme="majorEastAsia" w:hAnsiTheme="majorEastAsia"/>
          <w:sz w:val="24"/>
        </w:rPr>
      </w:pPr>
      <w:r>
        <w:rPr>
          <w:rFonts w:hint="eastAsia" w:asciiTheme="majorEastAsia" w:hAnsiTheme="majorEastAsia" w:eastAsiaTheme="majorEastAsia"/>
          <w:sz w:val="24"/>
        </w:rPr>
        <w:t>　4  工程师</w:t>
      </w:r>
    </w:p>
    <w:p>
      <w:pPr>
        <w:spacing w:line="360" w:lineRule="auto"/>
        <w:ind w:right="-55" w:firstLine="240" w:firstLineChars="100"/>
        <w:jc w:val="both"/>
        <w:rPr>
          <w:rFonts w:asciiTheme="majorEastAsia" w:hAnsiTheme="majorEastAsia"/>
          <w:sz w:val="24"/>
        </w:rPr>
      </w:pPr>
      <w:r>
        <w:rPr>
          <w:rFonts w:hint="eastAsia" w:asciiTheme="majorEastAsia" w:hAnsiTheme="majorEastAsia" w:eastAsiaTheme="majorEastAsia"/>
          <w:sz w:val="24"/>
        </w:rPr>
        <w:t>　4</w:t>
      </w:r>
      <w:r>
        <w:rPr>
          <w:rFonts w:asciiTheme="majorEastAsia" w:hAnsiTheme="majorEastAsia" w:eastAsiaTheme="majorEastAsia"/>
          <w:sz w:val="24"/>
        </w:rPr>
        <w:t>.</w:t>
      </w:r>
      <w:r>
        <w:rPr>
          <w:rFonts w:hint="eastAsia" w:asciiTheme="majorEastAsia" w:hAnsiTheme="majorEastAsia" w:eastAsiaTheme="majorEastAsia"/>
          <w:sz w:val="24"/>
        </w:rPr>
        <w:t>1 监理单位委派的工程师</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　姓名：</w:t>
      </w:r>
      <w:r>
        <w:rPr>
          <w:rFonts w:asciiTheme="majorEastAsia" w:hAnsiTheme="majorEastAsia" w:eastAsiaTheme="majorEastAsia"/>
          <w:sz w:val="24"/>
          <w:u w:val="single"/>
        </w:rPr>
        <w:t xml:space="preserve">    _</w:t>
      </w:r>
      <w:r>
        <w:rPr>
          <w:rFonts w:hint="eastAsia" w:asciiTheme="majorEastAsia" w:hAnsiTheme="majorEastAsia" w:eastAsiaTheme="majorEastAsia"/>
          <w:sz w:val="24"/>
        </w:rPr>
        <w:t>职务：</w:t>
      </w:r>
      <w:r>
        <w:rPr>
          <w:rFonts w:hint="eastAsia" w:asciiTheme="majorEastAsia" w:hAnsiTheme="majorEastAsia" w:eastAsiaTheme="majorEastAsia"/>
          <w:sz w:val="24"/>
          <w:u w:val="single"/>
        </w:rPr>
        <w:t>项目总监代表</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发包人委托的职权：</w:t>
      </w:r>
      <w:r>
        <w:rPr>
          <w:rFonts w:hint="eastAsia" w:asciiTheme="majorEastAsia" w:hAnsiTheme="majorEastAsia" w:eastAsiaTheme="majorEastAsia"/>
          <w:sz w:val="24"/>
          <w:u w:val="single"/>
        </w:rPr>
        <w:t>按监理合同</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需要取得发包人批准才能行使的职权：</w:t>
      </w:r>
      <w:r>
        <w:rPr>
          <w:rFonts w:hint="eastAsia" w:asciiTheme="majorEastAsia" w:hAnsiTheme="majorEastAsia" w:eastAsiaTheme="majorEastAsia"/>
          <w:sz w:val="24"/>
          <w:u w:val="single"/>
        </w:rPr>
        <w:t>按监理合同及监理规范</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sz w:val="24"/>
        </w:rPr>
        <w:t>1</w:t>
      </w:r>
      <w:r>
        <w:rPr>
          <w:rFonts w:asciiTheme="majorEastAsia" w:hAnsiTheme="majorEastAsia" w:eastAsiaTheme="majorEastAsia"/>
          <w:sz w:val="24"/>
        </w:rPr>
        <w:t>.1</w:t>
      </w:r>
      <w:r>
        <w:rPr>
          <w:rFonts w:hint="eastAsia" w:asciiTheme="majorEastAsia" w:hAnsiTheme="majorEastAsia" w:eastAsiaTheme="majorEastAsia"/>
          <w:sz w:val="24"/>
          <w:u w:val="single"/>
        </w:rPr>
        <w:t>总监理工程师依据《施工监理合同》约定的监理权限对承包人在施工质量、建设工期和建设资金使用等方面实施监管。总监理工程师行使《施工监理合同》约定的监理职权不必事前征得发包人的批准，但下列情况须经监理单位盖章，并必须取得发包人的书面批准</w:t>
      </w:r>
      <w:r>
        <w:rPr>
          <w:rFonts w:hint="eastAsia" w:asciiTheme="majorEastAsia" w:hAnsiTheme="majorEastAsia" w:eastAsiaTheme="majorEastAsia"/>
          <w:sz w:val="24"/>
        </w:rPr>
        <w:t>：</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同意本工程任何部分的分包合同；</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工程款、材料款以及其他费用的支付；</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施工进度更改或对工程延期的决定；</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发布工程变更、设计变更指令及签发现场签证；</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确定新增工程或设计变更工程的单价、费率、价格；</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 xml:space="preserve">） </w:t>
      </w:r>
      <w:r>
        <w:rPr>
          <w:rFonts w:hint="eastAsia" w:asciiTheme="majorEastAsia" w:hAnsiTheme="majorEastAsia" w:eastAsiaTheme="majorEastAsia"/>
          <w:sz w:val="24"/>
          <w:u w:val="single"/>
        </w:rPr>
        <w:t>承包人提出合理化建议，采用新工艺、新材料、新技术、批准重大设计变更，这些变更将改变原设计的基本功能或对工期或投资产生影响等。</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4</w:t>
      </w:r>
      <w:r>
        <w:rPr>
          <w:rFonts w:asciiTheme="majorEastAsia" w:hAnsiTheme="majorEastAsia" w:eastAsiaTheme="majorEastAsia"/>
          <w:sz w:val="24"/>
        </w:rPr>
        <w:t>.</w:t>
      </w:r>
      <w:r>
        <w:rPr>
          <w:rFonts w:hint="eastAsia" w:asciiTheme="majorEastAsia" w:hAnsiTheme="majorEastAsia" w:eastAsiaTheme="majorEastAsia"/>
          <w:sz w:val="24"/>
        </w:rPr>
        <w:t>2 发包人派驻的工程师</w:t>
      </w:r>
    </w:p>
    <w:p>
      <w:pPr>
        <w:spacing w:line="360" w:lineRule="auto"/>
        <w:ind w:right="-55"/>
        <w:jc w:val="both"/>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sz w:val="24"/>
        </w:rPr>
        <w:t>　</w:t>
      </w:r>
      <w:r>
        <w:rPr>
          <w:rFonts w:hint="eastAsia" w:asciiTheme="majorEastAsia" w:hAnsiTheme="majorEastAsia" w:eastAsiaTheme="majorEastAsia"/>
          <w:color w:val="000000" w:themeColor="text1"/>
          <w:sz w:val="24"/>
          <w14:textFill>
            <w14:solidFill>
              <w14:schemeClr w14:val="tx1"/>
            </w14:solidFill>
          </w14:textFill>
        </w:rPr>
        <w:t xml:space="preserve">　 </w:t>
      </w:r>
      <w:r>
        <w:rPr>
          <w:rFonts w:hint="eastAsia" w:asciiTheme="majorEastAsia" w:hAnsiTheme="majorEastAsia" w:eastAsiaTheme="majorEastAsia"/>
          <w:sz w:val="24"/>
        </w:rPr>
        <w:t>姓名：程见明  职务：发包方常驻现场代表</w:t>
      </w:r>
    </w:p>
    <w:p>
      <w:pPr>
        <w:spacing w:line="360" w:lineRule="auto"/>
        <w:ind w:right="-55" w:firstLine="597" w:firstLineChars="249"/>
        <w:jc w:val="both"/>
        <w:rPr>
          <w:rFonts w:asciiTheme="majorEastAsia" w:hAnsiTheme="majorEastAsia" w:eastAsiaTheme="majorEastAsia"/>
          <w:sz w:val="24"/>
          <w:u w:val="single"/>
        </w:rPr>
      </w:pPr>
      <w:r>
        <w:rPr>
          <w:rFonts w:hint="eastAsia" w:asciiTheme="majorEastAsia" w:hAnsiTheme="majorEastAsia" w:eastAsiaTheme="majorEastAsia"/>
          <w:sz w:val="24"/>
        </w:rPr>
        <w:t>职权：</w:t>
      </w:r>
      <w:r>
        <w:rPr>
          <w:rFonts w:hint="eastAsia" w:asciiTheme="majorEastAsia" w:hAnsiTheme="majorEastAsia" w:eastAsiaTheme="majorEastAsia"/>
          <w:sz w:val="24"/>
          <w:u w:val="single"/>
        </w:rPr>
        <w:t>行使发包人的权力，监督检查工程施工进度及质量，负责现场有关经济和技术方面的签证。</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 xml:space="preserve">  4</w:t>
      </w:r>
      <w:r>
        <w:rPr>
          <w:rFonts w:asciiTheme="majorEastAsia" w:hAnsiTheme="majorEastAsia" w:eastAsiaTheme="majorEastAsia"/>
          <w:sz w:val="24"/>
        </w:rPr>
        <w:t>.</w:t>
      </w:r>
      <w:r>
        <w:rPr>
          <w:rFonts w:hint="eastAsia" w:asciiTheme="majorEastAsia" w:hAnsiTheme="majorEastAsia" w:eastAsiaTheme="majorEastAsia"/>
          <w:sz w:val="24"/>
        </w:rPr>
        <w:t>3 发包人、监理单位、承包人的工作往来程序：除发包方另有明确之外，原则上发包方、承包方双方的工作往来均先经过监理单位，由监理单位签署意见后报发包方或送承包方。</w:t>
      </w:r>
    </w:p>
    <w:p>
      <w:pPr>
        <w:spacing w:line="360" w:lineRule="auto"/>
        <w:ind w:right="-55" w:firstLine="570"/>
        <w:jc w:val="both"/>
        <w:rPr>
          <w:rFonts w:asciiTheme="majorEastAsia" w:hAnsiTheme="majorEastAsia"/>
          <w:sz w:val="24"/>
        </w:rPr>
      </w:pPr>
      <w:r>
        <w:rPr>
          <w:rFonts w:hint="eastAsia" w:asciiTheme="majorEastAsia" w:hAnsiTheme="majorEastAsia" w:eastAsiaTheme="majorEastAsia"/>
          <w:sz w:val="24"/>
        </w:rPr>
        <w:t>5 项目经理</w:t>
      </w:r>
    </w:p>
    <w:p>
      <w:pPr>
        <w:spacing w:line="360" w:lineRule="auto"/>
        <w:ind w:right="-55" w:firstLine="570"/>
        <w:jc w:val="both"/>
        <w:rPr>
          <w:rFonts w:asciiTheme="majorEastAsia" w:hAnsiTheme="majorEastAsia" w:eastAsiaTheme="majorEastAsia"/>
          <w:sz w:val="24"/>
          <w:u w:val="single"/>
        </w:rPr>
      </w:pPr>
      <w:r>
        <w:rPr>
          <w:rFonts w:hint="eastAsia" w:asciiTheme="majorEastAsia" w:hAnsiTheme="majorEastAsia" w:eastAsiaTheme="majorEastAsia"/>
          <w:sz w:val="24"/>
        </w:rPr>
        <w:t>　   姓名： 职务：</w:t>
      </w:r>
      <w:r>
        <w:rPr>
          <w:rFonts w:hint="eastAsia" w:asciiTheme="majorEastAsia" w:hAnsiTheme="majorEastAsia" w:eastAsiaTheme="majorEastAsia"/>
          <w:sz w:val="24"/>
          <w:u w:val="single"/>
        </w:rPr>
        <w:t xml:space="preserve"> 项目负责人 </w:t>
      </w:r>
    </w:p>
    <w:p>
      <w:pPr>
        <w:spacing w:line="360" w:lineRule="auto"/>
        <w:ind w:right="-55" w:firstLine="570"/>
        <w:jc w:val="both"/>
        <w:rPr>
          <w:rFonts w:asciiTheme="majorEastAsia" w:hAnsiTheme="majorEastAsia"/>
          <w:sz w:val="24"/>
        </w:rPr>
      </w:pPr>
      <w:r>
        <w:rPr>
          <w:rFonts w:hint="eastAsia" w:asciiTheme="majorEastAsia" w:hAnsiTheme="majorEastAsia" w:eastAsiaTheme="majorEastAsia"/>
          <w:sz w:val="24"/>
        </w:rPr>
        <w:t>6  发包人工作</w:t>
      </w:r>
    </w:p>
    <w:p>
      <w:pPr>
        <w:spacing w:line="360" w:lineRule="auto"/>
        <w:ind w:right="-55" w:firstLine="570"/>
        <w:jc w:val="both"/>
        <w:rPr>
          <w:rFonts w:asciiTheme="majorEastAsia" w:hAnsiTheme="majorEastAsia"/>
          <w:sz w:val="24"/>
        </w:rPr>
      </w:pPr>
      <w:r>
        <w:rPr>
          <w:rFonts w:hint="eastAsia" w:asciiTheme="majorEastAsia" w:hAnsiTheme="majorEastAsia" w:eastAsiaTheme="majorEastAsia"/>
          <w:sz w:val="24"/>
        </w:rPr>
        <w:t xml:space="preserve"> 6</w:t>
      </w:r>
      <w:r>
        <w:rPr>
          <w:rFonts w:asciiTheme="majorEastAsia" w:hAnsiTheme="majorEastAsia" w:eastAsiaTheme="majorEastAsia"/>
          <w:sz w:val="24"/>
        </w:rPr>
        <w:t>.1</w:t>
      </w:r>
      <w:r>
        <w:rPr>
          <w:rFonts w:hint="eastAsia" w:asciiTheme="majorEastAsia" w:hAnsiTheme="majorEastAsia" w:eastAsiaTheme="majorEastAsia"/>
          <w:sz w:val="24"/>
        </w:rPr>
        <w:t xml:space="preserve"> 发包人应按约定的时间和要求完成以下工作：</w:t>
      </w:r>
    </w:p>
    <w:p>
      <w:pPr>
        <w:spacing w:line="360" w:lineRule="auto"/>
        <w:ind w:right="-55" w:firstLine="570"/>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 施工场地具备施工条件的要求及完成的时间：</w:t>
      </w:r>
      <w:r>
        <w:rPr>
          <w:rFonts w:hint="eastAsia" w:asciiTheme="majorEastAsia" w:hAnsiTheme="majorEastAsia" w:eastAsiaTheme="majorEastAsia"/>
          <w:sz w:val="24"/>
          <w:u w:val="single"/>
        </w:rPr>
        <w:t>已具备开工条件。</w:t>
      </w:r>
    </w:p>
    <w:p>
      <w:pPr>
        <w:spacing w:line="360" w:lineRule="auto"/>
        <w:ind w:right="-55" w:firstLine="570"/>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 将施工所需的水、电接至施工场地的时间、地点和供应要求：</w:t>
      </w:r>
      <w:r>
        <w:rPr>
          <w:rFonts w:hint="eastAsia" w:asciiTheme="majorEastAsia" w:hAnsiTheme="majorEastAsia" w:eastAsiaTheme="majorEastAsia"/>
          <w:sz w:val="24"/>
          <w:u w:val="single"/>
        </w:rPr>
        <w:t>施工临时用水、用电由发包人各提供一个接驳点。在开工前</w:t>
      </w:r>
      <w:r>
        <w:rPr>
          <w:rFonts w:asciiTheme="majorEastAsia" w:hAnsiTheme="majorEastAsia" w:eastAsiaTheme="majorEastAsia"/>
          <w:sz w:val="24"/>
          <w:u w:val="single"/>
        </w:rPr>
        <w:t>5</w:t>
      </w:r>
      <w:r>
        <w:rPr>
          <w:rFonts w:hint="eastAsia" w:asciiTheme="majorEastAsia" w:hAnsiTheme="majorEastAsia" w:eastAsiaTheme="majorEastAsia"/>
          <w:sz w:val="24"/>
          <w:u w:val="single"/>
        </w:rPr>
        <w:t>天接至施工现场。</w:t>
      </w:r>
    </w:p>
    <w:p>
      <w:pPr>
        <w:spacing w:line="360" w:lineRule="auto"/>
        <w:ind w:right="-55" w:firstLine="57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 施工场地公共道路的通道开通时间和要求：</w:t>
      </w:r>
      <w:r>
        <w:rPr>
          <w:rFonts w:hint="eastAsia" w:asciiTheme="majorEastAsia" w:hAnsiTheme="majorEastAsia" w:eastAsiaTheme="majorEastAsia"/>
          <w:sz w:val="24"/>
          <w:u w:val="single"/>
        </w:rPr>
        <w:t>已开通。</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4</w:t>
      </w:r>
      <w:r>
        <w:rPr>
          <w:rFonts w:hint="eastAsia" w:asciiTheme="majorEastAsia" w:hAnsiTheme="majorEastAsia" w:eastAsiaTheme="majorEastAsia"/>
          <w:sz w:val="24"/>
        </w:rPr>
        <w:t>） 工程地质和地下管线资料的提供时间：</w:t>
      </w:r>
      <w:r>
        <w:rPr>
          <w:rFonts w:hint="eastAsia" w:asciiTheme="majorEastAsia" w:hAnsiTheme="majorEastAsia" w:eastAsiaTheme="majorEastAsia"/>
          <w:sz w:val="24"/>
          <w:u w:val="single"/>
        </w:rPr>
        <w:t>图纸会审前</w:t>
      </w:r>
      <w:r>
        <w:rPr>
          <w:rFonts w:asciiTheme="majorEastAsia" w:hAnsiTheme="majorEastAsia" w:eastAsiaTheme="majorEastAsia"/>
          <w:sz w:val="24"/>
          <w:u w:val="single"/>
        </w:rPr>
        <w:t>3</w:t>
      </w:r>
      <w:r>
        <w:rPr>
          <w:rFonts w:hint="eastAsia" w:asciiTheme="majorEastAsia" w:hAnsiTheme="majorEastAsia" w:eastAsiaTheme="majorEastAsia"/>
          <w:sz w:val="24"/>
          <w:u w:val="single"/>
        </w:rPr>
        <w:t>天内提供。</w:t>
      </w:r>
    </w:p>
    <w:p>
      <w:pPr>
        <w:spacing w:line="360" w:lineRule="auto"/>
        <w:ind w:right="-55"/>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    （</w:t>
      </w:r>
      <w:r>
        <w:rPr>
          <w:rFonts w:asciiTheme="majorEastAsia" w:hAnsiTheme="majorEastAsia" w:eastAsiaTheme="majorEastAsia"/>
          <w:sz w:val="24"/>
        </w:rPr>
        <w:t>5</w:t>
      </w:r>
      <w:r>
        <w:rPr>
          <w:rFonts w:hint="eastAsia" w:asciiTheme="majorEastAsia" w:hAnsiTheme="majorEastAsia" w:eastAsiaTheme="majorEastAsia"/>
          <w:sz w:val="24"/>
        </w:rPr>
        <w:t>） 由发包人办理的施工所需证件、批件的名称和完成时间：</w:t>
      </w:r>
      <w:r>
        <w:rPr>
          <w:rFonts w:hint="eastAsia" w:asciiTheme="majorEastAsia" w:hAnsiTheme="majorEastAsia" w:eastAsiaTheme="majorEastAsia"/>
          <w:sz w:val="24"/>
          <w:u w:val="single"/>
        </w:rPr>
        <w:t>施工许可证和政府部门规定由发包人办理的证件、批件应由发包人在开工前</w:t>
      </w:r>
      <w:r>
        <w:rPr>
          <w:rFonts w:asciiTheme="majorEastAsia" w:hAnsiTheme="majorEastAsia" w:eastAsiaTheme="majorEastAsia"/>
          <w:sz w:val="24"/>
          <w:u w:val="single"/>
        </w:rPr>
        <w:t>3</w:t>
      </w:r>
      <w:r>
        <w:rPr>
          <w:rFonts w:hint="eastAsia" w:asciiTheme="majorEastAsia" w:hAnsiTheme="majorEastAsia" w:eastAsiaTheme="majorEastAsia"/>
          <w:sz w:val="24"/>
          <w:u w:val="single"/>
        </w:rPr>
        <w:t>天内办理完毕，并承担相关责任及费用，承包人予以提供协助和配合。</w:t>
      </w:r>
    </w:p>
    <w:p>
      <w:pPr>
        <w:spacing w:line="360" w:lineRule="auto"/>
        <w:ind w:right="-55" w:firstLine="57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）水准点与坐标控制点交验要求：</w:t>
      </w:r>
      <w:r>
        <w:rPr>
          <w:rFonts w:hint="eastAsia" w:asciiTheme="majorEastAsia" w:hAnsiTheme="majorEastAsia" w:eastAsiaTheme="majorEastAsia"/>
          <w:sz w:val="24"/>
          <w:u w:val="single"/>
        </w:rPr>
        <w:t>于开工前</w:t>
      </w:r>
      <w:r>
        <w:rPr>
          <w:rFonts w:asciiTheme="majorEastAsia" w:hAnsiTheme="majorEastAsia" w:eastAsiaTheme="majorEastAsia"/>
          <w:sz w:val="24"/>
          <w:u w:val="single"/>
        </w:rPr>
        <w:t>5</w:t>
      </w:r>
      <w:r>
        <w:rPr>
          <w:rFonts w:hint="eastAsia" w:asciiTheme="majorEastAsia" w:hAnsiTheme="majorEastAsia" w:eastAsiaTheme="majorEastAsia"/>
          <w:sz w:val="24"/>
          <w:u w:val="single"/>
        </w:rPr>
        <w:t>天内以书面形式现场交验水准点、座标控制点及红线图。</w:t>
      </w:r>
    </w:p>
    <w:p>
      <w:pPr>
        <w:spacing w:line="360" w:lineRule="auto"/>
        <w:ind w:right="-55" w:firstLine="470" w:firstLineChars="196"/>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7</w:t>
      </w:r>
      <w:r>
        <w:rPr>
          <w:rFonts w:hint="eastAsia" w:asciiTheme="majorEastAsia" w:hAnsiTheme="majorEastAsia" w:eastAsiaTheme="majorEastAsia"/>
          <w:sz w:val="24"/>
        </w:rPr>
        <w:t>） 图纸会审和设计交底时间：</w:t>
      </w:r>
      <w:r>
        <w:rPr>
          <w:rFonts w:hint="eastAsia" w:asciiTheme="majorEastAsia" w:hAnsiTheme="majorEastAsia" w:eastAsiaTheme="majorEastAsia"/>
          <w:sz w:val="24"/>
          <w:u w:val="single"/>
        </w:rPr>
        <w:t>合同签订，工程开工前10天内。</w:t>
      </w:r>
    </w:p>
    <w:p>
      <w:pPr>
        <w:spacing w:line="360" w:lineRule="auto"/>
        <w:ind w:right="-55" w:firstLine="470" w:firstLineChars="196"/>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8</w:t>
      </w:r>
      <w:r>
        <w:rPr>
          <w:rFonts w:hint="eastAsia" w:asciiTheme="majorEastAsia" w:hAnsiTheme="majorEastAsia" w:eastAsiaTheme="majorEastAsia"/>
          <w:sz w:val="24"/>
        </w:rPr>
        <w:t>） 协调处理施工场地周围地下管线和邻近建筑物、构筑物（含文物保护建筑）、古树名木的保护工作：</w:t>
      </w:r>
      <w:r>
        <w:rPr>
          <w:rFonts w:hint="eastAsia" w:asciiTheme="majorEastAsia" w:hAnsiTheme="majorEastAsia" w:eastAsiaTheme="majorEastAsia"/>
          <w:sz w:val="24"/>
          <w:u w:val="single"/>
        </w:rPr>
        <w:t>提供有关勘测资料，及时与有关方面联系，协调处理。</w:t>
      </w:r>
    </w:p>
    <w:p>
      <w:pPr>
        <w:spacing w:line="360" w:lineRule="auto"/>
        <w:ind w:right="-55" w:firstLine="570"/>
        <w:jc w:val="both"/>
        <w:rPr>
          <w:rFonts w:asciiTheme="majorEastAsia" w:hAnsiTheme="majorEastAsia" w:eastAsiaTheme="majorEastAsia"/>
          <w:sz w:val="24"/>
        </w:rPr>
      </w:pPr>
      <w:r>
        <w:rPr>
          <w:rFonts w:hint="eastAsia" w:asciiTheme="majorEastAsia" w:hAnsiTheme="majorEastAsia" w:eastAsiaTheme="majorEastAsia"/>
          <w:sz w:val="24"/>
        </w:rPr>
        <w:t>6</w:t>
      </w:r>
      <w:r>
        <w:rPr>
          <w:rFonts w:asciiTheme="majorEastAsia" w:hAnsiTheme="majorEastAsia" w:eastAsiaTheme="majorEastAsia"/>
          <w:sz w:val="24"/>
        </w:rPr>
        <w:t>.2</w:t>
      </w:r>
      <w:r>
        <w:rPr>
          <w:rFonts w:hint="eastAsia" w:asciiTheme="majorEastAsia" w:hAnsiTheme="majorEastAsia" w:eastAsiaTheme="majorEastAsia"/>
          <w:sz w:val="24"/>
        </w:rPr>
        <w:t xml:space="preserve">  发包人委托承包人办理的工作：</w:t>
      </w:r>
    </w:p>
    <w:p>
      <w:pPr>
        <w:spacing w:line="360" w:lineRule="auto"/>
        <w:ind w:right="-55" w:firstLine="570"/>
        <w:jc w:val="both"/>
        <w:rPr>
          <w:rFonts w:asciiTheme="majorEastAsia" w:hAnsiTheme="majorEastAsia" w:eastAsiaTheme="majorEastAsia"/>
          <w:sz w:val="24"/>
        </w:rPr>
      </w:pPr>
      <w:r>
        <w:rPr>
          <w:rFonts w:hint="eastAsia" w:asciiTheme="majorEastAsia" w:hAnsiTheme="majorEastAsia" w:eastAsiaTheme="majorEastAsia"/>
          <w:sz w:val="24"/>
        </w:rPr>
        <w:t>6</w:t>
      </w:r>
      <w:r>
        <w:rPr>
          <w:rFonts w:asciiTheme="majorEastAsia" w:hAnsiTheme="majorEastAsia" w:eastAsiaTheme="majorEastAsia"/>
          <w:sz w:val="24"/>
        </w:rPr>
        <w:t>.3</w:t>
      </w:r>
      <w:r>
        <w:rPr>
          <w:rFonts w:hint="eastAsia" w:asciiTheme="majorEastAsia" w:hAnsiTheme="majorEastAsia" w:eastAsiaTheme="majorEastAsia"/>
          <w:sz w:val="24"/>
        </w:rPr>
        <w:t xml:space="preserve"> 根据招标文件及承包人的承诺，发包人保留下列的权利：</w:t>
      </w:r>
    </w:p>
    <w:p>
      <w:pPr>
        <w:spacing w:line="360" w:lineRule="auto"/>
        <w:ind w:right="-55" w:firstLine="570"/>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u w:val="single"/>
        </w:rPr>
        <w:t>对本工程使用的材料品质及工程质量确认审查的权利；</w:t>
      </w:r>
    </w:p>
    <w:p>
      <w:pPr>
        <w:spacing w:line="360" w:lineRule="auto"/>
        <w:ind w:right="-55" w:firstLine="570"/>
        <w:jc w:val="both"/>
        <w:rPr>
          <w:rFonts w:asciiTheme="majorEastAsia" w:hAnsiTheme="majorEastAsia"/>
          <w:sz w:val="24"/>
          <w:u w:val="single"/>
        </w:rPr>
      </w:pPr>
      <w:r>
        <w:rPr>
          <w:rFonts w:asciiTheme="majorEastAsia" w:hAnsiTheme="majorEastAsia" w:eastAsiaTheme="majorEastAsia"/>
          <w:sz w:val="24"/>
        </w:rPr>
        <w:t>2</w:t>
      </w:r>
      <w:r>
        <w:rPr>
          <w:rFonts w:hint="eastAsia" w:asciiTheme="majorEastAsia" w:hAnsiTheme="majorEastAsia" w:eastAsiaTheme="majorEastAsia"/>
          <w:sz w:val="24"/>
          <w:u w:val="single"/>
        </w:rPr>
        <w:t>有权根据工程实际需要增加或减少部分工程，承包人不得拒绝或要求调整任何单价及收费。</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 7 承包人工作</w:t>
      </w:r>
    </w:p>
    <w:p>
      <w:pPr>
        <w:spacing w:line="360" w:lineRule="auto"/>
        <w:ind w:right="-55" w:firstLine="597" w:firstLineChars="249"/>
        <w:jc w:val="both"/>
        <w:rPr>
          <w:rFonts w:asciiTheme="majorEastAsia" w:hAnsiTheme="majorEastAsia"/>
          <w:sz w:val="24"/>
        </w:rPr>
      </w:pPr>
      <w:r>
        <w:rPr>
          <w:rFonts w:hint="eastAsia" w:asciiTheme="majorEastAsia" w:hAnsiTheme="majorEastAsia" w:eastAsiaTheme="majorEastAsia"/>
          <w:sz w:val="24"/>
        </w:rPr>
        <w:t>7</w:t>
      </w:r>
      <w:r>
        <w:rPr>
          <w:rFonts w:asciiTheme="majorEastAsia" w:hAnsiTheme="majorEastAsia" w:eastAsiaTheme="majorEastAsia"/>
          <w:sz w:val="24"/>
        </w:rPr>
        <w:t>.1</w:t>
      </w:r>
      <w:r>
        <w:rPr>
          <w:rFonts w:hint="eastAsia" w:asciiTheme="majorEastAsia" w:hAnsiTheme="majorEastAsia" w:eastAsiaTheme="majorEastAsia"/>
          <w:sz w:val="24"/>
        </w:rPr>
        <w:t xml:space="preserve"> 承包人应按约定时间和要求，完成以下工作：</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 需由设计资质等级和业务范围允许的承包人完成的设计文件提交时间：</w:t>
      </w:r>
      <w:r>
        <w:rPr>
          <w:rFonts w:asciiTheme="majorEastAsia" w:hAnsiTheme="majorEastAsia" w:eastAsiaTheme="majorEastAsia"/>
          <w:sz w:val="24"/>
        </w:rPr>
        <w:t>_______________________________</w:t>
      </w:r>
      <w:r>
        <w:rPr>
          <w:rFonts w:asciiTheme="majorEastAsia" w:hAnsiTheme="majorEastAsia" w:eastAsiaTheme="majorEastAsia"/>
          <w:sz w:val="24"/>
          <w:u w:val="single"/>
        </w:rPr>
        <w:t>_/__</w:t>
      </w:r>
      <w:r>
        <w:rPr>
          <w:rFonts w:asciiTheme="majorEastAsia" w:hAnsiTheme="majorEastAsia" w:eastAsiaTheme="majorEastAsia"/>
          <w:sz w:val="24"/>
        </w:rPr>
        <w:t>________________________________________</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 应提供计划、报表的名称及完成时间：</w:t>
      </w:r>
      <w:r>
        <w:rPr>
          <w:rFonts w:hint="eastAsia" w:asciiTheme="majorEastAsia" w:hAnsiTheme="majorEastAsia" w:eastAsiaTheme="majorEastAsia"/>
          <w:sz w:val="24"/>
          <w:u w:val="single"/>
        </w:rPr>
        <w:t>图纸会审后</w:t>
      </w:r>
      <w:r>
        <w:rPr>
          <w:rFonts w:asciiTheme="majorEastAsia" w:hAnsiTheme="majorEastAsia" w:eastAsiaTheme="majorEastAsia"/>
          <w:sz w:val="24"/>
          <w:u w:val="single"/>
        </w:rPr>
        <w:t>7</w:t>
      </w:r>
      <w:r>
        <w:rPr>
          <w:rFonts w:hint="eastAsia" w:asciiTheme="majorEastAsia" w:hAnsiTheme="majorEastAsia" w:eastAsiaTheme="majorEastAsia"/>
          <w:sz w:val="24"/>
          <w:u w:val="single"/>
        </w:rPr>
        <w:t>天内提供总进度计划，每月</w:t>
      </w:r>
      <w:r>
        <w:rPr>
          <w:rFonts w:asciiTheme="majorEastAsia" w:hAnsiTheme="majorEastAsia" w:eastAsiaTheme="majorEastAsia"/>
          <w:sz w:val="24"/>
          <w:u w:val="single"/>
        </w:rPr>
        <w:t>30</w:t>
      </w:r>
      <w:r>
        <w:rPr>
          <w:rFonts w:hint="eastAsia" w:asciiTheme="majorEastAsia" w:hAnsiTheme="majorEastAsia" w:eastAsiaTheme="majorEastAsia"/>
          <w:sz w:val="24"/>
          <w:u w:val="single"/>
        </w:rPr>
        <w:t>日前提供当月完成工程量报表及下月工程进度计划。</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 承担施工安全保卫工作及非夜间施工照明的责任和要求：</w:t>
      </w:r>
    </w:p>
    <w:p>
      <w:pPr>
        <w:spacing w:line="360" w:lineRule="auto"/>
        <w:ind w:right="-55" w:firstLine="597" w:firstLineChars="249"/>
        <w:jc w:val="both"/>
        <w:rPr>
          <w:rFonts w:asciiTheme="majorEastAsia" w:hAnsiTheme="majorEastAsia"/>
          <w:sz w:val="24"/>
          <w:u w:val="single"/>
        </w:rPr>
      </w:pPr>
      <w:r>
        <w:rPr>
          <w:rFonts w:hint="eastAsia" w:asciiTheme="majorEastAsia" w:hAnsiTheme="majorEastAsia"/>
          <w:sz w:val="24"/>
          <w:u w:val="single"/>
        </w:rPr>
        <w:t>做</w:t>
      </w:r>
      <w:r>
        <w:rPr>
          <w:rFonts w:hint="eastAsia" w:asciiTheme="majorEastAsia" w:hAnsiTheme="majorEastAsia" w:eastAsiaTheme="majorEastAsia"/>
          <w:sz w:val="24"/>
          <w:u w:val="single"/>
        </w:rPr>
        <w:t>好施工现场人员、材料、器材的保卫工作。施工现场要求全封闭管理，</w:t>
      </w:r>
      <w:r>
        <w:rPr>
          <w:rFonts w:asciiTheme="majorEastAsia" w:hAnsiTheme="majorEastAsia" w:eastAsiaTheme="majorEastAsia"/>
          <w:sz w:val="24"/>
          <w:u w:val="single"/>
        </w:rPr>
        <w:t>24</w:t>
      </w:r>
      <w:r>
        <w:rPr>
          <w:rFonts w:hint="eastAsia" w:asciiTheme="majorEastAsia" w:hAnsiTheme="majorEastAsia" w:eastAsiaTheme="majorEastAsia"/>
          <w:sz w:val="24"/>
          <w:u w:val="single"/>
        </w:rPr>
        <w:t>小时保卫值班。承包人的员工在执行本合同义务或上下班途中发生事故，对发包人、第三方造成人身、财产损坏的，或承包人的员工因自身疾病或其他意外原因造成伤亡的，乙方应及时处理，并承担相应的民事责任，发包人对此不承担责任。</w:t>
      </w:r>
    </w:p>
    <w:p>
      <w:pPr>
        <w:spacing w:line="360" w:lineRule="auto"/>
        <w:ind w:right="-55" w:firstLine="240" w:firstLineChars="100"/>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 向发包人提供的办公和生活房屋及设施的要求：</w:t>
      </w:r>
      <w:r>
        <w:rPr>
          <w:rFonts w:hint="eastAsia" w:asciiTheme="majorEastAsia" w:hAnsiTheme="majorEastAsia" w:eastAsiaTheme="majorEastAsia"/>
          <w:sz w:val="24"/>
          <w:u w:val="single"/>
        </w:rPr>
        <w:t>不提供</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 需承包人办理的有关施工场地交通、环卫和施工噪音管理等手续：</w:t>
      </w:r>
    </w:p>
    <w:p>
      <w:pPr>
        <w:spacing w:line="360" w:lineRule="auto"/>
        <w:ind w:right="-55" w:firstLine="352" w:firstLineChars="147"/>
        <w:jc w:val="both"/>
        <w:rPr>
          <w:rFonts w:asciiTheme="majorEastAsia" w:hAnsiTheme="majorEastAsia"/>
          <w:sz w:val="24"/>
          <w:u w:val="single"/>
        </w:rPr>
      </w:pPr>
      <w:r>
        <w:rPr>
          <w:rFonts w:hint="eastAsia" w:asciiTheme="majorEastAsia" w:hAnsiTheme="majorEastAsia" w:eastAsiaTheme="majorEastAsia"/>
          <w:sz w:val="24"/>
          <w:u w:val="single"/>
        </w:rPr>
        <w:t>按有关行政主管部门规定办理有关手续。</w:t>
      </w:r>
    </w:p>
    <w:p>
      <w:pPr>
        <w:spacing w:line="360" w:lineRule="auto"/>
        <w:ind w:right="-55"/>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 已完工程成品保护的特殊要求及费用承担：</w:t>
      </w:r>
      <w:r>
        <w:rPr>
          <w:rFonts w:hint="eastAsia" w:asciiTheme="majorEastAsia" w:hAnsiTheme="majorEastAsia" w:eastAsiaTheme="majorEastAsia"/>
          <w:sz w:val="24"/>
          <w:u w:val="single"/>
        </w:rPr>
        <w:t>工程交付发包人使用前，对自行施工的已完工程的保护工作及费用由承包人负责，交付发包人使用后按《工程质量保修书》有关规定执行。</w:t>
      </w:r>
    </w:p>
    <w:p>
      <w:pPr>
        <w:spacing w:line="360" w:lineRule="auto"/>
        <w:ind w:right="-55"/>
        <w:jc w:val="both"/>
        <w:rPr>
          <w:rFonts w:asciiTheme="majorEastAsia" w:hAnsiTheme="majorEastAsia" w:eastAsia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7</w:t>
      </w:r>
      <w:r>
        <w:rPr>
          <w:rFonts w:hint="eastAsia" w:asciiTheme="majorEastAsia" w:hAnsiTheme="majorEastAsia" w:eastAsiaTheme="majorEastAsia"/>
          <w:sz w:val="24"/>
        </w:rPr>
        <w:t>） 施工场地周围地下管线和邻近建筑物、构筑物（含文物保护建筑）、古树名木的保护要求及费用承担：</w:t>
      </w:r>
      <w:r>
        <w:rPr>
          <w:rFonts w:hint="eastAsia" w:asciiTheme="majorEastAsia" w:hAnsiTheme="majorEastAsia" w:eastAsiaTheme="majorEastAsia"/>
          <w:sz w:val="24"/>
          <w:u w:val="single"/>
        </w:rPr>
        <w:t>由承包人负责保护，保护措施费由发包人承担。因承包人原因保护不当造成的临近建筑物、构筑物等的损坏，或对第三人造成人身、财产侵权的，由承包人承担因此发生的费用与责任。</w:t>
      </w:r>
    </w:p>
    <w:p>
      <w:pPr>
        <w:spacing w:line="360" w:lineRule="auto"/>
        <w:ind w:right="-55"/>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8</w:t>
      </w:r>
      <w:r>
        <w:rPr>
          <w:rFonts w:hint="eastAsia" w:asciiTheme="majorEastAsia" w:hAnsiTheme="majorEastAsia" w:eastAsiaTheme="majorEastAsia"/>
          <w:sz w:val="24"/>
        </w:rPr>
        <w:t>） 施工场地清洁卫生的要求：</w:t>
      </w:r>
      <w:r>
        <w:rPr>
          <w:rFonts w:hint="eastAsia" w:asciiTheme="majorEastAsia" w:hAnsiTheme="majorEastAsia" w:eastAsiaTheme="majorEastAsia"/>
          <w:sz w:val="24"/>
          <w:u w:val="single"/>
        </w:rPr>
        <w:t>施工期间按有关建设行政主管部门的规定及文明施工要求。竣工后接到发包人书面退场通知后</w:t>
      </w:r>
      <w:r>
        <w:rPr>
          <w:rFonts w:asciiTheme="majorEastAsia" w:hAnsiTheme="majorEastAsia" w:eastAsiaTheme="majorEastAsia"/>
          <w:sz w:val="24"/>
          <w:u w:val="single"/>
        </w:rPr>
        <w:t>7</w:t>
      </w:r>
      <w:r>
        <w:rPr>
          <w:rFonts w:hint="eastAsia" w:asciiTheme="majorEastAsia" w:hAnsiTheme="majorEastAsia" w:eastAsiaTheme="majorEastAsia"/>
          <w:sz w:val="24"/>
          <w:u w:val="single"/>
        </w:rPr>
        <w:t>天内按发包人指示拆除临时建筑、设施、清走器材、剩余材料和余泥渣土，做好施工范围内的清洁，并以通过发包人验收为标准（承包人递交清洁验收报告后，发包人应在</w:t>
      </w:r>
      <w:r>
        <w:rPr>
          <w:rFonts w:asciiTheme="majorEastAsia" w:hAnsiTheme="majorEastAsia" w:eastAsiaTheme="majorEastAsia"/>
          <w:sz w:val="24"/>
          <w:u w:val="single"/>
        </w:rPr>
        <w:t>3</w:t>
      </w:r>
      <w:r>
        <w:rPr>
          <w:rFonts w:hint="eastAsia" w:asciiTheme="majorEastAsia" w:hAnsiTheme="majorEastAsia" w:eastAsiaTheme="majorEastAsia"/>
          <w:sz w:val="24"/>
          <w:u w:val="single"/>
        </w:rPr>
        <w:t>天内验收完毕，否则视为达到清洁卫生要求），如逾期不拆，发包人有权安排其他单位完成，所需费用从结算款中扣除。</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9</w:t>
      </w:r>
      <w:r>
        <w:rPr>
          <w:rFonts w:hint="eastAsia" w:asciiTheme="majorEastAsia" w:hAnsiTheme="majorEastAsia" w:eastAsiaTheme="majorEastAsia"/>
          <w:sz w:val="24"/>
        </w:rPr>
        <w:t>） 发包人约定承包人应做的其它工作：</w:t>
      </w:r>
    </w:p>
    <w:p>
      <w:pPr>
        <w:spacing w:line="360" w:lineRule="auto"/>
        <w:ind w:right="-55" w:firstLine="592" w:firstLineChars="247"/>
        <w:jc w:val="both"/>
        <w:rPr>
          <w:rFonts w:asciiTheme="majorEastAsia" w:hAnsiTheme="majorEastAsia" w:eastAsiaTheme="majorEastAsia"/>
          <w:sz w:val="24"/>
        </w:rPr>
      </w:pPr>
      <w:r>
        <w:rPr>
          <w:rFonts w:asciiTheme="majorEastAsia" w:hAnsiTheme="majorEastAsia" w:eastAsiaTheme="majorEastAsia"/>
          <w:sz w:val="24"/>
          <w:u w:val="single"/>
        </w:rPr>
        <w:t>a</w:t>
      </w:r>
      <w:r>
        <w:rPr>
          <w:rFonts w:hint="eastAsia" w:asciiTheme="majorEastAsia" w:hAnsiTheme="majorEastAsia" w:eastAsiaTheme="majorEastAsia"/>
          <w:sz w:val="24"/>
          <w:u w:val="single"/>
        </w:rPr>
        <w:t>．负责办理施工所需的有关证件；</w:t>
      </w:r>
      <w:r>
        <w:rPr>
          <w:rFonts w:asciiTheme="majorEastAsia" w:hAnsiTheme="majorEastAsia" w:eastAsiaTheme="majorEastAsia"/>
          <w:sz w:val="24"/>
          <w:u w:val="single"/>
        </w:rPr>
        <w:t>b</w:t>
      </w:r>
      <w:r>
        <w:rPr>
          <w:rFonts w:hint="eastAsia" w:asciiTheme="majorEastAsia" w:hAnsiTheme="majorEastAsia" w:eastAsiaTheme="majorEastAsia"/>
          <w:sz w:val="24"/>
          <w:u w:val="single"/>
        </w:rPr>
        <w:t>．工程施工过程需占用部分道路时，征得发包人同意后由发包人负责给予协调解决；</w:t>
      </w:r>
      <w:r>
        <w:rPr>
          <w:rFonts w:asciiTheme="majorEastAsia" w:hAnsiTheme="majorEastAsia" w:eastAsiaTheme="majorEastAsia"/>
          <w:sz w:val="24"/>
          <w:u w:val="single"/>
        </w:rPr>
        <w:t>c</w:t>
      </w:r>
      <w:r>
        <w:rPr>
          <w:rFonts w:hint="eastAsia" w:asciiTheme="majorEastAsia" w:hAnsiTheme="majorEastAsia" w:eastAsiaTheme="majorEastAsia"/>
          <w:sz w:val="24"/>
          <w:u w:val="single"/>
        </w:rPr>
        <w:t>．保证执行投标文件承诺的施工组织设计中的资源投入计划，将工程施工所需的机械设备、人员、材料等资源，根据工程进度计划按时、按标准、足额投入；</w:t>
      </w:r>
      <w:r>
        <w:rPr>
          <w:rFonts w:asciiTheme="majorEastAsia" w:hAnsiTheme="majorEastAsia" w:eastAsiaTheme="majorEastAsia"/>
          <w:sz w:val="24"/>
          <w:u w:val="single"/>
        </w:rPr>
        <w:t>d</w:t>
      </w:r>
      <w:r>
        <w:rPr>
          <w:rFonts w:hint="eastAsia" w:asciiTheme="majorEastAsia" w:hAnsiTheme="majorEastAsia" w:eastAsiaTheme="majorEastAsia"/>
          <w:sz w:val="24"/>
          <w:u w:val="single"/>
        </w:rPr>
        <w:t>．为确保文明施工，洗车槽、饭堂、厕所、办公室、工人宿舍等文明施工所需费用由承包人承担，如未能按发包人有关管理规定设施，发包人有权另行委托队伍施工，其费用由承包人负责。</w:t>
      </w:r>
      <w:r>
        <w:rPr>
          <w:rFonts w:asciiTheme="majorEastAsia" w:hAnsiTheme="majorEastAsia" w:eastAsiaTheme="majorEastAsia"/>
          <w:sz w:val="24"/>
          <w:u w:val="single"/>
        </w:rPr>
        <w:t>e</w:t>
      </w:r>
      <w:r>
        <w:rPr>
          <w:rFonts w:hint="eastAsia" w:asciiTheme="majorEastAsia" w:hAnsiTheme="majorEastAsia" w:eastAsiaTheme="majorEastAsia"/>
          <w:sz w:val="24"/>
          <w:u w:val="single"/>
        </w:rPr>
        <w:t>．严格遵守国家、省、市有关防火、防爆和施工安全以及文明施工、夜间施工和城管等规定，建立规章制度和防护措施，并承担由于自身措施不力造成事故责任和发生的费用。</w:t>
      </w:r>
      <w:r>
        <w:rPr>
          <w:rFonts w:asciiTheme="majorEastAsia" w:hAnsiTheme="majorEastAsia" w:eastAsiaTheme="majorEastAsia"/>
          <w:sz w:val="24"/>
          <w:u w:val="single"/>
        </w:rPr>
        <w:t>f</w:t>
      </w:r>
      <w:r>
        <w:rPr>
          <w:rFonts w:hint="eastAsia" w:asciiTheme="majorEastAsia" w:hAnsiTheme="majorEastAsia" w:eastAsiaTheme="majorEastAsia"/>
          <w:sz w:val="24"/>
          <w:u w:val="single"/>
        </w:rPr>
        <w:t>．工人的意外事故或伤害：对于承包人或其所雇佣的工人出现的伤亡事故或损失，应由承包人负全责（但由于发包人或监理单位的行为失误所造成的除外）。对于这类伤亡或损失，发包人不负任何责任，不负担涉及这类伤亡或损失的索赔、诉讼、损害赔偿及其它费用。</w:t>
      </w:r>
    </w:p>
    <w:p>
      <w:pPr>
        <w:spacing w:line="360" w:lineRule="auto"/>
        <w:ind w:right="-55" w:firstLine="472" w:firstLineChars="197"/>
        <w:jc w:val="both"/>
        <w:rPr>
          <w:rFonts w:asciiTheme="majorEastAsia" w:hAnsiTheme="majorEastAsia"/>
          <w:sz w:val="24"/>
        </w:rPr>
      </w:pPr>
      <w:r>
        <w:rPr>
          <w:rFonts w:hint="eastAsia" w:asciiTheme="majorEastAsia" w:hAnsiTheme="majorEastAsia" w:eastAsiaTheme="majorEastAsia"/>
          <w:sz w:val="24"/>
        </w:rPr>
        <w:t>三  施工组织设计和工期</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　8  进度计划</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8.1 承包人提供施工组织设计（施工方案）和进度计划的时间：</w:t>
      </w:r>
      <w:r>
        <w:rPr>
          <w:rFonts w:hint="eastAsia" w:asciiTheme="majorEastAsia" w:hAnsiTheme="majorEastAsia" w:eastAsiaTheme="majorEastAsia"/>
          <w:sz w:val="24"/>
          <w:u w:val="single"/>
        </w:rPr>
        <w:t>图纸会审后5天内。</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工程师确认的时间</w:t>
      </w:r>
      <w:r>
        <w:rPr>
          <w:rFonts w:hint="eastAsia" w:asciiTheme="majorEastAsia" w:hAnsiTheme="majorEastAsia" w:eastAsiaTheme="majorEastAsia"/>
          <w:sz w:val="24"/>
          <w:u w:val="single"/>
        </w:rPr>
        <w:t>：收件后</w:t>
      </w:r>
      <w:r>
        <w:rPr>
          <w:rFonts w:asciiTheme="majorEastAsia" w:hAnsiTheme="majorEastAsia" w:eastAsiaTheme="majorEastAsia"/>
          <w:sz w:val="24"/>
          <w:u w:val="single"/>
        </w:rPr>
        <w:t>3</w:t>
      </w:r>
      <w:r>
        <w:rPr>
          <w:rFonts w:hint="eastAsia" w:asciiTheme="majorEastAsia" w:hAnsiTheme="majorEastAsia" w:eastAsiaTheme="majorEastAsia"/>
          <w:sz w:val="24"/>
          <w:u w:val="single"/>
        </w:rPr>
        <w:t>天内。</w:t>
      </w:r>
    </w:p>
    <w:p>
      <w:pPr>
        <w:spacing w:line="360" w:lineRule="auto"/>
        <w:ind w:right="-55" w:firstLine="480" w:firstLineChars="200"/>
        <w:jc w:val="both"/>
        <w:rPr>
          <w:rFonts w:asciiTheme="majorEastAsia" w:hAnsiTheme="majorEastAsia" w:eastAsiaTheme="majorEastAsia"/>
          <w:sz w:val="24"/>
          <w:u w:val="single"/>
        </w:rPr>
      </w:pPr>
      <w:r>
        <w:rPr>
          <w:rFonts w:hint="eastAsia" w:asciiTheme="majorEastAsia" w:hAnsiTheme="majorEastAsia" w:eastAsiaTheme="majorEastAsia"/>
          <w:sz w:val="24"/>
        </w:rPr>
        <w:t>8</w:t>
      </w:r>
      <w:r>
        <w:rPr>
          <w:rFonts w:asciiTheme="majorEastAsia" w:hAnsiTheme="majorEastAsia" w:eastAsiaTheme="majorEastAsia"/>
          <w:sz w:val="24"/>
        </w:rPr>
        <w:t>.2</w:t>
      </w:r>
      <w:r>
        <w:rPr>
          <w:rFonts w:hint="eastAsia" w:asciiTheme="majorEastAsia" w:hAnsiTheme="majorEastAsia" w:eastAsiaTheme="majorEastAsia"/>
          <w:sz w:val="24"/>
        </w:rPr>
        <w:t xml:space="preserve"> 群体工程中有关进度计划的要求：</w:t>
      </w:r>
      <w:r>
        <w:rPr>
          <w:rFonts w:hint="eastAsia" w:asciiTheme="majorEastAsia" w:hAnsiTheme="majorEastAsia" w:eastAsiaTheme="majorEastAsia"/>
          <w:sz w:val="24"/>
          <w:u w:val="single"/>
        </w:rPr>
        <w:t>无</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9  开工及延期开工</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.1</w:t>
      </w:r>
      <w:r>
        <w:rPr>
          <w:rFonts w:hint="eastAsia" w:asciiTheme="majorEastAsia" w:hAnsiTheme="majorEastAsia" w:eastAsiaTheme="majorEastAsia"/>
          <w:sz w:val="24"/>
        </w:rPr>
        <w:t xml:space="preserve"> 开工日期和竣工日期，按协议书条款。</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.2</w:t>
      </w:r>
      <w:r>
        <w:rPr>
          <w:rFonts w:hint="eastAsia" w:asciiTheme="majorEastAsia" w:hAnsiTheme="majorEastAsia" w:eastAsiaTheme="majorEastAsia"/>
          <w:sz w:val="24"/>
        </w:rPr>
        <w:t xml:space="preserve"> 延期开工</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.2.1</w:t>
      </w:r>
      <w:r>
        <w:rPr>
          <w:rFonts w:hint="eastAsia" w:asciiTheme="majorEastAsia" w:hAnsiTheme="majorEastAsia" w:eastAsiaTheme="majorEastAsia"/>
          <w:sz w:val="24"/>
        </w:rPr>
        <w:t xml:space="preserve"> 承包人必须提前进入施工工地，做好施工准备工作，按照约定的开工日期开工。在工程已具备开工条件，但因承包人自身原因（包括但不限于项目经理及现场管理机构尚未到位）而无法实际开工的，经发包人书面同意，总监理工程师可以先签发开工令，工期开始正式计算，但现场不允许开工；然后再由总监理工程师发出停工令，待承包人准备妥当后才批准复工。由此产生的工期延误等损失由承包人承担。</w:t>
      </w:r>
    </w:p>
    <w:p>
      <w:pPr>
        <w:spacing w:line="360" w:lineRule="auto"/>
        <w:ind w:right="-55" w:firstLine="480"/>
        <w:jc w:val="both"/>
        <w:rPr>
          <w:rFonts w:asciiTheme="majorEastAsia" w:hAnsi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0  工期延误</w:t>
      </w:r>
    </w:p>
    <w:p>
      <w:pPr>
        <w:spacing w:line="360" w:lineRule="auto"/>
        <w:ind w:right="-55" w:firstLine="480"/>
        <w:jc w:val="both"/>
        <w:rPr>
          <w:rFonts w:asciiTheme="majorEastAsia" w:hAnsiTheme="majorEastAsia" w:eastAsia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0</w:t>
      </w:r>
      <w:r>
        <w:rPr>
          <w:rFonts w:asciiTheme="majorEastAsia" w:hAnsiTheme="majorEastAsia" w:eastAsiaTheme="majorEastAsia"/>
          <w:sz w:val="24"/>
        </w:rPr>
        <w:t>.1</w:t>
      </w:r>
      <w:r>
        <w:rPr>
          <w:rFonts w:hint="eastAsia" w:asciiTheme="majorEastAsia" w:hAnsiTheme="majorEastAsia" w:eastAsiaTheme="majorEastAsia"/>
          <w:sz w:val="24"/>
        </w:rPr>
        <w:t xml:space="preserve"> 双方约定工期顺延的其他情况：</w:t>
      </w:r>
      <w:r>
        <w:rPr>
          <w:rFonts w:hint="eastAsia" w:asciiTheme="majorEastAsia" w:hAnsiTheme="majorEastAsia" w:eastAsiaTheme="majorEastAsia"/>
          <w:sz w:val="24"/>
          <w:u w:val="single"/>
        </w:rPr>
        <w:t>若非承包人原因而拖延，按监理工程师、发包人签证顺延。</w:t>
      </w:r>
    </w:p>
    <w:p>
      <w:pPr>
        <w:spacing w:line="360" w:lineRule="auto"/>
        <w:ind w:right="-55" w:firstLine="480"/>
        <w:jc w:val="both"/>
        <w:rPr>
          <w:rFonts w:asciiTheme="majorEastAsia" w:hAnsi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0</w:t>
      </w:r>
      <w:r>
        <w:rPr>
          <w:rFonts w:asciiTheme="majorEastAsia" w:hAnsiTheme="majorEastAsia" w:eastAsiaTheme="majorEastAsia"/>
          <w:sz w:val="24"/>
        </w:rPr>
        <w:t>.2</w:t>
      </w:r>
      <w:r>
        <w:rPr>
          <w:rFonts w:hint="eastAsia" w:asciiTheme="majorEastAsia" w:hAnsiTheme="majorEastAsia" w:eastAsiaTheme="majorEastAsia"/>
          <w:sz w:val="24"/>
        </w:rPr>
        <w:t xml:space="preserve"> 工期奖罚：</w:t>
      </w:r>
      <w:r>
        <w:rPr>
          <w:rFonts w:hint="eastAsia" w:asciiTheme="majorEastAsia" w:hAnsiTheme="majorEastAsia" w:eastAsiaTheme="majorEastAsia"/>
          <w:sz w:val="24"/>
          <w:u w:val="single"/>
        </w:rPr>
        <w:t>每逾期一天承包人向发包人支付合同总价</w:t>
      </w:r>
      <w:r>
        <w:rPr>
          <w:rFonts w:asciiTheme="majorEastAsia" w:hAnsiTheme="majorEastAsia" w:eastAsiaTheme="majorEastAsia"/>
          <w:color w:val="FF0000"/>
          <w:sz w:val="24"/>
          <w:u w:val="single"/>
        </w:rPr>
        <w:t>3‰</w:t>
      </w:r>
      <w:r>
        <w:rPr>
          <w:rFonts w:hint="eastAsia" w:asciiTheme="majorEastAsia" w:hAnsiTheme="majorEastAsia" w:eastAsiaTheme="majorEastAsia"/>
          <w:sz w:val="24"/>
          <w:u w:val="single"/>
        </w:rPr>
        <w:t>的违约金。</w:t>
      </w:r>
    </w:p>
    <w:p>
      <w:pPr>
        <w:spacing w:line="360" w:lineRule="auto"/>
        <w:ind w:right="-55" w:firstLine="480"/>
        <w:jc w:val="both"/>
        <w:rPr>
          <w:rFonts w:asciiTheme="majorEastAsia" w:hAnsiTheme="majorEastAsia" w:eastAsiaTheme="majorEastAsia"/>
          <w:sz w:val="24"/>
        </w:rPr>
      </w:pPr>
      <w:r>
        <w:rPr>
          <w:rFonts w:hint="eastAsia" w:asciiTheme="majorEastAsia" w:hAnsiTheme="majorEastAsia" w:eastAsiaTheme="majorEastAsia"/>
          <w:sz w:val="24"/>
        </w:rPr>
        <w:t>四  质量与验收</w:t>
      </w:r>
    </w:p>
    <w:p>
      <w:pPr>
        <w:spacing w:line="360" w:lineRule="auto"/>
        <w:ind w:right="-55" w:firstLine="480"/>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1  工程质量</w:t>
      </w:r>
    </w:p>
    <w:p>
      <w:pPr>
        <w:spacing w:line="360" w:lineRule="auto"/>
        <w:ind w:right="-55" w:firstLine="480"/>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1  工程质量争议与鉴定</w:t>
      </w:r>
    </w:p>
    <w:p>
      <w:pPr>
        <w:spacing w:line="360" w:lineRule="auto"/>
        <w:ind w:right="-55" w:firstLine="480"/>
        <w:jc w:val="both"/>
        <w:rPr>
          <w:rFonts w:asciiTheme="majorEastAsia" w:hAnsiTheme="majorEastAsia" w:eastAsiaTheme="majorEastAsia"/>
          <w:bCs/>
          <w:sz w:val="24"/>
        </w:rPr>
      </w:pPr>
      <w:r>
        <w:rPr>
          <w:rFonts w:hint="eastAsia" w:asciiTheme="majorEastAsia" w:hAnsiTheme="majorEastAsia" w:eastAsiaTheme="majorEastAsia"/>
          <w:bCs/>
          <w:sz w:val="24"/>
        </w:rPr>
        <w:t>双方对工程质量有争议，同意依据《建筑工程施工质量验收统一标准》（</w:t>
      </w:r>
      <w:r>
        <w:rPr>
          <w:rFonts w:asciiTheme="majorEastAsia" w:hAnsiTheme="majorEastAsia" w:eastAsiaTheme="majorEastAsia"/>
          <w:bCs/>
          <w:sz w:val="24"/>
        </w:rPr>
        <w:t>GB50300-2001</w:t>
      </w:r>
      <w:r>
        <w:rPr>
          <w:rFonts w:hint="eastAsia" w:asciiTheme="majorEastAsia" w:hAnsiTheme="majorEastAsia" w:eastAsiaTheme="majorEastAsia"/>
          <w:bCs/>
          <w:sz w:val="24"/>
        </w:rPr>
        <w:t>），由发包人指定的第三方机构鉴定。如《建筑工程施工质量验收统一标准》（</w:t>
      </w:r>
      <w:r>
        <w:rPr>
          <w:rFonts w:asciiTheme="majorEastAsia" w:hAnsiTheme="majorEastAsia" w:eastAsiaTheme="majorEastAsia"/>
          <w:bCs/>
          <w:sz w:val="24"/>
        </w:rPr>
        <w:t>GB50300-2001</w:t>
      </w:r>
      <w:r>
        <w:rPr>
          <w:rFonts w:hint="eastAsia" w:asciiTheme="majorEastAsia" w:hAnsiTheme="majorEastAsia" w:eastAsiaTheme="majorEastAsia"/>
          <w:bCs/>
          <w:sz w:val="24"/>
        </w:rPr>
        <w:t>）有缺漏事项，则依其他现行、有效的国家、地方或行业标准。鉴定费由承包人垫付，由最终责任方承担。</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sz w:val="24"/>
        </w:rPr>
        <w:t>1</w:t>
      </w:r>
      <w:r>
        <w:rPr>
          <w:rFonts w:hint="eastAsia" w:asciiTheme="majorEastAsia" w:hAnsiTheme="majorEastAsia" w:eastAsiaTheme="majorEastAsia"/>
          <w:sz w:val="24"/>
        </w:rPr>
        <w:t>2  检查和返工</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 对承包人采购的工程材料、设备及采用的工艺的查验。</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.1</w:t>
      </w:r>
      <w:r>
        <w:rPr>
          <w:rFonts w:hint="eastAsia" w:asciiTheme="majorEastAsia" w:hAnsiTheme="majorEastAsia" w:eastAsiaTheme="majorEastAsia"/>
          <w:bCs/>
          <w:sz w:val="24"/>
        </w:rPr>
        <w:t xml:space="preserve"> 实施工程的一切材料、设备及工艺，都必须符合工程设计及技术标准、规范的要求，并应当在用于工程之前经过检验和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和试验。</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.2</w:t>
      </w:r>
      <w:r>
        <w:rPr>
          <w:rFonts w:hint="eastAsia" w:asciiTheme="majorEastAsia" w:hAnsiTheme="majorEastAsia" w:eastAsiaTheme="majorEastAsia"/>
          <w:bCs/>
          <w:sz w:val="24"/>
        </w:rPr>
        <w:t xml:space="preserve"> 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或发包人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实施，其费用及由此产生的其他费用由承包人承担，发包人可以从将要付给承包人的款项中收回，由总监理工程师通知承包人并抄送发包人。期间所发生的费用由承包人承担。</w:t>
      </w:r>
    </w:p>
    <w:p>
      <w:pPr>
        <w:spacing w:line="360" w:lineRule="auto"/>
        <w:ind w:right="-55" w:firstLine="472" w:firstLineChars="197"/>
        <w:jc w:val="both"/>
        <w:rPr>
          <w:rFonts w:asciiTheme="majorEastAsia" w:hAnsiTheme="majorEastAsia" w:eastAsiaTheme="majorEastAsia"/>
          <w:bCs/>
          <w:sz w:val="24"/>
        </w:rPr>
      </w:pPr>
      <w:r>
        <w:rPr>
          <w:rFonts w:hint="eastAsia" w:asciiTheme="majorEastAsia" w:hAnsiTheme="majorEastAsia" w:eastAsiaTheme="majorEastAsia"/>
          <w:bCs/>
          <w:sz w:val="24"/>
        </w:rPr>
        <w:t>发包人和总监理工程师认为有必要的，有权对己检查、检验过的材料、设备进行重复检查、检验，承包人应遵照执行。重复检查、检验的程序和内容适用前款约定。</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.3</w:t>
      </w:r>
      <w:r>
        <w:rPr>
          <w:rFonts w:hint="eastAsia" w:asciiTheme="majorEastAsia" w:hAnsiTheme="majorEastAsia" w:eastAsiaTheme="majorEastAsia"/>
          <w:bCs/>
          <w:sz w:val="24"/>
        </w:rPr>
        <w:t xml:space="preserve"> 在施工过程中，总监理工程师有权随时对工程材料、设备的使用进行抽查，包括成品、半成品、器具、设备、附件、小五金等。抽查范围、比例、数量、批次及检查深度可比照国家现行施工质量验收规范和相关规定有所提高。</w:t>
      </w:r>
    </w:p>
    <w:p>
      <w:pPr>
        <w:spacing w:line="360" w:lineRule="auto"/>
        <w:ind w:right="-55" w:firstLine="480"/>
        <w:jc w:val="both"/>
        <w:rPr>
          <w:rFonts w:asciiTheme="majorEastAsia" w:hAnsiTheme="majorEastAsia" w:eastAsiaTheme="majorEastAsia"/>
          <w:bCs/>
          <w:sz w:val="24"/>
        </w:rPr>
      </w:pPr>
      <w:r>
        <w:rPr>
          <w:rFonts w:hint="eastAsia" w:asciiTheme="majorEastAsia" w:hAnsiTheme="majorEastAsia" w:eastAsiaTheme="majorEastAsia"/>
          <w:bCs/>
          <w:sz w:val="24"/>
        </w:rPr>
        <w:t>工程材料、设备的质量依据下列顺序之标准认定：</w:t>
      </w:r>
    </w:p>
    <w:p>
      <w:pPr>
        <w:spacing w:line="360" w:lineRule="auto"/>
        <w:ind w:right="-55" w:firstLine="352" w:firstLineChars="147"/>
        <w:jc w:val="both"/>
        <w:rPr>
          <w:rFonts w:asciiTheme="majorEastAsia" w:hAnsiTheme="majorEastAsia" w:eastAsiaTheme="majorEastAsia"/>
          <w:bCs/>
          <w:sz w:val="24"/>
        </w:rPr>
      </w:pPr>
      <w:r>
        <w:rPr>
          <w:rFonts w:hint="eastAsia" w:asciiTheme="majorEastAsia" w:hAnsiTheme="majorEastAsia" w:eastAsiaTheme="majorEastAsia"/>
          <w:bCs/>
          <w:sz w:val="24"/>
        </w:rPr>
        <w:t>（</w:t>
      </w:r>
      <w:r>
        <w:rPr>
          <w:rFonts w:asciiTheme="majorEastAsia" w:hAnsiTheme="majorEastAsia" w:eastAsiaTheme="majorEastAsia"/>
          <w:bCs/>
          <w:sz w:val="24"/>
        </w:rPr>
        <w:t>1</w:t>
      </w:r>
      <w:r>
        <w:rPr>
          <w:rFonts w:hint="eastAsia" w:asciiTheme="majorEastAsia" w:hAnsiTheme="majorEastAsia" w:eastAsiaTheme="majorEastAsia"/>
          <w:bCs/>
          <w:sz w:val="24"/>
        </w:rPr>
        <w:t>） 本工程设计图纸规定的设计标准；</w:t>
      </w:r>
    </w:p>
    <w:p>
      <w:pPr>
        <w:spacing w:line="360" w:lineRule="auto"/>
        <w:ind w:right="-55" w:firstLine="352" w:firstLineChars="147"/>
        <w:jc w:val="both"/>
        <w:rPr>
          <w:rFonts w:asciiTheme="majorEastAsia" w:hAnsiTheme="majorEastAsia" w:eastAsiaTheme="majorEastAsia"/>
          <w:bCs/>
          <w:sz w:val="24"/>
        </w:rPr>
      </w:pPr>
      <w:r>
        <w:rPr>
          <w:rFonts w:hint="eastAsia" w:asciiTheme="majorEastAsia" w:hAnsiTheme="majorEastAsia" w:eastAsiaTheme="majorEastAsia"/>
          <w:bCs/>
          <w:sz w:val="24"/>
        </w:rPr>
        <w:t>（</w:t>
      </w:r>
      <w:r>
        <w:rPr>
          <w:rFonts w:asciiTheme="majorEastAsia" w:hAnsiTheme="majorEastAsia" w:eastAsiaTheme="majorEastAsia"/>
          <w:bCs/>
          <w:sz w:val="24"/>
        </w:rPr>
        <w:t>2</w:t>
      </w:r>
      <w:r>
        <w:rPr>
          <w:rFonts w:hint="eastAsia" w:asciiTheme="majorEastAsia" w:hAnsiTheme="majorEastAsia" w:eastAsiaTheme="majorEastAsia"/>
          <w:bCs/>
          <w:sz w:val="24"/>
        </w:rPr>
        <w:t>） 招投标时确定的规格、技术指标、质量标准、品牌等；</w:t>
      </w:r>
    </w:p>
    <w:p>
      <w:pPr>
        <w:spacing w:line="360" w:lineRule="auto"/>
        <w:ind w:right="-55" w:firstLine="352" w:firstLineChars="147"/>
        <w:jc w:val="both"/>
        <w:rPr>
          <w:rFonts w:asciiTheme="majorEastAsia" w:hAnsiTheme="majorEastAsia" w:eastAsiaTheme="majorEastAsia"/>
          <w:bCs/>
          <w:sz w:val="24"/>
        </w:rPr>
      </w:pPr>
      <w:r>
        <w:rPr>
          <w:rFonts w:hint="eastAsia" w:asciiTheme="majorEastAsia" w:hAnsiTheme="majorEastAsia" w:eastAsiaTheme="majorEastAsia"/>
          <w:bCs/>
          <w:sz w:val="24"/>
        </w:rPr>
        <w:t>（</w:t>
      </w:r>
      <w:r>
        <w:rPr>
          <w:rFonts w:asciiTheme="majorEastAsia" w:hAnsiTheme="majorEastAsia" w:eastAsiaTheme="majorEastAsia"/>
          <w:bCs/>
          <w:sz w:val="24"/>
        </w:rPr>
        <w:t>3</w:t>
      </w:r>
      <w:r>
        <w:rPr>
          <w:rFonts w:hint="eastAsia" w:asciiTheme="majorEastAsia" w:hAnsiTheme="majorEastAsia" w:eastAsiaTheme="majorEastAsia"/>
          <w:bCs/>
          <w:sz w:val="24"/>
        </w:rPr>
        <w:t>） 经设计单位、监理单位、承包人、发包人共同认定的产品封样、样板（包括样板房等）；</w:t>
      </w:r>
    </w:p>
    <w:p>
      <w:pPr>
        <w:spacing w:line="360" w:lineRule="auto"/>
        <w:ind w:right="-55" w:firstLine="235" w:firstLineChars="98"/>
        <w:jc w:val="both"/>
        <w:rPr>
          <w:rFonts w:asciiTheme="majorEastAsia" w:hAnsiTheme="majorEastAsia" w:eastAsiaTheme="majorEastAsia"/>
          <w:bCs/>
          <w:sz w:val="24"/>
        </w:rPr>
      </w:pPr>
      <w:r>
        <w:rPr>
          <w:rFonts w:hint="eastAsia" w:asciiTheme="majorEastAsia" w:hAnsiTheme="majorEastAsia" w:eastAsiaTheme="majorEastAsia"/>
          <w:bCs/>
          <w:sz w:val="24"/>
        </w:rPr>
        <w:t>（</w:t>
      </w:r>
      <w:r>
        <w:rPr>
          <w:rFonts w:asciiTheme="majorEastAsia" w:hAnsiTheme="majorEastAsia" w:eastAsiaTheme="majorEastAsia"/>
          <w:bCs/>
          <w:sz w:val="24"/>
        </w:rPr>
        <w:t>4</w:t>
      </w:r>
      <w:r>
        <w:rPr>
          <w:rFonts w:hint="eastAsia" w:asciiTheme="majorEastAsia" w:hAnsiTheme="majorEastAsia" w:eastAsiaTheme="majorEastAsia"/>
          <w:bCs/>
          <w:sz w:val="24"/>
        </w:rPr>
        <w:t>）国家或行业强制执行的技术标准、技术规范。</w:t>
      </w:r>
    </w:p>
    <w:p>
      <w:pPr>
        <w:spacing w:line="360" w:lineRule="auto"/>
        <w:ind w:right="-55" w:firstLine="480"/>
        <w:jc w:val="both"/>
        <w:rPr>
          <w:rFonts w:asciiTheme="majorEastAsia" w:hAnsiTheme="majorEastAsia" w:eastAsiaTheme="majorEastAsia"/>
          <w:bCs/>
          <w:sz w:val="24"/>
        </w:rPr>
      </w:pPr>
      <w:r>
        <w:rPr>
          <w:rFonts w:hint="eastAsia" w:asciiTheme="majorEastAsia" w:hAnsiTheme="majorEastAsia" w:eastAsiaTheme="majorEastAsia"/>
          <w:bCs/>
          <w:sz w:val="24"/>
        </w:rPr>
        <w:t>工程材料、设备的抽样、检验结果与前款约定不符的，总监理工程师必须扩大对该批材料的抽查范围、增加数量抽查。承包人必须在发包人或监理人书面通知的限期内全部无条件拆除、更换，并运出施工现场；由此造成的工期延误、费用增加等一切损失均由承包人承担。同时，承包人还应当承担违约责任。</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.4</w:t>
      </w:r>
      <w:r>
        <w:rPr>
          <w:rFonts w:hint="eastAsia" w:asciiTheme="majorEastAsia" w:hAnsiTheme="majorEastAsia" w:eastAsiaTheme="majorEastAsia"/>
          <w:bCs/>
          <w:sz w:val="24"/>
        </w:rPr>
        <w:t xml:space="preserve"> 承包人对材料、设备的试验、检验的费用自行承担。总监理工程师对材料、设备或工程进行检查、检验的费用由承包人负担。总监理工程师或发包人进行重复检查、检验的，检查、检验的结果证明材料、设备或工程不符合合同、技术规范要求的，按本专用合同条款第</w:t>
      </w: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w:t>
      </w:r>
      <w:r>
        <w:rPr>
          <w:rFonts w:hint="eastAsia" w:asciiTheme="majorEastAsia" w:hAnsiTheme="majorEastAsia" w:eastAsiaTheme="majorEastAsia"/>
          <w:bCs/>
          <w:sz w:val="24"/>
        </w:rPr>
        <w:t>2和</w:t>
      </w: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.3</w:t>
      </w:r>
      <w:r>
        <w:rPr>
          <w:rFonts w:hint="eastAsia" w:asciiTheme="majorEastAsia" w:hAnsiTheme="majorEastAsia" w:eastAsiaTheme="majorEastAsia"/>
          <w:bCs/>
          <w:sz w:val="24"/>
        </w:rPr>
        <w:t>款执行，费用由承包人负担；符合合同、招标文件、技术规范要求的，费用由发包人负责。</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1</w:t>
      </w:r>
      <w:r>
        <w:rPr>
          <w:rFonts w:asciiTheme="majorEastAsia" w:hAnsiTheme="majorEastAsia" w:eastAsiaTheme="majorEastAsia"/>
          <w:bCs/>
          <w:sz w:val="24"/>
        </w:rPr>
        <w:t>.5</w:t>
      </w:r>
      <w:r>
        <w:rPr>
          <w:rFonts w:hint="eastAsia" w:asciiTheme="majorEastAsia" w:hAnsiTheme="majorEastAsia" w:eastAsiaTheme="majorEastAsia"/>
          <w:bCs/>
          <w:sz w:val="24"/>
        </w:rPr>
        <w:t xml:space="preserve"> 发包人可以委托国家质量检查机构或其他法定检验机构对工程材料、设备的生产、制造、安装、储运全过程进行第三方检查、检验，承包人必须接受并提供便利条件，检查、检验费由承包人承担。  </w:t>
      </w:r>
    </w:p>
    <w:p>
      <w:pPr>
        <w:spacing w:line="360" w:lineRule="auto"/>
        <w:ind w:right="-55" w:firstLine="480"/>
        <w:jc w:val="both"/>
        <w:rPr>
          <w:rFonts w:asciiTheme="majorEastAsia" w:hAnsiTheme="majorEastAsia" w:eastAsiaTheme="majorEastAsia"/>
          <w:bCs/>
          <w:sz w:val="24"/>
        </w:rPr>
      </w:pPr>
      <w:r>
        <w:rPr>
          <w:rFonts w:hint="eastAsia" w:asciiTheme="majorEastAsia" w:hAnsiTheme="majorEastAsia" w:eastAsiaTheme="majorEastAsia"/>
          <w:bCs/>
          <w:sz w:val="24"/>
        </w:rPr>
        <w:t>12</w:t>
      </w:r>
      <w:r>
        <w:rPr>
          <w:rFonts w:asciiTheme="majorEastAsia" w:hAnsiTheme="majorEastAsia" w:eastAsiaTheme="majorEastAsia"/>
          <w:bCs/>
          <w:sz w:val="24"/>
        </w:rPr>
        <w:t>.</w:t>
      </w:r>
      <w:r>
        <w:rPr>
          <w:rFonts w:hint="eastAsia" w:asciiTheme="majorEastAsia" w:hAnsiTheme="majorEastAsia" w:eastAsiaTheme="majorEastAsia"/>
          <w:bCs/>
          <w:sz w:val="24"/>
        </w:rPr>
        <w:t>2 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产生的工期延误和费用增加等全部损失，由承包人承担，并由承包人按本合同要求承担违约责任。</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3 总监理工程师发现工程存在重大质量问题时，必须立即下达停工整改令。承包人必须在2天内书面提出整改措施，经总监理工程师和发包人的批准后实施整改，由此产生的工期延误和费用的增加等全部损失，由承包人承担。承包人拒绝整改的，发包人有权停止支付工程款，并将未完工程另行发包，承包人应退还未施工完毕但发包人已支付的工程款部分，并按照总工程款的5%支付违约金。</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4 承包人承诺：无论总监理工程师对工程是否进行并通过了各项检验，均不解除承包人对其承包的工程的质量所负责任，除非质量问题是由于非承包人责任原因引起，而此类质量问题承包人须及时通知总监理工程师。</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5 承包人承诺：无论工程材料是由承包人自行供应或是由发包人指定的供应商供应，均不解除承包人所负的工程全面质量的责任。承包人应该对各种材料按规范进行检查验收，拒绝不符合要求的材料用于工程。无论何种原因，出现不合格材料用于工程的情况，均由承包人承担应有的责任。</w:t>
      </w:r>
    </w:p>
    <w:p>
      <w:pPr>
        <w:spacing w:line="360" w:lineRule="auto"/>
        <w:ind w:right="-55" w:firstLine="480"/>
        <w:jc w:val="both"/>
        <w:rPr>
          <w:rFonts w:asciiTheme="majorEastAsia" w:hAnsiTheme="majorEastAsia" w:eastAsiaTheme="majorEastAsia"/>
          <w:bCs/>
          <w:sz w:val="24"/>
        </w:rPr>
      </w:pPr>
      <w:r>
        <w:rPr>
          <w:rFonts w:asciiTheme="majorEastAsia" w:hAnsiTheme="majorEastAsia" w:eastAsiaTheme="majorEastAsia"/>
          <w:bCs/>
          <w:sz w:val="24"/>
        </w:rPr>
        <w:t>1</w:t>
      </w:r>
      <w:r>
        <w:rPr>
          <w:rFonts w:hint="eastAsia" w:asciiTheme="majorEastAsia" w:hAnsiTheme="majorEastAsia" w:eastAsiaTheme="majorEastAsia"/>
          <w:bCs/>
          <w:sz w:val="24"/>
        </w:rPr>
        <w:t>2</w:t>
      </w:r>
      <w:r>
        <w:rPr>
          <w:rFonts w:asciiTheme="majorEastAsia" w:hAnsiTheme="majorEastAsia" w:eastAsiaTheme="majorEastAsia"/>
          <w:bCs/>
          <w:sz w:val="24"/>
        </w:rPr>
        <w:t>.</w:t>
      </w:r>
      <w:r>
        <w:rPr>
          <w:rFonts w:hint="eastAsia" w:asciiTheme="majorEastAsia" w:hAnsiTheme="majorEastAsia" w:eastAsiaTheme="majorEastAsia"/>
          <w:bCs/>
          <w:sz w:val="24"/>
        </w:rPr>
        <w:t>6 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监理工程师和发包人有权责令承包人限期改正，并由承包人承担违约责任。</w:t>
      </w:r>
    </w:p>
    <w:p>
      <w:pPr>
        <w:spacing w:line="360" w:lineRule="auto"/>
        <w:ind w:right="-55" w:firstLine="480"/>
        <w:jc w:val="both"/>
        <w:rPr>
          <w:rFonts w:asciiTheme="majorEastAsia" w:hAnsiTheme="majorEastAsia" w:eastAsiaTheme="majorEastAsia"/>
          <w:bCs/>
          <w:sz w:val="24"/>
        </w:rPr>
      </w:pPr>
      <w:r>
        <w:rPr>
          <w:rFonts w:hint="eastAsia" w:asciiTheme="majorEastAsia" w:hAnsiTheme="majorEastAsia" w:eastAsiaTheme="majorEastAsia"/>
          <w:bCs/>
          <w:sz w:val="24"/>
        </w:rPr>
        <w:t>若发现原始记录数据不存在、不真实，经监理单位确认，发包人拒绝相应部分工程的工程量计量与支付，若无正当理由而公开或变相拒不执行，视情节轻重，承包人承担相应违约责任，并承担由此造成的一切经济损失。</w:t>
      </w:r>
    </w:p>
    <w:p>
      <w:pPr>
        <w:spacing w:line="360" w:lineRule="auto"/>
        <w:ind w:right="-55" w:firstLine="480"/>
        <w:jc w:val="both"/>
        <w:rPr>
          <w:rFonts w:asciiTheme="majorEastAsia" w:hAnsi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3  隐蔽工程和中间验收</w:t>
      </w:r>
    </w:p>
    <w:p>
      <w:pPr>
        <w:spacing w:line="360" w:lineRule="auto"/>
        <w:ind w:right="-55" w:firstLine="480"/>
        <w:jc w:val="both"/>
        <w:rPr>
          <w:rFonts w:asciiTheme="majorEastAsia" w:hAnsiTheme="majorEastAsia" w:eastAsia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3</w:t>
      </w:r>
      <w:r>
        <w:rPr>
          <w:rFonts w:asciiTheme="majorEastAsia" w:hAnsiTheme="majorEastAsia" w:eastAsiaTheme="majorEastAsia"/>
          <w:sz w:val="24"/>
        </w:rPr>
        <w:t>.1</w:t>
      </w:r>
      <w:r>
        <w:rPr>
          <w:rFonts w:hint="eastAsia" w:asciiTheme="majorEastAsia" w:hAnsiTheme="majorEastAsia" w:eastAsiaTheme="majorEastAsia"/>
          <w:sz w:val="24"/>
        </w:rPr>
        <w:t xml:space="preserve"> 双方约定中间验收部位：</w:t>
      </w:r>
      <w:r>
        <w:rPr>
          <w:rFonts w:hint="eastAsia" w:asciiTheme="majorEastAsia" w:hAnsiTheme="majorEastAsia" w:eastAsiaTheme="majorEastAsia"/>
          <w:sz w:val="24"/>
          <w:u w:val="single"/>
        </w:rPr>
        <w:t>主体、隐蔽工程和质量安全监督站规定项目。</w:t>
      </w:r>
    </w:p>
    <w:p>
      <w:pPr>
        <w:spacing w:line="360" w:lineRule="auto"/>
        <w:ind w:right="-55" w:firstLine="480"/>
        <w:jc w:val="both"/>
        <w:rPr>
          <w:rFonts w:asciiTheme="majorEastAsia" w:hAnsi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3</w:t>
      </w:r>
      <w:r>
        <w:rPr>
          <w:rFonts w:asciiTheme="majorEastAsia" w:hAnsiTheme="majorEastAsia" w:eastAsiaTheme="majorEastAsia"/>
          <w:sz w:val="24"/>
        </w:rPr>
        <w:t>.</w:t>
      </w:r>
      <w:r>
        <w:rPr>
          <w:rFonts w:hint="eastAsia" w:asciiTheme="majorEastAsia" w:hAnsiTheme="majorEastAsia" w:eastAsiaTheme="majorEastAsia"/>
          <w:sz w:val="24"/>
        </w:rPr>
        <w:t xml:space="preserve">2  </w:t>
      </w:r>
      <w:r>
        <w:rPr>
          <w:rFonts w:hint="eastAsia" w:asciiTheme="majorEastAsia" w:hAnsiTheme="majorEastAsia" w:eastAsiaTheme="majorEastAsia"/>
          <w:sz w:val="24"/>
          <w:u w:val="single"/>
        </w:rPr>
        <w:t>隐蔽工程或中间验收部位未经总监理工程师验收合格，不得隐蔽或继续施工。否则，该部分工程被视为不合格，发包人和总监理工程师有权要求承包人打开隐蔽部位进行验收检查，由此所产生的返工费用由承包人负责</w:t>
      </w:r>
    </w:p>
    <w:p>
      <w:pPr>
        <w:spacing w:line="360" w:lineRule="auto"/>
        <w:ind w:right="-55" w:firstLine="480"/>
        <w:jc w:val="both"/>
        <w:rPr>
          <w:rFonts w:asciiTheme="majorEastAsia" w:hAnsi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4  工程试车</w:t>
      </w:r>
    </w:p>
    <w:p>
      <w:pPr>
        <w:spacing w:line="360" w:lineRule="auto"/>
        <w:ind w:right="-55" w:firstLine="480"/>
        <w:jc w:val="both"/>
        <w:rPr>
          <w:rFonts w:asciiTheme="majorEastAsia" w:hAnsiTheme="majorEastAsia" w:eastAsia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sz w:val="24"/>
        </w:rPr>
        <w:t>1 试车费用的承担：</w:t>
      </w:r>
      <w:r>
        <w:rPr>
          <w:rFonts w:asciiTheme="majorEastAsia" w:hAnsiTheme="majorEastAsia" w:eastAsiaTheme="majorEastAsia"/>
          <w:sz w:val="24"/>
        </w:rPr>
        <w:t>_</w:t>
      </w:r>
      <w:r>
        <w:rPr>
          <w:rFonts w:asciiTheme="majorEastAsia" w:hAnsiTheme="majorEastAsia" w:eastAsiaTheme="majorEastAsia"/>
          <w:sz w:val="24"/>
          <w:u w:val="single"/>
        </w:rPr>
        <w:t>_</w:t>
      </w:r>
      <w:r>
        <w:rPr>
          <w:rFonts w:hint="eastAsia" w:asciiTheme="majorEastAsia" w:hAnsiTheme="majorEastAsia" w:eastAsiaTheme="majorEastAsia"/>
          <w:sz w:val="24"/>
          <w:u w:val="single"/>
        </w:rPr>
        <w:t xml:space="preserve">包含在合同总价内  </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　　五  安全施工</w:t>
      </w:r>
    </w:p>
    <w:p>
      <w:pPr>
        <w:spacing w:line="360" w:lineRule="auto"/>
        <w:ind w:right="-55" w:firstLine="480" w:firstLineChars="200"/>
        <w:jc w:val="both"/>
        <w:rPr>
          <w:rFonts w:asciiTheme="majorEastAsia" w:hAnsiTheme="majorEastAsia"/>
          <w:sz w:val="24"/>
          <w:u w:val="single"/>
        </w:rPr>
      </w:pPr>
      <w:r>
        <w:rPr>
          <w:rFonts w:hint="eastAsia" w:asciiTheme="majorEastAsia" w:hAnsiTheme="majorEastAsia" w:eastAsiaTheme="majorEastAsia"/>
          <w:sz w:val="24"/>
          <w:u w:val="single"/>
        </w:rPr>
        <w:t>承包人应按国家省市有关法律法规执行，并保证文明施工安全生产。承包人应执行《建筑施工安全检查标准》（</w:t>
      </w:r>
      <w:r>
        <w:rPr>
          <w:rFonts w:asciiTheme="majorEastAsia" w:hAnsiTheme="majorEastAsia" w:eastAsiaTheme="majorEastAsia"/>
          <w:sz w:val="24"/>
          <w:u w:val="single"/>
        </w:rPr>
        <w:t>JGJ59-99</w:t>
      </w:r>
      <w:r>
        <w:rPr>
          <w:rFonts w:hint="eastAsia" w:asciiTheme="majorEastAsia" w:hAnsiTheme="majorEastAsia" w:eastAsiaTheme="majorEastAsia"/>
          <w:sz w:val="24"/>
          <w:u w:val="single"/>
        </w:rPr>
        <w:t>），和《广州市建设工程现场文明施工管理办法》（穗建质（2008）937号）的规定，并按要求办理建筑工人平安卡及出入证等。</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六  合同价款与支付</w:t>
      </w:r>
    </w:p>
    <w:p>
      <w:pPr>
        <w:spacing w:line="360" w:lineRule="auto"/>
        <w:ind w:right="-55" w:firstLine="480" w:firstLineChars="200"/>
        <w:jc w:val="both"/>
        <w:rPr>
          <w:rFonts w:asciiTheme="majorEastAsia" w:hAnsiTheme="majorEastAsia"/>
          <w:sz w:val="24"/>
        </w:rPr>
      </w:pPr>
      <w:r>
        <w:rPr>
          <w:rFonts w:hint="eastAsia" w:asciiTheme="majorEastAsia" w:hAnsiTheme="majorEastAsia" w:eastAsiaTheme="majorEastAsia"/>
          <w:sz w:val="24"/>
        </w:rPr>
        <w:t xml:space="preserve">5  合同价款及调整 </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15.1 本合同价款采用</w:t>
      </w:r>
      <w:r>
        <w:rPr>
          <w:rFonts w:hint="eastAsia" w:asciiTheme="majorEastAsia" w:hAnsiTheme="majorEastAsia" w:eastAsiaTheme="majorEastAsia"/>
          <w:sz w:val="24"/>
          <w:u w:val="single"/>
        </w:rPr>
        <w:t>综合单价包干（合同中另有约定的从约定和工程量清单约定暂估价的按约定）、措施费项目合价包干</w:t>
      </w:r>
      <w:r>
        <w:rPr>
          <w:rFonts w:hint="eastAsia" w:asciiTheme="majorEastAsia" w:hAnsiTheme="majorEastAsia" w:eastAsiaTheme="majorEastAsia"/>
          <w:sz w:val="24"/>
        </w:rPr>
        <w:t>方式确定。实体项目工程量按实结算，措施费项目不作调整。</w:t>
      </w:r>
    </w:p>
    <w:p>
      <w:pPr>
        <w:spacing w:line="360" w:lineRule="auto"/>
        <w:ind w:right="-55"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rPr>
        <w:t xml:space="preserve">15.2 </w:t>
      </w:r>
      <w:r>
        <w:rPr>
          <w:rFonts w:hint="eastAsia" w:cs="仿宋" w:asciiTheme="majorEastAsia" w:hAnsiTheme="majorEastAsia" w:eastAsiaTheme="majorEastAsia"/>
          <w:bCs/>
          <w:color w:val="000000"/>
          <w:sz w:val="24"/>
          <w:szCs w:val="24"/>
        </w:rPr>
        <w:t>市场价格波动引起的调整</w:t>
      </w:r>
    </w:p>
    <w:p>
      <w:pPr>
        <w:spacing w:line="360" w:lineRule="auto"/>
        <w:ind w:firstLine="480" w:firstLineChars="200"/>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调整方式：采用造价信息进行价格调整。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（2）材料、工程设备价格变化的价款调整按照发包人提供的基准价格，按以下风险范围规定执行:</w:t>
      </w:r>
    </w:p>
    <w:p>
      <w:pPr>
        <w:spacing w:line="360" w:lineRule="auto"/>
        <w:ind w:firstLine="480" w:firstLineChars="200"/>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①承包人在已标价工程量清单或预算书中载明材料单价低于施工当期基准价格的：合同履行期间材料单价涨幅以基准价格为基础不足5%的，按承包人在已标价工程量清单或预算书中载明材料单价执行，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jc w:val="both"/>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②承包人在已标价工程量清单或预算书中载明材料单价高于基准价格的：材料单价据实调整。</w:t>
      </w:r>
    </w:p>
    <w:p>
      <w:pPr>
        <w:spacing w:line="360" w:lineRule="auto"/>
        <w:ind w:right="-55" w:firstLine="480"/>
        <w:jc w:val="both"/>
        <w:rPr>
          <w:rFonts w:asciiTheme="majorEastAsia" w:hAnsiTheme="majorEastAsia" w:eastAsiaTheme="majorEastAsia"/>
          <w:sz w:val="24"/>
          <w:u w:val="single"/>
        </w:rPr>
      </w:pPr>
      <w:r>
        <w:rPr>
          <w:rFonts w:hint="eastAsia" w:asciiTheme="majorEastAsia" w:hAnsiTheme="majorEastAsia" w:eastAsiaTheme="majorEastAsia"/>
          <w:sz w:val="24"/>
        </w:rPr>
        <w:t>15</w:t>
      </w:r>
      <w:r>
        <w:rPr>
          <w:rFonts w:asciiTheme="majorEastAsia" w:hAnsiTheme="majorEastAsia" w:eastAsiaTheme="majorEastAsia"/>
          <w:sz w:val="24"/>
        </w:rPr>
        <w:t>.3</w:t>
      </w:r>
      <w:r>
        <w:rPr>
          <w:rFonts w:hint="eastAsia" w:asciiTheme="majorEastAsia" w:hAnsiTheme="majorEastAsia" w:eastAsiaTheme="majorEastAsia"/>
          <w:sz w:val="24"/>
        </w:rPr>
        <w:t xml:space="preserve">  双方约定合同价款的其他调整因素：</w:t>
      </w:r>
      <w:r>
        <w:rPr>
          <w:rFonts w:hint="eastAsia" w:asciiTheme="majorEastAsia" w:hAnsiTheme="majorEastAsia" w:eastAsiaTheme="majorEastAsia"/>
          <w:sz w:val="24"/>
          <w:u w:val="single"/>
        </w:rPr>
        <w:t xml:space="preserve">      /       </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15.4  在施工过程中如发生材料品牌、型号、数量与投标相符时，结算经发包人指定的审计公司审核结算。</w:t>
      </w:r>
    </w:p>
    <w:p>
      <w:pPr>
        <w:spacing w:line="360" w:lineRule="auto"/>
        <w:ind w:left="576" w:leftChars="228" w:right="-55" w:hanging="120" w:hangingChars="50"/>
        <w:jc w:val="both"/>
        <w:rPr>
          <w:rFonts w:asciiTheme="majorEastAsia" w:hAnsiTheme="majorEastAsia"/>
          <w:sz w:val="24"/>
        </w:rPr>
      </w:pPr>
      <w:r>
        <w:rPr>
          <w:rFonts w:hint="eastAsia" w:asciiTheme="majorEastAsia" w:hAnsiTheme="majorEastAsia" w:eastAsiaTheme="majorEastAsia"/>
          <w:sz w:val="24"/>
        </w:rPr>
        <w:t>16  工程备料款</w:t>
      </w:r>
    </w:p>
    <w:p>
      <w:pPr>
        <w:spacing w:line="360" w:lineRule="auto"/>
        <w:ind w:left="576" w:leftChars="228" w:right="-55" w:hanging="120" w:hangingChars="50"/>
        <w:jc w:val="both"/>
        <w:rPr>
          <w:rFonts w:asciiTheme="majorEastAsia" w:hAnsiTheme="majorEastAsia" w:eastAsiaTheme="majorEastAsia"/>
          <w:sz w:val="24"/>
        </w:rPr>
      </w:pPr>
      <w:r>
        <w:rPr>
          <w:rFonts w:hint="eastAsia" w:asciiTheme="majorEastAsia" w:hAnsiTheme="majorEastAsia" w:eastAsiaTheme="majorEastAsia"/>
          <w:sz w:val="24"/>
        </w:rPr>
        <w:t>工程预付款按照以下约定履行：</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16.1  工程预付款支付</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16.1.1 本工程签订合同后，发包人收到承包人款项申请及定额增值税专用发票后20个工作日内应向承包人支付合同价款30％的款项作为工程预付款；公式：合同总价×30％。</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16.1.2 工程预付款在申请工程进度款时分2次按比例逐次扣回，每次扣回合同价款的15%。每次支付工程进度款，承包人应提供等额增值税专用发票给发包人。</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16.2  工程进度款支付</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16.2.1 第一次工程进度款支付，工程量应完成至全部工程进度的60%，承包人提交款项申请及等额</w:t>
      </w:r>
      <w:bookmarkStart w:id="345" w:name="_Hlk142297780"/>
      <w:r>
        <w:rPr>
          <w:rFonts w:hint="eastAsia" w:asciiTheme="majorEastAsia" w:hAnsiTheme="majorEastAsia" w:eastAsiaTheme="majorEastAsia"/>
          <w:sz w:val="24"/>
        </w:rPr>
        <w:t>（税率9%）</w:t>
      </w:r>
      <w:bookmarkEnd w:id="345"/>
      <w:r>
        <w:rPr>
          <w:rFonts w:hint="eastAsia" w:asciiTheme="majorEastAsia" w:hAnsiTheme="majorEastAsia" w:eastAsiaTheme="majorEastAsia"/>
          <w:sz w:val="24"/>
        </w:rPr>
        <w:t>增值税专用发票，发包人核对工程量完成合格无误且收到发票后的25个工作日内，发包人支付合同总价×25％，累计已支付55%；</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16.2.2  第二次工程进度款支付：工程量应完成至全部工程进度的100%，承包人提交款项申请及等额（税率9%）增值税专用发票，发包人核对工程量完成合格无误且收到发票后的25个工作日内，发包人支付合同总价×20％，累计已支付75%；</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16.2.3  当所有款项累计支付达到合同价款的75%时，暂停支付工程进度款。在竣工验收合格后，竣工结算经甲方主管单位中远海运发展股份有限公司内审机构或其委托的中介机构进行审计后结算，且承包人按时完整移交工程竣工档案后，承包人按实际结算款总价向发包人开具合法的剩余价款（税率9%）增值税专用发票，发包人收到发票后的25个工作日内付至结算造价的97%；留下结算造价的3%作为工程质量保修金。若在质保期内，承包人未出现违约情形且完成质保工作，发包人应在质保期满后，收到承包人的款项申请手续后25个工作日内将质量保修金无息退回给承包人。</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16.3  发包人不按约定预付工程款，需承担违约责任。承包人应将预付款专用于实施本合同所需的施工机械、工程设备、材料及人员费用，并应向监理工程师提交发票和其他证明文件的副本以证明预付款确实专款专用，否则发包人有权拒绝支付下一期工程进度款，直至承包人工程量进度与预付款占工程总价比例相同。</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16.4发包人付款前，承包人未提供符合发包人要求的等额有效发票的，发包人有权顺延付款期限，且不承担任何违约责任，承包人不得以此为由停工或拖延工期。</w:t>
      </w:r>
    </w:p>
    <w:p>
      <w:pPr>
        <w:spacing w:line="360" w:lineRule="auto"/>
        <w:ind w:right="-55" w:firstLine="480"/>
        <w:jc w:val="both"/>
        <w:rPr>
          <w:rFonts w:asciiTheme="majorEastAsia" w:hAnsiTheme="majorEastAsia"/>
          <w:sz w:val="24"/>
        </w:rPr>
      </w:pPr>
      <w:r>
        <w:rPr>
          <w:rFonts w:hint="eastAsia" w:asciiTheme="majorEastAsia" w:hAnsiTheme="majorEastAsia" w:eastAsiaTheme="majorEastAsia"/>
          <w:sz w:val="24"/>
        </w:rPr>
        <w:t>17  工程量确认</w:t>
      </w:r>
    </w:p>
    <w:p>
      <w:pPr>
        <w:spacing w:line="360" w:lineRule="auto"/>
        <w:ind w:right="-55" w:firstLine="480"/>
        <w:jc w:val="both"/>
        <w:rPr>
          <w:rFonts w:asciiTheme="majorEastAsia" w:hAnsiTheme="majorEastAsia" w:eastAsiaTheme="majorEastAsia"/>
          <w:sz w:val="24"/>
          <w:u w:val="single"/>
        </w:rPr>
      </w:pPr>
      <w:r>
        <w:rPr>
          <w:rFonts w:hint="eastAsia" w:asciiTheme="majorEastAsia" w:hAnsiTheme="majorEastAsia" w:eastAsiaTheme="majorEastAsia"/>
          <w:sz w:val="24"/>
        </w:rPr>
        <w:t>17</w:t>
      </w:r>
      <w:r>
        <w:rPr>
          <w:rFonts w:asciiTheme="majorEastAsia" w:hAnsiTheme="majorEastAsia" w:eastAsiaTheme="majorEastAsia"/>
          <w:sz w:val="24"/>
        </w:rPr>
        <w:t>.1</w:t>
      </w:r>
      <w:r>
        <w:rPr>
          <w:rFonts w:hint="eastAsia" w:asciiTheme="majorEastAsia" w:hAnsiTheme="majorEastAsia" w:eastAsiaTheme="majorEastAsia"/>
          <w:sz w:val="24"/>
        </w:rPr>
        <w:t xml:space="preserve"> 承包人向工程师提交已完工程量报告的时间：自开工之日起，</w:t>
      </w:r>
      <w:r>
        <w:rPr>
          <w:rFonts w:hint="eastAsia" w:asciiTheme="majorEastAsia" w:hAnsiTheme="majorEastAsia" w:eastAsiaTheme="majorEastAsia"/>
          <w:sz w:val="24"/>
          <w:u w:val="single"/>
        </w:rPr>
        <w:t>每3日前提交当月完成的工程量报告及下月工程进度计划。</w:t>
      </w:r>
    </w:p>
    <w:p>
      <w:pPr>
        <w:spacing w:line="360" w:lineRule="auto"/>
        <w:ind w:left="456" w:leftChars="228" w:right="-55" w:firstLine="1"/>
        <w:jc w:val="both"/>
        <w:rPr>
          <w:rFonts w:asciiTheme="majorEastAsia" w:hAnsiTheme="majorEastAsia"/>
          <w:sz w:val="24"/>
        </w:rPr>
      </w:pPr>
      <w:r>
        <w:rPr>
          <w:rFonts w:hint="eastAsia" w:asciiTheme="majorEastAsia" w:hAnsiTheme="majorEastAsia" w:eastAsiaTheme="majorEastAsia"/>
          <w:sz w:val="24"/>
        </w:rPr>
        <w:t>18  工程款（进度款）支付</w:t>
      </w:r>
    </w:p>
    <w:p>
      <w:pPr>
        <w:spacing w:line="360" w:lineRule="auto"/>
        <w:ind w:left="456" w:leftChars="228" w:right="-55" w:firstLine="1"/>
        <w:jc w:val="both"/>
        <w:rPr>
          <w:rFonts w:asciiTheme="majorEastAsia" w:hAnsiTheme="majorEastAsia" w:eastAsiaTheme="majorEastAsia"/>
          <w:sz w:val="24"/>
        </w:rPr>
      </w:pPr>
      <w:r>
        <w:rPr>
          <w:rFonts w:hint="eastAsia" w:asciiTheme="majorEastAsia" w:hAnsiTheme="majorEastAsia" w:eastAsiaTheme="majorEastAsia"/>
          <w:sz w:val="24"/>
        </w:rPr>
        <w:t>18</w:t>
      </w:r>
      <w:r>
        <w:rPr>
          <w:rFonts w:asciiTheme="majorEastAsia" w:hAnsiTheme="majorEastAsia" w:eastAsiaTheme="majorEastAsia"/>
          <w:sz w:val="24"/>
        </w:rPr>
        <w:t>.1</w:t>
      </w:r>
      <w:r>
        <w:rPr>
          <w:rFonts w:hint="eastAsia" w:asciiTheme="majorEastAsia" w:hAnsiTheme="majorEastAsia" w:eastAsiaTheme="majorEastAsia"/>
          <w:sz w:val="24"/>
        </w:rPr>
        <w:t xml:space="preserve"> 双方约定的工程款支付(扣除工程保留金)的方式和时间：</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（1） 支付方式：按本专用条款第16.2条执行。</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（2） 当所有款项累计支付达到暂定合同价款（扣除预留金）的75%时，暂停支付所有款项。</w:t>
      </w:r>
    </w:p>
    <w:p>
      <w:pPr>
        <w:spacing w:line="360" w:lineRule="auto"/>
        <w:ind w:right="-55"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工程款以监理单位审核计量和发包人审定确认为准。承包人应在完工时根据工程师及发包人核实确认的工程量、工程量清单单价和取费标准，计算已完工程价值，编制工程款结算单送监理单位。监理单位收到后，应在5天内审核并签署意见后报发包人，发包人在7天内审核批准，并报上级有关部门办理统一拨付。</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18.2 其他费用的支付方式：</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18.2.1 因变更引起的工程项目</w:t>
      </w:r>
      <w:r>
        <w:rPr>
          <w:rFonts w:asciiTheme="majorEastAsia" w:hAnsiTheme="majorEastAsia" w:eastAsiaTheme="majorEastAsia"/>
          <w:sz w:val="24"/>
        </w:rPr>
        <w:t>支付方式：</w:t>
      </w:r>
      <w:r>
        <w:rPr>
          <w:rFonts w:hint="eastAsia" w:asciiTheme="majorEastAsia" w:hAnsiTheme="majorEastAsia" w:eastAsiaTheme="majorEastAsia"/>
          <w:sz w:val="24"/>
        </w:rPr>
        <w:t>经发包人审定</w:t>
      </w:r>
      <w:r>
        <w:rPr>
          <w:rFonts w:asciiTheme="majorEastAsia" w:hAnsiTheme="majorEastAsia" w:eastAsiaTheme="majorEastAsia"/>
          <w:sz w:val="24"/>
        </w:rPr>
        <w:t>纳入总工程量中，</w:t>
      </w:r>
      <w:r>
        <w:rPr>
          <w:rFonts w:hint="eastAsia" w:asciiTheme="majorEastAsia" w:hAnsiTheme="majorEastAsia" w:eastAsiaTheme="majorEastAsia"/>
          <w:sz w:val="24"/>
        </w:rPr>
        <w:t>按结算款支付执行，双方另行签订补充协议约定</w:t>
      </w:r>
      <w:r>
        <w:rPr>
          <w:rFonts w:asciiTheme="majorEastAsia" w:hAnsiTheme="majorEastAsia" w:eastAsiaTheme="majorEastAsia"/>
          <w:sz w:val="24"/>
        </w:rPr>
        <w:t>。</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18.2.2 对</w:t>
      </w:r>
      <w:r>
        <w:rPr>
          <w:rFonts w:asciiTheme="majorEastAsia" w:hAnsiTheme="majorEastAsia" w:eastAsiaTheme="majorEastAsia"/>
          <w:sz w:val="24"/>
        </w:rPr>
        <w:t>于</w:t>
      </w:r>
      <w:r>
        <w:rPr>
          <w:rFonts w:hint="eastAsia" w:asciiTheme="majorEastAsia" w:hAnsiTheme="majorEastAsia" w:eastAsiaTheme="majorEastAsia"/>
          <w:sz w:val="24"/>
        </w:rPr>
        <w:t>招标范围外的</w:t>
      </w:r>
      <w:r>
        <w:rPr>
          <w:rFonts w:asciiTheme="majorEastAsia" w:hAnsiTheme="majorEastAsia" w:eastAsiaTheme="majorEastAsia"/>
          <w:sz w:val="24"/>
        </w:rPr>
        <w:t>增</w:t>
      </w:r>
      <w:r>
        <w:rPr>
          <w:rFonts w:hint="eastAsia" w:asciiTheme="majorEastAsia" w:hAnsiTheme="majorEastAsia" w:eastAsiaTheme="majorEastAsia"/>
          <w:sz w:val="24"/>
        </w:rPr>
        <w:t>加工程</w:t>
      </w:r>
      <w:r>
        <w:rPr>
          <w:rFonts w:asciiTheme="majorEastAsia" w:hAnsiTheme="majorEastAsia" w:eastAsiaTheme="majorEastAsia"/>
          <w:sz w:val="24"/>
        </w:rPr>
        <w:t>项目支付方式：</w:t>
      </w:r>
      <w:r>
        <w:rPr>
          <w:rFonts w:hint="eastAsia" w:asciiTheme="majorEastAsia" w:hAnsiTheme="majorEastAsia" w:eastAsiaTheme="majorEastAsia"/>
          <w:sz w:val="24"/>
        </w:rPr>
        <w:t>经发包人审定</w:t>
      </w:r>
      <w:r>
        <w:rPr>
          <w:rFonts w:asciiTheme="majorEastAsia" w:hAnsiTheme="majorEastAsia" w:eastAsiaTheme="majorEastAsia"/>
          <w:sz w:val="24"/>
        </w:rPr>
        <w:t>纳入总工程量中，</w:t>
      </w:r>
      <w:r>
        <w:rPr>
          <w:rFonts w:hint="eastAsia" w:asciiTheme="majorEastAsia" w:hAnsiTheme="majorEastAsia" w:eastAsiaTheme="majorEastAsia"/>
          <w:sz w:val="24"/>
        </w:rPr>
        <w:t>按结算款支付执行，双方另行签订补充协议约定</w:t>
      </w:r>
      <w:r>
        <w:rPr>
          <w:rFonts w:asciiTheme="majorEastAsia" w:hAnsiTheme="majorEastAsia" w:eastAsiaTheme="majorEastAsia"/>
          <w:sz w:val="24"/>
        </w:rPr>
        <w:t>。</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七 材料设备供应</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19  发包人供应材料设备</w:t>
      </w:r>
    </w:p>
    <w:p>
      <w:pPr>
        <w:spacing w:line="360" w:lineRule="auto"/>
        <w:ind w:right="-55"/>
        <w:jc w:val="both"/>
        <w:rPr>
          <w:rFonts w:asciiTheme="majorEastAsia" w:hAnsiTheme="majorEastAsia"/>
          <w:sz w:val="24"/>
        </w:rPr>
      </w:pPr>
      <w:r>
        <w:rPr>
          <w:rFonts w:hint="eastAsia" w:asciiTheme="majorEastAsia" w:hAnsiTheme="majorEastAsia" w:eastAsiaTheme="majorEastAsia"/>
          <w:sz w:val="24"/>
        </w:rPr>
        <w:t>　  19</w:t>
      </w:r>
      <w:r>
        <w:rPr>
          <w:rFonts w:asciiTheme="majorEastAsia" w:hAnsiTheme="majorEastAsia" w:eastAsiaTheme="majorEastAsia"/>
          <w:sz w:val="24"/>
        </w:rPr>
        <w:t>.</w:t>
      </w:r>
      <w:r>
        <w:rPr>
          <w:rFonts w:hint="eastAsia" w:asciiTheme="majorEastAsia" w:hAnsiTheme="majorEastAsia" w:eastAsiaTheme="majorEastAsia"/>
          <w:sz w:val="24"/>
        </w:rPr>
        <w:t>1 发包人供应的材料设备与一览表不符时，双方约定发包人承担责任如下：</w:t>
      </w:r>
    </w:p>
    <w:p>
      <w:pPr>
        <w:spacing w:line="360" w:lineRule="auto"/>
        <w:ind w:right="-55"/>
        <w:jc w:val="both"/>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）材料设备单价与一览表不符：</w:t>
      </w:r>
    </w:p>
    <w:p>
      <w:pPr>
        <w:spacing w:line="360" w:lineRule="auto"/>
        <w:ind w:left="470" w:right="-55" w:hanging="470" w:hangingChars="196"/>
        <w:jc w:val="both"/>
        <w:rPr>
          <w:rFonts w:asciiTheme="majorEastAsia" w:hAnsiTheme="majorEastAsia"/>
          <w:sz w:val="24"/>
        </w:rPr>
      </w:pPr>
      <w:r>
        <w:rPr>
          <w:rFonts w:asciiTheme="majorEastAsia" w:hAnsiTheme="majorEastAsia" w:eastAsiaTheme="majorEastAsia"/>
          <w:sz w:val="24"/>
        </w:rPr>
        <w:t xml:space="preserve"> _______________________________________</w:t>
      </w:r>
      <w:r>
        <w:rPr>
          <w:rFonts w:asciiTheme="majorEastAsia" w:hAnsiTheme="majorEastAsia" w:eastAsiaTheme="majorEastAsia"/>
          <w:sz w:val="24"/>
          <w:u w:val="single"/>
        </w:rPr>
        <w:t>/_</w:t>
      </w:r>
      <w:r>
        <w:rPr>
          <w:rFonts w:asciiTheme="majorEastAsia" w:hAnsiTheme="majorEastAsia" w:eastAsiaTheme="majorEastAsia"/>
          <w:sz w:val="24"/>
        </w:rPr>
        <w:t>________________________</w:t>
      </w:r>
    </w:p>
    <w:p>
      <w:pPr>
        <w:spacing w:line="360" w:lineRule="auto"/>
        <w:ind w:left="470" w:right="-55" w:hanging="470" w:hangingChars="196"/>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）材料设备的品种、规格、型号、质量等级与一览表不符：</w:t>
      </w:r>
    </w:p>
    <w:p>
      <w:pPr>
        <w:spacing w:line="360" w:lineRule="auto"/>
        <w:ind w:left="470" w:right="-55" w:hanging="470" w:hangingChars="196"/>
        <w:jc w:val="both"/>
        <w:rPr>
          <w:rFonts w:asciiTheme="majorEastAsia" w:hAnsiTheme="majorEastAsia"/>
          <w:sz w:val="24"/>
        </w:rPr>
      </w:pPr>
      <w:r>
        <w:rPr>
          <w:rFonts w:asciiTheme="majorEastAsia" w:hAnsiTheme="majorEastAsia" w:eastAsiaTheme="majorEastAsia"/>
          <w:sz w:val="24"/>
        </w:rPr>
        <w:t>_________________________________________</w:t>
      </w:r>
      <w:r>
        <w:rPr>
          <w:rFonts w:asciiTheme="majorEastAsia" w:hAnsiTheme="majorEastAsia" w:eastAsiaTheme="majorEastAsia"/>
          <w:sz w:val="24"/>
          <w:u w:val="single"/>
        </w:rPr>
        <w:t>_/_</w:t>
      </w:r>
      <w:r>
        <w:rPr>
          <w:rFonts w:asciiTheme="majorEastAsia" w:hAnsiTheme="majorEastAsia" w:eastAsiaTheme="majorEastAsia"/>
          <w:sz w:val="24"/>
        </w:rPr>
        <w:t>______________________</w:t>
      </w:r>
    </w:p>
    <w:p>
      <w:pPr>
        <w:spacing w:line="360" w:lineRule="auto"/>
        <w:ind w:left="470" w:right="-55" w:hanging="470" w:hangingChars="196"/>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）承包人可代为调剂串换的材料：</w:t>
      </w:r>
    </w:p>
    <w:p>
      <w:pPr>
        <w:spacing w:line="360" w:lineRule="auto"/>
        <w:ind w:left="480" w:right="-55" w:hanging="480" w:hangingChars="200"/>
        <w:jc w:val="both"/>
        <w:rPr>
          <w:rFonts w:asciiTheme="majorEastAsia" w:hAnsiTheme="majorEastAsia" w:eastAsiaTheme="majorEastAsia"/>
          <w:sz w:val="24"/>
        </w:rPr>
      </w:pPr>
      <w:r>
        <w:rPr>
          <w:rFonts w:asciiTheme="majorEastAsia" w:hAnsiTheme="majorEastAsia" w:eastAsiaTheme="majorEastAsia"/>
          <w:sz w:val="24"/>
        </w:rPr>
        <w:t>________________________________________</w:t>
      </w:r>
      <w:r>
        <w:rPr>
          <w:rFonts w:asciiTheme="majorEastAsia" w:hAnsiTheme="majorEastAsia" w:eastAsiaTheme="majorEastAsia"/>
          <w:sz w:val="24"/>
          <w:u w:val="single"/>
        </w:rPr>
        <w:t>__/_</w:t>
      </w:r>
      <w:r>
        <w:rPr>
          <w:rFonts w:asciiTheme="majorEastAsia" w:hAnsiTheme="majorEastAsia" w:eastAsiaTheme="majorEastAsia"/>
          <w:sz w:val="24"/>
        </w:rPr>
        <w:t>______________________</w:t>
      </w:r>
    </w:p>
    <w:p>
      <w:pPr>
        <w:spacing w:line="360" w:lineRule="auto"/>
        <w:ind w:left="457" w:leftChars="228" w:right="-55" w:hanging="1"/>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）到货地点与一览表不符：</w:t>
      </w:r>
    </w:p>
    <w:p>
      <w:pPr>
        <w:spacing w:line="360" w:lineRule="auto"/>
        <w:ind w:left="480" w:right="-55" w:hanging="480" w:hangingChars="200"/>
        <w:jc w:val="both"/>
        <w:rPr>
          <w:rFonts w:asciiTheme="majorEastAsia" w:hAnsiTheme="majorEastAsia" w:eastAsiaTheme="majorEastAsia"/>
          <w:sz w:val="24"/>
        </w:rPr>
      </w:pPr>
      <w:r>
        <w:rPr>
          <w:rFonts w:asciiTheme="majorEastAsia" w:hAnsiTheme="majorEastAsia" w:eastAsiaTheme="majorEastAsia"/>
          <w:sz w:val="24"/>
        </w:rPr>
        <w:t>_____________________________________</w:t>
      </w:r>
      <w:r>
        <w:rPr>
          <w:rFonts w:asciiTheme="majorEastAsia" w:hAnsiTheme="majorEastAsia" w:eastAsiaTheme="majorEastAsia"/>
          <w:sz w:val="24"/>
          <w:u w:val="single"/>
        </w:rPr>
        <w:t>_/</w:t>
      </w:r>
      <w:r>
        <w:rPr>
          <w:rFonts w:asciiTheme="majorEastAsia" w:hAnsiTheme="majorEastAsia" w:eastAsiaTheme="majorEastAsia"/>
          <w:sz w:val="24"/>
        </w:rPr>
        <w:t>___________________________</w:t>
      </w:r>
    </w:p>
    <w:p>
      <w:pPr>
        <w:spacing w:line="360" w:lineRule="auto"/>
        <w:ind w:left="457" w:leftChars="228" w:right="-55" w:hanging="1"/>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）供应数量与一览表不符：</w:t>
      </w:r>
    </w:p>
    <w:p>
      <w:pPr>
        <w:spacing w:line="360" w:lineRule="auto"/>
        <w:ind w:left="480" w:right="-55" w:hanging="480" w:hangingChars="200"/>
        <w:jc w:val="both"/>
        <w:rPr>
          <w:rFonts w:asciiTheme="majorEastAsia" w:hAnsiTheme="majorEastAsia" w:eastAsiaTheme="majorEastAsia"/>
          <w:sz w:val="24"/>
        </w:rPr>
      </w:pPr>
      <w:r>
        <w:rPr>
          <w:rFonts w:asciiTheme="majorEastAsia" w:hAnsiTheme="majorEastAsia" w:eastAsiaTheme="majorEastAsia"/>
          <w:sz w:val="24"/>
        </w:rPr>
        <w:t>________________________________________</w:t>
      </w:r>
      <w:r>
        <w:rPr>
          <w:rFonts w:asciiTheme="majorEastAsia" w:hAnsiTheme="majorEastAsia" w:eastAsiaTheme="majorEastAsia"/>
          <w:sz w:val="24"/>
          <w:u w:val="single"/>
        </w:rPr>
        <w:t>_/__</w:t>
      </w:r>
      <w:r>
        <w:rPr>
          <w:rFonts w:asciiTheme="majorEastAsia" w:hAnsiTheme="majorEastAsia" w:eastAsiaTheme="majorEastAsia"/>
          <w:sz w:val="24"/>
        </w:rPr>
        <w:t>______________________</w:t>
      </w:r>
    </w:p>
    <w:p>
      <w:pPr>
        <w:spacing w:line="360" w:lineRule="auto"/>
        <w:ind w:left="457" w:leftChars="228" w:right="-55" w:hanging="1"/>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）到货时间与一览表不符：</w:t>
      </w:r>
    </w:p>
    <w:p>
      <w:pPr>
        <w:spacing w:line="360" w:lineRule="auto"/>
        <w:ind w:left="480" w:right="-55" w:hanging="480" w:hangingChars="200"/>
        <w:jc w:val="both"/>
        <w:rPr>
          <w:rFonts w:asciiTheme="majorEastAsia" w:hAnsiTheme="majorEastAsia" w:eastAsiaTheme="majorEastAsia"/>
          <w:sz w:val="24"/>
        </w:rPr>
      </w:pPr>
      <w:r>
        <w:rPr>
          <w:rFonts w:asciiTheme="majorEastAsia" w:hAnsiTheme="majorEastAsia" w:eastAsiaTheme="majorEastAsia"/>
          <w:sz w:val="24"/>
        </w:rPr>
        <w:t>_________________________________________</w:t>
      </w:r>
      <w:r>
        <w:rPr>
          <w:rFonts w:asciiTheme="majorEastAsia" w:hAnsiTheme="majorEastAsia" w:eastAsiaTheme="majorEastAsia"/>
          <w:sz w:val="24"/>
          <w:u w:val="single"/>
        </w:rPr>
        <w:t>_/</w:t>
      </w:r>
      <w:r>
        <w:rPr>
          <w:rFonts w:asciiTheme="majorEastAsia" w:hAnsiTheme="majorEastAsia" w:eastAsiaTheme="majorEastAsia"/>
          <w:sz w:val="24"/>
        </w:rPr>
        <w:t>_______________________</w:t>
      </w:r>
      <w:r>
        <w:rPr>
          <w:rFonts w:hint="eastAsia" w:asciiTheme="majorEastAsia" w:hAnsiTheme="majorEastAsia" w:eastAsiaTheme="majorEastAsia"/>
          <w:sz w:val="24"/>
        </w:rPr>
        <w:t>　</w:t>
      </w:r>
    </w:p>
    <w:p>
      <w:pPr>
        <w:spacing w:line="360" w:lineRule="auto"/>
        <w:ind w:left="456" w:leftChars="228" w:right="-55"/>
        <w:jc w:val="both"/>
        <w:rPr>
          <w:rFonts w:asciiTheme="majorEastAsia" w:hAnsiTheme="majorEastAsia" w:eastAsiaTheme="majorEastAsia"/>
          <w:sz w:val="24"/>
        </w:rPr>
      </w:pPr>
      <w:r>
        <w:rPr>
          <w:rFonts w:hint="eastAsia" w:asciiTheme="majorEastAsia" w:hAnsiTheme="majorEastAsia" w:eastAsiaTheme="majorEastAsia"/>
          <w:sz w:val="24"/>
        </w:rPr>
        <w:t>19</w:t>
      </w:r>
      <w:r>
        <w:rPr>
          <w:rFonts w:asciiTheme="majorEastAsia" w:hAnsiTheme="majorEastAsia" w:eastAsiaTheme="majorEastAsia"/>
          <w:sz w:val="24"/>
        </w:rPr>
        <w:t>.</w:t>
      </w:r>
      <w:r>
        <w:rPr>
          <w:rFonts w:hint="eastAsia" w:asciiTheme="majorEastAsia" w:hAnsiTheme="majorEastAsia" w:eastAsiaTheme="majorEastAsia"/>
          <w:sz w:val="24"/>
        </w:rPr>
        <w:t>2 发包人供应材料设备的结算方法：</w:t>
      </w:r>
    </w:p>
    <w:p>
      <w:pPr>
        <w:spacing w:line="360" w:lineRule="auto"/>
        <w:ind w:left="480" w:right="-55" w:hanging="480" w:hangingChars="200"/>
        <w:jc w:val="both"/>
        <w:rPr>
          <w:rFonts w:asciiTheme="majorEastAsia" w:hAnsiTheme="majorEastAsia" w:eastAsiaTheme="majorEastAsia"/>
          <w:sz w:val="24"/>
        </w:rPr>
      </w:pPr>
      <w:r>
        <w:rPr>
          <w:rFonts w:asciiTheme="majorEastAsia" w:hAnsiTheme="majorEastAsia" w:eastAsiaTheme="majorEastAsia"/>
          <w:sz w:val="24"/>
        </w:rPr>
        <w:t>___________________________________________</w:t>
      </w:r>
      <w:r>
        <w:rPr>
          <w:rFonts w:asciiTheme="majorEastAsia" w:hAnsiTheme="majorEastAsia" w:eastAsiaTheme="majorEastAsia"/>
          <w:sz w:val="24"/>
          <w:u w:val="single"/>
        </w:rPr>
        <w:t>_/_</w:t>
      </w:r>
      <w:r>
        <w:rPr>
          <w:rFonts w:asciiTheme="majorEastAsia" w:hAnsiTheme="majorEastAsia" w:eastAsiaTheme="majorEastAsia"/>
          <w:sz w:val="24"/>
        </w:rPr>
        <w:t>____________________</w:t>
      </w:r>
    </w:p>
    <w:p>
      <w:pPr>
        <w:spacing w:line="360" w:lineRule="auto"/>
        <w:ind w:left="457" w:leftChars="228" w:right="-55" w:hanging="1"/>
        <w:jc w:val="both"/>
        <w:rPr>
          <w:rFonts w:asciiTheme="majorEastAsia" w:hAnsiTheme="majorEastAsia" w:eastAsiaTheme="majorEastAsia"/>
          <w:sz w:val="24"/>
        </w:rPr>
      </w:pPr>
      <w:r>
        <w:rPr>
          <w:rFonts w:hint="eastAsia" w:asciiTheme="majorEastAsia" w:hAnsiTheme="majorEastAsia" w:eastAsiaTheme="majorEastAsia"/>
          <w:sz w:val="24"/>
        </w:rPr>
        <w:t>20  承包人采购材料设备</w:t>
      </w:r>
    </w:p>
    <w:p>
      <w:pPr>
        <w:spacing w:line="360" w:lineRule="auto"/>
        <w:ind w:left="457" w:leftChars="228" w:right="-55" w:hanging="1"/>
        <w:jc w:val="both"/>
        <w:rPr>
          <w:rFonts w:asciiTheme="majorEastAsia" w:hAnsiTheme="majorEastAsia" w:eastAsiaTheme="majorEastAsia"/>
          <w:sz w:val="24"/>
        </w:rPr>
      </w:pPr>
      <w:r>
        <w:rPr>
          <w:rFonts w:hint="eastAsia" w:asciiTheme="majorEastAsia" w:hAnsiTheme="majorEastAsia" w:eastAsiaTheme="majorEastAsia"/>
          <w:sz w:val="24"/>
        </w:rPr>
        <w:t>20</w:t>
      </w:r>
      <w:r>
        <w:rPr>
          <w:rFonts w:asciiTheme="majorEastAsia" w:hAnsiTheme="majorEastAsia" w:eastAsiaTheme="majorEastAsia"/>
          <w:sz w:val="24"/>
        </w:rPr>
        <w:t>.1</w:t>
      </w:r>
      <w:r>
        <w:rPr>
          <w:rFonts w:hint="eastAsia" w:asciiTheme="majorEastAsia" w:hAnsiTheme="majorEastAsia" w:eastAsiaTheme="majorEastAsia"/>
          <w:sz w:val="24"/>
        </w:rPr>
        <w:t xml:space="preserve"> 承包人采购材料设备的约定：</w:t>
      </w:r>
    </w:p>
    <w:p>
      <w:pPr>
        <w:spacing w:line="360" w:lineRule="auto"/>
        <w:ind w:right="-55" w:firstLine="470" w:firstLineChars="196"/>
        <w:jc w:val="both"/>
        <w:rPr>
          <w:rFonts w:asciiTheme="majorEastAsia" w:hAnsiTheme="majorEastAsia" w:eastAsiaTheme="majorEastAsia"/>
          <w:sz w:val="24"/>
          <w:u w:val="single"/>
        </w:rPr>
      </w:pPr>
      <w:r>
        <w:rPr>
          <w:rFonts w:hint="eastAsia" w:asciiTheme="majorEastAsia" w:hAnsiTheme="majorEastAsia" w:eastAsiaTheme="majorEastAsia"/>
          <w:sz w:val="24"/>
          <w:u w:val="single"/>
        </w:rPr>
        <w:t>本工程招标文件中所列的材料，承包人应于订购前提供生产厂家的合格证书、试验报告及样板，经工程监理单位及发包人确认，所采购材料必须实质上相当或优于招标所列品牌，方可使用，否则发包人有权拒用，并由承包人承担损失。</w:t>
      </w:r>
    </w:p>
    <w:p>
      <w:pPr>
        <w:spacing w:line="360" w:lineRule="auto"/>
        <w:ind w:right="-55" w:firstLine="348" w:firstLineChars="145"/>
        <w:jc w:val="both"/>
        <w:rPr>
          <w:rFonts w:asciiTheme="majorEastAsia" w:hAnsiTheme="majorEastAsia" w:eastAsiaTheme="majorEastAsia"/>
          <w:sz w:val="24"/>
          <w:u w:val="single"/>
        </w:rPr>
      </w:pPr>
      <w:r>
        <w:rPr>
          <w:rFonts w:hint="eastAsia" w:asciiTheme="majorEastAsia" w:hAnsiTheme="majorEastAsia" w:eastAsiaTheme="majorEastAsia"/>
          <w:sz w:val="24"/>
        </w:rPr>
        <w:t>20</w:t>
      </w:r>
      <w:r>
        <w:rPr>
          <w:rFonts w:asciiTheme="majorEastAsia" w:hAnsiTheme="majorEastAsia" w:eastAsiaTheme="majorEastAsia"/>
          <w:sz w:val="24"/>
        </w:rPr>
        <w:t>.</w:t>
      </w:r>
      <w:r>
        <w:rPr>
          <w:rFonts w:hint="eastAsia" w:asciiTheme="majorEastAsia" w:hAnsiTheme="majorEastAsia" w:eastAsiaTheme="majorEastAsia"/>
          <w:sz w:val="24"/>
        </w:rPr>
        <w:t xml:space="preserve">2 </w:t>
      </w:r>
      <w:r>
        <w:rPr>
          <w:rFonts w:hint="eastAsia" w:asciiTheme="majorEastAsia" w:hAnsiTheme="majorEastAsia" w:eastAsiaTheme="majorEastAsia"/>
          <w:sz w:val="24"/>
          <w:u w:val="single"/>
        </w:rPr>
        <w:t>对于承包人采购的材料设备，无论总监理工程师或发包人有无条件到生产、制造现场监造或验收，该材料设备到达施工现场后验收发现质量问题的，均由承包人承担责任，承包人应负责修复或拆除或重新采购，并承担相应的费用和责任，由此延误的工期也不予顺延。</w:t>
      </w:r>
    </w:p>
    <w:p>
      <w:pPr>
        <w:spacing w:line="360" w:lineRule="auto"/>
        <w:ind w:right="-55" w:firstLine="470" w:firstLineChars="196"/>
        <w:jc w:val="both"/>
        <w:rPr>
          <w:rFonts w:asciiTheme="majorEastAsia" w:hAnsiTheme="majorEastAsia" w:eastAsiaTheme="majorEastAsia"/>
          <w:sz w:val="24"/>
        </w:rPr>
      </w:pPr>
      <w:r>
        <w:rPr>
          <w:rFonts w:hint="eastAsia" w:asciiTheme="majorEastAsia" w:hAnsiTheme="majorEastAsia" w:eastAsiaTheme="majorEastAsia"/>
          <w:sz w:val="24"/>
        </w:rPr>
        <w:t>八  工程变更</w:t>
      </w:r>
    </w:p>
    <w:p>
      <w:pPr>
        <w:spacing w:line="360" w:lineRule="auto"/>
        <w:ind w:right="-55" w:firstLine="352" w:firstLineChars="147"/>
        <w:jc w:val="both"/>
        <w:rPr>
          <w:rFonts w:asciiTheme="majorEastAsia" w:hAnsiTheme="majorEastAsia" w:eastAsiaTheme="majorEastAsia"/>
          <w:sz w:val="24"/>
          <w:u w:val="single"/>
        </w:rPr>
      </w:pPr>
      <w:r>
        <w:rPr>
          <w:rFonts w:hint="eastAsia" w:asciiTheme="majorEastAsia" w:hAnsiTheme="majorEastAsia" w:eastAsiaTheme="majorEastAsia"/>
          <w:sz w:val="24"/>
          <w:u w:val="single"/>
        </w:rPr>
        <w:t>① 设计变更文件必须盖有设计单位的出图章和发包人代表签字，通常在设计变更实施前7天发出；</w:t>
      </w:r>
    </w:p>
    <w:p>
      <w:pPr>
        <w:spacing w:line="360" w:lineRule="auto"/>
        <w:ind w:right="-55" w:firstLine="352" w:firstLineChars="147"/>
        <w:jc w:val="both"/>
        <w:rPr>
          <w:rFonts w:asciiTheme="majorEastAsia" w:hAnsiTheme="majorEastAsia" w:eastAsiaTheme="majorEastAsia"/>
          <w:sz w:val="24"/>
          <w:u w:val="single"/>
        </w:rPr>
      </w:pPr>
      <w:r>
        <w:rPr>
          <w:rFonts w:hint="eastAsia" w:asciiTheme="majorEastAsia" w:hAnsiTheme="majorEastAsia" w:eastAsiaTheme="majorEastAsia"/>
          <w:sz w:val="24"/>
          <w:u w:val="single"/>
        </w:rPr>
        <w:t>② 发包人书面通知变更的指令性文件应有发包人代表签字并盖章，通常在变更实施前7天发出；</w:t>
      </w:r>
    </w:p>
    <w:p>
      <w:pPr>
        <w:spacing w:line="360" w:lineRule="auto"/>
        <w:ind w:right="-55" w:firstLine="352" w:firstLineChars="147"/>
        <w:jc w:val="both"/>
        <w:rPr>
          <w:rFonts w:asciiTheme="majorEastAsia" w:hAnsiTheme="majorEastAsia" w:eastAsiaTheme="majorEastAsia"/>
          <w:sz w:val="24"/>
          <w:u w:val="single"/>
        </w:rPr>
      </w:pPr>
      <w:r>
        <w:rPr>
          <w:rFonts w:hint="eastAsia" w:asciiTheme="majorEastAsia" w:hAnsiTheme="majorEastAsia" w:eastAsiaTheme="majorEastAsia"/>
          <w:sz w:val="24"/>
          <w:u w:val="single"/>
        </w:rPr>
        <w:t>③ 设计变更文件（或指令）涉及合同价款和工期调整时，承包人接到设计变更（或指令）有效文件后在14天内申报工程价款和工期调整报告。</w:t>
      </w:r>
    </w:p>
    <w:p>
      <w:pPr>
        <w:spacing w:line="360" w:lineRule="auto"/>
        <w:ind w:right="-55" w:firstLine="468" w:firstLineChars="195"/>
        <w:jc w:val="both"/>
        <w:rPr>
          <w:rFonts w:asciiTheme="majorEastAsia" w:hAnsiTheme="majorEastAsia" w:eastAsiaTheme="majorEastAsia"/>
          <w:sz w:val="24"/>
        </w:rPr>
      </w:pPr>
      <w:r>
        <w:rPr>
          <w:rFonts w:hint="eastAsia" w:asciiTheme="majorEastAsia" w:hAnsiTheme="majorEastAsia" w:eastAsiaTheme="majorEastAsia"/>
          <w:sz w:val="24"/>
        </w:rPr>
        <w:t>九  竣工验收与结算</w:t>
      </w:r>
    </w:p>
    <w:p>
      <w:pPr>
        <w:spacing w:line="360" w:lineRule="auto"/>
        <w:ind w:right="-57" w:firstLine="475" w:firstLineChars="198"/>
        <w:jc w:val="both"/>
        <w:rPr>
          <w:rFonts w:asciiTheme="majorEastAsia" w:hAnsiTheme="majorEastAsia"/>
          <w:sz w:val="24"/>
        </w:rPr>
      </w:pPr>
      <w:r>
        <w:rPr>
          <w:rFonts w:hint="eastAsia" w:asciiTheme="majorEastAsia" w:hAnsiTheme="majorEastAsia" w:eastAsiaTheme="majorEastAsia"/>
          <w:sz w:val="24"/>
        </w:rPr>
        <w:t>21  竣工验收</w:t>
      </w:r>
    </w:p>
    <w:p>
      <w:pPr>
        <w:spacing w:line="360" w:lineRule="auto"/>
        <w:ind w:right="-57" w:firstLine="475" w:firstLineChars="198"/>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  21</w:t>
      </w:r>
      <w:r>
        <w:rPr>
          <w:rFonts w:asciiTheme="majorEastAsia" w:hAnsiTheme="majorEastAsia" w:eastAsiaTheme="majorEastAsia"/>
          <w:sz w:val="24"/>
        </w:rPr>
        <w:t>.1</w:t>
      </w:r>
      <w:r>
        <w:rPr>
          <w:rFonts w:hint="eastAsia" w:asciiTheme="majorEastAsia" w:hAnsiTheme="majorEastAsia" w:eastAsiaTheme="majorEastAsia"/>
          <w:sz w:val="24"/>
        </w:rPr>
        <w:t xml:space="preserve"> 承包人提供竣工图的约定：</w:t>
      </w:r>
      <w:r>
        <w:rPr>
          <w:rFonts w:hint="eastAsia" w:asciiTheme="majorEastAsia" w:hAnsiTheme="majorEastAsia" w:eastAsiaTheme="majorEastAsia"/>
          <w:sz w:val="24"/>
          <w:u w:val="single"/>
        </w:rPr>
        <w:t>工程竣工验收前，承包人提供竣工图给发包人。竣工验收后15天内，承包人应提交一式四套完整的竣工图及文字资料，并按省市质安、城建、档案等管理部门的要求、规格编制成册。</w:t>
      </w:r>
    </w:p>
    <w:p>
      <w:pPr>
        <w:spacing w:line="360" w:lineRule="auto"/>
        <w:ind w:firstLine="597" w:firstLineChars="249"/>
        <w:jc w:val="both"/>
        <w:rPr>
          <w:rFonts w:asciiTheme="majorEastAsia" w:hAnsiTheme="majorEastAsia" w:eastAsiaTheme="majorEastAsia"/>
          <w:sz w:val="24"/>
          <w:u w:val="single"/>
        </w:rPr>
      </w:pPr>
      <w:r>
        <w:rPr>
          <w:rFonts w:hint="eastAsia" w:asciiTheme="majorEastAsia" w:hAnsiTheme="majorEastAsia" w:eastAsiaTheme="majorEastAsia"/>
          <w:sz w:val="24"/>
        </w:rPr>
        <w:t>21</w:t>
      </w:r>
      <w:r>
        <w:rPr>
          <w:rFonts w:asciiTheme="majorEastAsia" w:hAnsiTheme="majorEastAsia" w:eastAsiaTheme="majorEastAsia"/>
          <w:sz w:val="24"/>
        </w:rPr>
        <w:t>.</w:t>
      </w:r>
      <w:r>
        <w:rPr>
          <w:rFonts w:hint="eastAsia" w:asciiTheme="majorEastAsia" w:hAnsiTheme="majorEastAsia" w:eastAsiaTheme="majorEastAsia"/>
          <w:sz w:val="24"/>
        </w:rPr>
        <w:t>2  中间交工工程的范围和竣工时间：</w:t>
      </w:r>
      <w:r>
        <w:rPr>
          <w:rFonts w:hint="eastAsia" w:asciiTheme="majorEastAsia" w:hAnsiTheme="majorEastAsia" w:eastAsiaTheme="majorEastAsia"/>
          <w:sz w:val="24"/>
          <w:u w:val="single"/>
        </w:rPr>
        <w:t>按经审核批准的施工计划时间执行。</w:t>
      </w:r>
    </w:p>
    <w:p>
      <w:pPr>
        <w:spacing w:line="360" w:lineRule="auto"/>
        <w:ind w:firstLine="597" w:firstLineChars="249"/>
        <w:jc w:val="both"/>
        <w:rPr>
          <w:rFonts w:asciiTheme="majorEastAsia" w:hAnsiTheme="majorEastAsia" w:eastAsiaTheme="majorEastAsia"/>
          <w:sz w:val="24"/>
        </w:rPr>
      </w:pPr>
      <w:r>
        <w:rPr>
          <w:rFonts w:hint="eastAsia" w:asciiTheme="majorEastAsia" w:hAnsiTheme="majorEastAsia" w:eastAsiaTheme="majorEastAsia"/>
          <w:sz w:val="24"/>
        </w:rPr>
        <w:t>21.3  工程基本完工后，承包人经自检达到合格标准后才向监理单位发出竣工预检通知书，监理单位预验合格后，双方协商确定竣工验收时间。</w:t>
      </w:r>
    </w:p>
    <w:p>
      <w:pPr>
        <w:spacing w:line="360" w:lineRule="auto"/>
        <w:ind w:firstLine="597" w:firstLineChars="249"/>
        <w:jc w:val="both"/>
        <w:rPr>
          <w:rFonts w:asciiTheme="majorEastAsia" w:hAnsiTheme="majorEastAsia" w:eastAsiaTheme="majorEastAsia"/>
          <w:sz w:val="24"/>
        </w:rPr>
      </w:pPr>
      <w:r>
        <w:rPr>
          <w:rFonts w:hint="eastAsia" w:asciiTheme="majorEastAsia" w:hAnsiTheme="majorEastAsia" w:eastAsiaTheme="majorEastAsia"/>
          <w:sz w:val="24"/>
        </w:rPr>
        <w:t>21.4  由发包人、承包人、设计单位、监理单位等共同组织工程整体验收评定。</w:t>
      </w:r>
    </w:p>
    <w:p>
      <w:pPr>
        <w:spacing w:line="360" w:lineRule="auto"/>
        <w:ind w:firstLine="597" w:firstLineChars="249"/>
        <w:jc w:val="both"/>
        <w:rPr>
          <w:rFonts w:asciiTheme="majorEastAsia" w:hAnsiTheme="majorEastAsia" w:eastAsiaTheme="majorEastAsia"/>
          <w:sz w:val="24"/>
        </w:rPr>
      </w:pPr>
      <w:r>
        <w:rPr>
          <w:rFonts w:hint="eastAsia" w:asciiTheme="majorEastAsia" w:hAnsiTheme="majorEastAsia" w:eastAsiaTheme="majorEastAsia"/>
          <w:sz w:val="24"/>
        </w:rPr>
        <w:t>21.5  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成符合合同要求为止，并按最后验收合格的日期作为竣工日期，由此产生的一切费用和逾期完工责任均由承包人负责。承包人经两次修补仍然不符合合同要求的，发包人有权委托第三方进行修补，由此产生的费用由承包人承担；第三方无法修补的，视为承包人不能履行完毕合同义务，发包人有权解除合同，承包人应退还全部工程款项并向发包人支付合同总价</w:t>
      </w:r>
      <w:r>
        <w:rPr>
          <w:rFonts w:asciiTheme="majorEastAsia" w:hAnsiTheme="majorEastAsia" w:eastAsiaTheme="majorEastAsia"/>
          <w:sz w:val="24"/>
        </w:rPr>
        <w:t>10%</w:t>
      </w:r>
      <w:r>
        <w:rPr>
          <w:rFonts w:hint="eastAsia" w:asciiTheme="majorEastAsia" w:hAnsiTheme="majorEastAsia" w:eastAsiaTheme="majorEastAsia"/>
          <w:sz w:val="24"/>
        </w:rPr>
        <w:t>的违约金，违约金不足以弥补发包人损失的，发包人有权继续向承包人追偿。</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21.6  发包人、承包人应于验收合格后</w:t>
      </w:r>
      <w:r>
        <w:rPr>
          <w:rFonts w:asciiTheme="majorEastAsia" w:hAnsiTheme="majorEastAsia" w:eastAsiaTheme="majorEastAsia"/>
          <w:sz w:val="24"/>
        </w:rPr>
        <w:t>10</w:t>
      </w:r>
      <w:r>
        <w:rPr>
          <w:rFonts w:hint="eastAsia" w:asciiTheme="majorEastAsia" w:hAnsiTheme="majorEastAsia" w:eastAsiaTheme="majorEastAsia"/>
          <w:sz w:val="24"/>
        </w:rPr>
        <w:t>天内签署工程交接验收证明文件，承包人将场地清理干净后将工程移交给发包人管理。承包人逾期未交或者逾期未将场地清理干净并移交的，视为承包人逾期完成合同义务，，每逾期一天按</w:t>
      </w:r>
      <w:r>
        <w:rPr>
          <w:rFonts w:asciiTheme="majorEastAsia" w:hAnsiTheme="majorEastAsia" w:eastAsiaTheme="majorEastAsia"/>
          <w:sz w:val="24"/>
        </w:rPr>
        <w:t>500</w:t>
      </w:r>
      <w:r>
        <w:rPr>
          <w:rFonts w:hint="eastAsia" w:asciiTheme="majorEastAsia" w:hAnsiTheme="majorEastAsia" w:eastAsiaTheme="majorEastAsia"/>
          <w:sz w:val="24"/>
        </w:rPr>
        <w:t>元向发包人支付违约金，发包人可直接在工程尾款或质量保修金中予以扣除。</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21.7  工程（包括中间验收工程）未经验收，发包人提前使用或擅自使用，由此而发生的质量或其他问题，概由发包人承担。</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21.8  竣工档案的整理和移交</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21.8.1 承包人应按照国家《城市建设档案管理规定》、《广州市城市建设档案管理办法》和发包人有关整理工程档案的要求，在工程施工期间及时收集、汇总、整理、编制竣工档案，并于工程竣工验收后按广州市建设工程档案整理与移交办法向发包人完整移交如下竣工档案：</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 竣工文件资料、竣工图档案（原件）各一式四份；</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 与本款（</w:t>
      </w:r>
      <w:r>
        <w:rPr>
          <w:rFonts w:asciiTheme="majorEastAsia" w:hAnsiTheme="majorEastAsia" w:eastAsiaTheme="majorEastAsia"/>
          <w:sz w:val="24"/>
        </w:rPr>
        <w:t>1</w:t>
      </w:r>
      <w:r>
        <w:rPr>
          <w:rFonts w:hint="eastAsia" w:asciiTheme="majorEastAsia" w:hAnsiTheme="majorEastAsia" w:eastAsiaTheme="majorEastAsia"/>
          <w:sz w:val="24"/>
        </w:rPr>
        <w:t>）项内容相同的电子版档案一式二份；</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 声像档案一式二份。</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承包人移交竣工档案的时限：承包人应按工程进度及时收集整理各分部分项工程的验收资料，并于工程竣工验收后15天内将竣工档案提交工程监理单位签认，（监理单位应在收到竣工档案后</w:t>
      </w:r>
      <w:r>
        <w:rPr>
          <w:rFonts w:asciiTheme="majorEastAsia" w:hAnsiTheme="majorEastAsia" w:eastAsiaTheme="majorEastAsia"/>
          <w:sz w:val="24"/>
        </w:rPr>
        <w:t>20</w:t>
      </w:r>
      <w:r>
        <w:rPr>
          <w:rFonts w:hint="eastAsia" w:asciiTheme="majorEastAsia" w:hAnsiTheme="majorEastAsia" w:eastAsiaTheme="majorEastAsia"/>
          <w:sz w:val="24"/>
        </w:rPr>
        <w:t>天内签认）经工程监理单位签认后，承包人应在</w:t>
      </w:r>
      <w:r>
        <w:rPr>
          <w:rFonts w:asciiTheme="majorEastAsia" w:hAnsiTheme="majorEastAsia" w:eastAsiaTheme="majorEastAsia"/>
          <w:sz w:val="24"/>
        </w:rPr>
        <w:t>10</w:t>
      </w:r>
      <w:r>
        <w:rPr>
          <w:rFonts w:hint="eastAsia" w:asciiTheme="majorEastAsia" w:hAnsiTheme="majorEastAsia" w:eastAsiaTheme="majorEastAsia"/>
          <w:sz w:val="24"/>
        </w:rPr>
        <w:t>天内将竣工档案移交给发包人归档并同时移交有关归档的证明文件。发包人经审查合格的，应在收到竣工档案后</w:t>
      </w:r>
      <w:r>
        <w:rPr>
          <w:rFonts w:asciiTheme="majorEastAsia" w:hAnsiTheme="majorEastAsia" w:eastAsiaTheme="majorEastAsia"/>
          <w:sz w:val="24"/>
        </w:rPr>
        <w:t>10</w:t>
      </w:r>
      <w:r>
        <w:rPr>
          <w:rFonts w:hint="eastAsia" w:asciiTheme="majorEastAsia" w:hAnsiTheme="majorEastAsia" w:eastAsiaTheme="majorEastAsia"/>
          <w:sz w:val="24"/>
        </w:rPr>
        <w:t>天内签署档案验收意见；不合格的，要求承包人限期补正，直至合格为止。承包人逾期提交竣工资料的，每逾期一天按</w:t>
      </w:r>
      <w:r>
        <w:rPr>
          <w:rFonts w:asciiTheme="majorEastAsia" w:hAnsiTheme="majorEastAsia" w:eastAsiaTheme="majorEastAsia"/>
          <w:sz w:val="24"/>
        </w:rPr>
        <w:t>500</w:t>
      </w:r>
      <w:r>
        <w:rPr>
          <w:rFonts w:hint="eastAsia" w:asciiTheme="majorEastAsia" w:hAnsiTheme="majorEastAsia" w:eastAsiaTheme="majorEastAsia"/>
          <w:sz w:val="24"/>
        </w:rPr>
        <w:t>元向发包人支付违约金，发包人可直接在工程尾款或质量保修金中予以扣除。</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21.8.2  电子版竣工图的编制，以发包人提供的电子版施工图为基础，承包人在移交竣工档案时，应一并移交发包人提供的电子版施工图。</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电子版施工图和电子版竣工图的知识产权归属发包人所有，非经发包人书面许可，承包人不得以任何方式复制、备份、转让和利用或向第三方泄露。否则，由此引起的任何纠纷、损失和责任由承包人承担。</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21.8.3  承包人应督促其工程分包单位及时做好竣工资料整理工作，于分包工程竣工验收后</w:t>
      </w:r>
      <w:r>
        <w:rPr>
          <w:rFonts w:asciiTheme="majorEastAsia" w:hAnsiTheme="majorEastAsia" w:eastAsiaTheme="majorEastAsia"/>
          <w:sz w:val="24"/>
        </w:rPr>
        <w:t>25</w:t>
      </w:r>
      <w:r>
        <w:rPr>
          <w:rFonts w:hint="eastAsia" w:asciiTheme="majorEastAsia" w:hAnsiTheme="majorEastAsia" w:eastAsiaTheme="majorEastAsia"/>
          <w:sz w:val="24"/>
        </w:rPr>
        <w:t>天内将全部档案资料移交给承包人，由承包人汇总、归档，并在承包人移交竣工档案时一并移交。</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21.8.4  因承包人的原因致使发包人未能按照国家规定向政府有关部门移交工程竣工档案而受到经济处罚的，由承包人承担金额赔偿责任。</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22  竣工结算</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22.1 在工程通过竣工验收，承包人提交了合格完整的竣工资料，发包人在收到承包人有关结算资料后</w:t>
      </w:r>
      <w:r>
        <w:rPr>
          <w:rFonts w:asciiTheme="majorEastAsia" w:hAnsiTheme="majorEastAsia" w:eastAsiaTheme="majorEastAsia"/>
          <w:sz w:val="24"/>
        </w:rPr>
        <w:t>60</w:t>
      </w:r>
      <w:r>
        <w:rPr>
          <w:rFonts w:hint="eastAsia" w:asciiTheme="majorEastAsia" w:hAnsiTheme="majorEastAsia" w:eastAsiaTheme="majorEastAsia"/>
          <w:sz w:val="24"/>
        </w:rPr>
        <w:t>天内发包人完成初审（不含对数时间），经有关部门审核确认结算价后按本专用条款第16.2条约定付清工程结算款（保修金除外）。</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22.2 承包人提交结算报告的时间：竣工验收后</w:t>
      </w:r>
      <w:r>
        <w:rPr>
          <w:rFonts w:asciiTheme="majorEastAsia" w:hAnsiTheme="majorEastAsia" w:eastAsiaTheme="majorEastAsia"/>
          <w:sz w:val="24"/>
          <w:u w:val="single"/>
        </w:rPr>
        <w:t>30</w:t>
      </w:r>
      <w:r>
        <w:rPr>
          <w:rFonts w:hint="eastAsia" w:asciiTheme="majorEastAsia" w:hAnsiTheme="majorEastAsia" w:eastAsiaTheme="majorEastAsia"/>
          <w:sz w:val="24"/>
        </w:rPr>
        <w:t>天内。</w:t>
      </w:r>
    </w:p>
    <w:p>
      <w:pPr>
        <w:spacing w:line="360" w:lineRule="auto"/>
        <w:ind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22.3 承包人应当向发包人提供如下竣工结算资料：</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工程结算书（含电子版）；</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工程量计算书及电子版；（即计算底稿）；</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工程承包合同；</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 xml:space="preserve">(4)  </w:t>
      </w:r>
      <w:r>
        <w:rPr>
          <w:rFonts w:hint="eastAsia" w:asciiTheme="majorEastAsia" w:hAnsiTheme="majorEastAsia" w:eastAsiaTheme="majorEastAsia"/>
          <w:sz w:val="24"/>
        </w:rPr>
        <w:t>工程竣工图（含电子版）</w:t>
      </w:r>
      <w:r>
        <w:rPr>
          <w:rFonts w:asciiTheme="majorEastAsia" w:hAnsiTheme="majorEastAsia" w:eastAsiaTheme="majorEastAsia"/>
          <w:sz w:val="24"/>
        </w:rPr>
        <w:t>;</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 xml:space="preserve">(5)  </w:t>
      </w:r>
      <w:r>
        <w:rPr>
          <w:rFonts w:hint="eastAsia" w:asciiTheme="majorEastAsia" w:hAnsiTheme="majorEastAsia" w:eastAsiaTheme="majorEastAsia"/>
          <w:sz w:val="24"/>
        </w:rPr>
        <w:t>工程竣工资料（含电子版）</w:t>
      </w:r>
      <w:r>
        <w:rPr>
          <w:rFonts w:asciiTheme="majorEastAsia" w:hAnsiTheme="majorEastAsia" w:eastAsiaTheme="majorEastAsia"/>
          <w:sz w:val="24"/>
        </w:rPr>
        <w:t>;</w:t>
      </w:r>
    </w:p>
    <w:p>
      <w:pPr>
        <w:spacing w:line="360" w:lineRule="auto"/>
        <w:ind w:firstLine="470" w:firstLineChars="196"/>
        <w:jc w:val="both"/>
        <w:rPr>
          <w:rFonts w:asciiTheme="majorEastAsia" w:hAnsiTheme="majorEastAsia" w:eastAsiaTheme="majorEastAsia"/>
          <w:sz w:val="24"/>
        </w:rPr>
      </w:pPr>
      <w:r>
        <w:rPr>
          <w:rFonts w:asciiTheme="majorEastAsia" w:hAnsiTheme="majorEastAsia" w:eastAsiaTheme="majorEastAsia"/>
          <w:sz w:val="24"/>
        </w:rPr>
        <w:t xml:space="preserve">(6)  </w:t>
      </w:r>
      <w:r>
        <w:rPr>
          <w:rFonts w:hint="eastAsia" w:asciiTheme="majorEastAsia" w:hAnsiTheme="majorEastAsia" w:eastAsiaTheme="majorEastAsia"/>
          <w:sz w:val="24"/>
        </w:rPr>
        <w:t>图纸会审纪录</w:t>
      </w:r>
      <w:r>
        <w:rPr>
          <w:rFonts w:asciiTheme="majorEastAsia" w:hAnsiTheme="majorEastAsia" w:eastAsiaTheme="majorEastAsia"/>
          <w:sz w:val="24"/>
        </w:rPr>
        <w:t>;</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(7)  </w:t>
      </w:r>
      <w:r>
        <w:rPr>
          <w:rFonts w:hint="eastAsia" w:asciiTheme="majorEastAsia" w:hAnsiTheme="majorEastAsia" w:eastAsiaTheme="majorEastAsia"/>
          <w:sz w:val="24"/>
        </w:rPr>
        <w:t>设计变更单</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(8)  </w:t>
      </w:r>
      <w:r>
        <w:rPr>
          <w:rFonts w:hint="eastAsia" w:asciiTheme="majorEastAsia" w:hAnsiTheme="majorEastAsia" w:eastAsiaTheme="majorEastAsia"/>
          <w:sz w:val="24"/>
        </w:rPr>
        <w:t>工程洽商记录；</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(9)  </w:t>
      </w:r>
      <w:r>
        <w:rPr>
          <w:rFonts w:hint="eastAsia" w:asciiTheme="majorEastAsia" w:hAnsiTheme="majorEastAsia" w:eastAsiaTheme="majorEastAsia"/>
          <w:sz w:val="24"/>
        </w:rPr>
        <w:t>监理工程师通知或发包人施工指令；</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(10)  </w:t>
      </w:r>
      <w:r>
        <w:rPr>
          <w:rFonts w:hint="eastAsia" w:asciiTheme="majorEastAsia" w:hAnsiTheme="majorEastAsia" w:eastAsiaTheme="majorEastAsia"/>
          <w:sz w:val="24"/>
        </w:rPr>
        <w:t>会议纪要；</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(11)  </w:t>
      </w:r>
      <w:r>
        <w:rPr>
          <w:rFonts w:hint="eastAsia" w:asciiTheme="majorEastAsia" w:hAnsiTheme="majorEastAsia" w:eastAsiaTheme="majorEastAsia"/>
          <w:sz w:val="24"/>
        </w:rPr>
        <w:t>现场签证单；</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(12)  </w:t>
      </w:r>
      <w:r>
        <w:rPr>
          <w:rFonts w:hint="eastAsia" w:asciiTheme="majorEastAsia" w:hAnsiTheme="majorEastAsia" w:eastAsiaTheme="majorEastAsia"/>
          <w:sz w:val="24"/>
        </w:rPr>
        <w:t>材料设备单价呈批审核单（如有）；</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(13)  </w:t>
      </w:r>
      <w:r>
        <w:rPr>
          <w:rFonts w:hint="eastAsia" w:asciiTheme="majorEastAsia" w:hAnsiTheme="majorEastAsia" w:eastAsiaTheme="majorEastAsia"/>
          <w:sz w:val="24"/>
        </w:rPr>
        <w:t>综合单价呈批审核单（如有）；</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(14)  </w:t>
      </w:r>
      <w:r>
        <w:rPr>
          <w:rFonts w:hint="eastAsia" w:asciiTheme="majorEastAsia" w:hAnsiTheme="majorEastAsia" w:eastAsiaTheme="majorEastAsia"/>
          <w:sz w:val="24"/>
        </w:rPr>
        <w:t>其他结算资料；</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(15)  </w:t>
      </w:r>
      <w:r>
        <w:rPr>
          <w:rFonts w:hint="eastAsia" w:asciiTheme="majorEastAsia" w:hAnsiTheme="majorEastAsia" w:eastAsiaTheme="majorEastAsia"/>
          <w:sz w:val="24"/>
        </w:rPr>
        <w:t>移交资料签收表。</w:t>
      </w:r>
    </w:p>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 xml:space="preserve">    22.4  发包人对送审结算资料的具体要求</w:t>
      </w:r>
    </w:p>
    <w:p>
      <w:pPr>
        <w:spacing w:line="360" w:lineRule="auto"/>
        <w:ind w:firstLine="480" w:firstLineChars="200"/>
        <w:jc w:val="both"/>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结算书：每项工程的结算书要求分两部分编制：第一部分是以竣工图为依据编制部分，要求以竣工图纸、投标中标包干价构成的内容为主要部分，包括图纸会审记录、设计变更、监理工程师通知或发包人施工指令等；第二部分以现场签证、工程洽商记录以及其它有关费用为依据编制部分。上述两部分不应有重复列项的内容，用电脑编制的结算书要求提供相应的拷贝磁盘。</w:t>
      </w:r>
    </w:p>
    <w:p>
      <w:pPr>
        <w:spacing w:line="360" w:lineRule="auto"/>
        <w:ind w:firstLine="477" w:firstLineChars="199"/>
        <w:jc w:val="both"/>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工程量计算书</w:t>
      </w:r>
      <w:r>
        <w:rPr>
          <w:rFonts w:asciiTheme="majorEastAsia" w:hAnsiTheme="majorEastAsia" w:eastAsiaTheme="majorEastAsia"/>
          <w:sz w:val="24"/>
        </w:rPr>
        <w:t>(</w:t>
      </w:r>
      <w:r>
        <w:rPr>
          <w:rFonts w:hint="eastAsia" w:asciiTheme="majorEastAsia" w:hAnsiTheme="majorEastAsia" w:eastAsiaTheme="majorEastAsia"/>
          <w:sz w:val="24"/>
        </w:rPr>
        <w:t>即计算底稿</w:t>
      </w:r>
      <w:r>
        <w:rPr>
          <w:rFonts w:asciiTheme="majorEastAsia" w:hAnsiTheme="majorEastAsia" w:eastAsiaTheme="majorEastAsia"/>
          <w:sz w:val="24"/>
        </w:rPr>
        <w:t>)</w:t>
      </w:r>
      <w:r>
        <w:rPr>
          <w:rFonts w:hint="eastAsia" w:asciiTheme="majorEastAsia" w:hAnsiTheme="majorEastAsia" w:eastAsiaTheme="majorEastAsia"/>
          <w:sz w:val="24"/>
        </w:rPr>
        <w:t>：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用电脑编制的工程量计算书应提供相应的拷贝磁盘。</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 工程施工合同：包括发包人与承包人签订的工程施工合同、以发包人确认的承包人与第三方签订的分包合同、各类补充合同、合同附件等，要求将上述合同文件列出总目录按顺序整理装订成册。</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 竣工图：用于结算的竣工图必须有承包人竣工图专用章及其相关人员签字，有监理单位和发包人的审核人签字和单位盖章确认。经发包人、设计、监理等单位确认的图纸会审记录、设计变更、工程洽商记录、监理工程师通知或发包人施工指令等内容均应反映在相应的竣工图上。对未在竣工图上反映的图纸会审记录、设计变更和工程洽商记录等，其费用的增减，在结算评审中不予考虑。</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 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竣工资料要求监理单位和发包人在确认表上盖章确认，以证明竣工资料上的相关内容与该项目送审资料的实际内容相一致。整理装订成册的竣工资料需编制总目录，并在每一页的下方统一编号，以便于查找。</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 图纸会审记录：要求按图纸会审的时间先后整理装订成册，图纸会审记录须有各单位参加会审人员签字及会审单位盖章确认。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7</w:t>
      </w:r>
      <w:r>
        <w:rPr>
          <w:rFonts w:hint="eastAsia" w:asciiTheme="majorEastAsia" w:hAnsiTheme="majorEastAsia" w:eastAsiaTheme="majorEastAsia"/>
          <w:sz w:val="24"/>
        </w:rPr>
        <w:t>） 设计变更单：要求按设计变更的时间先后整理（安装工程要分专业）装订成册。设计变更单要求有设计人员的签名及设计单位的盖章，同时要求有发包人同意按相关的设计变更进行施工的签认意见和盖章确认。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8</w:t>
      </w:r>
      <w:r>
        <w:rPr>
          <w:rFonts w:hint="eastAsia" w:asciiTheme="majorEastAsia" w:hAnsiTheme="majorEastAsia" w:eastAsiaTheme="majorEastAsia"/>
          <w:sz w:val="24"/>
        </w:rPr>
        <w:t>） 工程洽商记录：要求根据工程洽商记录的时间先后整理装订成册，然后在每一页的下方统一编号，以便于查找。工程洽商记录要求有监理单位和发包人相关人员的签字和单位盖章确认。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9</w:t>
      </w:r>
      <w:r>
        <w:rPr>
          <w:rFonts w:hint="eastAsia" w:asciiTheme="majorEastAsia" w:hAnsiTheme="majorEastAsia" w:eastAsiaTheme="majorEastAsia"/>
          <w:sz w:val="24"/>
        </w:rPr>
        <w:t>） 监理工程师通知或发包人施工指令：要求根据监理工程师通知或发包人施工指令的时间先后整理装订成册，然后在每一页的下方统一编号。监理工程师通知要求有监理单位和发包人相关人员的签字和单位盖章确认，发包人施工指令要求有发包人相关人员的签字和单位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10</w:t>
      </w:r>
      <w:r>
        <w:rPr>
          <w:rFonts w:hint="eastAsia" w:asciiTheme="majorEastAsia" w:hAnsiTheme="majorEastAsia" w:eastAsiaTheme="majorEastAsia"/>
          <w:sz w:val="24"/>
        </w:rPr>
        <w:t>） 会议纪要：指工程质量、安全、技术、经济等现场协调会会议纪要等。要求根据会议纪要的时间先后整理装订成册，然后在每一页的下方统一编号。会议纪要要求有参与会议的各方代表签字，并有监理单位和发包人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11</w:t>
      </w:r>
      <w:r>
        <w:rPr>
          <w:rFonts w:hint="eastAsia" w:asciiTheme="majorEastAsia" w:hAnsiTheme="majorEastAsia" w:eastAsiaTheme="majorEastAsia"/>
          <w:sz w:val="24"/>
        </w:rPr>
        <w:t>） 现场签证单：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12</w:t>
      </w:r>
      <w:r>
        <w:rPr>
          <w:rFonts w:hint="eastAsia" w:asciiTheme="majorEastAsia" w:hAnsiTheme="majorEastAsia" w:eastAsiaTheme="majorEastAsia"/>
          <w:sz w:val="24"/>
        </w:rPr>
        <w:t>）材料设备单价呈批审核单：凡在工程招标文件或工程承包合同中未明确的材料设备单价，要求根据材料设备单价呈批审核单的编号顺序整理装订成册。每项审核单应附有相关的资料或注明相关资料在送审结算资料的</w:t>
      </w:r>
      <w:r>
        <w:rPr>
          <w:rFonts w:hint="eastAsia" w:asciiTheme="majorEastAsia" w:hAnsiTheme="majorEastAsia" w:eastAsiaTheme="majorEastAsia"/>
          <w:color w:val="FF0000"/>
          <w:sz w:val="24"/>
        </w:rPr>
        <w:t>具体部分和具体页码，</w:t>
      </w:r>
      <w:r>
        <w:rPr>
          <w:rFonts w:hint="eastAsia" w:asciiTheme="majorEastAsia" w:hAnsiTheme="majorEastAsia" w:eastAsiaTheme="majorEastAsia"/>
          <w:sz w:val="24"/>
        </w:rPr>
        <w:t>要求有使用该材料设备的专题会议记录、材料发票、购买合同等有效材料设备价格凭证等。每份审核单手续必需完备，要求有监理单位和发包人相关人员的签字和单位盖章确认。</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3） 其他结算资料：凡上述未提及而在结算评审中需要的资料均需提供，例如：施工日记、非常用的标准图集、应由承包人承担而由发包人支付的费用证明如发包人代缴施工水电费票据证明等。</w:t>
      </w:r>
    </w:p>
    <w:p>
      <w:pPr>
        <w:spacing w:line="360" w:lineRule="auto"/>
        <w:ind w:firstLine="240" w:firstLineChars="100"/>
        <w:jc w:val="both"/>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4） 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双方单位的印章。</w:t>
      </w:r>
    </w:p>
    <w:p>
      <w:pPr>
        <w:pStyle w:val="2"/>
        <w:spacing w:line="360" w:lineRule="auto"/>
        <w:ind w:firstLine="470" w:firstLineChars="196"/>
        <w:jc w:val="both"/>
        <w:rPr>
          <w:rFonts w:asciiTheme="majorEastAsia" w:hAnsiTheme="majorEastAsia" w:eastAsiaTheme="majorEastAsia"/>
          <w:sz w:val="24"/>
        </w:rPr>
      </w:pPr>
      <w:r>
        <w:rPr>
          <w:rFonts w:hint="eastAsia" w:asciiTheme="majorEastAsia" w:hAnsiTheme="majorEastAsia" w:eastAsiaTheme="majorEastAsia"/>
          <w:sz w:val="24"/>
        </w:rPr>
        <w:t>十  违约、索赔和争议</w:t>
      </w:r>
    </w:p>
    <w:p>
      <w:pPr>
        <w:pStyle w:val="2"/>
        <w:spacing w:line="360" w:lineRule="auto"/>
        <w:ind w:left="424" w:leftChars="212"/>
        <w:jc w:val="both"/>
        <w:rPr>
          <w:rFonts w:asciiTheme="majorEastAsia" w:hAnsiTheme="majorEastAsia"/>
          <w:sz w:val="24"/>
        </w:rPr>
      </w:pPr>
      <w:r>
        <w:rPr>
          <w:rFonts w:hint="eastAsia" w:asciiTheme="majorEastAsia" w:hAnsiTheme="majorEastAsia" w:eastAsiaTheme="majorEastAsia"/>
          <w:sz w:val="24"/>
        </w:rPr>
        <w:t>25  违约</w:t>
      </w:r>
    </w:p>
    <w:p>
      <w:pPr>
        <w:pStyle w:val="2"/>
        <w:spacing w:line="360" w:lineRule="auto"/>
        <w:ind w:left="424" w:leftChars="212"/>
        <w:jc w:val="both"/>
        <w:rPr>
          <w:rFonts w:asciiTheme="majorEastAsia" w:hAnsi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5.1</w:t>
      </w:r>
      <w:r>
        <w:rPr>
          <w:rFonts w:hint="eastAsia" w:asciiTheme="majorEastAsia" w:hAnsiTheme="majorEastAsia" w:eastAsiaTheme="majorEastAsia"/>
          <w:sz w:val="24"/>
        </w:rPr>
        <w:t xml:space="preserve"> 本合同中关于发包人违约的具体责任如下：</w:t>
      </w:r>
    </w:p>
    <w:p>
      <w:pPr>
        <w:pStyle w:val="2"/>
        <w:spacing w:line="360" w:lineRule="auto"/>
        <w:ind w:left="424" w:leftChars="212"/>
        <w:jc w:val="both"/>
        <w:rPr>
          <w:rFonts w:asciiTheme="majorEastAsia" w:hAnsiTheme="majorEastAsia" w:eastAsiaTheme="majorEastAsia"/>
          <w:sz w:val="24"/>
          <w:u w:val="single"/>
        </w:rPr>
      </w:pPr>
      <w:r>
        <w:rPr>
          <w:rFonts w:hint="eastAsia" w:asciiTheme="majorEastAsia" w:hAnsiTheme="majorEastAsia" w:eastAsiaTheme="majorEastAsia"/>
          <w:sz w:val="24"/>
        </w:rPr>
        <w:t>本合同通用条款第</w:t>
      </w:r>
      <w:r>
        <w:rPr>
          <w:rFonts w:asciiTheme="majorEastAsia" w:hAnsiTheme="majorEastAsia" w:eastAsiaTheme="majorEastAsia"/>
          <w:sz w:val="24"/>
        </w:rPr>
        <w:t>24</w:t>
      </w:r>
      <w:r>
        <w:rPr>
          <w:rFonts w:hint="eastAsia" w:asciiTheme="majorEastAsia" w:hAnsiTheme="majorEastAsia" w:eastAsiaTheme="majorEastAsia"/>
          <w:sz w:val="24"/>
        </w:rPr>
        <w:t>条约定发包人违约应承担的违约责任：</w:t>
      </w:r>
    </w:p>
    <w:p>
      <w:pPr>
        <w:pStyle w:val="49"/>
        <w:ind w:left="224" w:leftChars="112" w:firstLine="235" w:firstLineChars="98"/>
        <w:jc w:val="both"/>
        <w:rPr>
          <w:rFonts w:asciiTheme="majorEastAsia" w:hAnsiTheme="majorEastAsia" w:eastAsiaTheme="majorEastAsia"/>
          <w:sz w:val="24"/>
        </w:rPr>
      </w:pPr>
      <w:r>
        <w:rPr>
          <w:rFonts w:hint="eastAsia" w:asciiTheme="majorEastAsia" w:hAnsiTheme="majorEastAsia" w:eastAsiaTheme="majorEastAsia"/>
          <w:sz w:val="24"/>
          <w:u w:val="single"/>
        </w:rPr>
        <w:t xml:space="preserve">   </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right="-55" w:firstLine="470" w:firstLineChars="196"/>
        <w:jc w:val="both"/>
        <w:rPr>
          <w:rFonts w:asciiTheme="majorEastAsia" w:hAnsiTheme="majorEastAsia" w:eastAsiaTheme="majorEastAsia"/>
          <w:sz w:val="24"/>
        </w:rPr>
      </w:pPr>
      <w:r>
        <w:rPr>
          <w:rFonts w:hint="eastAsia" w:asciiTheme="majorEastAsia" w:hAnsiTheme="majorEastAsia" w:eastAsiaTheme="majorEastAsia"/>
          <w:sz w:val="24"/>
        </w:rPr>
        <w:t>本合同通用条款第</w:t>
      </w:r>
      <w:r>
        <w:rPr>
          <w:rFonts w:asciiTheme="majorEastAsia" w:hAnsiTheme="majorEastAsia" w:eastAsiaTheme="majorEastAsia"/>
          <w:sz w:val="24"/>
        </w:rPr>
        <w:t>26.4</w:t>
      </w:r>
      <w:r>
        <w:rPr>
          <w:rFonts w:hint="eastAsia" w:asciiTheme="majorEastAsia" w:hAnsiTheme="majorEastAsia" w:eastAsiaTheme="majorEastAsia"/>
          <w:sz w:val="24"/>
        </w:rPr>
        <w:t>款约定发包人违约应承担的违约责任：</w:t>
      </w:r>
    </w:p>
    <w:p>
      <w:pPr>
        <w:pStyle w:val="49"/>
        <w:ind w:left="224" w:leftChars="112" w:firstLine="235" w:firstLineChars="98"/>
        <w:jc w:val="both"/>
        <w:rPr>
          <w:rFonts w:asciiTheme="majorEastAsia" w:hAnsiTheme="majorEastAsia" w:eastAsiaTheme="majorEastAsia"/>
          <w:sz w:val="24"/>
        </w:rPr>
      </w:pPr>
      <w:r>
        <w:rPr>
          <w:rFonts w:hint="eastAsia" w:asciiTheme="majorEastAsia" w:hAnsiTheme="majorEastAsia" w:eastAsiaTheme="majorEastAsia"/>
          <w:sz w:val="24"/>
          <w:u w:val="single"/>
        </w:rPr>
        <w:t xml:space="preserve">   </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right="-55" w:firstLine="468" w:firstLineChars="195"/>
        <w:jc w:val="both"/>
        <w:rPr>
          <w:rFonts w:asciiTheme="majorEastAsia" w:hAnsiTheme="majorEastAsia" w:eastAsiaTheme="majorEastAsia"/>
          <w:sz w:val="24"/>
        </w:rPr>
      </w:pPr>
      <w:r>
        <w:rPr>
          <w:rFonts w:hint="eastAsia" w:asciiTheme="majorEastAsia" w:hAnsiTheme="majorEastAsia" w:eastAsiaTheme="majorEastAsia"/>
          <w:sz w:val="24"/>
        </w:rPr>
        <w:t>本合同通用条款第</w:t>
      </w:r>
      <w:r>
        <w:rPr>
          <w:rFonts w:asciiTheme="majorEastAsia" w:hAnsiTheme="majorEastAsia" w:eastAsiaTheme="majorEastAsia"/>
          <w:sz w:val="24"/>
        </w:rPr>
        <w:t>33.3</w:t>
      </w:r>
      <w:r>
        <w:rPr>
          <w:rFonts w:hint="eastAsia" w:asciiTheme="majorEastAsia" w:hAnsiTheme="majorEastAsia" w:eastAsiaTheme="majorEastAsia"/>
          <w:sz w:val="24"/>
        </w:rPr>
        <w:t>款约定发包人违约应承担的违约责任：</w:t>
      </w:r>
    </w:p>
    <w:p>
      <w:pPr>
        <w:pStyle w:val="49"/>
        <w:ind w:left="224" w:leftChars="112" w:firstLine="235" w:firstLineChars="98"/>
        <w:jc w:val="both"/>
        <w:rPr>
          <w:rFonts w:asciiTheme="majorEastAsia" w:hAnsiTheme="majorEastAsia" w:eastAsiaTheme="majorEastAsia"/>
          <w:sz w:val="24"/>
        </w:rPr>
      </w:pPr>
      <w:r>
        <w:rPr>
          <w:rFonts w:hint="eastAsia" w:asciiTheme="majorEastAsia" w:hAnsiTheme="majorEastAsia" w:eastAsiaTheme="majorEastAsia"/>
          <w:sz w:val="24"/>
          <w:u w:val="single"/>
        </w:rPr>
        <w:t xml:space="preserve">   </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ind w:right="-55" w:firstLine="468" w:firstLineChars="195"/>
        <w:jc w:val="both"/>
        <w:rPr>
          <w:rFonts w:asciiTheme="majorEastAsia" w:hAnsiTheme="majorEastAsia" w:eastAsiaTheme="majorEastAsia"/>
          <w:sz w:val="24"/>
        </w:rPr>
      </w:pPr>
      <w:r>
        <w:rPr>
          <w:rFonts w:hint="eastAsia" w:asciiTheme="majorEastAsia" w:hAnsiTheme="majorEastAsia" w:eastAsiaTheme="majorEastAsia"/>
          <w:sz w:val="24"/>
        </w:rPr>
        <w:t>本合同通用条款第</w:t>
      </w:r>
      <w:r>
        <w:rPr>
          <w:rFonts w:asciiTheme="majorEastAsia" w:hAnsiTheme="majorEastAsia" w:eastAsiaTheme="majorEastAsia"/>
          <w:sz w:val="24"/>
        </w:rPr>
        <w:t>3</w:t>
      </w:r>
      <w:r>
        <w:rPr>
          <w:rFonts w:hint="eastAsia" w:asciiTheme="majorEastAsia" w:hAnsiTheme="majorEastAsia" w:eastAsiaTheme="majorEastAsia"/>
          <w:sz w:val="24"/>
        </w:rPr>
        <w:t>5.1款约定发包人违约应承担的违约责任：</w:t>
      </w:r>
    </w:p>
    <w:p>
      <w:pPr>
        <w:pStyle w:val="49"/>
        <w:ind w:left="224" w:leftChars="112" w:firstLine="235" w:firstLineChars="98"/>
        <w:jc w:val="both"/>
        <w:rPr>
          <w:rFonts w:eastAsia="宋体" w:asciiTheme="majorEastAsia" w:hAnsiTheme="majorEastAsia"/>
          <w:sz w:val="24"/>
        </w:rPr>
      </w:pPr>
      <w:r>
        <w:rPr>
          <w:rFonts w:hint="eastAsia" w:asciiTheme="majorEastAsia" w:hAnsiTheme="majorEastAsia" w:eastAsiaTheme="majorEastAsia"/>
          <w:sz w:val="24"/>
          <w:u w:val="single"/>
        </w:rPr>
        <w:t xml:space="preserve">   </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w:t>
      </w:r>
      <w:r>
        <w:rPr>
          <w:rFonts w:hint="eastAsia" w:eastAsia="宋体" w:asciiTheme="majorEastAsia" w:hAnsiTheme="majorEastAsia"/>
          <w:sz w:val="24"/>
          <w:u w:val="single"/>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pStyle w:val="49"/>
        <w:widowControl w:val="0"/>
        <w:autoSpaceDE w:val="0"/>
        <w:autoSpaceDN w:val="0"/>
        <w:adjustRightInd w:val="0"/>
        <w:ind w:left="224" w:leftChars="112" w:firstLine="235" w:firstLineChars="98"/>
        <w:jc w:val="both"/>
      </w:pPr>
      <w:r>
        <w:rPr>
          <w:rFonts w:hint="eastAsia" w:asciiTheme="majorEastAsia" w:hAnsiTheme="majorEastAsia" w:eastAsiaTheme="majorEastAsia"/>
          <w:sz w:val="24"/>
        </w:rPr>
        <w:t xml:space="preserve"> 双方约定的发包人其他违约责任：</w:t>
      </w:r>
    </w:p>
    <w:p>
      <w:pPr>
        <w:pStyle w:val="49"/>
        <w:ind w:left="476" w:leftChars="238"/>
        <w:jc w:val="both"/>
        <w:rPr>
          <w:rFonts w:eastAsia="宋体" w:asciiTheme="majorEastAsia" w:hAnsiTheme="majorEastAsia"/>
          <w:sz w:val="24"/>
        </w:rPr>
      </w:pPr>
      <w:r>
        <w:rPr>
          <w:rFonts w:hint="eastAsia" w:asciiTheme="majorEastAsia" w:hAnsiTheme="majorEastAsia" w:eastAsiaTheme="majorEastAsia"/>
          <w:sz w:val="24"/>
        </w:rPr>
        <w:t>由双方另行协商确定。</w:t>
      </w:r>
    </w:p>
    <w:p>
      <w:pPr>
        <w:pStyle w:val="49"/>
        <w:ind w:left="476" w:leftChars="238"/>
        <w:jc w:val="both"/>
        <w:rPr>
          <w:rFonts w:asciiTheme="majorEastAsia" w:hAnsiTheme="majorEastAsia" w:eastAsiaTheme="majorEastAsia"/>
          <w:sz w:val="24"/>
        </w:rPr>
      </w:pPr>
      <w:r>
        <w:rPr>
          <w:rFonts w:hint="eastAsia" w:asciiTheme="majorEastAsia" w:hAnsiTheme="majorEastAsia" w:eastAsiaTheme="majorEastAsia"/>
          <w:sz w:val="24"/>
        </w:rPr>
        <w:t>25.2 本合同中关于承包人违约的具体责任与通用部分有冲突的，依照本条</w:t>
      </w:r>
    </w:p>
    <w:p>
      <w:pPr>
        <w:pStyle w:val="49"/>
        <w:jc w:val="both"/>
        <w:rPr>
          <w:rFonts w:eastAsia="宋体" w:asciiTheme="majorEastAsia" w:hAnsiTheme="majorEastAsia"/>
          <w:sz w:val="24"/>
        </w:rPr>
      </w:pPr>
      <w:r>
        <w:rPr>
          <w:rFonts w:hint="eastAsia" w:asciiTheme="majorEastAsia" w:hAnsiTheme="majorEastAsia" w:eastAsiaTheme="majorEastAsia"/>
          <w:sz w:val="24"/>
        </w:rPr>
        <w:t>约定，本条未列明的，依照其他条款约定，具体如下：</w:t>
      </w:r>
    </w:p>
    <w:p>
      <w:pPr>
        <w:pStyle w:val="49"/>
        <w:ind w:left="476" w:leftChars="238"/>
        <w:jc w:val="both"/>
        <w:rPr>
          <w:rFonts w:asciiTheme="majorEastAsia" w:hAnsiTheme="majorEastAsia" w:eastAsiaTheme="majorEastAsia"/>
          <w:sz w:val="24"/>
        </w:rPr>
      </w:pPr>
      <w:r>
        <w:rPr>
          <w:rFonts w:hint="eastAsia" w:asciiTheme="majorEastAsia" w:hAnsiTheme="majorEastAsia" w:eastAsiaTheme="majorEastAsia"/>
          <w:sz w:val="24"/>
        </w:rPr>
        <w:t>本合同通用条款第14.2款约定承包人违约应承担的违约责任：</w:t>
      </w:r>
    </w:p>
    <w:p>
      <w:pPr>
        <w:pStyle w:val="49"/>
        <w:ind w:firstLine="480" w:firstLineChars="200"/>
        <w:jc w:val="both"/>
        <w:rPr>
          <w:rFonts w:eastAsia="宋体" w:asciiTheme="majorEastAsia" w:hAnsiTheme="majorEastAsia"/>
          <w:sz w:val="24"/>
        </w:rPr>
      </w:pPr>
      <w:r>
        <w:rPr>
          <w:rFonts w:hint="eastAsia" w:asciiTheme="majorEastAsia" w:hAnsiTheme="majorEastAsia" w:eastAsiaTheme="majorEastAsia"/>
          <w:sz w:val="24"/>
        </w:rPr>
        <w:t>因承包人原因造成工期延误的，从延期的第二天起，每延期一天，按合同价款的千分之三向发包人支付违约金，并赔偿给发包方因此所造成的损失。逾期超过30天的，发包方有权解除合同，并有权要求承包方返还全部工程款以及支付合同总金额20%的违约金。承包人未按期提交施工材料、未按期在竣工后撤出场地的，亦适用本条。</w:t>
      </w:r>
    </w:p>
    <w:p>
      <w:pPr>
        <w:pStyle w:val="49"/>
        <w:jc w:val="both"/>
        <w:rPr>
          <w:rFonts w:asciiTheme="majorEastAsia" w:hAnsiTheme="majorEastAsia" w:eastAsiaTheme="majorEastAsia"/>
          <w:sz w:val="24"/>
        </w:rPr>
      </w:pPr>
      <w:r>
        <w:rPr>
          <w:rFonts w:hint="eastAsia" w:asciiTheme="majorEastAsia" w:hAnsiTheme="majorEastAsia" w:eastAsiaTheme="majorEastAsia"/>
          <w:sz w:val="24"/>
        </w:rPr>
        <w:t>　　本合同通用条款第15.1款约定承包人违约应承担的违约责任：因承包人原因造成工程不能通过质检等有关部门验收的，由承包人负责无偿返修并承担由此造成的损失和违约责任。返修期限由发包人视实际情况而定，再次返修仍不合格的，发包人有权解除合同并要求承包方返还全部工程款并向发包人支付合同总金额20%的违约金，并赔偿因此造成发包人的经济损失。因返修导致工期延误的，承包人按本合同约定承担逾期完工的违约责任。</w:t>
      </w:r>
    </w:p>
    <w:p>
      <w:pPr>
        <w:pStyle w:val="49"/>
        <w:ind w:left="112" w:leftChars="56"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未经过发包人书面同意，承包人在任何情况下不得将本合同的全部或者部分分包给第三方，或让第三方借用其资质实际承担本合同的工作，否则发包方有权解除合同，承包人应返还全部工程款并要支付相当于合同总金额的20%作为违约金及赔偿发包方实际损失。</w:t>
      </w:r>
    </w:p>
    <w:p>
      <w:pPr>
        <w:pStyle w:val="49"/>
        <w:ind w:left="112" w:leftChars="56"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承包人存在以下行为视为违约：1、组织施工混乱、质量难以保证的；2、不按施工图施工以及施工偷工减料的；3、不接受发包人对工程质量监督、验收的；4、不按约定撤离施工现场的。</w:t>
      </w:r>
      <w:r>
        <w:rPr>
          <w:rFonts w:hint="eastAsia" w:asciiTheme="majorEastAsia" w:hAnsiTheme="majorEastAsia" w:eastAsiaTheme="majorEastAsia"/>
          <w:color w:val="FF0000"/>
          <w:sz w:val="24"/>
        </w:rPr>
        <w:t>因违约行为产生的返工、增加开支费用</w:t>
      </w:r>
      <w:r>
        <w:rPr>
          <w:rFonts w:hint="eastAsia" w:asciiTheme="majorEastAsia" w:hAnsiTheme="majorEastAsia" w:eastAsiaTheme="majorEastAsia"/>
          <w:sz w:val="24"/>
        </w:rPr>
        <w:t>的，由承包人承担，并按违约次数每次承担工程结算价款5%的违约金，如造成损失的，承包人还应补偿发包人因此造成的损失。累计违约</w:t>
      </w:r>
      <w:r>
        <w:rPr>
          <w:rFonts w:asciiTheme="majorEastAsia" w:hAnsiTheme="majorEastAsia" w:eastAsiaTheme="majorEastAsia"/>
          <w:sz w:val="24"/>
        </w:rPr>
        <w:t>3</w:t>
      </w:r>
      <w:r>
        <w:rPr>
          <w:rFonts w:hint="eastAsia" w:asciiTheme="majorEastAsia" w:hAnsiTheme="majorEastAsia" w:eastAsiaTheme="majorEastAsia"/>
          <w:sz w:val="24"/>
        </w:rPr>
        <w:t>次或3次以上的，发包人有权解除合同并要求承包方返还全部工程款并向发包人支付合同总金额20%的违约金，并赔偿因此造成发包人的经济损失。</w:t>
      </w:r>
    </w:p>
    <w:p>
      <w:pPr>
        <w:pStyle w:val="49"/>
        <w:ind w:left="112" w:leftChars="56"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属于保修范围的项目，承包人应在接到发包人通知后的24小时内派人保修，48小时内处理完毕。如需延期，应经过发包人的书面同意。承包人未能在规定时间内派人保修超过三次，或单次超过15个日，按承包人违约处罚，发包人没收其工程质量保证金。如发包人选择另行聘请第三方保修的，发包人有权在承包人留存的质保金中扣除相应支付给第三方的保修费用。</w:t>
      </w:r>
    </w:p>
    <w:p>
      <w:pPr>
        <w:pStyle w:val="49"/>
        <w:ind w:left="112" w:leftChars="56" w:firstLine="480" w:firstLineChars="200"/>
        <w:jc w:val="both"/>
        <w:rPr>
          <w:rFonts w:eastAsia="宋体" w:asciiTheme="majorEastAsia" w:hAnsiTheme="majorEastAsia"/>
          <w:sz w:val="24"/>
        </w:rPr>
      </w:pPr>
      <w:r>
        <w:rPr>
          <w:rFonts w:hint="eastAsia" w:asciiTheme="majorEastAsia" w:hAnsiTheme="majorEastAsia" w:eastAsiaTheme="majorEastAsia"/>
          <w:sz w:val="24"/>
        </w:rPr>
        <w:t>承包人及承包人的人员必须具备履行本合同约定事项的相关资质，并保证在合同存续期间一直拥有相关资质，否则发包人有权解除合同，并要求承包方返还全部工程款并向发包人支付合同总金额20%的违约金，违约金不足以补偿发包人损失的，承包人应继续补偿发包人所遭受的损失。相关职业资格证、许可证等证照过期或未按期年审均视为承包人无资质。</w:t>
      </w:r>
    </w:p>
    <w:p>
      <w:pPr>
        <w:pStyle w:val="49"/>
        <w:ind w:left="112" w:leftChars="56"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双方约定的承包人其他违约责任：由双方另行协商确定。</w:t>
      </w:r>
    </w:p>
    <w:p>
      <w:pPr>
        <w:spacing w:line="360" w:lineRule="auto"/>
        <w:ind w:firstLine="585" w:firstLineChars="244"/>
        <w:jc w:val="both"/>
        <w:rPr>
          <w:rFonts w:asciiTheme="majorEastAsia" w:hAnsiTheme="majorEastAsia" w:eastAsiaTheme="majorEastAsia"/>
          <w:sz w:val="24"/>
        </w:rPr>
      </w:pPr>
      <w:r>
        <w:rPr>
          <w:rFonts w:hint="eastAsia" w:asciiTheme="majorEastAsia" w:hAnsiTheme="majorEastAsia" w:eastAsiaTheme="majorEastAsia"/>
          <w:sz w:val="24"/>
        </w:rPr>
        <w:t>26  争议</w:t>
      </w:r>
    </w:p>
    <w:p>
      <w:pPr>
        <w:spacing w:line="360" w:lineRule="auto"/>
        <w:ind w:left="142" w:leftChars="71" w:firstLine="470" w:firstLineChars="196"/>
        <w:jc w:val="both"/>
        <w:rPr>
          <w:rFonts w:asciiTheme="majorEastAsia" w:hAnsiTheme="majorEastAsia" w:eastAsiaTheme="majorEastAsia"/>
          <w:sz w:val="24"/>
          <w:u w:val="single"/>
        </w:rPr>
      </w:pPr>
      <w:r>
        <w:rPr>
          <w:rFonts w:hint="eastAsia" w:asciiTheme="majorEastAsia" w:hAnsiTheme="majorEastAsia" w:eastAsiaTheme="majorEastAsia"/>
          <w:sz w:val="24"/>
        </w:rPr>
        <w:t>26</w:t>
      </w:r>
      <w:r>
        <w:rPr>
          <w:rFonts w:asciiTheme="majorEastAsia" w:hAnsiTheme="majorEastAsia" w:eastAsiaTheme="majorEastAsia"/>
          <w:sz w:val="24"/>
        </w:rPr>
        <w:t>.1</w:t>
      </w:r>
      <w:r>
        <w:rPr>
          <w:rFonts w:hint="eastAsia" w:asciiTheme="majorEastAsia" w:hAnsiTheme="majorEastAsia" w:eastAsiaTheme="majorEastAsia"/>
          <w:sz w:val="24"/>
        </w:rPr>
        <w:t xml:space="preserve"> 双方约定，在履行合同过程中产生争议时，可以和解或者要求合同管理或建设行政主管部门调解。调解或和解不成，双方约定以下方式进行解决争议：</w:t>
      </w:r>
      <w:r>
        <w:rPr>
          <w:rFonts w:hint="eastAsia" w:asciiTheme="majorEastAsia" w:hAnsiTheme="majorEastAsia" w:eastAsiaTheme="majorEastAsia"/>
          <w:sz w:val="24"/>
          <w:u w:val="single"/>
        </w:rPr>
        <w:t>双方均有权向发包人所在地人民法院提出诉讼。败诉方应当承担胜诉方由此产生的所有合理费用，包括但不限于诉讼费、保全费、律师费、交通费等费用。</w:t>
      </w:r>
    </w:p>
    <w:p>
      <w:pPr>
        <w:spacing w:line="360" w:lineRule="auto"/>
        <w:ind w:right="-55" w:firstLine="350" w:firstLineChars="146"/>
        <w:jc w:val="both"/>
        <w:rPr>
          <w:rFonts w:asciiTheme="majorEastAsia" w:hAnsiTheme="majorEastAsia" w:eastAsiaTheme="majorEastAsia"/>
          <w:sz w:val="24"/>
        </w:rPr>
      </w:pPr>
      <w:r>
        <w:rPr>
          <w:rFonts w:hint="eastAsia" w:asciiTheme="majorEastAsia" w:hAnsiTheme="majorEastAsia" w:eastAsiaTheme="majorEastAsia"/>
          <w:sz w:val="24"/>
        </w:rPr>
        <w:t>十一  其他</w:t>
      </w:r>
    </w:p>
    <w:p>
      <w:pPr>
        <w:spacing w:line="360" w:lineRule="auto"/>
        <w:ind w:right="-55" w:firstLine="360" w:firstLineChars="150"/>
        <w:jc w:val="both"/>
        <w:rPr>
          <w:rFonts w:asciiTheme="majorEastAsia" w:hAnsiTheme="majorEastAsia"/>
          <w:sz w:val="24"/>
        </w:rPr>
      </w:pPr>
      <w:r>
        <w:rPr>
          <w:rFonts w:hint="eastAsia" w:asciiTheme="majorEastAsia" w:hAnsiTheme="majorEastAsia" w:eastAsiaTheme="majorEastAsia"/>
          <w:sz w:val="24"/>
        </w:rPr>
        <w:t>27  工程分包</w:t>
      </w:r>
    </w:p>
    <w:p>
      <w:pPr>
        <w:spacing w:line="360" w:lineRule="auto"/>
        <w:ind w:right="-55" w:firstLine="360" w:firstLineChars="150"/>
        <w:jc w:val="both"/>
        <w:rPr>
          <w:rFonts w:asciiTheme="majorEastAsia" w:hAnsiTheme="majorEastAsia" w:eastAsiaTheme="majorEastAsia"/>
          <w:sz w:val="24"/>
        </w:rPr>
      </w:pPr>
      <w:r>
        <w:rPr>
          <w:rFonts w:hint="eastAsia" w:asciiTheme="majorEastAsia" w:hAnsiTheme="majorEastAsia" w:eastAsiaTheme="majorEastAsia"/>
          <w:sz w:val="24"/>
        </w:rPr>
        <w:t>27</w:t>
      </w:r>
      <w:r>
        <w:rPr>
          <w:rFonts w:asciiTheme="majorEastAsia" w:hAnsiTheme="majorEastAsia" w:eastAsiaTheme="majorEastAsia"/>
          <w:sz w:val="24"/>
        </w:rPr>
        <w:t>.1</w:t>
      </w:r>
      <w:r>
        <w:rPr>
          <w:rFonts w:hint="eastAsia" w:asciiTheme="majorEastAsia" w:hAnsiTheme="majorEastAsia" w:eastAsiaTheme="majorEastAsia"/>
          <w:sz w:val="24"/>
        </w:rPr>
        <w:t xml:space="preserve"> 本工程发包人同意承包人分包的工程：</w:t>
      </w:r>
      <w:r>
        <w:rPr>
          <w:rFonts w:asciiTheme="majorEastAsia" w:hAnsiTheme="majorEastAsia" w:eastAsiaTheme="majorEastAsia"/>
          <w:sz w:val="24"/>
          <w:u w:val="single"/>
        </w:rPr>
        <w:t xml:space="preserve">      /        </w:t>
      </w:r>
    </w:p>
    <w:p>
      <w:pPr>
        <w:spacing w:line="360" w:lineRule="auto"/>
        <w:ind w:left="228" w:leftChars="114" w:right="-55" w:firstLine="117" w:firstLineChars="49"/>
        <w:jc w:val="both"/>
        <w:rPr>
          <w:rFonts w:asciiTheme="majorEastAsia" w:hAnsiTheme="majorEastAsia" w:eastAsiaTheme="majorEastAsia"/>
          <w:sz w:val="24"/>
        </w:rPr>
      </w:pPr>
      <w:r>
        <w:rPr>
          <w:rFonts w:hint="eastAsia" w:asciiTheme="majorEastAsia" w:hAnsiTheme="majorEastAsia" w:eastAsiaTheme="majorEastAsia"/>
          <w:sz w:val="24"/>
        </w:rPr>
        <w:t>28  不可抗力</w:t>
      </w:r>
    </w:p>
    <w:p>
      <w:pPr>
        <w:spacing w:line="360" w:lineRule="auto"/>
        <w:ind w:left="340" w:leftChars="170" w:right="-55"/>
        <w:jc w:val="both"/>
        <w:rPr>
          <w:rFonts w:asciiTheme="majorEastAsia" w:hAnsiTheme="majorEastAsia"/>
          <w:sz w:val="24"/>
          <w:u w:val="single"/>
        </w:rPr>
      </w:pPr>
      <w:r>
        <w:rPr>
          <w:rFonts w:hint="eastAsia" w:asciiTheme="majorEastAsia" w:hAnsiTheme="majorEastAsia" w:eastAsiaTheme="majorEastAsia"/>
          <w:sz w:val="24"/>
        </w:rPr>
        <w:t>28</w:t>
      </w:r>
      <w:r>
        <w:rPr>
          <w:rFonts w:asciiTheme="majorEastAsia" w:hAnsiTheme="majorEastAsia" w:eastAsiaTheme="majorEastAsia"/>
          <w:sz w:val="24"/>
        </w:rPr>
        <w:t>.1</w:t>
      </w:r>
      <w:r>
        <w:rPr>
          <w:rFonts w:hint="eastAsia" w:asciiTheme="majorEastAsia" w:hAnsiTheme="majorEastAsia" w:eastAsiaTheme="majorEastAsia"/>
          <w:sz w:val="24"/>
        </w:rPr>
        <w:t xml:space="preserve">  双方关于不可抗力的约定：</w:t>
      </w:r>
      <w:r>
        <w:rPr>
          <w:rFonts w:hint="eastAsia" w:asciiTheme="majorEastAsia" w:hAnsiTheme="majorEastAsia" w:eastAsiaTheme="majorEastAsia"/>
          <w:sz w:val="24"/>
          <w:u w:val="single"/>
        </w:rPr>
        <w:t>按合同通用条款第</w:t>
      </w:r>
      <w:r>
        <w:rPr>
          <w:rFonts w:asciiTheme="majorEastAsia" w:hAnsiTheme="majorEastAsia" w:eastAsiaTheme="majorEastAsia"/>
          <w:sz w:val="24"/>
          <w:u w:val="single"/>
        </w:rPr>
        <w:t>39</w:t>
      </w:r>
      <w:r>
        <w:rPr>
          <w:rFonts w:hint="eastAsia" w:asciiTheme="majorEastAsia" w:hAnsiTheme="majorEastAsia" w:eastAsiaTheme="majorEastAsia"/>
          <w:sz w:val="24"/>
          <w:u w:val="single"/>
        </w:rPr>
        <w:t>条内容执行。</w:t>
      </w:r>
    </w:p>
    <w:p>
      <w:pPr>
        <w:spacing w:line="360" w:lineRule="auto"/>
        <w:ind w:left="340" w:leftChars="170" w:right="-55"/>
        <w:jc w:val="both"/>
        <w:rPr>
          <w:rFonts w:asciiTheme="majorEastAsia" w:hAnsiTheme="majorEastAsia"/>
          <w:sz w:val="24"/>
        </w:rPr>
      </w:pPr>
      <w:r>
        <w:rPr>
          <w:rFonts w:hint="eastAsia" w:asciiTheme="majorEastAsia" w:hAnsiTheme="majorEastAsia" w:eastAsiaTheme="majorEastAsia"/>
          <w:sz w:val="24"/>
        </w:rPr>
        <w:t>29  保险</w:t>
      </w: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29.1 本工程双方约定投保内容如下：</w:t>
      </w:r>
    </w:p>
    <w:p>
      <w:pPr>
        <w:spacing w:line="360" w:lineRule="auto"/>
        <w:ind w:left="340" w:leftChars="170" w:right="-55"/>
        <w:jc w:val="both"/>
        <w:rPr>
          <w:rFonts w:asciiTheme="majorEastAsia" w:hAnsi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 发包人投保内容：</w:t>
      </w: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　　 发包人委托承包人办理的保险事项：</w:t>
      </w:r>
      <w:r>
        <w:rPr>
          <w:rFonts w:asciiTheme="majorEastAsia" w:hAnsiTheme="majorEastAsia" w:eastAsiaTheme="majorEastAsia"/>
          <w:sz w:val="24"/>
        </w:rPr>
        <w:t>__________/___</w:t>
      </w:r>
    </w:p>
    <w:p>
      <w:pPr>
        <w:spacing w:line="360" w:lineRule="auto"/>
        <w:ind w:left="457" w:leftChars="170" w:right="-55" w:hanging="117" w:hangingChars="49"/>
        <w:jc w:val="both"/>
        <w:rPr>
          <w:rFonts w:asciiTheme="majorEastAsia" w:hAnsiTheme="majorEastAsia"/>
          <w:sz w:val="24"/>
          <w:u w:val="single"/>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 承包人投保内容：</w:t>
      </w:r>
      <w:r>
        <w:rPr>
          <w:rFonts w:hint="eastAsia" w:asciiTheme="majorEastAsia" w:hAnsiTheme="majorEastAsia" w:eastAsiaTheme="majorEastAsia"/>
          <w:sz w:val="24"/>
          <w:u w:val="single"/>
        </w:rPr>
        <w:t>按合同通用条款。</w:t>
      </w:r>
    </w:p>
    <w:p>
      <w:pPr>
        <w:spacing w:line="360" w:lineRule="auto"/>
        <w:ind w:left="457" w:leftChars="170" w:right="-55" w:hanging="117" w:hangingChars="49"/>
        <w:jc w:val="both"/>
        <w:rPr>
          <w:rFonts w:asciiTheme="majorEastAsia" w:hAnsiTheme="majorEastAsia"/>
          <w:sz w:val="24"/>
        </w:rPr>
      </w:pPr>
      <w:r>
        <w:rPr>
          <w:rFonts w:hint="eastAsia" w:asciiTheme="majorEastAsia" w:hAnsiTheme="majorEastAsia" w:eastAsiaTheme="majorEastAsia"/>
          <w:sz w:val="24"/>
        </w:rPr>
        <w:t>30  合同份数</w:t>
      </w:r>
    </w:p>
    <w:p>
      <w:pPr>
        <w:spacing w:line="360" w:lineRule="auto"/>
        <w:ind w:left="457" w:leftChars="170" w:right="-55" w:hanging="117" w:hangingChars="49"/>
        <w:jc w:val="both"/>
        <w:rPr>
          <w:rFonts w:asciiTheme="majorEastAsia" w:hAnsiTheme="majorEastAsia" w:eastAsiaTheme="majorEastAsia"/>
          <w:sz w:val="24"/>
        </w:rPr>
      </w:pPr>
      <w:r>
        <w:rPr>
          <w:rFonts w:hint="eastAsia" w:asciiTheme="majorEastAsia" w:hAnsiTheme="majorEastAsia" w:eastAsiaTheme="majorEastAsia"/>
          <w:sz w:val="24"/>
        </w:rPr>
        <w:t>30</w:t>
      </w:r>
      <w:r>
        <w:rPr>
          <w:rFonts w:asciiTheme="majorEastAsia" w:hAnsiTheme="majorEastAsia" w:eastAsiaTheme="majorEastAsia"/>
          <w:sz w:val="24"/>
        </w:rPr>
        <w:t>.1</w:t>
      </w:r>
      <w:r>
        <w:rPr>
          <w:rFonts w:hint="eastAsia" w:asciiTheme="majorEastAsia" w:hAnsiTheme="majorEastAsia" w:eastAsiaTheme="majorEastAsia"/>
          <w:sz w:val="24"/>
        </w:rPr>
        <w:t xml:space="preserve"> 双方约定合同副本份数：</w:t>
      </w:r>
      <w:r>
        <w:rPr>
          <w:rFonts w:hint="eastAsia" w:asciiTheme="majorEastAsia" w:hAnsiTheme="majorEastAsia" w:eastAsiaTheme="majorEastAsia"/>
          <w:sz w:val="24"/>
          <w:u w:val="single"/>
        </w:rPr>
        <w:t>本合一式六份，双方各执三份。</w:t>
      </w:r>
      <w:r>
        <w:rPr>
          <w:rFonts w:hint="eastAsia" w:asciiTheme="majorEastAsia" w:hAnsiTheme="majorEastAsia" w:eastAsiaTheme="majorEastAsia"/>
          <w:sz w:val="24"/>
        </w:rPr>
        <w:t>　　</w:t>
      </w:r>
    </w:p>
    <w:p>
      <w:pPr>
        <w:spacing w:line="360" w:lineRule="auto"/>
        <w:ind w:left="228" w:leftChars="114" w:right="-55" w:firstLine="235" w:firstLineChars="98"/>
        <w:jc w:val="both"/>
        <w:rPr>
          <w:rFonts w:asciiTheme="majorEastAsia" w:hAnsiTheme="majorEastAsia" w:eastAsiaTheme="majorEastAsia"/>
          <w:sz w:val="24"/>
          <w:u w:val="single"/>
        </w:rPr>
      </w:pPr>
      <w:r>
        <w:rPr>
          <w:rFonts w:hint="eastAsia" w:asciiTheme="majorEastAsia" w:hAnsiTheme="majorEastAsia" w:eastAsiaTheme="majorEastAsia"/>
          <w:sz w:val="24"/>
        </w:rPr>
        <w:t>31  补充条款</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u w:val="single"/>
        </w:rPr>
        <w:t>承包人应按发包人的要求在本工程招标文件规定的时间内向发包人报送开工资料，并承担资料不全、缺漏等而影响本工程开工的一切责任及后果。</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2</w:t>
      </w:r>
      <w:r>
        <w:rPr>
          <w:rFonts w:hint="eastAsia" w:asciiTheme="majorEastAsia" w:hAnsiTheme="majorEastAsia" w:eastAsiaTheme="majorEastAsia"/>
          <w:sz w:val="24"/>
          <w:u w:val="single"/>
        </w:rPr>
        <w:t>承包人对本工程的工期、质量与档案资料的整理，应与招投标文件一致。</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3</w:t>
      </w:r>
      <w:r>
        <w:rPr>
          <w:rFonts w:hint="eastAsia" w:asciiTheme="majorEastAsia" w:hAnsiTheme="majorEastAsia" w:eastAsiaTheme="majorEastAsia"/>
          <w:sz w:val="24"/>
          <w:u w:val="single"/>
        </w:rPr>
        <w:t>承包人应按国家、省、市安全、文明施工的有关条例及规定进行施工。</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4</w:t>
      </w:r>
      <w:r>
        <w:rPr>
          <w:rFonts w:hint="eastAsia" w:asciiTheme="majorEastAsia" w:hAnsiTheme="majorEastAsia" w:eastAsiaTheme="majorEastAsia"/>
          <w:sz w:val="24"/>
          <w:u w:val="single"/>
        </w:rPr>
        <w:t>项目经理须按照《关于加强项目经理承接工程管理的通知》（穗建筑（</w:t>
      </w:r>
      <w:r>
        <w:rPr>
          <w:rFonts w:asciiTheme="majorEastAsia" w:hAnsiTheme="majorEastAsia" w:eastAsiaTheme="majorEastAsia"/>
          <w:sz w:val="24"/>
          <w:u w:val="single"/>
        </w:rPr>
        <w:t>2003</w:t>
      </w:r>
      <w:r>
        <w:rPr>
          <w:rFonts w:hint="eastAsia" w:asciiTheme="majorEastAsia" w:hAnsiTheme="majorEastAsia" w:eastAsiaTheme="majorEastAsia"/>
          <w:sz w:val="24"/>
          <w:u w:val="single"/>
        </w:rPr>
        <w:t>）</w:t>
      </w:r>
      <w:r>
        <w:rPr>
          <w:rFonts w:asciiTheme="majorEastAsia" w:hAnsiTheme="majorEastAsia" w:eastAsiaTheme="majorEastAsia"/>
          <w:sz w:val="24"/>
          <w:u w:val="single"/>
        </w:rPr>
        <w:t>11</w:t>
      </w:r>
      <w:r>
        <w:rPr>
          <w:rFonts w:hint="eastAsia" w:asciiTheme="majorEastAsia" w:hAnsiTheme="majorEastAsia" w:eastAsiaTheme="majorEastAsia"/>
          <w:sz w:val="24"/>
          <w:u w:val="single"/>
        </w:rPr>
        <w:t>号）的规定执行，不得随意更换。</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5</w:t>
      </w:r>
      <w:r>
        <w:rPr>
          <w:rFonts w:hint="eastAsia" w:asciiTheme="majorEastAsia" w:hAnsiTheme="majorEastAsia" w:eastAsiaTheme="majorEastAsia"/>
          <w:sz w:val="24"/>
          <w:u w:val="single"/>
        </w:rPr>
        <w:t>如遇到工程的设计更改或增加的工程项目，发包人和承包人必须做好工程量记录，承包人应在该变更确认后</w:t>
      </w:r>
      <w:r>
        <w:rPr>
          <w:rFonts w:asciiTheme="majorEastAsia" w:hAnsiTheme="majorEastAsia" w:eastAsiaTheme="majorEastAsia"/>
          <w:sz w:val="24"/>
          <w:u w:val="single"/>
        </w:rPr>
        <w:t>15</w:t>
      </w:r>
      <w:r>
        <w:rPr>
          <w:rFonts w:hint="eastAsia" w:asciiTheme="majorEastAsia" w:hAnsiTheme="majorEastAsia" w:eastAsiaTheme="majorEastAsia"/>
          <w:sz w:val="24"/>
          <w:u w:val="single"/>
        </w:rPr>
        <w:t>天内办理签证，过期不予承认。</w:t>
      </w:r>
    </w:p>
    <w:p>
      <w:pPr>
        <w:spacing w:line="360" w:lineRule="auto"/>
        <w:ind w:right="-55" w:firstLine="475" w:firstLineChars="198"/>
        <w:jc w:val="both"/>
        <w:rPr>
          <w:rFonts w:asciiTheme="majorEastAsia" w:hAnsiTheme="majorEastAsia" w:eastAsiaTheme="majorEastAsia"/>
          <w:sz w:val="24"/>
          <w:u w:val="single"/>
        </w:rPr>
      </w:pPr>
      <w:r>
        <w:rPr>
          <w:rFonts w:asciiTheme="majorEastAsia" w:hAnsiTheme="majorEastAsia" w:eastAsiaTheme="majorEastAsia"/>
          <w:sz w:val="24"/>
        </w:rPr>
        <w:t>6</w:t>
      </w:r>
      <w:r>
        <w:rPr>
          <w:rFonts w:hint="eastAsia" w:asciiTheme="majorEastAsia" w:hAnsiTheme="majorEastAsia" w:eastAsiaTheme="majorEastAsia"/>
          <w:sz w:val="24"/>
          <w:u w:val="single"/>
        </w:rPr>
        <w:t>承包人必须做好文明安全施工，达到文明安全施工工地要求，争创文明安全施工样板工地。</w:t>
      </w:r>
    </w:p>
    <w:p>
      <w:pPr>
        <w:spacing w:line="360" w:lineRule="auto"/>
        <w:ind w:right="-55" w:firstLine="480" w:firstLineChars="200"/>
        <w:jc w:val="both"/>
        <w:rPr>
          <w:rFonts w:asciiTheme="majorEastAsia" w:hAnsiTheme="majorEastAsia" w:eastAsiaTheme="majorEastAsia"/>
          <w:sz w:val="24"/>
          <w:u w:val="single"/>
        </w:rPr>
      </w:pPr>
      <w:r>
        <w:rPr>
          <w:rFonts w:asciiTheme="majorEastAsia" w:hAnsiTheme="majorEastAsia" w:eastAsiaTheme="majorEastAsia"/>
          <w:sz w:val="24"/>
        </w:rPr>
        <w:t>7</w:t>
      </w:r>
      <w:r>
        <w:rPr>
          <w:rFonts w:hint="eastAsia" w:asciiTheme="majorEastAsia" w:hAnsiTheme="majorEastAsia" w:eastAsiaTheme="majorEastAsia"/>
          <w:sz w:val="24"/>
          <w:u w:val="single"/>
        </w:rPr>
        <w:t>承包人不得未经发包人同意擅自变更在经济标书选定的材料的厂家品牌和型号。</w:t>
      </w:r>
    </w:p>
    <w:p>
      <w:pPr>
        <w:spacing w:line="360" w:lineRule="auto"/>
        <w:ind w:right="-55" w:firstLine="480" w:firstLineChars="200"/>
        <w:jc w:val="both"/>
        <w:rPr>
          <w:rFonts w:asciiTheme="majorEastAsia" w:hAnsiTheme="majorEastAsia" w:eastAsiaTheme="majorEastAsia"/>
          <w:sz w:val="24"/>
          <w:u w:val="single"/>
        </w:rPr>
      </w:pPr>
      <w:r>
        <w:rPr>
          <w:rFonts w:asciiTheme="majorEastAsia" w:hAnsiTheme="majorEastAsia" w:eastAsiaTheme="majorEastAsia"/>
          <w:sz w:val="24"/>
        </w:rPr>
        <w:t xml:space="preserve">8  </w:t>
      </w:r>
      <w:r>
        <w:rPr>
          <w:rFonts w:hint="eastAsia" w:asciiTheme="majorEastAsia" w:hAnsiTheme="majorEastAsia" w:eastAsiaTheme="majorEastAsia"/>
          <w:sz w:val="24"/>
          <w:u w:val="single"/>
        </w:rPr>
        <w:t>提前竣工奖励：不奖励。</w:t>
      </w:r>
    </w:p>
    <w:p>
      <w:pPr>
        <w:spacing w:line="360" w:lineRule="auto"/>
        <w:ind w:right="-5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 xml:space="preserve">9  </w:t>
      </w:r>
      <w:r>
        <w:rPr>
          <w:rFonts w:hint="eastAsia" w:asciiTheme="majorEastAsia" w:hAnsiTheme="majorEastAsia" w:eastAsiaTheme="majorEastAsia"/>
          <w:sz w:val="24"/>
          <w:u w:val="single"/>
        </w:rPr>
        <w:t>承包人必须按招标文件要求承担其它专业分包工程的施工配合和协调工作。</w:t>
      </w:r>
    </w:p>
    <w:p>
      <w:pPr>
        <w:spacing w:line="360" w:lineRule="auto"/>
        <w:ind w:right="-55" w:firstLine="357" w:firstLineChars="149"/>
        <w:jc w:val="both"/>
        <w:rPr>
          <w:rFonts w:asciiTheme="majorEastAsia" w:hAnsiTheme="majorEastAsia" w:eastAsiaTheme="majorEastAsia"/>
          <w:sz w:val="24"/>
          <w:u w:val="single"/>
        </w:rPr>
      </w:pPr>
      <w:r>
        <w:rPr>
          <w:rFonts w:asciiTheme="majorEastAsia" w:hAnsiTheme="majorEastAsia" w:eastAsiaTheme="majorEastAsia"/>
          <w:sz w:val="24"/>
        </w:rPr>
        <w:t>1</w:t>
      </w:r>
      <w:r>
        <w:rPr>
          <w:rFonts w:hint="eastAsia" w:asciiTheme="majorEastAsia" w:hAnsiTheme="majorEastAsia" w:eastAsiaTheme="majorEastAsia"/>
          <w:sz w:val="24"/>
        </w:rPr>
        <w:t xml:space="preserve">0  </w:t>
      </w:r>
      <w:r>
        <w:rPr>
          <w:rFonts w:hint="eastAsia" w:asciiTheme="majorEastAsia" w:hAnsiTheme="majorEastAsia" w:eastAsiaTheme="majorEastAsia"/>
          <w:sz w:val="24"/>
          <w:u w:val="single"/>
        </w:rPr>
        <w:t>发包人不提供现场住宿条件，住宿由承包人自行解决。</w:t>
      </w:r>
    </w:p>
    <w:p>
      <w:pPr>
        <w:spacing w:line="360" w:lineRule="auto"/>
        <w:ind w:right="-55" w:firstLine="357" w:firstLineChars="149"/>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11  </w:t>
      </w:r>
      <w:r>
        <w:rPr>
          <w:rFonts w:hint="eastAsia" w:asciiTheme="majorEastAsia" w:hAnsiTheme="majorEastAsia" w:eastAsiaTheme="majorEastAsia"/>
          <w:sz w:val="24"/>
          <w:u w:val="single"/>
        </w:rPr>
        <w:t>承包人必须为其投入本项目的施工人员购买意外保险。</w:t>
      </w:r>
    </w:p>
    <w:p>
      <w:pPr>
        <w:spacing w:line="360" w:lineRule="auto"/>
        <w:ind w:right="-55" w:firstLine="357" w:firstLineChars="149"/>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12  </w:t>
      </w:r>
      <w:r>
        <w:rPr>
          <w:rFonts w:hint="eastAsia" w:asciiTheme="majorEastAsia" w:hAnsiTheme="majorEastAsia" w:eastAsiaTheme="majorEastAsia"/>
          <w:sz w:val="24"/>
          <w:u w:val="single"/>
        </w:rPr>
        <w:t>承包人必须设立独立水电表，发生的水电费用按实结算，如需发包人代缴的，承包人应在每月水电费扣缴后5日内足额缴纳至发包人指定账户，否则发包人有权在应付给承包人的工程款中扣除水电费。</w:t>
      </w:r>
    </w:p>
    <w:p>
      <w:pPr>
        <w:spacing w:line="360" w:lineRule="auto"/>
        <w:ind w:right="-55" w:firstLine="357" w:firstLineChars="149"/>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13  </w:t>
      </w:r>
      <w:r>
        <w:rPr>
          <w:rFonts w:hint="eastAsia" w:asciiTheme="majorEastAsia" w:hAnsiTheme="majorEastAsia" w:eastAsiaTheme="majorEastAsia"/>
          <w:sz w:val="24"/>
          <w:u w:val="single"/>
        </w:rPr>
        <w:t>工程未尽事宜，经双方协商可另行签</w:t>
      </w:r>
      <w:r>
        <w:rPr>
          <w:rFonts w:hint="eastAsia" w:asciiTheme="majorEastAsia" w:hAnsiTheme="majorEastAsia"/>
          <w:sz w:val="24"/>
          <w:u w:val="single"/>
        </w:rPr>
        <w:t>订</w:t>
      </w:r>
      <w:r>
        <w:rPr>
          <w:rFonts w:hint="eastAsia" w:asciiTheme="majorEastAsia" w:hAnsiTheme="majorEastAsia" w:eastAsiaTheme="majorEastAsia"/>
          <w:sz w:val="24"/>
          <w:u w:val="single"/>
        </w:rPr>
        <w:t>补充协议</w:t>
      </w:r>
    </w:p>
    <w:p>
      <w:pPr>
        <w:jc w:val="both"/>
        <w:rPr>
          <w:rFonts w:asciiTheme="majorEastAsia" w:hAnsiTheme="majorEastAsia" w:eastAsiaTheme="majorEastAsia"/>
          <w:sz w:val="28"/>
          <w:szCs w:val="28"/>
          <w:u w:val="single"/>
        </w:rPr>
      </w:pPr>
      <w:r>
        <w:rPr>
          <w:rFonts w:asciiTheme="majorEastAsia" w:hAnsiTheme="majorEastAsia" w:eastAsiaTheme="majorEastAsia"/>
          <w:sz w:val="28"/>
          <w:szCs w:val="28"/>
          <w:u w:val="single"/>
        </w:rPr>
        <w:br w:type="page"/>
      </w:r>
    </w:p>
    <w:p>
      <w:pPr>
        <w:jc w:val="both"/>
        <w:rPr>
          <w:rFonts w:asciiTheme="majorEastAsia" w:hAnsiTheme="majorEastAsia" w:eastAsiaTheme="majorEastAsia"/>
          <w:sz w:val="28"/>
          <w:szCs w:val="28"/>
          <w:u w:val="single"/>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附件：</w:t>
      </w: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反商业贿赂条款</w:t>
      </w: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反商业贿赂条款是本合同/本协议之必备条款，如果本合同/本协议的任何条款被视为无效，本条款的有效性不受影响。交易各方已认真阅读本条款，承诺并同意遵守如下约定：</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1.交易各方应严格遵守有关反腐败、反商业贿赂的法律、法规和政策规定；各方均知悉任何形式的贿赂行为都可能触犯法律，并受到法律的严惩。</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2.交易各方陈述并保证：不得向交易对象工作人员及其他相关人员给予或承诺给予本合同/本协议约定外的任何现金、实物或其他不正当利益，不得为谋取不正当利益而实施违反有关商业贿赂及公平交易相关法律法规的其他行为。</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3.交易各方承诺在其他交易方或相关主管部门对涉嫌商业贿赂的行为进行调查时，提供一切必要的便利和协助，并积极配合调查的开展。</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4.本条款所称“其他相关人员”是指与本合同/本协议有直接或间接利益关系的人员，包括但不限于交易各方的股东、董事、高级管理人员等对本合同/本协议的达成或履行具有影响力的人员及其亲属和具有特殊利益关系的人员。</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 xml:space="preserve">5.如经查实存在利益输送且交易方成为中国远洋海运集团有限公司确定的禁止类特殊关联企业，将导致交易停止。 </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6.违反本条款约定的交易方，将承担由此产生的一切法律责任和后果。</w:t>
      </w:r>
    </w:p>
    <w:p>
      <w:pPr>
        <w:spacing w:line="360" w:lineRule="auto"/>
        <w:ind w:left="340" w:leftChars="170" w:right="-55"/>
        <w:jc w:val="both"/>
        <w:rPr>
          <w:rFonts w:asciiTheme="majorEastAsia" w:hAnsiTheme="majorEastAsia" w:eastAsiaTheme="majorEastAsia"/>
          <w:sz w:val="24"/>
        </w:rPr>
      </w:pP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br w:type="page"/>
      </w:r>
    </w:p>
    <w:p>
      <w:pPr>
        <w:spacing w:line="360" w:lineRule="auto"/>
        <w:ind w:left="340" w:leftChars="170" w:right="-55"/>
        <w:jc w:val="both"/>
        <w:rPr>
          <w:rFonts w:asciiTheme="majorEastAsia" w:hAnsiTheme="majorEastAsia" w:eastAsiaTheme="majorEastAsia"/>
          <w:sz w:val="24"/>
        </w:rPr>
      </w:pPr>
      <w:r>
        <w:rPr>
          <w:rFonts w:hint="eastAsia" w:asciiTheme="majorEastAsia" w:hAnsiTheme="majorEastAsia" w:eastAsiaTheme="majorEastAsia"/>
          <w:sz w:val="24"/>
        </w:rPr>
        <w:t>附件1</w:t>
      </w:r>
    </w:p>
    <w:p>
      <w:pPr>
        <w:jc w:val="both"/>
        <w:rPr>
          <w:rFonts w:asciiTheme="majorEastAsia" w:hAnsiTheme="majorEastAsia" w:eastAsiaTheme="majorEastAsia"/>
          <w:sz w:val="24"/>
        </w:rPr>
      </w:pPr>
      <w:r>
        <w:rPr>
          <w:rFonts w:hint="eastAsia" w:asciiTheme="majorEastAsia" w:hAnsiTheme="majorEastAsia" w:eastAsiaTheme="majorEastAsia"/>
          <w:sz w:val="28"/>
          <w:szCs w:val="28"/>
        </w:rPr>
        <w:t>工程质量保修书</w:t>
      </w:r>
    </w:p>
    <w:p>
      <w:pPr>
        <w:tabs>
          <w:tab w:val="left" w:pos="3195"/>
        </w:tabs>
        <w:ind w:right="-45"/>
        <w:jc w:val="both"/>
        <w:rPr>
          <w:rFonts w:asciiTheme="majorEastAsia" w:hAnsiTheme="majorEastAsia" w:eastAsiaTheme="majorEastAsia"/>
          <w:sz w:val="24"/>
          <w:u w:val="single"/>
        </w:rPr>
      </w:pPr>
      <w:r>
        <w:rPr>
          <w:rFonts w:hint="eastAsia" w:asciiTheme="majorEastAsia" w:hAnsiTheme="majorEastAsia" w:eastAsiaTheme="majorEastAsia"/>
          <w:sz w:val="24"/>
        </w:rPr>
        <w:t>发包人（全称）：</w:t>
      </w:r>
      <w:r>
        <w:rPr>
          <w:rFonts w:hint="eastAsia" w:cs="宋体" w:asciiTheme="majorEastAsia" w:hAnsiTheme="majorEastAsia" w:eastAsiaTheme="majorEastAsia"/>
          <w:sz w:val="24"/>
          <w:u w:val="single"/>
        </w:rPr>
        <w:t>东方国际集装箱（广州）有限公司</w:t>
      </w:r>
    </w:p>
    <w:p>
      <w:pPr>
        <w:tabs>
          <w:tab w:val="left" w:pos="3195"/>
        </w:tabs>
        <w:ind w:right="-45"/>
        <w:jc w:val="both"/>
        <w:rPr>
          <w:rFonts w:asciiTheme="majorEastAsia" w:hAnsiTheme="majorEastAsia" w:eastAsiaTheme="majorEastAsia"/>
          <w:sz w:val="24"/>
          <w:u w:val="single"/>
        </w:rPr>
      </w:pPr>
      <w:r>
        <w:rPr>
          <w:rFonts w:hint="eastAsia" w:asciiTheme="majorEastAsia" w:hAnsiTheme="majorEastAsia" w:eastAsiaTheme="majorEastAsia"/>
          <w:sz w:val="24"/>
        </w:rPr>
        <w:t xml:space="preserve">承包人（全称）： </w:t>
      </w:r>
    </w:p>
    <w:p>
      <w:pPr>
        <w:ind w:firstLine="480" w:firstLineChars="200"/>
        <w:jc w:val="both"/>
        <w:rPr>
          <w:sz w:val="24"/>
          <w:szCs w:val="24"/>
        </w:rPr>
      </w:pPr>
      <w:r>
        <w:rPr>
          <w:rFonts w:hint="eastAsia" w:asciiTheme="majorEastAsia" w:hAnsiTheme="majorEastAsia" w:eastAsiaTheme="majorEastAsia"/>
          <w:sz w:val="24"/>
        </w:rPr>
        <w:t>为保证</w:t>
      </w:r>
      <w:r>
        <w:rPr>
          <w:rFonts w:hint="eastAsia" w:ascii="宋体" w:hAnsi="宋体"/>
          <w:sz w:val="24"/>
          <w:szCs w:val="24"/>
        </w:rPr>
        <w:t>特箱折叠箱设备基础工程</w:t>
      </w:r>
      <w:r>
        <w:rPr>
          <w:rFonts w:hint="eastAsia"/>
          <w:sz w:val="24"/>
          <w:szCs w:val="24"/>
        </w:rPr>
        <w:t>施工总承包</w:t>
      </w:r>
      <w:r>
        <w:rPr>
          <w:rFonts w:hint="eastAsia" w:asciiTheme="majorEastAsia" w:hAnsiTheme="majorEastAsia" w:eastAsiaTheme="majorEastAsia"/>
          <w:sz w:val="24"/>
          <w:u w:val="single"/>
        </w:rPr>
        <w:t>。</w:t>
      </w:r>
      <w:r>
        <w:rPr>
          <w:rFonts w:hint="eastAsia" w:asciiTheme="majorEastAsia" w:hAnsiTheme="majorEastAsia" w:eastAsiaTheme="majorEastAsia"/>
          <w:sz w:val="24"/>
        </w:rPr>
        <w:t>在合理使用期限内正常使用，发包人承包人协商一致签订工程质量保修书。承包人在质量保修期内按照有关管理规定及双方约定承担工程质量保修责任。</w:t>
      </w:r>
    </w:p>
    <w:p>
      <w:pPr>
        <w:tabs>
          <w:tab w:val="left" w:pos="3195"/>
        </w:tabs>
        <w:ind w:right="-4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一  工程质量保修范围和内容</w:t>
      </w:r>
    </w:p>
    <w:p>
      <w:pPr>
        <w:tabs>
          <w:tab w:val="left" w:pos="3195"/>
        </w:tabs>
        <w:ind w:right="-45" w:firstLine="495"/>
        <w:jc w:val="both"/>
        <w:rPr>
          <w:rFonts w:asciiTheme="majorEastAsia" w:hAnsiTheme="majorEastAsia" w:eastAsiaTheme="majorEastAsia"/>
          <w:sz w:val="24"/>
          <w:u w:val="single"/>
        </w:rPr>
      </w:pPr>
      <w:r>
        <w:rPr>
          <w:rFonts w:hint="eastAsia" w:asciiTheme="majorEastAsia" w:hAnsiTheme="majorEastAsia" w:eastAsiaTheme="majorEastAsia"/>
          <w:sz w:val="24"/>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Theme="majorEastAsia" w:hAnsiTheme="majorEastAsia" w:eastAsiaTheme="majorEastAsia"/>
          <w:sz w:val="24"/>
          <w:u w:val="single"/>
        </w:rPr>
        <w:t>按本合同协议书中约定的承包范围。</w:t>
      </w:r>
    </w:p>
    <w:p>
      <w:pPr>
        <w:tabs>
          <w:tab w:val="left" w:pos="3195"/>
        </w:tabs>
        <w:ind w:right="-45" w:firstLine="480"/>
        <w:jc w:val="both"/>
        <w:rPr>
          <w:rFonts w:asciiTheme="majorEastAsia" w:hAnsiTheme="majorEastAsia" w:eastAsiaTheme="majorEastAsia"/>
          <w:sz w:val="24"/>
        </w:rPr>
      </w:pPr>
      <w:r>
        <w:rPr>
          <w:rFonts w:hint="eastAsia" w:asciiTheme="majorEastAsia" w:hAnsiTheme="majorEastAsia" w:eastAsiaTheme="majorEastAsia"/>
          <w:sz w:val="24"/>
        </w:rPr>
        <w:t>二  质量保修期</w:t>
      </w:r>
    </w:p>
    <w:p>
      <w:pPr>
        <w:pStyle w:val="22"/>
        <w:ind w:left="4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质量保修期从工程实际竣工之日算起。分单项竣工验收的工程，按单项工程分别计算质量保修期。</w:t>
      </w:r>
    </w:p>
    <w:p>
      <w:pPr>
        <w:tabs>
          <w:tab w:val="left" w:pos="3195"/>
        </w:tabs>
        <w:ind w:right="-45" w:firstLine="480"/>
        <w:jc w:val="both"/>
        <w:rPr>
          <w:rFonts w:asciiTheme="majorEastAsia" w:hAnsiTheme="majorEastAsia" w:eastAsiaTheme="majorEastAsia"/>
          <w:sz w:val="24"/>
        </w:rPr>
      </w:pPr>
      <w:r>
        <w:rPr>
          <w:rFonts w:hint="eastAsia" w:asciiTheme="majorEastAsia" w:hAnsiTheme="majorEastAsia" w:eastAsiaTheme="majorEastAsia"/>
          <w:sz w:val="24"/>
        </w:rPr>
        <w:t>保修期按《房屋建筑工程质量保修办法》（建设部</w:t>
      </w:r>
      <w:r>
        <w:rPr>
          <w:rFonts w:asciiTheme="majorEastAsia" w:hAnsiTheme="majorEastAsia" w:eastAsiaTheme="majorEastAsia"/>
          <w:sz w:val="24"/>
        </w:rPr>
        <w:t>2000</w:t>
      </w:r>
      <w:r>
        <w:rPr>
          <w:rFonts w:hint="eastAsia" w:asciiTheme="majorEastAsia" w:hAnsiTheme="majorEastAsia" w:eastAsiaTheme="majorEastAsia"/>
          <w:sz w:val="24"/>
        </w:rPr>
        <w:t>年第</w:t>
      </w:r>
      <w:r>
        <w:rPr>
          <w:rFonts w:asciiTheme="majorEastAsia" w:hAnsiTheme="majorEastAsia" w:eastAsiaTheme="majorEastAsia"/>
          <w:sz w:val="24"/>
        </w:rPr>
        <w:t>80</w:t>
      </w:r>
      <w:r>
        <w:rPr>
          <w:rFonts w:hint="eastAsia" w:asciiTheme="majorEastAsia" w:hAnsiTheme="majorEastAsia" w:eastAsiaTheme="majorEastAsia"/>
          <w:sz w:val="24"/>
        </w:rPr>
        <w:t>号令）的规定执行，结合具体工程约定质量保修期如下：</w:t>
      </w:r>
    </w:p>
    <w:p>
      <w:pPr>
        <w:tabs>
          <w:tab w:val="left" w:pos="3195"/>
        </w:tabs>
        <w:ind w:right="-45" w:firstLine="470" w:firstLineChars="196"/>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 xml:space="preserve">  基础和主体结构工程</w:t>
      </w:r>
      <w:r>
        <w:rPr>
          <w:rFonts w:hint="eastAsia" w:asciiTheme="majorEastAsia" w:hAnsiTheme="majorEastAsia" w:eastAsiaTheme="majorEastAsia"/>
          <w:sz w:val="24"/>
          <w:u w:val="single"/>
        </w:rPr>
        <w:t>设计合理使用年限，</w:t>
      </w:r>
      <w:r>
        <w:rPr>
          <w:rFonts w:hint="eastAsia" w:asciiTheme="majorEastAsia" w:hAnsiTheme="majorEastAsia" w:eastAsiaTheme="majorEastAsia"/>
          <w:sz w:val="24"/>
        </w:rPr>
        <w:t>屋面防水工程为</w:t>
      </w:r>
      <w:r>
        <w:rPr>
          <w:rFonts w:hint="eastAsia" w:asciiTheme="majorEastAsia" w:hAnsiTheme="majorEastAsia" w:eastAsiaTheme="majorEastAsia"/>
          <w:sz w:val="24"/>
          <w:u w:val="single"/>
        </w:rPr>
        <w:t>　</w:t>
      </w:r>
      <w:r>
        <w:rPr>
          <w:rFonts w:asciiTheme="majorEastAsia" w:hAnsiTheme="majorEastAsia" w:eastAsiaTheme="majorEastAsia"/>
          <w:sz w:val="24"/>
          <w:u w:val="single"/>
        </w:rPr>
        <w:t>5</w:t>
      </w:r>
      <w:r>
        <w:rPr>
          <w:rFonts w:hint="eastAsia" w:asciiTheme="majorEastAsia" w:hAnsiTheme="majorEastAsia" w:eastAsiaTheme="majorEastAsia"/>
          <w:sz w:val="24"/>
          <w:u w:val="single"/>
        </w:rPr>
        <w:t>　</w:t>
      </w:r>
      <w:r>
        <w:rPr>
          <w:rFonts w:hint="eastAsia" w:asciiTheme="majorEastAsia" w:hAnsiTheme="majorEastAsia" w:eastAsiaTheme="majorEastAsia"/>
          <w:sz w:val="24"/>
        </w:rPr>
        <w:t>年；</w:t>
      </w:r>
    </w:p>
    <w:p>
      <w:pPr>
        <w:tabs>
          <w:tab w:val="left" w:pos="3195"/>
        </w:tabs>
        <w:ind w:right="-45" w:firstLine="480"/>
        <w:jc w:val="both"/>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 xml:space="preserve">  电气管线、上下水水管线安装工程为</w:t>
      </w:r>
      <w:r>
        <w:rPr>
          <w:rFonts w:hint="eastAsia" w:asciiTheme="majorEastAsia" w:hAnsiTheme="majorEastAsia" w:eastAsiaTheme="majorEastAsia"/>
          <w:sz w:val="24"/>
          <w:u w:val="single"/>
        </w:rPr>
        <w:t>　　　</w:t>
      </w:r>
      <w:r>
        <w:rPr>
          <w:rFonts w:asciiTheme="majorEastAsia" w:hAnsiTheme="majorEastAsia" w:eastAsiaTheme="majorEastAsia"/>
          <w:sz w:val="24"/>
          <w:u w:val="single"/>
        </w:rPr>
        <w:t>2</w:t>
      </w:r>
      <w:r>
        <w:rPr>
          <w:rFonts w:hint="eastAsia" w:asciiTheme="majorEastAsia" w:hAnsiTheme="majorEastAsia" w:eastAsiaTheme="majorEastAsia"/>
          <w:sz w:val="24"/>
          <w:u w:val="single"/>
        </w:rPr>
        <w:t>　　　　</w:t>
      </w:r>
      <w:r>
        <w:rPr>
          <w:rFonts w:hint="eastAsia" w:asciiTheme="majorEastAsia" w:hAnsiTheme="majorEastAsia" w:eastAsiaTheme="majorEastAsia"/>
          <w:sz w:val="24"/>
        </w:rPr>
        <w:t>年；</w:t>
      </w:r>
    </w:p>
    <w:p>
      <w:pPr>
        <w:tabs>
          <w:tab w:val="left" w:pos="3195"/>
        </w:tabs>
        <w:ind w:right="-45" w:firstLine="480"/>
        <w:jc w:val="both"/>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 xml:space="preserve">  消防工程为</w:t>
      </w:r>
      <w:r>
        <w:rPr>
          <w:rFonts w:asciiTheme="majorEastAsia" w:hAnsiTheme="majorEastAsia" w:eastAsiaTheme="majorEastAsia"/>
          <w:sz w:val="24"/>
          <w:u w:val="single"/>
        </w:rPr>
        <w:t xml:space="preserve">   2     </w:t>
      </w:r>
      <w:r>
        <w:rPr>
          <w:rFonts w:hint="eastAsia" w:asciiTheme="majorEastAsia" w:hAnsiTheme="majorEastAsia" w:eastAsiaTheme="majorEastAsia"/>
          <w:sz w:val="24"/>
        </w:rPr>
        <w:t>年；</w:t>
      </w:r>
    </w:p>
    <w:p>
      <w:pPr>
        <w:tabs>
          <w:tab w:val="left" w:pos="3195"/>
        </w:tabs>
        <w:ind w:right="-45" w:firstLine="480"/>
        <w:jc w:val="both"/>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 xml:space="preserve">  室外的上下水和小区道路等市政公用工程为</w:t>
      </w:r>
      <w:r>
        <w:rPr>
          <w:rFonts w:hint="eastAsia" w:asciiTheme="majorEastAsia" w:hAnsiTheme="majorEastAsia" w:eastAsiaTheme="majorEastAsia"/>
          <w:sz w:val="24"/>
          <w:u w:val="single"/>
        </w:rPr>
        <w:t>　</w:t>
      </w:r>
      <w:r>
        <w:rPr>
          <w:rFonts w:asciiTheme="majorEastAsia" w:hAnsiTheme="majorEastAsia" w:eastAsiaTheme="majorEastAsia"/>
          <w:sz w:val="24"/>
          <w:u w:val="single"/>
        </w:rPr>
        <w:t>/</w:t>
      </w:r>
      <w:r>
        <w:rPr>
          <w:rFonts w:hint="eastAsia" w:asciiTheme="majorEastAsia" w:hAnsiTheme="majorEastAsia" w:eastAsiaTheme="majorEastAsia"/>
          <w:sz w:val="24"/>
          <w:u w:val="single"/>
        </w:rPr>
        <w:t>　</w:t>
      </w:r>
      <w:r>
        <w:rPr>
          <w:rFonts w:hint="eastAsia" w:asciiTheme="majorEastAsia" w:hAnsiTheme="majorEastAsia" w:eastAsiaTheme="majorEastAsia"/>
          <w:sz w:val="24"/>
        </w:rPr>
        <w:t>年；</w:t>
      </w:r>
    </w:p>
    <w:p>
      <w:pPr>
        <w:tabs>
          <w:tab w:val="left" w:pos="3195"/>
        </w:tabs>
        <w:ind w:right="-45" w:firstLine="480"/>
        <w:jc w:val="both"/>
        <w:rPr>
          <w:rFonts w:asciiTheme="majorEastAsia" w:hAnsiTheme="majorEastAsia" w:eastAsiaTheme="majorEastAsia"/>
          <w:sz w:val="24"/>
          <w:u w:val="single"/>
        </w:rPr>
      </w:pPr>
      <w:r>
        <w:rPr>
          <w:rFonts w:asciiTheme="majorEastAsia" w:hAnsiTheme="majorEastAsia" w:eastAsiaTheme="majorEastAsia"/>
          <w:sz w:val="24"/>
        </w:rPr>
        <w:t>5</w:t>
      </w:r>
      <w:r>
        <w:rPr>
          <w:rFonts w:hint="eastAsia" w:asciiTheme="majorEastAsia" w:hAnsiTheme="majorEastAsia" w:eastAsiaTheme="majorEastAsia"/>
          <w:sz w:val="24"/>
        </w:rPr>
        <w:t xml:space="preserve">  其它约定：</w:t>
      </w:r>
      <w:r>
        <w:rPr>
          <w:rFonts w:hint="eastAsia" w:asciiTheme="majorEastAsia" w:hAnsiTheme="majorEastAsia" w:eastAsiaTheme="majorEastAsia"/>
          <w:sz w:val="24"/>
          <w:u w:val="single"/>
        </w:rPr>
        <w:t>其余工程保修期为一年。</w:t>
      </w:r>
    </w:p>
    <w:p>
      <w:pPr>
        <w:tabs>
          <w:tab w:val="left" w:pos="3195"/>
        </w:tabs>
        <w:ind w:right="-45" w:firstLine="495"/>
        <w:jc w:val="both"/>
        <w:rPr>
          <w:rFonts w:asciiTheme="majorEastAsia" w:hAnsiTheme="majorEastAsia" w:eastAsiaTheme="majorEastAsia"/>
          <w:sz w:val="24"/>
        </w:rPr>
      </w:pPr>
      <w:r>
        <w:rPr>
          <w:rFonts w:hint="eastAsia" w:asciiTheme="majorEastAsia" w:hAnsiTheme="majorEastAsia" w:eastAsiaTheme="majorEastAsia"/>
          <w:sz w:val="24"/>
        </w:rPr>
        <w:t>三  质量保修责任</w:t>
      </w:r>
    </w:p>
    <w:p>
      <w:pPr>
        <w:tabs>
          <w:tab w:val="left" w:pos="3195"/>
        </w:tabs>
        <w:ind w:right="-45" w:firstLine="495"/>
        <w:jc w:val="both"/>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 xml:space="preserve">  属于保修范围和内容的项目，承包人应在接到修理通知之日后</w:t>
      </w:r>
      <w:r>
        <w:rPr>
          <w:rFonts w:asciiTheme="majorEastAsia" w:hAnsiTheme="majorEastAsia" w:eastAsiaTheme="majorEastAsia"/>
          <w:sz w:val="24"/>
        </w:rPr>
        <w:t>7</w:t>
      </w:r>
      <w:r>
        <w:rPr>
          <w:rFonts w:hint="eastAsia" w:asciiTheme="majorEastAsia" w:hAnsiTheme="majorEastAsia" w:eastAsiaTheme="majorEastAsia"/>
          <w:sz w:val="24"/>
        </w:rPr>
        <w:t>天内派人修理。</w:t>
      </w:r>
    </w:p>
    <w:p>
      <w:pPr>
        <w:tabs>
          <w:tab w:val="left" w:pos="3195"/>
        </w:tabs>
        <w:ind w:right="-4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承包人不在约定期限内派人修理，发包人可委托其他人员修理，保修费用从质量保修金内扣除。</w:t>
      </w:r>
    </w:p>
    <w:p>
      <w:pPr>
        <w:tabs>
          <w:tab w:val="left" w:pos="3195"/>
        </w:tabs>
        <w:ind w:right="-45" w:firstLine="480" w:firstLineChars="200"/>
        <w:jc w:val="both"/>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 xml:space="preserve">  发生须紧急抢修事故（如上水跑水、暖气漏水漏气、燃气漏气等），承包人接到事故通知后，应立即到达事故现场抢修。非承包人施工质量引起的事故，抢修费用由发包人承担。</w:t>
      </w:r>
    </w:p>
    <w:p>
      <w:pPr>
        <w:tabs>
          <w:tab w:val="left" w:pos="3195"/>
        </w:tabs>
        <w:ind w:right="-45" w:firstLine="480" w:firstLineChars="200"/>
        <w:jc w:val="both"/>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 xml:space="preserve">  在国家规定的工程合理使用期限内，承包人确保地基基础工程和主体结构的质量。因承包人原因致使工程在合理使用期限内造成人身和财产损害的，承包人应承担损害赔偿责任。</w:t>
      </w:r>
    </w:p>
    <w:p>
      <w:pPr>
        <w:tabs>
          <w:tab w:val="left" w:pos="3195"/>
        </w:tabs>
        <w:ind w:right="-4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四  质量保修金的支付</w:t>
      </w:r>
    </w:p>
    <w:p>
      <w:pPr>
        <w:tabs>
          <w:tab w:val="left" w:pos="3195"/>
        </w:tabs>
        <w:ind w:right="-4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本工程约定的工程质量保修金为施工结算价款的</w:t>
      </w:r>
      <w:r>
        <w:rPr>
          <w:rFonts w:hint="eastAsia" w:asciiTheme="majorEastAsia" w:hAnsiTheme="majorEastAsia" w:eastAsiaTheme="majorEastAsia"/>
          <w:sz w:val="24"/>
          <w:u w:val="single"/>
        </w:rPr>
        <w:t>3</w:t>
      </w:r>
      <w:r>
        <w:rPr>
          <w:rFonts w:asciiTheme="majorEastAsia" w:hAnsiTheme="majorEastAsia" w:eastAsiaTheme="majorEastAsia"/>
          <w:sz w:val="24"/>
        </w:rPr>
        <w:t>%</w:t>
      </w:r>
      <w:r>
        <w:rPr>
          <w:rFonts w:hint="eastAsia" w:asciiTheme="majorEastAsia" w:hAnsiTheme="majorEastAsia" w:eastAsiaTheme="majorEastAsia"/>
          <w:sz w:val="24"/>
        </w:rPr>
        <w:t>。</w:t>
      </w:r>
    </w:p>
    <w:p>
      <w:pPr>
        <w:tabs>
          <w:tab w:val="left" w:pos="3195"/>
        </w:tabs>
        <w:ind w:right="-45"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质量保修金银行利率为</w:t>
      </w:r>
      <w:r>
        <w:rPr>
          <w:rFonts w:hint="eastAsia" w:asciiTheme="majorEastAsia" w:hAnsiTheme="majorEastAsia" w:eastAsiaTheme="majorEastAsia"/>
          <w:sz w:val="24"/>
          <w:u w:val="single"/>
        </w:rPr>
        <w:t>零</w:t>
      </w:r>
      <w:r>
        <w:rPr>
          <w:rFonts w:hint="eastAsia" w:asciiTheme="majorEastAsia" w:hAnsiTheme="majorEastAsia" w:eastAsiaTheme="majorEastAsia"/>
          <w:sz w:val="24"/>
        </w:rPr>
        <w:t>。</w:t>
      </w:r>
    </w:p>
    <w:p>
      <w:pPr>
        <w:tabs>
          <w:tab w:val="left" w:pos="3195"/>
        </w:tabs>
        <w:ind w:right="-45" w:firstLine="495"/>
        <w:jc w:val="both"/>
        <w:rPr>
          <w:rFonts w:asciiTheme="majorEastAsia" w:hAnsiTheme="majorEastAsia" w:eastAsiaTheme="majorEastAsia"/>
          <w:sz w:val="24"/>
        </w:rPr>
      </w:pPr>
      <w:r>
        <w:rPr>
          <w:rFonts w:hint="eastAsia" w:asciiTheme="majorEastAsia" w:hAnsiTheme="majorEastAsia" w:eastAsiaTheme="majorEastAsia"/>
          <w:sz w:val="24"/>
        </w:rPr>
        <w:t>五  质量保修金的返还</w:t>
      </w:r>
    </w:p>
    <w:p>
      <w:pPr>
        <w:tabs>
          <w:tab w:val="left" w:pos="3195"/>
        </w:tabs>
        <w:ind w:right="-45" w:firstLine="657" w:firstLineChars="274"/>
        <w:jc w:val="both"/>
        <w:rPr>
          <w:rFonts w:asciiTheme="majorEastAsia" w:hAnsiTheme="majorEastAsia" w:eastAsiaTheme="majorEastAsia"/>
          <w:sz w:val="24"/>
        </w:rPr>
      </w:pPr>
      <w:r>
        <w:rPr>
          <w:rFonts w:hint="eastAsia" w:asciiTheme="majorEastAsia" w:hAnsiTheme="majorEastAsia" w:eastAsiaTheme="majorEastAsia"/>
          <w:sz w:val="24"/>
        </w:rPr>
        <w:t>留结算款的3</w:t>
      </w:r>
      <w:r>
        <w:rPr>
          <w:rFonts w:asciiTheme="majorEastAsia" w:hAnsiTheme="majorEastAsia" w:eastAsiaTheme="majorEastAsia"/>
          <w:sz w:val="24"/>
        </w:rPr>
        <w:t>%</w:t>
      </w:r>
      <w:r>
        <w:rPr>
          <w:rFonts w:hint="eastAsia" w:asciiTheme="majorEastAsia" w:hAnsiTheme="majorEastAsia" w:eastAsiaTheme="majorEastAsia"/>
          <w:sz w:val="24"/>
        </w:rPr>
        <w:t>为本工程的保修金。发包人在工程竣工验收合格后质保期届满1年，收到承包人的款项申请手续后15个工作日内将剩余部分予以支付。</w:t>
      </w:r>
    </w:p>
    <w:p>
      <w:pPr>
        <w:tabs>
          <w:tab w:val="left" w:pos="3195"/>
        </w:tabs>
        <w:ind w:right="-45" w:firstLine="495"/>
        <w:jc w:val="both"/>
        <w:rPr>
          <w:rFonts w:asciiTheme="majorEastAsia" w:hAnsiTheme="majorEastAsia" w:eastAsiaTheme="majorEastAsia"/>
          <w:sz w:val="24"/>
        </w:rPr>
      </w:pPr>
      <w:r>
        <w:rPr>
          <w:rFonts w:hint="eastAsia" w:asciiTheme="majorEastAsia" w:hAnsiTheme="majorEastAsia" w:eastAsiaTheme="majorEastAsia"/>
          <w:sz w:val="24"/>
        </w:rPr>
        <w:t>六  其他</w:t>
      </w: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双方约定的其他工程质量保修事项：</w:t>
      </w:r>
      <w:r>
        <w:rPr>
          <w:rFonts w:asciiTheme="majorEastAsia" w:hAnsiTheme="majorEastAsia" w:eastAsiaTheme="majorEastAsia"/>
          <w:sz w:val="24"/>
          <w:szCs w:val="24"/>
        </w:rPr>
        <w:t>1</w:t>
      </w:r>
      <w:r>
        <w:rPr>
          <w:rFonts w:hint="eastAsia" w:asciiTheme="majorEastAsia" w:hAnsiTheme="majorEastAsia" w:eastAsiaTheme="majorEastAsia"/>
          <w:sz w:val="24"/>
          <w:szCs w:val="24"/>
        </w:rPr>
        <w:t>、发包人将保修金全数返还承包人后，在保修期内发包方正常使用的情况下，如在保修期内发生属本保修书规定范围的保修事项时，承包人应及时按规定时限修理并承担费用，否则，发包方可以通过法律途径追讨。</w:t>
      </w:r>
      <w:r>
        <w:rPr>
          <w:rFonts w:asciiTheme="majorEastAsia" w:hAnsiTheme="majorEastAsia" w:eastAsiaTheme="majorEastAsia"/>
          <w:sz w:val="24"/>
          <w:szCs w:val="24"/>
        </w:rPr>
        <w:t>2</w:t>
      </w:r>
      <w:r>
        <w:rPr>
          <w:rFonts w:hint="eastAsia" w:asciiTheme="majorEastAsia" w:hAnsiTheme="majorEastAsia" w:eastAsiaTheme="majorEastAsia"/>
          <w:sz w:val="24"/>
          <w:szCs w:val="24"/>
        </w:rPr>
        <w:t>、保修期从竣（交）工验收之日起计，如在保修期内发生重大质量问题，保修期从修复之后再验收合格的日期算起。由于发包人原因导致工程无法按规定期限进行竣工验收的，在承包人提交竣工验收报告</w:t>
      </w:r>
      <w:r>
        <w:rPr>
          <w:rFonts w:asciiTheme="majorEastAsia" w:hAnsiTheme="majorEastAsia" w:eastAsiaTheme="majorEastAsia"/>
          <w:sz w:val="24"/>
          <w:szCs w:val="24"/>
        </w:rPr>
        <w:t>30</w:t>
      </w:r>
      <w:r>
        <w:rPr>
          <w:rFonts w:hint="eastAsia" w:asciiTheme="majorEastAsia" w:hAnsiTheme="majorEastAsia" w:eastAsiaTheme="majorEastAsia"/>
          <w:sz w:val="24"/>
          <w:szCs w:val="24"/>
        </w:rPr>
        <w:t>天后，工程自动进入保修期。</w:t>
      </w: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本工程质量保修书作为施工合同附件，由施工合同发包人承包人双方共同签署。</w:t>
      </w:r>
    </w:p>
    <w:p>
      <w:pPr>
        <w:pStyle w:val="19"/>
        <w:ind w:firstLine="480" w:firstLineChars="200"/>
        <w:jc w:val="both"/>
        <w:rPr>
          <w:rFonts w:asciiTheme="majorEastAsia" w:hAnsiTheme="majorEastAsia" w:eastAsiaTheme="majorEastAsia"/>
          <w:sz w:val="24"/>
          <w:szCs w:val="24"/>
        </w:rPr>
      </w:pP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发包人：东方国际集装箱（广州）</w:t>
      </w:r>
      <w:r>
        <w:rPr>
          <w:rFonts w:hint="eastAsia" w:asciiTheme="majorEastAsia" w:hAnsiTheme="majorEastAsia"/>
          <w:sz w:val="24"/>
          <w:szCs w:val="24"/>
        </w:rPr>
        <w:t xml:space="preserve">     </w:t>
      </w:r>
      <w:r>
        <w:rPr>
          <w:rFonts w:hint="eastAsia" w:asciiTheme="majorEastAsia" w:hAnsiTheme="majorEastAsia" w:eastAsiaTheme="majorEastAsia"/>
          <w:sz w:val="24"/>
          <w:szCs w:val="24"/>
        </w:rPr>
        <w:t>承包人：</w:t>
      </w:r>
    </w:p>
    <w:p>
      <w:pPr>
        <w:pStyle w:val="19"/>
        <w:ind w:firstLine="480" w:firstLineChars="200"/>
        <w:jc w:val="both"/>
        <w:rPr>
          <w:rFonts w:asciiTheme="majorEastAsia" w:hAnsiTheme="majorEastAsia" w:eastAsiaTheme="majorEastAsia"/>
          <w:sz w:val="24"/>
          <w:szCs w:val="24"/>
        </w:rPr>
      </w:pPr>
    </w:p>
    <w:p>
      <w:pPr>
        <w:pStyle w:val="19"/>
        <w:ind w:firstLine="1440" w:firstLineChars="6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有限公司</w:t>
      </w:r>
    </w:p>
    <w:p>
      <w:pPr>
        <w:pStyle w:val="19"/>
        <w:ind w:firstLine="480" w:firstLineChars="200"/>
        <w:jc w:val="both"/>
        <w:rPr>
          <w:rFonts w:asciiTheme="majorEastAsia" w:hAnsiTheme="majorEastAsia" w:eastAsiaTheme="majorEastAsia"/>
          <w:sz w:val="24"/>
          <w:szCs w:val="24"/>
        </w:rPr>
      </w:pP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法定代表人或代理人             </w:t>
      </w:r>
      <w:r>
        <w:rPr>
          <w:rFonts w:hint="eastAsia" w:asciiTheme="majorEastAsia" w:hAnsiTheme="majorEastAsia"/>
          <w:sz w:val="24"/>
          <w:szCs w:val="24"/>
        </w:rPr>
        <w:t xml:space="preserve">    </w:t>
      </w:r>
      <w:r>
        <w:rPr>
          <w:rFonts w:hint="eastAsia" w:asciiTheme="majorEastAsia" w:hAnsiTheme="majorEastAsia" w:eastAsiaTheme="majorEastAsia"/>
          <w:sz w:val="24"/>
          <w:szCs w:val="24"/>
        </w:rPr>
        <w:t>法定代表人或代理人</w:t>
      </w:r>
    </w:p>
    <w:p>
      <w:pPr>
        <w:pStyle w:val="19"/>
        <w:ind w:firstLine="480" w:firstLineChars="200"/>
        <w:jc w:val="both"/>
        <w:rPr>
          <w:rFonts w:asciiTheme="majorEastAsia" w:hAnsiTheme="majorEastAsia" w:eastAsiaTheme="majorEastAsia"/>
          <w:sz w:val="24"/>
          <w:szCs w:val="24"/>
        </w:rPr>
      </w:pP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（签字或盖章）：                 </w:t>
      </w:r>
      <w:r>
        <w:rPr>
          <w:rFonts w:hint="eastAsia" w:asciiTheme="majorEastAsia" w:hAnsiTheme="majorEastAsia"/>
          <w:sz w:val="24"/>
          <w:szCs w:val="24"/>
        </w:rPr>
        <w:t xml:space="preserve"> </w:t>
      </w:r>
      <w:r>
        <w:rPr>
          <w:rFonts w:hint="eastAsia" w:asciiTheme="majorEastAsia" w:hAnsiTheme="majorEastAsia" w:eastAsiaTheme="majorEastAsia"/>
          <w:sz w:val="24"/>
          <w:szCs w:val="24"/>
        </w:rPr>
        <w:t>（签字或盖章）：</w:t>
      </w:r>
    </w:p>
    <w:p>
      <w:pPr>
        <w:pStyle w:val="19"/>
        <w:ind w:firstLine="480" w:firstLineChars="200"/>
        <w:jc w:val="both"/>
        <w:rPr>
          <w:rFonts w:asciiTheme="majorEastAsia" w:hAnsiTheme="majorEastAsia" w:eastAsiaTheme="majorEastAsia"/>
          <w:sz w:val="24"/>
          <w:szCs w:val="24"/>
        </w:rPr>
      </w:pPr>
    </w:p>
    <w:p>
      <w:pPr>
        <w:pStyle w:val="19"/>
        <w:ind w:firstLine="480" w:firstLineChars="2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　　  年　　月　　日　　　　　   　　　　年　　月　  日</w:t>
      </w:r>
    </w:p>
    <w:p>
      <w:pPr>
        <w:jc w:val="both"/>
        <w:rPr>
          <w:rFonts w:ascii="仿宋" w:hAnsi="仿宋" w:eastAsia="仿宋"/>
          <w:sz w:val="36"/>
          <w:szCs w:val="36"/>
        </w:rPr>
      </w:pPr>
    </w:p>
    <w:p>
      <w:pPr>
        <w:jc w:val="both"/>
        <w:rPr>
          <w:rFonts w:ascii="仿宋" w:hAnsi="仿宋" w:eastAsia="仿宋"/>
          <w:sz w:val="36"/>
          <w:szCs w:val="36"/>
        </w:rPr>
      </w:pPr>
      <w:r>
        <w:rPr>
          <w:rFonts w:ascii="仿宋" w:hAnsi="仿宋" w:eastAsia="仿宋"/>
          <w:sz w:val="36"/>
          <w:szCs w:val="36"/>
        </w:rPr>
        <w:br w:type="page"/>
      </w:r>
    </w:p>
    <w:p>
      <w:pPr>
        <w:jc w:val="center"/>
        <w:rPr>
          <w:rFonts w:ascii="仿宋" w:hAnsi="仿宋" w:eastAsia="仿宋"/>
          <w:sz w:val="36"/>
          <w:szCs w:val="36"/>
        </w:rPr>
      </w:pPr>
      <w:r>
        <w:rPr>
          <w:rFonts w:hint="eastAsia" w:ascii="仿宋" w:hAnsi="仿宋" w:eastAsia="仿宋"/>
          <w:sz w:val="36"/>
          <w:szCs w:val="36"/>
        </w:rPr>
        <w:t>工程建设项目廉政责任书</w:t>
      </w:r>
    </w:p>
    <w:p>
      <w:pPr>
        <w:spacing w:line="500" w:lineRule="exact"/>
        <w:jc w:val="both"/>
        <w:rPr>
          <w:rFonts w:ascii="仿宋" w:hAnsi="仿宋" w:eastAsia="仿宋"/>
          <w:sz w:val="30"/>
          <w:szCs w:val="30"/>
        </w:rPr>
      </w:pPr>
    </w:p>
    <w:p>
      <w:pPr>
        <w:spacing w:line="500" w:lineRule="exact"/>
        <w:jc w:val="both"/>
        <w:rPr>
          <w:rFonts w:ascii="宋体" w:hAnsi="宋体" w:eastAsia="仿宋"/>
          <w:sz w:val="24"/>
          <w:szCs w:val="24"/>
        </w:rPr>
      </w:pPr>
      <w:r>
        <w:rPr>
          <w:rFonts w:hint="eastAsia" w:ascii="仿宋" w:hAnsi="仿宋" w:eastAsia="仿宋"/>
          <w:sz w:val="30"/>
          <w:szCs w:val="30"/>
        </w:rPr>
        <w:t>工程项目名称：特箱折叠箱设备基础工程</w:t>
      </w:r>
    </w:p>
    <w:p>
      <w:pPr>
        <w:spacing w:line="500" w:lineRule="exact"/>
        <w:jc w:val="both"/>
        <w:rPr>
          <w:rFonts w:ascii="仿宋" w:hAnsi="仿宋" w:eastAsia="仿宋"/>
          <w:sz w:val="30"/>
          <w:szCs w:val="30"/>
        </w:rPr>
      </w:pPr>
      <w:r>
        <w:rPr>
          <w:rFonts w:hint="eastAsia" w:ascii="仿宋" w:hAnsi="仿宋" w:eastAsia="仿宋"/>
          <w:sz w:val="30"/>
          <w:szCs w:val="30"/>
        </w:rPr>
        <w:t>工程项目地点：广州市南沙区万顷沙镇红安路2号</w:t>
      </w:r>
    </w:p>
    <w:p>
      <w:pPr>
        <w:spacing w:line="500" w:lineRule="exact"/>
        <w:jc w:val="both"/>
        <w:rPr>
          <w:rFonts w:ascii="仿宋" w:hAnsi="仿宋" w:eastAsia="仿宋"/>
          <w:sz w:val="30"/>
          <w:szCs w:val="30"/>
        </w:rPr>
      </w:pPr>
      <w:r>
        <w:rPr>
          <w:rFonts w:hint="eastAsia" w:ascii="仿宋" w:hAnsi="仿宋" w:eastAsia="仿宋"/>
          <w:sz w:val="30"/>
          <w:szCs w:val="30"/>
        </w:rPr>
        <w:t>发包单位（甲方）：东方国际集装箱（广州）有限公司</w:t>
      </w:r>
    </w:p>
    <w:p>
      <w:pPr>
        <w:ind w:right="-488" w:rightChars="-244"/>
        <w:jc w:val="both"/>
        <w:rPr>
          <w:rFonts w:ascii="仿宋" w:hAnsi="仿宋" w:eastAsia="仿宋"/>
          <w:sz w:val="28"/>
          <w:szCs w:val="28"/>
        </w:rPr>
      </w:pPr>
      <w:r>
        <w:rPr>
          <w:rFonts w:hint="eastAsia" w:ascii="仿宋" w:hAnsi="仿宋" w:eastAsia="仿宋"/>
          <w:sz w:val="30"/>
          <w:szCs w:val="30"/>
        </w:rPr>
        <w:t>承包单位（乙方）：</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为加强工程建设以中的廉政建设，规范工程建设项目承发包双方的各项活动，防止发生各种谋取不正当利益的违法违纪行为，保护国家、集体和当事发人的合法权益 ，根据国家有关工程建房的法律法规和廉政建设责任制规定，特制订本廉政责任书。</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一、甲方、乙方双方共同责任</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1、应严格遵守国家关于市场准入、项目招标投标、工程建设、施工安装 和市场活动等有关法律、法规，相关政策，以及廉政建设的各项规定。</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2、严格执行建设工程项目承发包合同文件，自觉按合同办事。</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3、业务活动必须坚持公开、公平、公正、诚信、透明的原则，不得为获取不正当利益，受损害国家、集体和对方利益、不得违反工程建设管理、施工安装地规章制度。</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4、发现对方在业务活动中有违规、违纪、违法行为的，应入时提醒对方，情节严重的，应向其上级主管部门或纪检不监察机关举报。</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二、甲方的责任</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甲方从事建设工程项目的工作人员在工程建设的事前、事中、事后应遵守以下规定：</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1、不准向乙方和相关单位索要或接受回扣、礼金、有价证券、贵重物品和好处费、感谢费等。</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2、不准在乙方和相关单位报销任何应由甲方或个人支付的费用。</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3、不准要求、暗示或接受乙方和相关单位为个人提供的各种私利。</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4、不准参加任何有可能影响公正执行的乙方和相关单位的宴请等活动。</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5、不准向乙方介绍与已相关的人员参与同甲方项目工程施工合同有关的设备、墙、工程分包、劳务等经济活动。不得以任何理由向乙方和相关单位推荐分包单位和要求乙方购买项目工程合同规定以外的材料、设备等。</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三、乙方的责任</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应与甲方保持正常的业务交往，按照有关法律法规和程序开展业务工作，严格执行工程建设的有关方针、政策，尤其是有关建筑施工安装的强制性标准和规范，并遵守以下规定：</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1、不准以任何理由向甲方、相关单位及其工作人员索要、接受或赠送礼金、有价证券、贵重物品和回扣，好处费、感谢费等。</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2、不准以任何理由为甲方和相关单位报销应由对方或个人支付的费用。</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3、不准接受或暗示为甲方、相关单位或个人提供私利。</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4、不准以任何理由为甲方、相关单位或个人组织有可能影响公正执行的各种活动。</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四、违约责任</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1、甲方有违反规定的，按照管理权限 ，依据有关法律法规和规定给予党、政纪处分或组织处理，涉嫌犯罪的，移交司法机关追究刑事责任。</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2、乙方有违反本责任规定的，将被列入建设施工黑名单，永久性取消承建甲方工程资格，涉嫌犯罪的，由司法机关追究刑事责任，给甲方单位造成经济损失的，应予以赔偿 。</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五、本责任书作为工程施工合同的附件，与工程施工合同具有同等法律效力，经双方签署后立即生效。</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六、本责任书的有效期为双方签署之日起至该工程项目竣工验收合格时止。</w:t>
      </w:r>
    </w:p>
    <w:p>
      <w:pPr>
        <w:spacing w:line="500" w:lineRule="exact"/>
        <w:ind w:firstLine="600" w:firstLineChars="200"/>
        <w:jc w:val="both"/>
        <w:rPr>
          <w:rFonts w:ascii="仿宋" w:hAnsi="仿宋" w:eastAsia="仿宋"/>
          <w:sz w:val="30"/>
          <w:szCs w:val="30"/>
        </w:rPr>
      </w:pPr>
      <w:r>
        <w:rPr>
          <w:rFonts w:hint="eastAsia" w:ascii="仿宋" w:hAnsi="仿宋" w:eastAsia="仿宋"/>
          <w:sz w:val="30"/>
          <w:szCs w:val="30"/>
        </w:rPr>
        <w:t>七、本责任书一式四份，由甲乙双方各执二份。</w:t>
      </w:r>
    </w:p>
    <w:p>
      <w:pPr>
        <w:spacing w:line="500" w:lineRule="exact"/>
        <w:ind w:firstLine="600" w:firstLineChars="200"/>
        <w:rPr>
          <w:rFonts w:ascii="仿宋" w:hAnsi="仿宋" w:eastAsia="仿宋"/>
          <w:sz w:val="30"/>
          <w:szCs w:val="30"/>
        </w:rPr>
      </w:pPr>
    </w:p>
    <w:p>
      <w:pPr>
        <w:spacing w:line="500" w:lineRule="exact"/>
        <w:rPr>
          <w:rFonts w:ascii="仿宋" w:hAnsi="仿宋" w:eastAsia="仿宋"/>
          <w:sz w:val="30"/>
          <w:szCs w:val="30"/>
        </w:rPr>
      </w:pPr>
      <w:r>
        <w:rPr>
          <w:rFonts w:hint="eastAsia" w:ascii="仿宋" w:hAnsi="仿宋" w:eastAsia="仿宋"/>
          <w:sz w:val="30"/>
          <w:szCs w:val="30"/>
        </w:rPr>
        <w:t>发包单位（甲方）（盖章</w:t>
      </w:r>
      <w:r>
        <w:rPr>
          <w:rFonts w:ascii="仿宋" w:hAnsi="仿宋" w:eastAsia="仿宋"/>
          <w:sz w:val="30"/>
          <w:szCs w:val="30"/>
        </w:rPr>
        <w:t>）</w:t>
      </w:r>
      <w:r>
        <w:rPr>
          <w:rFonts w:hint="eastAsia" w:ascii="仿宋" w:hAnsi="仿宋" w:eastAsia="仿宋"/>
          <w:sz w:val="30"/>
          <w:szCs w:val="30"/>
        </w:rPr>
        <w:t xml:space="preserve">      承包单位（乙方）（盖章）</w:t>
      </w:r>
    </w:p>
    <w:p>
      <w:pPr>
        <w:ind w:right="-488" w:rightChars="-244"/>
        <w:rPr>
          <w:rFonts w:ascii="仿宋" w:hAnsi="仿宋" w:eastAsia="仿宋"/>
          <w:sz w:val="28"/>
          <w:szCs w:val="28"/>
        </w:rPr>
      </w:pPr>
      <w:r>
        <w:rPr>
          <w:rFonts w:hint="eastAsia" w:ascii="仿宋" w:hAnsi="仿宋" w:eastAsia="仿宋"/>
          <w:sz w:val="28"/>
          <w:szCs w:val="28"/>
        </w:rPr>
        <w:t xml:space="preserve">东方国际集装箱（广州）有限公司      </w:t>
      </w:r>
    </w:p>
    <w:p>
      <w:pPr>
        <w:spacing w:line="500" w:lineRule="exact"/>
        <w:ind w:firstLine="150" w:firstLineChars="50"/>
        <w:rPr>
          <w:rFonts w:ascii="仿宋" w:hAnsi="仿宋" w:eastAsia="仿宋"/>
          <w:sz w:val="30"/>
          <w:szCs w:val="30"/>
        </w:rPr>
      </w:pPr>
      <w:r>
        <w:rPr>
          <w:rFonts w:hint="eastAsia" w:ascii="仿宋" w:hAnsi="仿宋" w:eastAsia="仿宋"/>
          <w:sz w:val="30"/>
          <w:szCs w:val="30"/>
        </w:rPr>
        <w:t>法定代表人：                  法定代表人：</w:t>
      </w:r>
    </w:p>
    <w:p>
      <w:pPr>
        <w:spacing w:line="600" w:lineRule="exact"/>
        <w:ind w:firstLine="150" w:firstLineChars="50"/>
        <w:rPr>
          <w:rFonts w:ascii="仿宋" w:hAnsi="仿宋" w:eastAsia="仿宋"/>
          <w:sz w:val="30"/>
          <w:szCs w:val="30"/>
        </w:rPr>
      </w:pPr>
      <w:r>
        <w:rPr>
          <w:rFonts w:hint="eastAsia" w:ascii="仿宋" w:hAnsi="仿宋" w:eastAsia="仿宋"/>
          <w:sz w:val="30"/>
          <w:szCs w:val="30"/>
        </w:rPr>
        <w:t>或委托代理人：                或委托代理人：</w:t>
      </w:r>
    </w:p>
    <w:p>
      <w:pPr>
        <w:spacing w:line="500" w:lineRule="exact"/>
        <w:ind w:firstLine="1350" w:firstLineChars="450"/>
        <w:rPr>
          <w:rFonts w:ascii="仿宋" w:hAnsi="仿宋" w:eastAsia="仿宋"/>
          <w:sz w:val="30"/>
          <w:szCs w:val="30"/>
        </w:rPr>
      </w:pPr>
      <w:r>
        <w:rPr>
          <w:rFonts w:hint="eastAsia" w:ascii="仿宋" w:hAnsi="仿宋" w:eastAsia="仿宋"/>
          <w:sz w:val="30"/>
          <w:szCs w:val="30"/>
        </w:rPr>
        <w:t>年  月   日                     年  月   日</w:t>
      </w:r>
    </w:p>
    <w:p>
      <w:pPr>
        <w:spacing w:line="500" w:lineRule="exact"/>
        <w:ind w:firstLine="900" w:firstLineChars="300"/>
        <w:rPr>
          <w:rFonts w:ascii="仿宋" w:hAnsi="仿宋" w:eastAsia="仿宋"/>
          <w:sz w:val="30"/>
          <w:szCs w:val="30"/>
        </w:rPr>
      </w:pPr>
    </w:p>
    <w:p/>
    <w:p>
      <w:pPr>
        <w:pStyle w:val="31"/>
        <w:spacing w:line="440" w:lineRule="exact"/>
        <w:ind w:left="2800"/>
        <w:rPr>
          <w:rFonts w:asciiTheme="majorEastAsia" w:hAnsiTheme="majorEastAsia" w:eastAsiaTheme="majorEastAsia"/>
        </w:rPr>
      </w:pPr>
    </w:p>
    <w:p>
      <w:pPr>
        <w:pStyle w:val="4"/>
        <w:rPr>
          <w:color w:val="auto"/>
        </w:rPr>
      </w:pPr>
    </w:p>
    <w:p>
      <w:pPr>
        <w:pStyle w:val="4"/>
        <w:rPr>
          <w:color w:val="auto"/>
        </w:rPr>
      </w:pPr>
    </w:p>
    <w:p>
      <w:pPr>
        <w:pStyle w:val="4"/>
        <w:rPr>
          <w:color w:val="auto"/>
        </w:rPr>
      </w:pPr>
    </w:p>
    <w:p>
      <w:pPr>
        <w:pStyle w:val="4"/>
        <w:rPr>
          <w:color w:val="auto"/>
        </w:rPr>
      </w:pPr>
    </w:p>
    <w:p>
      <w:pPr>
        <w:rPr>
          <w:rFonts w:ascii="宋体" w:hAnsi="宋体"/>
          <w:b/>
          <w:bCs/>
          <w:sz w:val="44"/>
          <w:szCs w:val="44"/>
        </w:rPr>
      </w:pPr>
      <w:r>
        <w:br w:type="page"/>
      </w:r>
    </w:p>
    <w:p>
      <w:pPr>
        <w:pStyle w:val="4"/>
        <w:rPr>
          <w:color w:val="auto"/>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rPr>
          <w:color w:val="auto"/>
        </w:rPr>
      </w:pPr>
      <w:bookmarkStart w:id="346" w:name="_Toc24857_WPSOffice_Level1"/>
      <w:bookmarkStart w:id="347" w:name="_Toc1444"/>
      <w:r>
        <w:rPr>
          <w:rFonts w:hint="eastAsia"/>
          <w:color w:val="auto"/>
        </w:rPr>
        <w:t xml:space="preserve">第四章  </w:t>
      </w:r>
      <w:bookmarkStart w:id="348" w:name="_Hlt19957509"/>
      <w:bookmarkEnd w:id="348"/>
      <w:r>
        <w:rPr>
          <w:rFonts w:hint="eastAsia"/>
          <w:color w:val="auto"/>
        </w:rPr>
        <w:t>工程建设标准</w:t>
      </w:r>
      <w:bookmarkEnd w:id="336"/>
      <w:bookmarkEnd w:id="337"/>
      <w:bookmarkEnd w:id="338"/>
      <w:bookmarkEnd w:id="339"/>
      <w:bookmarkEnd w:id="340"/>
      <w:bookmarkEnd w:id="341"/>
      <w:bookmarkEnd w:id="342"/>
      <w:bookmarkEnd w:id="343"/>
      <w:bookmarkEnd w:id="346"/>
      <w:bookmarkEnd w:id="347"/>
    </w:p>
    <w:p>
      <w:pPr>
        <w:spacing w:line="360" w:lineRule="auto"/>
        <w:jc w:val="center"/>
        <w:rPr>
          <w:rFonts w:ascii="宋体" w:hAnsi="宋体"/>
          <w:sz w:val="21"/>
        </w:rPr>
      </w:pPr>
      <w:r>
        <w:br w:type="page"/>
      </w:r>
      <w:bookmarkStart w:id="349" w:name="_Hlt20587036"/>
      <w:bookmarkEnd w:id="349"/>
    </w:p>
    <w:p>
      <w:pPr>
        <w:pStyle w:val="439"/>
      </w:pPr>
      <w:bookmarkStart w:id="350" w:name="_Hlt20217066"/>
      <w:bookmarkEnd w:id="350"/>
      <w:bookmarkStart w:id="351" w:name="_Toc10749_WPSOffice_Level2"/>
      <w:bookmarkStart w:id="352" w:name="_Toc429827763"/>
      <w:r>
        <w:rPr>
          <w:rFonts w:hint="eastAsia"/>
        </w:rPr>
        <w:t>工程建设标准说明</w:t>
      </w:r>
      <w:bookmarkEnd w:id="351"/>
      <w:bookmarkEnd w:id="352"/>
    </w:p>
    <w:p>
      <w:pPr>
        <w:spacing w:line="360" w:lineRule="auto"/>
        <w:rPr>
          <w:rFonts w:ascii="宋体" w:hAnsi="宋体"/>
          <w:sz w:val="21"/>
          <w:szCs w:val="21"/>
        </w:rPr>
      </w:pPr>
      <w:r>
        <w:rPr>
          <w:rFonts w:hint="eastAsia" w:ascii="宋体" w:hAnsi="宋体"/>
          <w:sz w:val="21"/>
        </w:rPr>
        <w:t>以中华人民共和国现行技术和验收规范、图纸中规定的其它技术和验收标准、遵照招标人相关规定要求为准。</w:t>
      </w:r>
    </w:p>
    <w:p>
      <w:pPr>
        <w:spacing w:line="360" w:lineRule="auto"/>
        <w:ind w:left="1340"/>
        <w:rPr>
          <w:rFonts w:ascii="宋体" w:hAnsi="宋体"/>
          <w:sz w:val="21"/>
        </w:rPr>
      </w:pPr>
      <w:r>
        <w:rPr>
          <w:rFonts w:ascii="宋体" w:hAnsi="宋体"/>
          <w:sz w:val="21"/>
        </w:rPr>
        <w:br w:type="page"/>
      </w: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353" w:name="_Toc26805669"/>
      <w:bookmarkStart w:id="354" w:name="_Toc26801082"/>
      <w:bookmarkStart w:id="355" w:name="_Toc26800776"/>
      <w:bookmarkStart w:id="356" w:name="_Toc26800965"/>
      <w:bookmarkStart w:id="357" w:name="_Toc26800847"/>
      <w:bookmarkStart w:id="358" w:name="_Toc777779"/>
      <w:bookmarkStart w:id="359" w:name="_Toc3272_WPSOffice_Level1"/>
      <w:bookmarkStart w:id="360" w:name="_Toc429827764"/>
      <w:bookmarkStart w:id="361" w:name="_Toc276925319"/>
      <w:bookmarkStart w:id="362" w:name="_Toc13851"/>
      <w:r>
        <w:rPr>
          <w:rFonts w:hint="eastAsia"/>
          <w:color w:val="auto"/>
        </w:rPr>
        <w:t xml:space="preserve">第五章  </w:t>
      </w:r>
      <w:bookmarkStart w:id="363" w:name="_Hlt19957511"/>
      <w:bookmarkEnd w:id="363"/>
      <w:r>
        <w:rPr>
          <w:rFonts w:hint="eastAsia"/>
          <w:color w:val="auto"/>
        </w:rPr>
        <w:t>图</w:t>
      </w:r>
      <w:bookmarkStart w:id="364" w:name="_Hlt19963560"/>
      <w:bookmarkEnd w:id="364"/>
      <w:r>
        <w:rPr>
          <w:rFonts w:hint="eastAsia"/>
          <w:color w:val="auto"/>
        </w:rPr>
        <w:t>纸</w:t>
      </w:r>
      <w:bookmarkEnd w:id="353"/>
      <w:bookmarkEnd w:id="354"/>
      <w:bookmarkEnd w:id="355"/>
      <w:bookmarkEnd w:id="356"/>
      <w:bookmarkEnd w:id="357"/>
      <w:r>
        <w:rPr>
          <w:rFonts w:hint="eastAsia"/>
          <w:color w:val="auto"/>
        </w:rPr>
        <w:t>、工程量清单</w:t>
      </w:r>
      <w:bookmarkEnd w:id="358"/>
      <w:bookmarkEnd w:id="359"/>
      <w:bookmarkEnd w:id="360"/>
      <w:bookmarkEnd w:id="361"/>
      <w:bookmarkEnd w:id="362"/>
    </w:p>
    <w:p>
      <w:pPr>
        <w:spacing w:line="360" w:lineRule="auto"/>
        <w:rPr>
          <w:rFonts w:ascii="宋体" w:hAnsi="宋体"/>
          <w:sz w:val="36"/>
          <w:szCs w:val="36"/>
        </w:rPr>
      </w:pPr>
      <w:r>
        <w:rPr>
          <w:rFonts w:ascii="宋体" w:hAnsi="宋体"/>
          <w:sz w:val="21"/>
        </w:rPr>
        <w:br w:type="page"/>
      </w:r>
      <w:r>
        <w:rPr>
          <w:rFonts w:hint="eastAsia" w:ascii="宋体" w:hAnsi="宋体"/>
          <w:sz w:val="36"/>
          <w:szCs w:val="36"/>
        </w:rPr>
        <w:t>1、图纸（另册）</w:t>
      </w:r>
    </w:p>
    <w:p>
      <w:pPr>
        <w:spacing w:line="360" w:lineRule="auto"/>
        <w:rPr>
          <w:rFonts w:ascii="宋体" w:hAnsi="宋体"/>
          <w:sz w:val="36"/>
          <w:szCs w:val="36"/>
        </w:rPr>
      </w:pPr>
      <w:bookmarkStart w:id="365" w:name="_Hlt19957513"/>
      <w:bookmarkEnd w:id="365"/>
      <w:bookmarkStart w:id="366" w:name="_Hlt19963562"/>
      <w:bookmarkEnd w:id="366"/>
      <w:r>
        <w:rPr>
          <w:rFonts w:hint="eastAsia" w:ascii="宋体" w:hAnsi="宋体"/>
          <w:sz w:val="36"/>
          <w:szCs w:val="36"/>
        </w:rPr>
        <w:t>2、工程量清单（另册）</w:t>
      </w: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rPr>
          <w:rFonts w:ascii="宋体" w:hAnsi="宋体"/>
          <w:sz w:val="36"/>
          <w:szCs w:val="36"/>
        </w:rPr>
      </w:pPr>
    </w:p>
    <w:p>
      <w:pPr>
        <w:spacing w:line="360" w:lineRule="auto"/>
        <w:ind w:left="321" w:hanging="321" w:hangingChars="153"/>
        <w:jc w:val="both"/>
        <w:rPr>
          <w:rFonts w:ascii="宋体" w:hAnsi="宋体"/>
          <w:sz w:val="21"/>
          <w:szCs w:val="22"/>
        </w:rPr>
      </w:pPr>
    </w:p>
    <w:p>
      <w:pPr>
        <w:spacing w:line="360" w:lineRule="auto"/>
        <w:ind w:left="321" w:hanging="321" w:hangingChars="153"/>
        <w:jc w:val="both"/>
        <w:rPr>
          <w:rFonts w:ascii="宋体" w:hAnsi="宋体"/>
          <w:sz w:val="21"/>
          <w:szCs w:val="22"/>
        </w:rPr>
      </w:pPr>
    </w:p>
    <w:p>
      <w:pPr>
        <w:widowControl w:val="0"/>
        <w:snapToGrid w:val="0"/>
        <w:jc w:val="center"/>
        <w:rPr>
          <w:rFonts w:eastAsia="长城新魏碑体" w:cs="长城新魏碑体"/>
          <w:b/>
          <w:bCs/>
          <w:kern w:val="56"/>
          <w:position w:val="6"/>
          <w:sz w:val="36"/>
          <w:szCs w:val="36"/>
        </w:rPr>
      </w:pPr>
    </w:p>
    <w:p>
      <w:pPr>
        <w:adjustRightInd w:val="0"/>
        <w:snapToGrid w:val="0"/>
        <w:spacing w:line="360" w:lineRule="auto"/>
        <w:ind w:left="851" w:hanging="851"/>
        <w:jc w:val="center"/>
        <w:rPr>
          <w:rFonts w:ascii="宋体" w:hAnsi="宋体"/>
          <w:b/>
          <w:sz w:val="24"/>
          <w:szCs w:val="24"/>
        </w:rPr>
      </w:pPr>
    </w:p>
    <w:p>
      <w:pPr>
        <w:adjustRightInd w:val="0"/>
        <w:snapToGrid w:val="0"/>
        <w:spacing w:line="360" w:lineRule="auto"/>
        <w:ind w:left="851" w:hanging="851"/>
        <w:jc w:val="center"/>
        <w:rPr>
          <w:rFonts w:ascii="宋体" w:hAnsi="宋体"/>
          <w:b/>
          <w:sz w:val="24"/>
          <w:szCs w:val="24"/>
        </w:rPr>
      </w:pPr>
    </w:p>
    <w:p>
      <w:pPr>
        <w:widowControl w:val="0"/>
        <w:snapToGrid w:val="0"/>
        <w:jc w:val="center"/>
        <w:rPr>
          <w:rFonts w:eastAsia="长城新魏碑体" w:cs="长城新魏碑体"/>
          <w:b/>
          <w:bCs/>
          <w:kern w:val="56"/>
          <w:position w:val="6"/>
          <w:sz w:val="36"/>
          <w:szCs w:val="36"/>
        </w:rPr>
      </w:pPr>
    </w:p>
    <w:p>
      <w:pPr>
        <w:widowControl w:val="0"/>
        <w:snapToGrid w:val="0"/>
        <w:jc w:val="center"/>
        <w:rPr>
          <w:rFonts w:eastAsia="长城新魏碑体" w:cs="长城新魏碑体"/>
          <w:b/>
          <w:bCs/>
          <w:kern w:val="56"/>
          <w:position w:val="6"/>
          <w:sz w:val="36"/>
          <w:szCs w:val="36"/>
        </w:rPr>
      </w:pPr>
    </w:p>
    <w:p>
      <w:pPr>
        <w:widowControl w:val="0"/>
        <w:snapToGrid w:val="0"/>
        <w:jc w:val="center"/>
        <w:rPr>
          <w:rFonts w:eastAsia="长城新魏碑体" w:cs="长城新魏碑体"/>
          <w:b/>
          <w:bCs/>
          <w:kern w:val="56"/>
          <w:position w:val="6"/>
          <w:sz w:val="36"/>
          <w:szCs w:val="36"/>
        </w:rPr>
      </w:pPr>
    </w:p>
    <w:p>
      <w:pPr>
        <w:pStyle w:val="4"/>
        <w:rPr>
          <w:color w:val="auto"/>
        </w:rPr>
      </w:pPr>
      <w:bookmarkStart w:id="367" w:name="_Hlt19963565"/>
      <w:bookmarkEnd w:id="367"/>
      <w:bookmarkStart w:id="368" w:name="_Hlt28137953"/>
      <w:bookmarkEnd w:id="368"/>
      <w:bookmarkStart w:id="369" w:name="_Toc276925320"/>
      <w:bookmarkStart w:id="370" w:name="_Toc26800849"/>
      <w:bookmarkStart w:id="371" w:name="_Toc26801084"/>
      <w:bookmarkStart w:id="372" w:name="_Toc429827765"/>
      <w:bookmarkStart w:id="373" w:name="_Toc26805671"/>
      <w:bookmarkStart w:id="374" w:name="_Toc26800778"/>
      <w:bookmarkStart w:id="375" w:name="_Toc26800967"/>
    </w:p>
    <w:p>
      <w:pPr>
        <w:pStyle w:val="4"/>
        <w:rPr>
          <w:color w:val="auto"/>
        </w:rPr>
      </w:pPr>
    </w:p>
    <w:p>
      <w:pPr>
        <w:pStyle w:val="4"/>
        <w:rPr>
          <w:color w:val="auto"/>
        </w:rPr>
      </w:pPr>
    </w:p>
    <w:p>
      <w:pPr>
        <w:pStyle w:val="4"/>
        <w:rPr>
          <w:color w:val="auto"/>
        </w:rPr>
      </w:pPr>
      <w:bookmarkStart w:id="376" w:name="_Toc135"/>
      <w:bookmarkStart w:id="377" w:name="_Toc18371_WPSOffice_Level1"/>
      <w:bookmarkStart w:id="378" w:name="_Toc777810"/>
      <w:r>
        <w:rPr>
          <w:rFonts w:hint="eastAsia"/>
          <w:color w:val="auto"/>
        </w:rPr>
        <w:t>第</w:t>
      </w:r>
      <w:bookmarkStart w:id="379" w:name="_Hlt28137948"/>
      <w:bookmarkEnd w:id="379"/>
      <w:r>
        <w:rPr>
          <w:rFonts w:hint="eastAsia"/>
          <w:color w:val="auto"/>
        </w:rPr>
        <w:t xml:space="preserve">六章  </w:t>
      </w:r>
      <w:bookmarkStart w:id="380" w:name="_Hlt19957515"/>
      <w:bookmarkEnd w:id="380"/>
      <w:r>
        <w:rPr>
          <w:rFonts w:hint="eastAsia"/>
          <w:color w:val="auto"/>
        </w:rPr>
        <w:t>投标函格式</w:t>
      </w:r>
      <w:bookmarkEnd w:id="369"/>
      <w:bookmarkEnd w:id="370"/>
      <w:bookmarkEnd w:id="371"/>
      <w:bookmarkEnd w:id="372"/>
      <w:bookmarkEnd w:id="373"/>
      <w:bookmarkEnd w:id="374"/>
      <w:bookmarkEnd w:id="375"/>
      <w:bookmarkEnd w:id="376"/>
      <w:bookmarkEnd w:id="377"/>
      <w:bookmarkEnd w:id="378"/>
    </w:p>
    <w:p>
      <w:r>
        <w:br w:type="page"/>
      </w:r>
      <w:bookmarkStart w:id="381" w:name="_Toc26800779"/>
      <w:bookmarkStart w:id="382" w:name="_Toc26805672"/>
      <w:bookmarkStart w:id="383" w:name="_Toc26801085"/>
      <w:bookmarkStart w:id="384" w:name="_Toc26800850"/>
      <w:bookmarkStart w:id="385" w:name="_Toc26800968"/>
    </w:p>
    <w:p>
      <w:pPr>
        <w:pStyle w:val="6"/>
        <w:numPr>
          <w:ilvl w:val="0"/>
          <w:numId w:val="0"/>
        </w:numPr>
        <w:spacing w:before="0" w:after="0" w:line="360" w:lineRule="auto"/>
        <w:rPr>
          <w:rFonts w:ascii="宋体" w:hAnsi="宋体"/>
          <w:b w:val="0"/>
        </w:rPr>
      </w:pPr>
      <w:bookmarkStart w:id="386" w:name="_Toc26801087"/>
      <w:bookmarkStart w:id="387" w:name="_Toc5243"/>
      <w:bookmarkStart w:id="388" w:name="_Toc26805674"/>
      <w:bookmarkStart w:id="389" w:name="_Toc429827766"/>
      <w:bookmarkStart w:id="390" w:name="_Toc26800970"/>
      <w:bookmarkStart w:id="391" w:name="_Toc26800781"/>
      <w:bookmarkStart w:id="392" w:name="_Toc26800852"/>
      <w:bookmarkStart w:id="393" w:name="_Toc276925321"/>
      <w:r>
        <w:rPr>
          <w:rFonts w:hint="eastAsia" w:ascii="宋体" w:hAnsi="宋体"/>
          <w:b w:val="0"/>
        </w:rPr>
        <w:t>一、投 标 函</w:t>
      </w:r>
      <w:bookmarkEnd w:id="386"/>
      <w:bookmarkEnd w:id="387"/>
      <w:bookmarkEnd w:id="388"/>
      <w:bookmarkEnd w:id="389"/>
      <w:bookmarkEnd w:id="390"/>
      <w:bookmarkEnd w:id="391"/>
      <w:bookmarkEnd w:id="392"/>
      <w:bookmarkEnd w:id="393"/>
    </w:p>
    <w:p>
      <w:pPr>
        <w:widowControl w:val="0"/>
        <w:spacing w:line="360" w:lineRule="auto"/>
        <w:jc w:val="both"/>
        <w:rPr>
          <w:rFonts w:ascii="宋体" w:hAnsi="宋体"/>
          <w:sz w:val="21"/>
          <w:u w:val="single"/>
        </w:rPr>
      </w:pPr>
      <w:r>
        <w:rPr>
          <w:rFonts w:hint="eastAsia" w:ascii="宋体" w:hAnsi="宋体"/>
          <w:sz w:val="21"/>
        </w:rPr>
        <w:t>致：</w:t>
      </w:r>
      <w:r>
        <w:rPr>
          <w:rFonts w:ascii="宋体" w:hAnsi="宋体"/>
          <w:sz w:val="21"/>
          <w:u w:val="single"/>
        </w:rPr>
        <w:t xml:space="preserve">   </w:t>
      </w:r>
      <w:r>
        <w:rPr>
          <w:rFonts w:hint="eastAsia" w:ascii="宋体" w:hAnsi="宋体"/>
          <w:sz w:val="21"/>
          <w:u w:val="single"/>
        </w:rPr>
        <w:t xml:space="preserve">（招标人名称）     </w:t>
      </w:r>
      <w:r>
        <w:rPr>
          <w:rFonts w:ascii="宋体" w:hAnsi="宋体"/>
          <w:sz w:val="21"/>
          <w:u w:val="single"/>
        </w:rPr>
        <w:t xml:space="preserve">   </w:t>
      </w:r>
      <w:r>
        <w:rPr>
          <w:rFonts w:hint="eastAsia" w:ascii="宋体" w:hAnsi="宋体"/>
          <w:sz w:val="21"/>
        </w:rPr>
        <w:t>.</w:t>
      </w:r>
    </w:p>
    <w:p>
      <w:pPr>
        <w:widowControl w:val="0"/>
        <w:tabs>
          <w:tab w:val="left" w:pos="7560"/>
        </w:tabs>
        <w:spacing w:line="360" w:lineRule="auto"/>
        <w:ind w:firstLine="490"/>
        <w:jc w:val="both"/>
        <w:rPr>
          <w:rFonts w:ascii="宋体" w:hAnsi="宋体"/>
          <w:sz w:val="21"/>
        </w:rPr>
      </w:pPr>
      <w:r>
        <w:rPr>
          <w:rFonts w:hint="eastAsia" w:ascii="宋体" w:hAnsi="宋体"/>
          <w:sz w:val="21"/>
        </w:rPr>
        <w:t>1、根据你方项的</w:t>
      </w:r>
      <w:r>
        <w:rPr>
          <w:rFonts w:hint="eastAsia" w:ascii="宋体" w:hAnsi="宋体"/>
          <w:sz w:val="21"/>
          <w:u w:val="single"/>
        </w:rPr>
        <w:t xml:space="preserve">   （项目名称）    </w:t>
      </w:r>
      <w:r>
        <w:rPr>
          <w:rFonts w:hint="eastAsia" w:ascii="宋体" w:hAnsi="宋体"/>
          <w:sz w:val="21"/>
        </w:rPr>
        <w:t>项目招标文件，遵照《中华人民共和国招标投标法》等有关规定，经踏勘项目现场和研究上述招标文件的投标须知、合同条款、图纸、工程量清单、工程建设标准及其他有关文件后，我方愿以人民币</w:t>
      </w:r>
      <w:r>
        <w:rPr>
          <w:rFonts w:hint="eastAsia" w:ascii="宋体" w:hAnsi="宋体"/>
          <w:sz w:val="21"/>
          <w:u w:val="single"/>
        </w:rPr>
        <w:t xml:space="preserve">    （大写）</w:t>
      </w:r>
      <w:r>
        <w:rPr>
          <w:rFonts w:hint="eastAsia" w:ascii="宋体" w:hAnsi="宋体"/>
          <w:sz w:val="21"/>
        </w:rPr>
        <w:t>元（</w:t>
      </w:r>
      <w:r>
        <w:rPr>
          <w:rFonts w:hint="eastAsia" w:ascii="宋体" w:hAnsi="宋体"/>
          <w:sz w:val="21"/>
          <w:u w:val="single"/>
        </w:rPr>
        <w:t xml:space="preserve">小写金额    </w:t>
      </w:r>
      <w:r>
        <w:rPr>
          <w:rFonts w:hint="eastAsia" w:ascii="宋体" w:hAnsi="宋体"/>
          <w:sz w:val="21"/>
        </w:rPr>
        <w:t>元）的投标报价并按上述图纸、工程量清单、合同条款、工程建设标准要求承包上述工程的施工、竣工，并承担任何质量缺陷保修责任。本项目拟派项目负责人为______。</w:t>
      </w:r>
    </w:p>
    <w:p>
      <w:pPr>
        <w:widowControl w:val="0"/>
        <w:spacing w:line="360" w:lineRule="auto"/>
        <w:ind w:firstLine="490"/>
        <w:jc w:val="both"/>
        <w:rPr>
          <w:rFonts w:ascii="宋体" w:hAnsi="宋体"/>
          <w:sz w:val="21"/>
        </w:rPr>
      </w:pPr>
      <w:r>
        <w:rPr>
          <w:rFonts w:hint="eastAsia" w:ascii="宋体" w:hAnsi="宋体"/>
          <w:sz w:val="21"/>
        </w:rPr>
        <w:t>2、我方已详细审核全部招标文件，包括修改文件（如有时）及有关附件。</w:t>
      </w:r>
    </w:p>
    <w:p>
      <w:pPr>
        <w:widowControl w:val="0"/>
        <w:spacing w:line="360" w:lineRule="auto"/>
        <w:ind w:firstLine="490"/>
        <w:jc w:val="both"/>
        <w:rPr>
          <w:rFonts w:ascii="宋体" w:hAnsi="宋体"/>
          <w:sz w:val="21"/>
        </w:rPr>
      </w:pPr>
      <w:r>
        <w:rPr>
          <w:rFonts w:hint="eastAsia" w:ascii="宋体" w:hAnsi="宋体"/>
          <w:sz w:val="21"/>
        </w:rPr>
        <w:t>3、我公司承诺的工程质量为:</w:t>
      </w:r>
      <w:r>
        <w:rPr>
          <w:rFonts w:hint="eastAsia" w:ascii="宋体" w:hAnsi="宋体"/>
          <w:sz w:val="21"/>
          <w:u w:val="single"/>
        </w:rPr>
        <w:t xml:space="preserve"> 通过国家工程质量验收标准（合格）。</w:t>
      </w:r>
      <w:r>
        <w:rPr>
          <w:rFonts w:hint="eastAsia" w:ascii="宋体" w:hAnsi="宋体"/>
          <w:sz w:val="21"/>
        </w:rPr>
        <w:t xml:space="preserve">               </w:t>
      </w:r>
    </w:p>
    <w:p>
      <w:pPr>
        <w:widowControl w:val="0"/>
        <w:spacing w:line="360" w:lineRule="auto"/>
        <w:ind w:firstLine="490"/>
        <w:jc w:val="both"/>
        <w:rPr>
          <w:rFonts w:ascii="宋体" w:hAnsi="宋体"/>
          <w:sz w:val="21"/>
        </w:rPr>
      </w:pPr>
      <w:r>
        <w:rPr>
          <w:rFonts w:hint="eastAsia" w:ascii="宋体" w:hAnsi="宋体"/>
          <w:sz w:val="21"/>
        </w:rPr>
        <w:t>4、我公司承诺的工期为</w:t>
      </w:r>
      <w:r>
        <w:rPr>
          <w:rFonts w:hint="eastAsia" w:ascii="宋体" w:hAnsi="宋体"/>
          <w:sz w:val="21"/>
          <w:u w:val="single"/>
        </w:rPr>
        <w:t xml:space="preserve">    </w:t>
      </w:r>
      <w:r>
        <w:rPr>
          <w:rFonts w:hint="eastAsia" w:ascii="宋体" w:hAnsi="宋体"/>
          <w:sz w:val="21"/>
        </w:rPr>
        <w:t>日历天。</w:t>
      </w:r>
    </w:p>
    <w:p>
      <w:pPr>
        <w:widowControl w:val="0"/>
        <w:spacing w:line="360" w:lineRule="auto"/>
        <w:ind w:firstLine="490"/>
        <w:jc w:val="both"/>
        <w:rPr>
          <w:rFonts w:ascii="宋体" w:hAnsi="宋体"/>
          <w:sz w:val="21"/>
        </w:rPr>
      </w:pPr>
      <w:r>
        <w:rPr>
          <w:rFonts w:hint="eastAsia" w:ascii="宋体" w:hAnsi="宋体"/>
          <w:sz w:val="21"/>
        </w:rPr>
        <w:t>我方承认投标函附录是我方投标函的组成部分。</w:t>
      </w:r>
    </w:p>
    <w:p>
      <w:pPr>
        <w:widowControl w:val="0"/>
        <w:spacing w:line="360" w:lineRule="auto"/>
        <w:ind w:firstLine="490"/>
        <w:jc w:val="both"/>
        <w:rPr>
          <w:rFonts w:ascii="宋体" w:hAnsi="宋体"/>
          <w:sz w:val="21"/>
        </w:rPr>
      </w:pPr>
      <w:r>
        <w:rPr>
          <w:rFonts w:hint="eastAsia" w:ascii="宋体" w:hAnsi="宋体"/>
          <w:sz w:val="21"/>
        </w:rPr>
        <w:t>5、我方同意所提交的投标文件在“投标申请人投标须知”第15条规定的投标有效期内有效，在此期间内如果中标，我方将受此约束。</w:t>
      </w:r>
    </w:p>
    <w:p>
      <w:pPr>
        <w:widowControl w:val="0"/>
        <w:spacing w:line="360" w:lineRule="auto"/>
        <w:ind w:firstLine="490"/>
        <w:jc w:val="both"/>
        <w:rPr>
          <w:rFonts w:ascii="宋体" w:hAnsi="宋体"/>
          <w:sz w:val="21"/>
        </w:rPr>
      </w:pPr>
      <w:r>
        <w:rPr>
          <w:rFonts w:hint="eastAsia" w:ascii="宋体" w:hAnsi="宋体"/>
          <w:sz w:val="21"/>
        </w:rPr>
        <w:t>6、除非另外达成协议并生效，中标通知书和本投标文件将成为约束双方的合同文件的组成部分。</w:t>
      </w:r>
    </w:p>
    <w:p>
      <w:pPr>
        <w:widowControl w:val="0"/>
        <w:spacing w:line="360" w:lineRule="auto"/>
        <w:ind w:firstLine="490"/>
        <w:jc w:val="both"/>
        <w:rPr>
          <w:rFonts w:ascii="宋体" w:hAnsi="宋体"/>
          <w:sz w:val="21"/>
        </w:rPr>
      </w:pPr>
      <w:r>
        <w:rPr>
          <w:rFonts w:hint="eastAsia" w:ascii="宋体" w:hAnsi="宋体"/>
          <w:sz w:val="21"/>
        </w:rPr>
        <w:t>7、我方将与本投标函一起，提交金额为</w:t>
      </w:r>
      <w:r>
        <w:rPr>
          <w:rFonts w:hint="eastAsia" w:ascii="宋体" w:hAnsi="宋体"/>
          <w:sz w:val="21"/>
          <w:u w:val="single"/>
        </w:rPr>
        <w:t xml:space="preserve">             </w:t>
      </w:r>
      <w:r>
        <w:rPr>
          <w:rFonts w:hint="eastAsia" w:ascii="宋体" w:hAnsi="宋体"/>
          <w:sz w:val="21"/>
        </w:rPr>
        <w:t>元的</w:t>
      </w:r>
      <w:r>
        <w:rPr>
          <w:rFonts w:hint="eastAsia" w:ascii="宋体" w:hAnsi="宋体"/>
          <w:sz w:val="21"/>
          <w:u w:val="single"/>
        </w:rPr>
        <w:t xml:space="preserve">   （币种）   </w:t>
      </w:r>
      <w:r>
        <w:rPr>
          <w:rFonts w:hint="eastAsia" w:ascii="宋体" w:hAnsi="宋体"/>
          <w:sz w:val="21"/>
        </w:rPr>
        <w:t>作为投标担保。</w:t>
      </w:r>
    </w:p>
    <w:p>
      <w:pPr>
        <w:widowControl w:val="0"/>
        <w:spacing w:line="360" w:lineRule="auto"/>
        <w:rPr>
          <w:rFonts w:ascii="宋体" w:hAnsi="宋体"/>
          <w:sz w:val="21"/>
        </w:rPr>
      </w:pPr>
    </w:p>
    <w:p>
      <w:pPr>
        <w:widowControl w:val="0"/>
        <w:spacing w:line="360" w:lineRule="auto"/>
        <w:ind w:firstLine="490"/>
        <w:rPr>
          <w:rFonts w:ascii="宋体" w:hAnsi="宋体"/>
          <w:sz w:val="21"/>
          <w:u w:val="single"/>
        </w:rPr>
      </w:pPr>
      <w:r>
        <w:rPr>
          <w:rFonts w:hint="eastAsia" w:ascii="宋体" w:hAnsi="宋体"/>
          <w:sz w:val="21"/>
        </w:rPr>
        <w:t>投  标  人：</w:t>
      </w:r>
      <w:r>
        <w:rPr>
          <w:rFonts w:hint="eastAsia" w:ascii="宋体" w:hAnsi="宋体"/>
          <w:sz w:val="21"/>
          <w:u w:val="single"/>
        </w:rPr>
        <w:t xml:space="preserve">                                     （盖章）</w:t>
      </w:r>
    </w:p>
    <w:p>
      <w:pPr>
        <w:widowControl w:val="0"/>
        <w:spacing w:line="360" w:lineRule="auto"/>
        <w:ind w:firstLine="490"/>
        <w:rPr>
          <w:rFonts w:ascii="宋体" w:hAnsi="宋体"/>
          <w:sz w:val="21"/>
        </w:rPr>
      </w:pPr>
      <w:r>
        <w:rPr>
          <w:rFonts w:hint="eastAsia" w:ascii="宋体" w:hAnsi="宋体"/>
          <w:sz w:val="21"/>
        </w:rPr>
        <w:t>单位地址：_______________________________________________</w:t>
      </w:r>
    </w:p>
    <w:p>
      <w:pPr>
        <w:widowControl w:val="0"/>
        <w:spacing w:line="360" w:lineRule="auto"/>
        <w:ind w:firstLine="490"/>
        <w:rPr>
          <w:rFonts w:ascii="宋体" w:hAnsi="宋体"/>
          <w:sz w:val="21"/>
          <w:u w:val="single"/>
        </w:rPr>
      </w:pPr>
      <w:r>
        <w:rPr>
          <w:rFonts w:hint="eastAsia" w:ascii="宋体" w:hAnsi="宋体"/>
          <w:sz w:val="21"/>
        </w:rPr>
        <w:t>法定代表人或其委托代理人：</w:t>
      </w:r>
      <w:r>
        <w:rPr>
          <w:rFonts w:hint="eastAsia" w:ascii="宋体" w:hAnsi="宋体"/>
          <w:sz w:val="21"/>
          <w:u w:val="single"/>
        </w:rPr>
        <w:t xml:space="preserve">                 （签字或盖章）</w:t>
      </w:r>
    </w:p>
    <w:p>
      <w:pPr>
        <w:widowControl w:val="0"/>
        <w:spacing w:line="360" w:lineRule="auto"/>
        <w:ind w:firstLine="490"/>
        <w:rPr>
          <w:rFonts w:ascii="宋体" w:hAnsi="宋体"/>
          <w:sz w:val="21"/>
        </w:rPr>
      </w:pPr>
      <w:r>
        <w:rPr>
          <w:rFonts w:hint="eastAsia" w:ascii="宋体" w:hAnsi="宋体"/>
          <w:sz w:val="21"/>
        </w:rPr>
        <w:t>邮政编码：__________ 电  话：___________ 传  真：________</w:t>
      </w:r>
    </w:p>
    <w:p>
      <w:pPr>
        <w:widowControl w:val="0"/>
        <w:spacing w:line="360" w:lineRule="auto"/>
        <w:ind w:firstLine="490"/>
        <w:rPr>
          <w:rFonts w:ascii="宋体" w:hAnsi="宋体"/>
          <w:sz w:val="21"/>
        </w:rPr>
      </w:pPr>
      <w:r>
        <w:rPr>
          <w:rFonts w:hint="eastAsia" w:ascii="宋体" w:hAnsi="宋体"/>
          <w:sz w:val="21"/>
        </w:rPr>
        <w:t>开户银行名称：____________________________________________</w:t>
      </w:r>
    </w:p>
    <w:p>
      <w:pPr>
        <w:widowControl w:val="0"/>
        <w:spacing w:line="360" w:lineRule="auto"/>
        <w:ind w:firstLine="490"/>
        <w:rPr>
          <w:rFonts w:ascii="宋体" w:hAnsi="宋体"/>
          <w:sz w:val="21"/>
        </w:rPr>
      </w:pPr>
      <w:r>
        <w:rPr>
          <w:rFonts w:hint="eastAsia" w:ascii="宋体" w:hAnsi="宋体"/>
          <w:sz w:val="21"/>
        </w:rPr>
        <w:t>开户银行账号：____________________________________________</w:t>
      </w:r>
    </w:p>
    <w:p>
      <w:pPr>
        <w:widowControl w:val="0"/>
        <w:spacing w:line="360" w:lineRule="auto"/>
        <w:ind w:firstLine="490"/>
        <w:rPr>
          <w:rFonts w:ascii="宋体" w:hAnsi="宋体"/>
          <w:sz w:val="21"/>
        </w:rPr>
      </w:pPr>
      <w:r>
        <w:rPr>
          <w:rFonts w:hint="eastAsia" w:ascii="宋体" w:hAnsi="宋体"/>
          <w:sz w:val="21"/>
        </w:rPr>
        <w:t>开户银行地址：____________________________________________</w:t>
      </w:r>
    </w:p>
    <w:p>
      <w:pPr>
        <w:widowControl w:val="0"/>
        <w:spacing w:line="360" w:lineRule="auto"/>
        <w:ind w:firstLine="490"/>
        <w:rPr>
          <w:rFonts w:ascii="宋体" w:hAnsi="宋体"/>
          <w:sz w:val="21"/>
        </w:rPr>
      </w:pPr>
      <w:r>
        <w:rPr>
          <w:rFonts w:hint="eastAsia" w:ascii="宋体" w:hAnsi="宋体"/>
          <w:sz w:val="21"/>
        </w:rPr>
        <w:t>开户银行电话：____________________________________________</w:t>
      </w:r>
    </w:p>
    <w:p>
      <w:pPr>
        <w:widowControl w:val="0"/>
        <w:spacing w:line="360" w:lineRule="auto"/>
        <w:ind w:firstLine="490"/>
        <w:rPr>
          <w:rFonts w:ascii="宋体" w:hAnsi="宋体"/>
          <w:sz w:val="21"/>
        </w:rPr>
      </w:pPr>
      <w:r>
        <w:rPr>
          <w:rFonts w:hint="eastAsia" w:ascii="宋体" w:hAnsi="宋体"/>
          <w:sz w:val="21"/>
        </w:rPr>
        <w:t>日        期：_____年____月____日</w:t>
      </w:r>
    </w:p>
    <w:p>
      <w:pPr>
        <w:pStyle w:val="6"/>
        <w:keepNext w:val="0"/>
        <w:keepLines w:val="0"/>
        <w:widowControl w:val="0"/>
        <w:numPr>
          <w:ilvl w:val="0"/>
          <w:numId w:val="0"/>
        </w:numPr>
        <w:spacing w:before="0" w:after="0" w:line="360" w:lineRule="auto"/>
        <w:rPr>
          <w:rFonts w:ascii="宋体" w:hAnsi="宋体"/>
          <w:b w:val="0"/>
        </w:rPr>
        <w:sectPr>
          <w:footerReference r:id="rId6" w:type="default"/>
          <w:pgSz w:w="11907" w:h="16840"/>
          <w:pgMar w:top="1440" w:right="1797" w:bottom="1440" w:left="1797" w:header="851" w:footer="992" w:gutter="0"/>
          <w:pgNumType w:fmt="decimal"/>
          <w:cols w:space="720" w:num="1"/>
          <w:docGrid w:linePitch="312" w:charSpace="0"/>
        </w:sectPr>
      </w:pPr>
    </w:p>
    <w:bookmarkEnd w:id="381"/>
    <w:bookmarkEnd w:id="382"/>
    <w:bookmarkEnd w:id="383"/>
    <w:bookmarkEnd w:id="384"/>
    <w:bookmarkEnd w:id="385"/>
    <w:p>
      <w:pPr>
        <w:pStyle w:val="6"/>
        <w:numPr>
          <w:ilvl w:val="0"/>
          <w:numId w:val="0"/>
        </w:numPr>
        <w:spacing w:before="0" w:after="0" w:line="360" w:lineRule="auto"/>
        <w:rPr>
          <w:rFonts w:ascii="宋体" w:hAnsi="宋体"/>
          <w:b w:val="0"/>
        </w:rPr>
      </w:pPr>
      <w:bookmarkStart w:id="394" w:name="_Toc429827767"/>
      <w:bookmarkStart w:id="395" w:name="_Toc26800971"/>
      <w:bookmarkStart w:id="396" w:name="_Toc26800853"/>
      <w:bookmarkStart w:id="397" w:name="_Toc26805675"/>
      <w:bookmarkStart w:id="398" w:name="_Toc26801088"/>
      <w:bookmarkStart w:id="399" w:name="_Toc26800782"/>
      <w:bookmarkStart w:id="400" w:name="_Toc276925322"/>
      <w:bookmarkStart w:id="401" w:name="_Toc10976"/>
      <w:r>
        <w:rPr>
          <w:rFonts w:hint="eastAsia" w:ascii="宋体" w:hAnsi="宋体"/>
          <w:b w:val="0"/>
        </w:rPr>
        <w:t>二、投标函附录</w:t>
      </w:r>
      <w:bookmarkEnd w:id="394"/>
      <w:bookmarkEnd w:id="395"/>
      <w:bookmarkEnd w:id="396"/>
      <w:bookmarkEnd w:id="397"/>
      <w:bookmarkEnd w:id="398"/>
      <w:bookmarkEnd w:id="399"/>
      <w:bookmarkEnd w:id="400"/>
      <w:bookmarkEnd w:id="401"/>
    </w:p>
    <w:p>
      <w:pPr>
        <w:tabs>
          <w:tab w:val="left" w:pos="0"/>
        </w:tabs>
        <w:spacing w:line="360" w:lineRule="auto"/>
        <w:ind w:right="326"/>
        <w:jc w:val="center"/>
        <w:rPr>
          <w:rFonts w:ascii="宋体" w:hAnsi="宋体"/>
          <w:sz w:val="21"/>
        </w:rPr>
      </w:pPr>
      <w:bookmarkStart w:id="402" w:name="_Hlt30837365"/>
      <w:bookmarkEnd w:id="402"/>
      <w:bookmarkStart w:id="403" w:name="_Hlt30837358"/>
      <w:bookmarkEnd w:id="403"/>
    </w:p>
    <w:p>
      <w:pPr>
        <w:tabs>
          <w:tab w:val="left" w:pos="0"/>
        </w:tabs>
        <w:spacing w:line="360" w:lineRule="auto"/>
        <w:ind w:right="326"/>
        <w:jc w:val="center"/>
        <w:rPr>
          <w:rFonts w:ascii="宋体" w:hAnsi="宋体"/>
          <w:sz w:val="21"/>
        </w:rPr>
      </w:pPr>
      <w:r>
        <w:rPr>
          <w:rFonts w:hint="eastAsia" w:ascii="宋体" w:hAnsi="宋体"/>
          <w:sz w:val="21"/>
        </w:rPr>
        <w:t>工程投标报价汇总表</w:t>
      </w:r>
    </w:p>
    <w:p>
      <w:pPr>
        <w:spacing w:line="360" w:lineRule="auto"/>
        <w:rPr>
          <w:rFonts w:ascii="宋体" w:hAnsi="宋体"/>
          <w:sz w:val="21"/>
        </w:rPr>
      </w:pPr>
      <w:r>
        <w:rPr>
          <w:rFonts w:hint="eastAsia" w:ascii="宋体" w:hAnsi="宋体"/>
          <w:sz w:val="21"/>
        </w:rPr>
        <w:t>工程名称：___________________________________</w:t>
      </w:r>
    </w:p>
    <w:p>
      <w:pPr>
        <w:spacing w:line="360" w:lineRule="auto"/>
        <w:rPr>
          <w:rFonts w:ascii="宋体" w:hAnsi="宋体"/>
          <w:sz w:val="21"/>
        </w:rPr>
      </w:pPr>
    </w:p>
    <w:tbl>
      <w:tblPr>
        <w:tblStyle w:val="5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614"/>
        <w:gridCol w:w="274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序 号</w:t>
            </w:r>
          </w:p>
        </w:tc>
        <w:tc>
          <w:tcPr>
            <w:tcW w:w="3614" w:type="dxa"/>
            <w:vAlign w:val="center"/>
          </w:tcPr>
          <w:p>
            <w:pPr>
              <w:tabs>
                <w:tab w:val="left" w:pos="0"/>
              </w:tabs>
              <w:spacing w:line="360" w:lineRule="auto"/>
              <w:jc w:val="center"/>
              <w:rPr>
                <w:rFonts w:ascii="宋体" w:hAnsi="宋体"/>
                <w:sz w:val="21"/>
              </w:rPr>
            </w:pPr>
            <w:r>
              <w:rPr>
                <w:rFonts w:hint="eastAsia" w:ascii="宋体" w:hAnsi="宋体"/>
                <w:sz w:val="21"/>
              </w:rPr>
              <w:t>工程项目名称</w:t>
            </w:r>
          </w:p>
        </w:tc>
        <w:tc>
          <w:tcPr>
            <w:tcW w:w="2745" w:type="dxa"/>
            <w:vAlign w:val="center"/>
          </w:tcPr>
          <w:p>
            <w:pPr>
              <w:tabs>
                <w:tab w:val="left" w:pos="0"/>
              </w:tabs>
              <w:spacing w:line="360" w:lineRule="auto"/>
              <w:ind w:right="-283"/>
              <w:jc w:val="center"/>
              <w:rPr>
                <w:rFonts w:ascii="宋体" w:hAnsi="宋体"/>
                <w:sz w:val="21"/>
              </w:rPr>
            </w:pPr>
            <w:r>
              <w:rPr>
                <w:rFonts w:hint="eastAsia" w:ascii="宋体" w:hAnsi="宋体"/>
                <w:sz w:val="21"/>
              </w:rPr>
              <w:t>报  价（元）</w:t>
            </w:r>
          </w:p>
        </w:tc>
        <w:tc>
          <w:tcPr>
            <w:tcW w:w="1419" w:type="dxa"/>
            <w:vAlign w:val="center"/>
          </w:tcPr>
          <w:p>
            <w:pPr>
              <w:tabs>
                <w:tab w:val="left" w:pos="0"/>
              </w:tabs>
              <w:spacing w:line="360" w:lineRule="auto"/>
              <w:jc w:val="center"/>
              <w:rPr>
                <w:rFonts w:ascii="宋体" w:hAnsi="宋体"/>
                <w:sz w:val="21"/>
              </w:rPr>
            </w:pPr>
            <w:r>
              <w:rPr>
                <w:rFonts w:hint="eastAsia" w:ascii="宋体" w:hAnsi="宋体"/>
                <w:sz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1</w:t>
            </w:r>
          </w:p>
        </w:tc>
        <w:tc>
          <w:tcPr>
            <w:tcW w:w="3614" w:type="dxa"/>
            <w:vAlign w:val="center"/>
          </w:tcPr>
          <w:p>
            <w:pPr>
              <w:tabs>
                <w:tab w:val="left" w:pos="0"/>
              </w:tabs>
              <w:spacing w:line="360" w:lineRule="auto"/>
              <w:jc w:val="center"/>
              <w:rPr>
                <w:rFonts w:ascii="宋体" w:hAnsi="宋体"/>
                <w:sz w:val="21"/>
              </w:rPr>
            </w:pP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2</w:t>
            </w:r>
          </w:p>
        </w:tc>
        <w:tc>
          <w:tcPr>
            <w:tcW w:w="3614" w:type="dxa"/>
            <w:vAlign w:val="center"/>
          </w:tcPr>
          <w:p>
            <w:pPr>
              <w:tabs>
                <w:tab w:val="left" w:pos="0"/>
              </w:tabs>
              <w:spacing w:line="360" w:lineRule="auto"/>
              <w:jc w:val="center"/>
              <w:rPr>
                <w:rFonts w:ascii="宋体" w:hAnsi="宋体"/>
                <w:sz w:val="21"/>
              </w:rPr>
            </w:pP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3</w:t>
            </w:r>
          </w:p>
        </w:tc>
        <w:tc>
          <w:tcPr>
            <w:tcW w:w="3614" w:type="dxa"/>
            <w:vAlign w:val="center"/>
          </w:tcPr>
          <w:p>
            <w:pPr>
              <w:tabs>
                <w:tab w:val="left" w:pos="0"/>
              </w:tabs>
              <w:spacing w:line="360" w:lineRule="auto"/>
              <w:jc w:val="center"/>
              <w:rPr>
                <w:rFonts w:ascii="宋体" w:hAnsi="宋体"/>
                <w:sz w:val="21"/>
              </w:rPr>
            </w:pP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4</w:t>
            </w:r>
          </w:p>
        </w:tc>
        <w:tc>
          <w:tcPr>
            <w:tcW w:w="3614" w:type="dxa"/>
            <w:vAlign w:val="center"/>
          </w:tcPr>
          <w:p>
            <w:pPr>
              <w:tabs>
                <w:tab w:val="left" w:pos="0"/>
              </w:tabs>
              <w:spacing w:line="360" w:lineRule="auto"/>
              <w:jc w:val="center"/>
              <w:rPr>
                <w:rFonts w:ascii="宋体" w:hAnsi="宋体"/>
                <w:sz w:val="21"/>
              </w:rPr>
            </w:pP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5</w:t>
            </w:r>
          </w:p>
        </w:tc>
        <w:tc>
          <w:tcPr>
            <w:tcW w:w="3614" w:type="dxa"/>
            <w:vAlign w:val="center"/>
          </w:tcPr>
          <w:p>
            <w:pPr>
              <w:tabs>
                <w:tab w:val="left" w:pos="0"/>
              </w:tabs>
              <w:spacing w:line="360" w:lineRule="auto"/>
              <w:jc w:val="center"/>
              <w:rPr>
                <w:rFonts w:ascii="宋体" w:hAnsi="宋体"/>
                <w:sz w:val="21"/>
              </w:rPr>
            </w:pP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1" w:type="dxa"/>
            <w:vAlign w:val="center"/>
          </w:tcPr>
          <w:p>
            <w:pPr>
              <w:tabs>
                <w:tab w:val="left" w:pos="0"/>
              </w:tabs>
              <w:spacing w:line="360" w:lineRule="auto"/>
              <w:jc w:val="center"/>
              <w:rPr>
                <w:rFonts w:ascii="宋体" w:hAnsi="宋体"/>
                <w:sz w:val="21"/>
              </w:rPr>
            </w:pPr>
            <w:r>
              <w:rPr>
                <w:rFonts w:hint="eastAsia" w:ascii="宋体" w:hAnsi="宋体"/>
                <w:sz w:val="21"/>
              </w:rPr>
              <w:t>6</w:t>
            </w:r>
          </w:p>
        </w:tc>
        <w:tc>
          <w:tcPr>
            <w:tcW w:w="3614" w:type="dxa"/>
            <w:vAlign w:val="center"/>
          </w:tcPr>
          <w:p>
            <w:pPr>
              <w:tabs>
                <w:tab w:val="left" w:pos="0"/>
              </w:tabs>
              <w:spacing w:line="360" w:lineRule="auto"/>
              <w:jc w:val="center"/>
              <w:rPr>
                <w:rFonts w:ascii="宋体" w:hAnsi="宋体"/>
                <w:sz w:val="21"/>
              </w:rPr>
            </w:pPr>
            <w:r>
              <w:rPr>
                <w:rFonts w:hint="eastAsia" w:ascii="宋体" w:hAnsi="宋体"/>
                <w:sz w:val="21"/>
              </w:rPr>
              <w:t>．．．．．．</w:t>
            </w:r>
          </w:p>
        </w:tc>
        <w:tc>
          <w:tcPr>
            <w:tcW w:w="2745" w:type="dxa"/>
            <w:vAlign w:val="center"/>
          </w:tcPr>
          <w:p>
            <w:pPr>
              <w:tabs>
                <w:tab w:val="left" w:pos="0"/>
              </w:tabs>
              <w:spacing w:line="360" w:lineRule="auto"/>
              <w:jc w:val="center"/>
              <w:rPr>
                <w:rFonts w:ascii="宋体" w:hAnsi="宋体"/>
                <w:sz w:val="21"/>
              </w:rPr>
            </w:pPr>
          </w:p>
        </w:tc>
        <w:tc>
          <w:tcPr>
            <w:tcW w:w="1419" w:type="dxa"/>
            <w:vAlign w:val="center"/>
          </w:tcPr>
          <w:p>
            <w:pPr>
              <w:tabs>
                <w:tab w:val="left" w:pos="0"/>
              </w:tabs>
              <w:spacing w:line="360" w:lineRule="auto"/>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4365" w:type="dxa"/>
            <w:gridSpan w:val="2"/>
            <w:tcBorders>
              <w:bottom w:val="single" w:color="auto" w:sz="4" w:space="0"/>
            </w:tcBorders>
            <w:vAlign w:val="center"/>
          </w:tcPr>
          <w:p>
            <w:pPr>
              <w:tabs>
                <w:tab w:val="left" w:pos="0"/>
              </w:tabs>
              <w:spacing w:line="360" w:lineRule="auto"/>
              <w:jc w:val="center"/>
              <w:rPr>
                <w:rFonts w:ascii="宋体" w:hAnsi="宋体"/>
                <w:sz w:val="21"/>
              </w:rPr>
            </w:pPr>
            <w:r>
              <w:rPr>
                <w:rFonts w:hint="eastAsia" w:ascii="宋体" w:hAnsi="宋体"/>
                <w:sz w:val="21"/>
              </w:rPr>
              <w:t>总      计</w:t>
            </w:r>
          </w:p>
        </w:tc>
        <w:tc>
          <w:tcPr>
            <w:tcW w:w="2745" w:type="dxa"/>
            <w:tcBorders>
              <w:bottom w:val="single" w:color="auto" w:sz="4" w:space="0"/>
            </w:tcBorders>
            <w:vAlign w:val="center"/>
          </w:tcPr>
          <w:p>
            <w:pPr>
              <w:tabs>
                <w:tab w:val="left" w:pos="0"/>
              </w:tabs>
              <w:spacing w:line="360" w:lineRule="auto"/>
              <w:jc w:val="center"/>
              <w:rPr>
                <w:rFonts w:ascii="宋体" w:hAnsi="宋体"/>
                <w:sz w:val="21"/>
              </w:rPr>
            </w:pPr>
          </w:p>
        </w:tc>
        <w:tc>
          <w:tcPr>
            <w:tcW w:w="1419" w:type="dxa"/>
            <w:tcBorders>
              <w:bottom w:val="single" w:color="auto" w:sz="4" w:space="0"/>
            </w:tcBorders>
            <w:vAlign w:val="center"/>
          </w:tcPr>
          <w:p>
            <w:pPr>
              <w:tabs>
                <w:tab w:val="left" w:pos="0"/>
              </w:tabs>
              <w:spacing w:line="360" w:lineRule="auto"/>
              <w:jc w:val="center"/>
              <w:rPr>
                <w:rFonts w:ascii="宋体" w:hAnsi="宋体"/>
                <w:sz w:val="21"/>
              </w:rPr>
            </w:pPr>
            <w:r>
              <w:rPr>
                <w:rFonts w:hint="eastAsia" w:ascii="宋体" w:hAnsi="宋体"/>
                <w:sz w:val="21"/>
              </w:rPr>
              <w:t>应与投标函中的投标报价相一致</w:t>
            </w:r>
          </w:p>
        </w:tc>
      </w:tr>
    </w:tbl>
    <w:p>
      <w:pPr>
        <w:tabs>
          <w:tab w:val="left" w:pos="0"/>
        </w:tabs>
        <w:spacing w:line="360" w:lineRule="auto"/>
        <w:ind w:right="-212"/>
        <w:rPr>
          <w:rFonts w:ascii="宋体" w:hAnsi="宋体"/>
          <w:sz w:val="21"/>
        </w:rPr>
      </w:pPr>
      <w:r>
        <w:rPr>
          <w:rFonts w:hint="eastAsia" w:ascii="宋体" w:hAnsi="宋体"/>
          <w:sz w:val="21"/>
        </w:rPr>
        <w:t>2、投标人的报价包括但不限于完成该工程项目的直接费、间接费、利润、税金、开办费、技术措施费、</w:t>
      </w:r>
      <w:r>
        <w:rPr>
          <w:rFonts w:hint="eastAsia" w:ascii="宋体" w:cs="宋体"/>
          <w:sz w:val="21"/>
          <w:szCs w:val="21"/>
          <w:lang w:val="zh-CN"/>
        </w:rPr>
        <w:t xml:space="preserve">专项评审费 </w:t>
      </w:r>
      <w:r>
        <w:rPr>
          <w:rFonts w:hint="eastAsia" w:ascii="宋体" w:hAnsi="宋体"/>
          <w:sz w:val="21"/>
        </w:rPr>
        <w:t>、风险费、政策性文件规定费用等所有费用。</w:t>
      </w:r>
    </w:p>
    <w:p>
      <w:pPr>
        <w:tabs>
          <w:tab w:val="left" w:pos="0"/>
        </w:tabs>
        <w:spacing w:line="360" w:lineRule="auto"/>
        <w:ind w:right="-210"/>
        <w:rPr>
          <w:rFonts w:ascii="宋体" w:hAnsi="宋体"/>
          <w:sz w:val="21"/>
        </w:rPr>
      </w:pPr>
      <w:r>
        <w:rPr>
          <w:rFonts w:hint="eastAsia" w:ascii="宋体" w:hAnsi="宋体"/>
          <w:sz w:val="21"/>
        </w:rPr>
        <w:t>投标人：</w:t>
      </w:r>
      <w:r>
        <w:rPr>
          <w:rFonts w:hint="eastAsia" w:ascii="宋体" w:hAnsi="宋体"/>
          <w:sz w:val="21"/>
          <w:u w:val="single"/>
        </w:rPr>
        <w:t xml:space="preserve">                                     </w:t>
      </w:r>
      <w:r>
        <w:rPr>
          <w:rFonts w:hint="eastAsia" w:ascii="宋体" w:hAnsi="宋体"/>
          <w:sz w:val="21"/>
        </w:rPr>
        <w:t>（盖章）</w:t>
      </w:r>
    </w:p>
    <w:p>
      <w:pPr>
        <w:tabs>
          <w:tab w:val="left" w:pos="0"/>
        </w:tabs>
        <w:spacing w:line="360" w:lineRule="auto"/>
        <w:ind w:right="-210"/>
        <w:rPr>
          <w:rFonts w:ascii="宋体" w:hAnsi="宋体"/>
          <w:sz w:val="21"/>
        </w:rPr>
      </w:pPr>
      <w:r>
        <w:rPr>
          <w:rFonts w:hint="eastAsia" w:ascii="宋体" w:hAnsi="宋体"/>
          <w:sz w:val="21"/>
        </w:rPr>
        <w:t>法定代表人或委托代理人：</w:t>
      </w:r>
      <w:r>
        <w:rPr>
          <w:rFonts w:hint="eastAsia" w:ascii="宋体" w:hAnsi="宋体"/>
          <w:sz w:val="21"/>
          <w:u w:val="single"/>
        </w:rPr>
        <w:t xml:space="preserve">                </w:t>
      </w:r>
      <w:r>
        <w:rPr>
          <w:rFonts w:hint="eastAsia" w:ascii="宋体" w:hAnsi="宋体"/>
          <w:sz w:val="21"/>
        </w:rPr>
        <w:t>（签字或盖章）</w:t>
      </w:r>
    </w:p>
    <w:p>
      <w:pPr>
        <w:tabs>
          <w:tab w:val="left" w:pos="0"/>
        </w:tabs>
        <w:spacing w:line="360" w:lineRule="auto"/>
        <w:ind w:right="-210"/>
        <w:jc w:val="both"/>
        <w:rPr>
          <w:rFonts w:ascii="宋体" w:hAnsi="宋体"/>
          <w:sz w:val="21"/>
        </w:rPr>
      </w:pPr>
      <w:r>
        <w:rPr>
          <w:rFonts w:hint="eastAsia" w:ascii="宋体" w:hAnsi="宋体"/>
          <w:sz w:val="21"/>
        </w:rPr>
        <w:t>日期：</w:t>
      </w:r>
      <w:r>
        <w:rPr>
          <w:rFonts w:hint="eastAsia" w:ascii="宋体" w:hAnsi="宋体"/>
          <w:sz w:val="21"/>
          <w:u w:val="single"/>
        </w:rPr>
        <w:t xml:space="preserve">       </w:t>
      </w:r>
      <w:r>
        <w:rPr>
          <w:rFonts w:hint="eastAsia" w:ascii="宋体" w:hAnsi="宋体"/>
          <w:sz w:val="21"/>
        </w:rPr>
        <w:t>年</w:t>
      </w:r>
      <w:r>
        <w:rPr>
          <w:rFonts w:hint="eastAsia" w:ascii="宋体" w:hAnsi="宋体"/>
          <w:sz w:val="21"/>
          <w:u w:val="single"/>
        </w:rPr>
        <w:t xml:space="preserve">     </w:t>
      </w:r>
      <w:r>
        <w:rPr>
          <w:rFonts w:hint="eastAsia" w:ascii="宋体" w:hAnsi="宋体"/>
          <w:sz w:val="21"/>
        </w:rPr>
        <w:t xml:space="preserve"> 月</w:t>
      </w:r>
      <w:r>
        <w:rPr>
          <w:rFonts w:hint="eastAsia" w:ascii="宋体" w:hAnsi="宋体"/>
          <w:sz w:val="21"/>
          <w:u w:val="single"/>
        </w:rPr>
        <w:t xml:space="preserve">     </w:t>
      </w:r>
      <w:r>
        <w:rPr>
          <w:rFonts w:hint="eastAsia" w:ascii="宋体" w:hAnsi="宋体"/>
          <w:sz w:val="21"/>
        </w:rPr>
        <w:t>日</w:t>
      </w:r>
    </w:p>
    <w:p>
      <w:pPr>
        <w:tabs>
          <w:tab w:val="left" w:pos="0"/>
        </w:tabs>
        <w:spacing w:line="360" w:lineRule="auto"/>
        <w:ind w:right="326"/>
        <w:jc w:val="center"/>
        <w:rPr>
          <w:rFonts w:ascii="宋体" w:hAnsi="宋体"/>
          <w:sz w:val="21"/>
        </w:rPr>
      </w:pPr>
      <w:r>
        <w:rPr>
          <w:rFonts w:ascii="宋体" w:hAnsi="宋体"/>
          <w:sz w:val="21"/>
        </w:rPr>
        <w:br w:type="page"/>
      </w:r>
    </w:p>
    <w:p>
      <w:pPr>
        <w:pStyle w:val="6"/>
        <w:numPr>
          <w:ilvl w:val="0"/>
          <w:numId w:val="0"/>
        </w:numPr>
        <w:spacing w:before="0" w:after="0" w:line="360" w:lineRule="auto"/>
        <w:rPr>
          <w:rFonts w:ascii="宋体" w:hAnsi="宋体"/>
          <w:b w:val="0"/>
        </w:rPr>
      </w:pPr>
      <w:bookmarkStart w:id="404" w:name="_Toc4163_WPSOffice_Level2"/>
      <w:bookmarkStart w:id="405" w:name="_Toc429827768"/>
      <w:bookmarkStart w:id="406" w:name="_Toc11550"/>
      <w:bookmarkStart w:id="407" w:name="_Toc26801089"/>
      <w:bookmarkStart w:id="408" w:name="_Toc26800854"/>
      <w:bookmarkStart w:id="409" w:name="_Toc26800783"/>
      <w:bookmarkStart w:id="410" w:name="_Toc26800972"/>
      <w:bookmarkStart w:id="411" w:name="_Toc276925323"/>
      <w:bookmarkStart w:id="412" w:name="_Toc26805676"/>
      <w:r>
        <w:rPr>
          <w:rFonts w:hint="eastAsia" w:ascii="宋体" w:hAnsi="宋体"/>
          <w:b w:val="0"/>
        </w:rPr>
        <w:t>三、投标保证转账回执复印件</w:t>
      </w:r>
      <w:bookmarkEnd w:id="404"/>
      <w:bookmarkEnd w:id="405"/>
      <w:bookmarkEnd w:id="406"/>
      <w:r>
        <w:rPr>
          <w:rFonts w:hint="eastAsia" w:ascii="宋体" w:hAnsi="宋体"/>
          <w:b w:val="0"/>
        </w:rPr>
        <w:t>(如适用)</w:t>
      </w:r>
    </w:p>
    <w:p>
      <w:pPr>
        <w:pStyle w:val="5"/>
        <w:rPr>
          <w:sz w:val="24"/>
          <w:szCs w:val="24"/>
        </w:rPr>
      </w:pPr>
    </w:p>
    <w:p>
      <w:pPr>
        <w:pStyle w:val="5"/>
        <w:ind w:firstLine="0"/>
        <w:jc w:val="center"/>
        <w:rPr>
          <w:sz w:val="21"/>
          <w:szCs w:val="21"/>
        </w:rPr>
        <w:sectPr>
          <w:pgSz w:w="11907" w:h="16840"/>
          <w:pgMar w:top="1440" w:right="1797" w:bottom="1440" w:left="1797" w:header="851" w:footer="992" w:gutter="0"/>
          <w:pgNumType w:fmt="decimal"/>
          <w:cols w:space="720" w:num="1"/>
          <w:docGrid w:linePitch="312" w:charSpace="0"/>
        </w:sectPr>
      </w:pPr>
      <w:r>
        <w:rPr>
          <w:rFonts w:hint="eastAsia"/>
          <w:sz w:val="21"/>
          <w:szCs w:val="21"/>
        </w:rPr>
        <w:t>（附备注该项目名称的投标保证金银行转账回执及基本开户许可证复印件并加盖公章）</w:t>
      </w:r>
      <w:bookmarkEnd w:id="407"/>
      <w:bookmarkEnd w:id="408"/>
      <w:bookmarkEnd w:id="409"/>
      <w:bookmarkEnd w:id="410"/>
      <w:bookmarkEnd w:id="411"/>
      <w:bookmarkEnd w:id="412"/>
      <w:r>
        <w:rPr>
          <w:sz w:val="21"/>
          <w:szCs w:val="21"/>
        </w:rPr>
        <w:t xml:space="preserve">   </w:t>
      </w:r>
    </w:p>
    <w:p>
      <w:pPr>
        <w:pStyle w:val="6"/>
        <w:numPr>
          <w:ilvl w:val="0"/>
          <w:numId w:val="0"/>
        </w:numPr>
        <w:spacing w:before="0" w:after="0" w:line="360" w:lineRule="auto"/>
        <w:rPr>
          <w:rFonts w:ascii="宋体" w:hAnsi="宋体"/>
          <w:b w:val="0"/>
        </w:rPr>
      </w:pPr>
      <w:bookmarkStart w:id="413" w:name="_Hlt20217568"/>
      <w:bookmarkEnd w:id="413"/>
      <w:bookmarkStart w:id="414" w:name="_Toc276925324"/>
      <w:bookmarkStart w:id="415" w:name="_Toc31742_WPSOffice_Level2"/>
      <w:bookmarkStart w:id="416" w:name="_Toc24977"/>
      <w:bookmarkStart w:id="417" w:name="_Toc429827769"/>
      <w:r>
        <w:rPr>
          <w:rFonts w:hint="eastAsia" w:ascii="宋体" w:hAnsi="宋体"/>
          <w:b w:val="0"/>
        </w:rPr>
        <w:t>四、法定代表人身份证明书</w:t>
      </w:r>
      <w:bookmarkEnd w:id="414"/>
      <w:bookmarkEnd w:id="415"/>
      <w:bookmarkEnd w:id="416"/>
      <w:bookmarkEnd w:id="417"/>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ind w:firstLine="612"/>
        <w:jc w:val="both"/>
        <w:rPr>
          <w:rFonts w:ascii="宋体" w:hAnsi="宋体"/>
          <w:sz w:val="21"/>
        </w:rPr>
      </w:pPr>
      <w:r>
        <w:rPr>
          <w:rFonts w:hint="eastAsia" w:ascii="宋体" w:hAnsi="宋体"/>
          <w:sz w:val="21"/>
        </w:rPr>
        <w:t>单位名称：_____________________________________________</w:t>
      </w:r>
    </w:p>
    <w:p>
      <w:pPr>
        <w:spacing w:line="360" w:lineRule="auto"/>
        <w:ind w:firstLine="610"/>
        <w:jc w:val="both"/>
        <w:rPr>
          <w:rFonts w:ascii="宋体" w:hAnsi="宋体"/>
          <w:sz w:val="21"/>
          <w:u w:val="single"/>
        </w:rPr>
      </w:pPr>
      <w:r>
        <w:rPr>
          <w:rFonts w:hint="eastAsia" w:ascii="宋体" w:hAnsi="宋体"/>
          <w:sz w:val="21"/>
        </w:rPr>
        <w:t>单位性质：_____________________________________________</w:t>
      </w:r>
    </w:p>
    <w:p>
      <w:pPr>
        <w:spacing w:line="360" w:lineRule="auto"/>
        <w:ind w:firstLine="610"/>
        <w:jc w:val="both"/>
        <w:rPr>
          <w:rFonts w:ascii="宋体" w:hAnsi="宋体"/>
          <w:sz w:val="21"/>
        </w:rPr>
      </w:pPr>
      <w:r>
        <w:rPr>
          <w:rFonts w:hint="eastAsia" w:ascii="宋体" w:hAnsi="宋体"/>
          <w:sz w:val="21"/>
        </w:rPr>
        <w:t>地    址：_____________________________________________</w:t>
      </w:r>
    </w:p>
    <w:p>
      <w:pPr>
        <w:spacing w:line="360" w:lineRule="auto"/>
        <w:ind w:firstLine="610"/>
        <w:jc w:val="both"/>
        <w:rPr>
          <w:rFonts w:ascii="宋体" w:hAnsi="宋体"/>
          <w:sz w:val="21"/>
        </w:rPr>
      </w:pPr>
      <w:r>
        <w:rPr>
          <w:rFonts w:hint="eastAsia" w:ascii="宋体" w:hAnsi="宋体"/>
          <w:sz w:val="21"/>
        </w:rPr>
        <w:t>成立时间：</w:t>
      </w:r>
      <w:r>
        <w:rPr>
          <w:rFonts w:hint="eastAsia" w:ascii="宋体" w:hAnsi="宋体"/>
          <w:sz w:val="21"/>
          <w:u w:val="single"/>
        </w:rPr>
        <w:t xml:space="preserve">           </w:t>
      </w:r>
      <w:r>
        <w:rPr>
          <w:rFonts w:hint="eastAsia" w:ascii="宋体" w:hAnsi="宋体"/>
          <w:sz w:val="21"/>
        </w:rPr>
        <w:t>年</w:t>
      </w:r>
      <w:r>
        <w:rPr>
          <w:rFonts w:hint="eastAsia" w:ascii="宋体" w:hAnsi="宋体"/>
          <w:sz w:val="21"/>
          <w:u w:val="single"/>
        </w:rPr>
        <w:t xml:space="preserve">        </w:t>
      </w:r>
      <w:r>
        <w:rPr>
          <w:rFonts w:hint="eastAsia" w:ascii="宋体" w:hAnsi="宋体"/>
          <w:sz w:val="21"/>
        </w:rPr>
        <w:t>月</w:t>
      </w:r>
      <w:r>
        <w:rPr>
          <w:rFonts w:hint="eastAsia" w:ascii="宋体" w:hAnsi="宋体"/>
          <w:sz w:val="21"/>
          <w:u w:val="single"/>
        </w:rPr>
        <w:t xml:space="preserve">       </w:t>
      </w:r>
      <w:r>
        <w:rPr>
          <w:rFonts w:hint="eastAsia" w:ascii="宋体" w:hAnsi="宋体"/>
          <w:sz w:val="21"/>
        </w:rPr>
        <w:t>日</w:t>
      </w:r>
    </w:p>
    <w:p>
      <w:pPr>
        <w:spacing w:line="360" w:lineRule="auto"/>
        <w:ind w:firstLine="610"/>
        <w:jc w:val="both"/>
        <w:rPr>
          <w:rFonts w:ascii="宋体" w:hAnsi="宋体"/>
          <w:sz w:val="21"/>
          <w:u w:val="single"/>
        </w:rPr>
      </w:pPr>
      <w:r>
        <w:rPr>
          <w:rFonts w:hint="eastAsia" w:ascii="宋体" w:hAnsi="宋体"/>
          <w:sz w:val="21"/>
        </w:rPr>
        <w:t>经营期限：___________________</w:t>
      </w:r>
    </w:p>
    <w:p>
      <w:pPr>
        <w:spacing w:line="360" w:lineRule="auto"/>
        <w:ind w:firstLine="610"/>
        <w:jc w:val="both"/>
        <w:rPr>
          <w:rFonts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rPr>
        <w:t xml:space="preserve"> 性    别：</w:t>
      </w:r>
      <w:r>
        <w:rPr>
          <w:rFonts w:hint="eastAsia" w:ascii="宋体" w:hAnsi="宋体"/>
          <w:sz w:val="21"/>
          <w:u w:val="single"/>
        </w:rPr>
        <w:t xml:space="preserve">        </w:t>
      </w:r>
      <w:r>
        <w:rPr>
          <w:rFonts w:hint="eastAsia" w:ascii="宋体" w:hAnsi="宋体"/>
          <w:sz w:val="21"/>
        </w:rPr>
        <w:t>年    龄：</w:t>
      </w:r>
      <w:r>
        <w:rPr>
          <w:rFonts w:hint="eastAsia" w:ascii="宋体" w:hAnsi="宋体"/>
          <w:sz w:val="21"/>
          <w:u w:val="single"/>
        </w:rPr>
        <w:t xml:space="preserve">      </w:t>
      </w:r>
      <w:r>
        <w:rPr>
          <w:rFonts w:hint="eastAsia" w:ascii="宋体" w:hAnsi="宋体"/>
          <w:sz w:val="21"/>
        </w:rPr>
        <w:t xml:space="preserve"> 职    务：_______</w:t>
      </w:r>
    </w:p>
    <w:p>
      <w:pPr>
        <w:spacing w:line="360" w:lineRule="auto"/>
        <w:ind w:firstLine="610"/>
        <w:jc w:val="both"/>
        <w:rPr>
          <w:rFonts w:ascii="宋体" w:hAnsi="宋体"/>
          <w:sz w:val="21"/>
        </w:rPr>
      </w:pPr>
      <w:r>
        <w:rPr>
          <w:rFonts w:hint="eastAsia" w:ascii="宋体" w:hAnsi="宋体"/>
          <w:sz w:val="21"/>
        </w:rPr>
        <w:t>系</w:t>
      </w:r>
      <w:r>
        <w:rPr>
          <w:rFonts w:hint="eastAsia" w:ascii="宋体" w:hAnsi="宋体"/>
          <w:sz w:val="21"/>
          <w:u w:val="single"/>
        </w:rPr>
        <w:t xml:space="preserve">          （投标人单位名称）           </w:t>
      </w:r>
      <w:r>
        <w:rPr>
          <w:rFonts w:hint="eastAsia" w:ascii="宋体" w:hAnsi="宋体"/>
          <w:sz w:val="21"/>
        </w:rPr>
        <w:t>的法定代表人。</w:t>
      </w:r>
    </w:p>
    <w:p>
      <w:pPr>
        <w:spacing w:line="360" w:lineRule="auto"/>
        <w:ind w:firstLine="610"/>
        <w:jc w:val="both"/>
        <w:rPr>
          <w:rFonts w:ascii="宋体" w:hAnsi="宋体"/>
          <w:sz w:val="21"/>
        </w:rPr>
      </w:pPr>
    </w:p>
    <w:p>
      <w:pPr>
        <w:spacing w:line="360" w:lineRule="auto"/>
        <w:ind w:firstLine="610"/>
        <w:jc w:val="both"/>
        <w:rPr>
          <w:rFonts w:ascii="宋体" w:hAnsi="宋体"/>
          <w:sz w:val="21"/>
        </w:rPr>
      </w:pPr>
      <w:r>
        <w:rPr>
          <w:rFonts w:hint="eastAsia" w:ascii="宋体" w:hAnsi="宋体"/>
          <w:sz w:val="21"/>
        </w:rPr>
        <w:t>特此证明。</w:t>
      </w:r>
    </w:p>
    <w:p>
      <w:pPr>
        <w:spacing w:line="360" w:lineRule="auto"/>
        <w:ind w:firstLine="610"/>
        <w:jc w:val="both"/>
        <w:rPr>
          <w:rFonts w:ascii="宋体" w:hAnsi="宋体"/>
          <w:sz w:val="21"/>
        </w:rPr>
      </w:pPr>
    </w:p>
    <w:p>
      <w:pPr>
        <w:tabs>
          <w:tab w:val="left" w:pos="0"/>
        </w:tabs>
        <w:spacing w:line="360" w:lineRule="auto"/>
        <w:ind w:right="-210"/>
        <w:rPr>
          <w:rFonts w:ascii="宋体" w:hAnsi="宋体"/>
          <w:sz w:val="21"/>
        </w:rPr>
      </w:pPr>
      <w:r>
        <w:rPr>
          <w:rFonts w:hint="eastAsia" w:ascii="宋体" w:hAnsi="宋体"/>
          <w:sz w:val="21"/>
        </w:rPr>
        <w:t>投标人：</w:t>
      </w:r>
      <w:r>
        <w:rPr>
          <w:rFonts w:hint="eastAsia" w:ascii="宋体" w:hAnsi="宋体"/>
          <w:sz w:val="21"/>
          <w:u w:val="single"/>
        </w:rPr>
        <w:t xml:space="preserve">                          </w:t>
      </w:r>
      <w:r>
        <w:rPr>
          <w:rFonts w:hint="eastAsia" w:ascii="宋体" w:hAnsi="宋体"/>
          <w:sz w:val="21"/>
        </w:rPr>
        <w:t>（盖章）</w:t>
      </w:r>
    </w:p>
    <w:p>
      <w:pPr>
        <w:tabs>
          <w:tab w:val="left" w:pos="0"/>
        </w:tabs>
        <w:spacing w:line="360" w:lineRule="auto"/>
        <w:ind w:right="-210"/>
        <w:rPr>
          <w:rFonts w:ascii="宋体" w:hAnsi="宋体"/>
          <w:sz w:val="21"/>
        </w:rPr>
      </w:pPr>
      <w:r>
        <w:rPr>
          <w:rFonts w:hint="eastAsia" w:ascii="宋体" w:hAnsi="宋体"/>
          <w:sz w:val="21"/>
        </w:rPr>
        <w:t>法定代表人：</w:t>
      </w:r>
      <w:r>
        <w:rPr>
          <w:rFonts w:hint="eastAsia" w:ascii="宋体" w:hAnsi="宋体"/>
          <w:sz w:val="21"/>
          <w:u w:val="single"/>
        </w:rPr>
        <w:t xml:space="preserve">                </w:t>
      </w:r>
      <w:r>
        <w:rPr>
          <w:rFonts w:hint="eastAsia" w:ascii="宋体" w:hAnsi="宋体"/>
          <w:sz w:val="21"/>
        </w:rPr>
        <w:t>（签字或盖章）</w:t>
      </w:r>
    </w:p>
    <w:p>
      <w:pPr>
        <w:tabs>
          <w:tab w:val="left" w:pos="0"/>
        </w:tabs>
        <w:spacing w:line="360" w:lineRule="auto"/>
        <w:ind w:right="-210"/>
        <w:jc w:val="both"/>
        <w:rPr>
          <w:rFonts w:ascii="宋体" w:hAnsi="宋体"/>
          <w:sz w:val="21"/>
        </w:rPr>
      </w:pPr>
      <w:r>
        <w:rPr>
          <w:rFonts w:hint="eastAsia" w:ascii="宋体" w:hAnsi="宋体"/>
          <w:sz w:val="21"/>
        </w:rPr>
        <w:t>日期：</w:t>
      </w:r>
      <w:r>
        <w:rPr>
          <w:rFonts w:hint="eastAsia" w:ascii="宋体" w:hAnsi="宋体"/>
          <w:sz w:val="21"/>
          <w:u w:val="single"/>
        </w:rPr>
        <w:t xml:space="preserve">       </w:t>
      </w:r>
      <w:r>
        <w:rPr>
          <w:rFonts w:hint="eastAsia" w:ascii="宋体" w:hAnsi="宋体"/>
          <w:sz w:val="21"/>
        </w:rPr>
        <w:t>年</w:t>
      </w:r>
      <w:r>
        <w:rPr>
          <w:rFonts w:hint="eastAsia" w:ascii="宋体" w:hAnsi="宋体"/>
          <w:sz w:val="21"/>
          <w:u w:val="single"/>
        </w:rPr>
        <w:t xml:space="preserve">     </w:t>
      </w:r>
      <w:r>
        <w:rPr>
          <w:rFonts w:hint="eastAsia" w:ascii="宋体" w:hAnsi="宋体"/>
          <w:sz w:val="21"/>
        </w:rPr>
        <w:t xml:space="preserve"> 月</w:t>
      </w:r>
      <w:r>
        <w:rPr>
          <w:rFonts w:hint="eastAsia" w:ascii="宋体" w:hAnsi="宋体"/>
          <w:sz w:val="21"/>
          <w:u w:val="single"/>
        </w:rPr>
        <w:t xml:space="preserve">     </w:t>
      </w:r>
      <w:r>
        <w:rPr>
          <w:rFonts w:hint="eastAsia" w:ascii="宋体" w:hAnsi="宋体"/>
          <w:sz w:val="21"/>
        </w:rPr>
        <w:t>日</w:t>
      </w:r>
    </w:p>
    <w:p>
      <w:pPr>
        <w:tabs>
          <w:tab w:val="left" w:pos="720"/>
          <w:tab w:val="left" w:pos="900"/>
        </w:tabs>
        <w:spacing w:line="360" w:lineRule="auto"/>
        <w:ind w:left="1078"/>
        <w:jc w:val="both"/>
        <w:rPr>
          <w:rFonts w:ascii="宋体" w:hAnsi="宋体"/>
          <w:sz w:val="21"/>
        </w:rPr>
      </w:pPr>
    </w:p>
    <w:p>
      <w:r>
        <w:br w:type="page"/>
      </w:r>
      <w:bookmarkStart w:id="418" w:name="_Toc26805673"/>
      <w:bookmarkStart w:id="419" w:name="_Toc26800969"/>
      <w:bookmarkStart w:id="420" w:name="_Toc26800780"/>
      <w:bookmarkStart w:id="421" w:name="_Toc276925325"/>
      <w:bookmarkStart w:id="422" w:name="_Toc26800851"/>
      <w:bookmarkStart w:id="423" w:name="_Toc26801086"/>
    </w:p>
    <w:p>
      <w:pPr>
        <w:pStyle w:val="6"/>
        <w:numPr>
          <w:ilvl w:val="0"/>
          <w:numId w:val="0"/>
        </w:numPr>
        <w:spacing w:before="0" w:after="0" w:line="360" w:lineRule="auto"/>
        <w:rPr>
          <w:rFonts w:ascii="宋体" w:hAnsi="宋体"/>
          <w:b w:val="0"/>
        </w:rPr>
      </w:pPr>
      <w:bookmarkStart w:id="424" w:name="_Toc25498_WPSOffice_Level2"/>
      <w:bookmarkStart w:id="425" w:name="_Toc429827770"/>
      <w:bookmarkStart w:id="426" w:name="_Toc12389"/>
      <w:r>
        <w:rPr>
          <w:rFonts w:hint="eastAsia" w:ascii="宋体" w:hAnsi="宋体"/>
          <w:b w:val="0"/>
        </w:rPr>
        <w:t>五、投标文件签署授权委托书</w:t>
      </w:r>
      <w:bookmarkEnd w:id="418"/>
      <w:bookmarkEnd w:id="419"/>
      <w:bookmarkEnd w:id="420"/>
      <w:bookmarkEnd w:id="421"/>
      <w:bookmarkEnd w:id="422"/>
      <w:bookmarkEnd w:id="423"/>
      <w:bookmarkEnd w:id="424"/>
      <w:bookmarkEnd w:id="425"/>
      <w:bookmarkEnd w:id="426"/>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ind w:firstLine="420" w:firstLineChars="200"/>
        <w:jc w:val="both"/>
        <w:rPr>
          <w:rFonts w:ascii="宋体" w:hAnsi="宋体"/>
          <w:sz w:val="21"/>
        </w:rPr>
      </w:pPr>
      <w:r>
        <w:rPr>
          <w:rFonts w:hint="eastAsia" w:ascii="宋体" w:hAnsi="宋体"/>
          <w:sz w:val="21"/>
        </w:rPr>
        <w:t>本授权委托书声明：我</w:t>
      </w:r>
      <w:r>
        <w:rPr>
          <w:rFonts w:hint="eastAsia" w:ascii="宋体" w:hAnsi="宋体"/>
          <w:sz w:val="21"/>
          <w:u w:val="single"/>
        </w:rPr>
        <w:t xml:space="preserve">             </w:t>
      </w:r>
      <w:r>
        <w:rPr>
          <w:rFonts w:hint="eastAsia" w:ascii="宋体" w:hAnsi="宋体"/>
          <w:sz w:val="21"/>
        </w:rPr>
        <w:t>（姓名）系</w:t>
      </w:r>
      <w:r>
        <w:rPr>
          <w:rFonts w:hint="eastAsia" w:ascii="宋体" w:hAnsi="宋体"/>
          <w:sz w:val="21"/>
          <w:u w:val="single"/>
        </w:rPr>
        <w:t xml:space="preserve">       （投 标 人 名 称）  </w:t>
      </w:r>
      <w:r>
        <w:rPr>
          <w:rFonts w:hint="eastAsia" w:ascii="宋体" w:hAnsi="宋体"/>
          <w:sz w:val="21"/>
        </w:rPr>
        <w:t>的法定代表人，现授权委托</w:t>
      </w:r>
      <w:r>
        <w:rPr>
          <w:rFonts w:hint="eastAsia" w:ascii="宋体" w:hAnsi="宋体"/>
          <w:sz w:val="21"/>
          <w:u w:val="single"/>
        </w:rPr>
        <w:t xml:space="preserve">      （单 位 名 称）     </w:t>
      </w:r>
      <w:r>
        <w:rPr>
          <w:rFonts w:hint="eastAsia" w:ascii="宋体" w:hAnsi="宋体"/>
          <w:sz w:val="21"/>
        </w:rPr>
        <w:t>的</w:t>
      </w:r>
      <w:r>
        <w:rPr>
          <w:rFonts w:hint="eastAsia" w:ascii="宋体" w:hAnsi="宋体"/>
          <w:sz w:val="21"/>
          <w:u w:val="single"/>
        </w:rPr>
        <w:t xml:space="preserve">           </w:t>
      </w:r>
      <w:r>
        <w:rPr>
          <w:rFonts w:hint="eastAsia" w:ascii="宋体" w:hAnsi="宋体"/>
          <w:sz w:val="21"/>
        </w:rPr>
        <w:t>（姓名）为我公司签署本工程已提交的投标文件的法定代表人授权委托代理人，我承认代理人全权代表我所签署的本工程已提交的投标文件内容。</w:t>
      </w:r>
    </w:p>
    <w:p>
      <w:pPr>
        <w:spacing w:line="360" w:lineRule="auto"/>
        <w:ind w:firstLine="610"/>
        <w:jc w:val="both"/>
        <w:rPr>
          <w:rFonts w:ascii="宋体" w:hAnsi="宋体"/>
          <w:sz w:val="21"/>
        </w:rPr>
      </w:pPr>
    </w:p>
    <w:p>
      <w:pPr>
        <w:spacing w:line="360" w:lineRule="auto"/>
        <w:ind w:firstLine="697"/>
        <w:jc w:val="both"/>
        <w:rPr>
          <w:rFonts w:ascii="宋体" w:hAnsi="宋体"/>
          <w:sz w:val="21"/>
        </w:rPr>
      </w:pPr>
      <w:r>
        <w:rPr>
          <w:rFonts w:hint="eastAsia" w:ascii="宋体" w:hAnsi="宋体"/>
          <w:sz w:val="21"/>
        </w:rPr>
        <w:t>代理人无转委托权，特此委托。</w:t>
      </w:r>
    </w:p>
    <w:p>
      <w:pPr>
        <w:spacing w:line="360" w:lineRule="auto"/>
        <w:ind w:left="1260"/>
        <w:jc w:val="both"/>
        <w:rPr>
          <w:rFonts w:ascii="宋体" w:hAnsi="宋体"/>
          <w:sz w:val="21"/>
        </w:rPr>
      </w:pPr>
    </w:p>
    <w:p>
      <w:pPr>
        <w:spacing w:line="360" w:lineRule="auto"/>
        <w:ind w:left="1260"/>
        <w:jc w:val="both"/>
        <w:rPr>
          <w:rFonts w:ascii="宋体" w:hAnsi="宋体"/>
          <w:sz w:val="21"/>
        </w:rPr>
      </w:pPr>
    </w:p>
    <w:p>
      <w:pPr>
        <w:spacing w:line="360" w:lineRule="auto"/>
        <w:ind w:left="1260"/>
        <w:jc w:val="both"/>
        <w:rPr>
          <w:rFonts w:ascii="宋体" w:hAnsi="宋体"/>
          <w:sz w:val="21"/>
        </w:rPr>
      </w:pPr>
    </w:p>
    <w:p>
      <w:pPr>
        <w:spacing w:line="360" w:lineRule="auto"/>
        <w:ind w:left="1260"/>
        <w:jc w:val="both"/>
        <w:rPr>
          <w:rFonts w:ascii="宋体" w:hAnsi="宋体"/>
          <w:sz w:val="21"/>
        </w:rPr>
      </w:pPr>
    </w:p>
    <w:p>
      <w:pPr>
        <w:spacing w:line="360" w:lineRule="auto"/>
        <w:ind w:left="720"/>
        <w:jc w:val="both"/>
        <w:rPr>
          <w:rFonts w:ascii="宋体" w:hAnsi="宋体"/>
          <w:sz w:val="21"/>
          <w:u w:val="single"/>
        </w:rPr>
      </w:pPr>
      <w:r>
        <w:rPr>
          <w:rFonts w:hint="eastAsia" w:ascii="宋体" w:hAnsi="宋体"/>
          <w:sz w:val="21"/>
        </w:rPr>
        <w:t>代理人：</w:t>
      </w:r>
      <w:r>
        <w:rPr>
          <w:rFonts w:hint="eastAsia" w:ascii="宋体" w:hAnsi="宋体"/>
          <w:sz w:val="21"/>
          <w:u w:val="single"/>
        </w:rPr>
        <w:t xml:space="preserve">（签字）        </w:t>
      </w:r>
      <w:r>
        <w:rPr>
          <w:rFonts w:hint="eastAsia" w:ascii="宋体" w:hAnsi="宋体"/>
          <w:sz w:val="21"/>
        </w:rPr>
        <w:t xml:space="preserve">      性别 ：</w:t>
      </w:r>
      <w:r>
        <w:rPr>
          <w:rFonts w:hint="eastAsia" w:ascii="宋体" w:hAnsi="宋体"/>
          <w:sz w:val="21"/>
          <w:u w:val="single"/>
        </w:rPr>
        <w:t xml:space="preserve">            </w:t>
      </w:r>
      <w:r>
        <w:rPr>
          <w:rFonts w:hint="eastAsia" w:ascii="宋体" w:hAnsi="宋体"/>
          <w:sz w:val="21"/>
        </w:rPr>
        <w:t xml:space="preserve">     年龄：_______</w:t>
      </w:r>
    </w:p>
    <w:p>
      <w:pPr>
        <w:spacing w:line="360" w:lineRule="auto"/>
        <w:ind w:left="720"/>
        <w:jc w:val="both"/>
        <w:rPr>
          <w:rFonts w:ascii="宋体" w:hAnsi="宋体"/>
          <w:sz w:val="21"/>
        </w:rPr>
      </w:pPr>
    </w:p>
    <w:p>
      <w:pPr>
        <w:spacing w:line="360" w:lineRule="auto"/>
        <w:ind w:left="720"/>
        <w:jc w:val="both"/>
        <w:rPr>
          <w:rFonts w:ascii="宋体" w:hAnsi="宋体"/>
          <w:sz w:val="21"/>
          <w:u w:val="single"/>
        </w:rPr>
      </w:pPr>
      <w:r>
        <w:rPr>
          <w:rFonts w:hint="eastAsia" w:ascii="宋体" w:hAnsi="宋体"/>
          <w:sz w:val="21"/>
        </w:rPr>
        <w:t>身份证号码：</w:t>
      </w:r>
      <w:r>
        <w:rPr>
          <w:rFonts w:hint="eastAsia" w:ascii="宋体" w:hAnsi="宋体"/>
          <w:sz w:val="21"/>
          <w:u w:val="single"/>
        </w:rPr>
        <w:t xml:space="preserve">                                         </w:t>
      </w:r>
      <w:r>
        <w:rPr>
          <w:rFonts w:hint="eastAsia" w:ascii="宋体" w:hAnsi="宋体"/>
          <w:sz w:val="21"/>
        </w:rPr>
        <w:t xml:space="preserve"> 职务：_______</w:t>
      </w:r>
    </w:p>
    <w:p>
      <w:pPr>
        <w:spacing w:line="360" w:lineRule="auto"/>
        <w:ind w:left="720"/>
        <w:jc w:val="both"/>
        <w:rPr>
          <w:rFonts w:ascii="宋体" w:hAnsi="宋体"/>
          <w:sz w:val="21"/>
        </w:rPr>
      </w:pPr>
    </w:p>
    <w:p>
      <w:pPr>
        <w:spacing w:line="360" w:lineRule="auto"/>
        <w:ind w:left="720"/>
        <w:jc w:val="both"/>
        <w:rPr>
          <w:rFonts w:ascii="宋体" w:hAnsi="宋体"/>
          <w:sz w:val="21"/>
        </w:rPr>
      </w:pPr>
      <w:r>
        <w:rPr>
          <w:rFonts w:hint="eastAsia" w:ascii="宋体" w:hAnsi="宋体"/>
          <w:sz w:val="21"/>
        </w:rPr>
        <w:t>投标人：</w:t>
      </w:r>
      <w:r>
        <w:rPr>
          <w:rFonts w:hint="eastAsia" w:ascii="宋体" w:hAnsi="宋体"/>
          <w:sz w:val="21"/>
          <w:u w:val="single"/>
        </w:rPr>
        <w:t xml:space="preserve">                                             （盖章）</w:t>
      </w:r>
    </w:p>
    <w:p>
      <w:pPr>
        <w:spacing w:line="360" w:lineRule="auto"/>
        <w:ind w:left="720"/>
        <w:jc w:val="both"/>
        <w:rPr>
          <w:rFonts w:ascii="宋体" w:hAnsi="宋体"/>
          <w:sz w:val="21"/>
        </w:rPr>
      </w:pPr>
    </w:p>
    <w:p>
      <w:pPr>
        <w:spacing w:line="360" w:lineRule="auto"/>
        <w:ind w:left="720"/>
        <w:jc w:val="both"/>
        <w:rPr>
          <w:rFonts w:ascii="宋体" w:hAnsi="宋体"/>
          <w:sz w:val="21"/>
        </w:rPr>
      </w:pPr>
      <w:r>
        <w:rPr>
          <w:rFonts w:hint="eastAsia" w:ascii="宋体" w:hAnsi="宋体"/>
          <w:sz w:val="21"/>
        </w:rPr>
        <w:t>法定代表人：</w:t>
      </w:r>
      <w:r>
        <w:rPr>
          <w:rFonts w:hint="eastAsia" w:ascii="宋体" w:hAnsi="宋体"/>
          <w:sz w:val="21"/>
          <w:u w:val="single"/>
        </w:rPr>
        <w:t xml:space="preserve">                                         （签字或盖章）</w:t>
      </w:r>
    </w:p>
    <w:p>
      <w:pPr>
        <w:spacing w:line="360" w:lineRule="auto"/>
        <w:ind w:left="720"/>
        <w:jc w:val="both"/>
        <w:rPr>
          <w:rFonts w:ascii="宋体" w:hAnsi="宋体"/>
          <w:sz w:val="21"/>
        </w:rPr>
      </w:pPr>
    </w:p>
    <w:p>
      <w:pPr>
        <w:spacing w:line="360" w:lineRule="auto"/>
        <w:ind w:left="720" w:hanging="20"/>
        <w:jc w:val="both"/>
        <w:rPr>
          <w:rFonts w:ascii="宋体" w:hAnsi="宋体"/>
          <w:sz w:val="21"/>
        </w:rPr>
      </w:pPr>
      <w:r>
        <w:rPr>
          <w:rFonts w:hint="eastAsia" w:ascii="宋体" w:hAnsi="宋体"/>
          <w:sz w:val="21"/>
        </w:rPr>
        <w:t>授权委托日期：</w:t>
      </w:r>
      <w:r>
        <w:rPr>
          <w:rFonts w:hint="eastAsia" w:ascii="宋体" w:hAnsi="宋体"/>
          <w:sz w:val="21"/>
          <w:u w:val="single"/>
        </w:rPr>
        <w:t xml:space="preserve">          </w:t>
      </w:r>
      <w:r>
        <w:rPr>
          <w:rFonts w:hint="eastAsia" w:ascii="宋体" w:hAnsi="宋体"/>
          <w:sz w:val="21"/>
        </w:rPr>
        <w:t xml:space="preserve">年 </w:t>
      </w:r>
      <w:r>
        <w:rPr>
          <w:rFonts w:hint="eastAsia" w:ascii="宋体" w:hAnsi="宋体"/>
          <w:sz w:val="21"/>
          <w:u w:val="single"/>
        </w:rPr>
        <w:t xml:space="preserve">     </w:t>
      </w:r>
      <w:r>
        <w:rPr>
          <w:rFonts w:hint="eastAsia" w:ascii="宋体" w:hAnsi="宋体"/>
          <w:sz w:val="21"/>
        </w:rPr>
        <w:t>月</w:t>
      </w:r>
      <w:r>
        <w:rPr>
          <w:rFonts w:hint="eastAsia" w:ascii="宋体" w:hAnsi="宋体"/>
          <w:sz w:val="21"/>
          <w:u w:val="single"/>
        </w:rPr>
        <w:t xml:space="preserve">        </w:t>
      </w:r>
      <w:r>
        <w:rPr>
          <w:rFonts w:hint="eastAsia" w:ascii="宋体" w:hAnsi="宋体"/>
          <w:sz w:val="21"/>
        </w:rPr>
        <w:t>日</w:t>
      </w:r>
    </w:p>
    <w:p>
      <w:pPr>
        <w:spacing w:line="360" w:lineRule="auto"/>
        <w:ind w:left="-3" w:firstLine="1"/>
        <w:jc w:val="center"/>
        <w:rPr>
          <w:rFonts w:ascii="宋体" w:hAnsi="宋体"/>
          <w:sz w:val="21"/>
        </w:rPr>
      </w:pPr>
    </w:p>
    <w:p>
      <w:pPr>
        <w:spacing w:line="360" w:lineRule="auto"/>
        <w:jc w:val="center"/>
        <w:rPr>
          <w:rFonts w:ascii="宋体" w:hAnsi="宋体"/>
          <w:sz w:val="21"/>
        </w:rPr>
      </w:pPr>
      <w:r>
        <w:rPr>
          <w:rFonts w:ascii="宋体" w:hAnsi="宋体"/>
          <w:sz w:val="21"/>
        </w:rPr>
        <w:br w:type="page"/>
      </w:r>
    </w:p>
    <w:p>
      <w:pPr>
        <w:pStyle w:val="6"/>
        <w:numPr>
          <w:ilvl w:val="0"/>
          <w:numId w:val="0"/>
        </w:numPr>
        <w:spacing w:before="0" w:after="0" w:line="360" w:lineRule="auto"/>
        <w:rPr>
          <w:rFonts w:ascii="宋体" w:hAnsi="宋体"/>
          <w:b w:val="0"/>
        </w:rPr>
      </w:pPr>
      <w:bookmarkStart w:id="427" w:name="_Toc26193"/>
      <w:bookmarkStart w:id="428" w:name="_Toc6929_WPSOffice_Level2"/>
      <w:r>
        <w:rPr>
          <w:rFonts w:hint="eastAsia" w:ascii="宋体" w:hAnsi="宋体"/>
          <w:b w:val="0"/>
        </w:rPr>
        <w:t>六、联合体协议书</w:t>
      </w:r>
      <w:bookmarkEnd w:id="427"/>
      <w:bookmarkEnd w:id="428"/>
    </w:p>
    <w:p>
      <w:pPr>
        <w:spacing w:line="360" w:lineRule="auto"/>
        <w:jc w:val="center"/>
        <w:rPr>
          <w:rFonts w:ascii="宋体" w:hAnsi="宋体"/>
          <w:sz w:val="21"/>
        </w:rPr>
      </w:pPr>
      <w:r>
        <w:rPr>
          <w:rFonts w:hint="eastAsia" w:ascii="宋体" w:hAnsi="宋体"/>
          <w:sz w:val="21"/>
        </w:rPr>
        <w:t>（如联合体投标需提供，联合体协议书双方盖章、签名，格式自定）</w:t>
      </w: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69"/>
        <w:rPr>
          <w:rFonts w:hint="default" w:ascii="宋体" w:hAnsi="宋体"/>
        </w:rPr>
      </w:pPr>
    </w:p>
    <w:p>
      <w:pPr>
        <w:pStyle w:val="43"/>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429" w:name="_Hlt19963568"/>
      <w:bookmarkEnd w:id="429"/>
      <w:bookmarkStart w:id="430" w:name="_Toc2478_WPSOffice_Level1"/>
      <w:bookmarkStart w:id="431" w:name="_Toc777811"/>
      <w:bookmarkStart w:id="432" w:name="_Toc27189_WPSOffice_Level1"/>
      <w:bookmarkStart w:id="433" w:name="_Toc429827771"/>
      <w:bookmarkStart w:id="434" w:name="_Toc276925326"/>
      <w:bookmarkStart w:id="435" w:name="_Toc26805677"/>
      <w:bookmarkStart w:id="436" w:name="_Toc26800784"/>
      <w:bookmarkStart w:id="437" w:name="_Toc26800855"/>
      <w:bookmarkStart w:id="438" w:name="_Toc26755"/>
      <w:bookmarkStart w:id="439" w:name="_Toc26801090"/>
      <w:bookmarkStart w:id="440" w:name="_Toc26800973"/>
      <w:r>
        <w:rPr>
          <w:rFonts w:hint="eastAsia"/>
          <w:color w:val="auto"/>
        </w:rPr>
        <w:t>第</w:t>
      </w:r>
      <w:bookmarkStart w:id="441" w:name="_Hlt28137959"/>
      <w:bookmarkEnd w:id="441"/>
      <w:r>
        <w:rPr>
          <w:rFonts w:hint="eastAsia"/>
          <w:color w:val="auto"/>
        </w:rPr>
        <w:t xml:space="preserve">七章  </w:t>
      </w:r>
      <w:bookmarkStart w:id="442" w:name="_Hlt19957517"/>
      <w:bookmarkEnd w:id="442"/>
      <w:r>
        <w:rPr>
          <w:rFonts w:hint="eastAsia"/>
          <w:color w:val="auto"/>
        </w:rPr>
        <w:t>投标文件商务部分格式</w:t>
      </w:r>
      <w:bookmarkEnd w:id="430"/>
      <w:bookmarkEnd w:id="431"/>
      <w:bookmarkEnd w:id="432"/>
      <w:bookmarkEnd w:id="433"/>
      <w:bookmarkEnd w:id="434"/>
      <w:bookmarkEnd w:id="435"/>
      <w:bookmarkEnd w:id="436"/>
      <w:bookmarkEnd w:id="437"/>
      <w:bookmarkEnd w:id="438"/>
      <w:bookmarkEnd w:id="439"/>
      <w:bookmarkEnd w:id="440"/>
    </w:p>
    <w:p>
      <w:r>
        <w:br w:type="page"/>
      </w:r>
    </w:p>
    <w:p/>
    <w:p>
      <w:pPr>
        <w:pStyle w:val="6"/>
        <w:numPr>
          <w:ilvl w:val="0"/>
          <w:numId w:val="0"/>
        </w:numPr>
        <w:spacing w:before="0" w:after="0" w:line="360" w:lineRule="auto"/>
        <w:rPr>
          <w:rFonts w:ascii="宋体" w:hAnsi="宋体"/>
          <w:b w:val="0"/>
          <w:bCs/>
          <w:szCs w:val="24"/>
        </w:rPr>
      </w:pPr>
      <w:bookmarkStart w:id="443" w:name="_Toc5245"/>
      <w:bookmarkStart w:id="444" w:name="_Toc429827772"/>
      <w:bookmarkStart w:id="445" w:name="_Toc26801091"/>
      <w:bookmarkStart w:id="446" w:name="_Toc26800785"/>
      <w:bookmarkStart w:id="447" w:name="_Toc26805678"/>
      <w:bookmarkStart w:id="448" w:name="_Toc26800974"/>
      <w:bookmarkStart w:id="449" w:name="_Toc276925327"/>
      <w:bookmarkStart w:id="450" w:name="_Toc26800856"/>
      <w:bookmarkStart w:id="451" w:name="_Toc7607_WPSOffice_Level2"/>
      <w:r>
        <w:rPr>
          <w:rFonts w:hint="eastAsia" w:ascii="宋体" w:hAnsi="宋体"/>
          <w:b w:val="0"/>
          <w:bCs/>
          <w:szCs w:val="24"/>
        </w:rPr>
        <w:t>一、企业业绩及信誉等内容</w:t>
      </w:r>
      <w:bookmarkEnd w:id="443"/>
      <w:bookmarkEnd w:id="444"/>
      <w:bookmarkEnd w:id="445"/>
      <w:bookmarkEnd w:id="446"/>
      <w:bookmarkEnd w:id="447"/>
      <w:bookmarkEnd w:id="448"/>
      <w:bookmarkEnd w:id="449"/>
      <w:bookmarkEnd w:id="450"/>
      <w:bookmarkEnd w:id="451"/>
    </w:p>
    <w:p>
      <w:pPr>
        <w:pStyle w:val="5"/>
        <w:rPr>
          <w:rFonts w:ascii="宋体" w:hAnsi="宋体"/>
          <w:sz w:val="21"/>
        </w:rPr>
      </w:pPr>
    </w:p>
    <w:p>
      <w:pPr>
        <w:pStyle w:val="5"/>
        <w:jc w:val="center"/>
        <w:rPr>
          <w:rFonts w:ascii="宋体" w:hAnsi="宋体"/>
          <w:b/>
          <w:bCs/>
          <w:sz w:val="21"/>
        </w:rPr>
      </w:pPr>
      <w:r>
        <w:rPr>
          <w:rFonts w:ascii="宋体" w:hAnsi="宋体"/>
          <w:b/>
          <w:bCs/>
          <w:sz w:val="21"/>
        </w:rPr>
        <w:br w:type="page"/>
      </w:r>
    </w:p>
    <w:p>
      <w:pPr>
        <w:pStyle w:val="6"/>
        <w:numPr>
          <w:ilvl w:val="0"/>
          <w:numId w:val="0"/>
        </w:numPr>
        <w:spacing w:before="0" w:after="0" w:line="360" w:lineRule="auto"/>
        <w:rPr>
          <w:rFonts w:ascii="宋体" w:hAnsi="宋体"/>
          <w:b w:val="0"/>
          <w:bCs/>
          <w:sz w:val="21"/>
        </w:rPr>
      </w:pPr>
      <w:bookmarkStart w:id="452" w:name="_Toc429827773"/>
      <w:bookmarkStart w:id="453" w:name="_Toc23828_WPSOffice_Level3"/>
      <w:bookmarkStart w:id="454" w:name="_Toc31742_WPSOffice_Level3"/>
      <w:bookmarkStart w:id="455" w:name="_Toc276925328"/>
      <w:bookmarkStart w:id="456" w:name="_Toc26805679"/>
      <w:bookmarkStart w:id="457" w:name="_Toc26801092"/>
      <w:r>
        <w:rPr>
          <w:rFonts w:hint="eastAsia" w:ascii="宋体" w:hAnsi="宋体"/>
          <w:b w:val="0"/>
          <w:bCs/>
          <w:sz w:val="21"/>
        </w:rPr>
        <w:t>1、企业营业执照副本</w:t>
      </w:r>
      <w:bookmarkEnd w:id="452"/>
      <w:bookmarkEnd w:id="453"/>
      <w:bookmarkEnd w:id="454"/>
      <w:bookmarkEnd w:id="455"/>
    </w:p>
    <w:p>
      <w:pPr>
        <w:pStyle w:val="5"/>
        <w:ind w:firstLine="0"/>
        <w:jc w:val="center"/>
        <w:rPr>
          <w:rFonts w:ascii="宋体" w:hAnsi="宋体"/>
          <w:bCs/>
          <w:sz w:val="21"/>
        </w:rPr>
      </w:pPr>
      <w:r>
        <w:rPr>
          <w:rFonts w:hint="eastAsia" w:ascii="宋体" w:hAnsi="宋体"/>
          <w:bCs/>
          <w:sz w:val="21"/>
        </w:rPr>
        <w:t>（要求为复印件，加盖公章）</w:t>
      </w:r>
    </w:p>
    <w:p>
      <w:pPr>
        <w:rPr>
          <w:bCs/>
        </w:rPr>
      </w:pPr>
    </w:p>
    <w:p>
      <w:pPr>
        <w:pStyle w:val="6"/>
        <w:numPr>
          <w:ilvl w:val="0"/>
          <w:numId w:val="0"/>
        </w:numPr>
        <w:spacing w:before="0" w:after="0" w:line="360" w:lineRule="auto"/>
        <w:ind w:left="720" w:hanging="720"/>
        <w:rPr>
          <w:rFonts w:ascii="宋体" w:hAnsi="宋体"/>
          <w:b w:val="0"/>
          <w:bCs/>
          <w:sz w:val="21"/>
        </w:rPr>
        <w:sectPr>
          <w:pgSz w:w="11907" w:h="16840"/>
          <w:pgMar w:top="1440" w:right="1797" w:bottom="1440" w:left="1797" w:header="851" w:footer="992" w:gutter="0"/>
          <w:pgNumType w:fmt="decimal"/>
          <w:cols w:space="720" w:num="1"/>
          <w:docGrid w:linePitch="312" w:charSpace="0"/>
        </w:sectPr>
      </w:pPr>
    </w:p>
    <w:p>
      <w:bookmarkStart w:id="458" w:name="_Toc276925329"/>
    </w:p>
    <w:p>
      <w:pPr>
        <w:pStyle w:val="6"/>
        <w:numPr>
          <w:ilvl w:val="0"/>
          <w:numId w:val="0"/>
        </w:numPr>
        <w:spacing w:before="0" w:after="0" w:line="360" w:lineRule="auto"/>
        <w:ind w:left="720" w:hanging="720"/>
        <w:rPr>
          <w:rFonts w:ascii="宋体" w:hAnsi="宋体"/>
          <w:b w:val="0"/>
          <w:bCs/>
          <w:sz w:val="21"/>
        </w:rPr>
      </w:pPr>
      <w:bookmarkStart w:id="459" w:name="_Toc429827774"/>
      <w:bookmarkStart w:id="460" w:name="_Toc25997_WPSOffice_Level3"/>
      <w:bookmarkStart w:id="461" w:name="_Toc25498_WPSOffice_Level3"/>
      <w:r>
        <w:rPr>
          <w:rFonts w:hint="eastAsia" w:ascii="宋体" w:hAnsi="宋体"/>
          <w:b w:val="0"/>
          <w:bCs/>
          <w:sz w:val="21"/>
        </w:rPr>
        <w:t>2、企业资质等级证书</w:t>
      </w:r>
      <w:bookmarkEnd w:id="458"/>
      <w:bookmarkEnd w:id="459"/>
      <w:bookmarkEnd w:id="460"/>
      <w:bookmarkEnd w:id="461"/>
    </w:p>
    <w:p>
      <w:pPr>
        <w:pStyle w:val="5"/>
        <w:ind w:firstLine="0"/>
        <w:jc w:val="center"/>
        <w:rPr>
          <w:rFonts w:ascii="宋体" w:hAnsi="宋体"/>
          <w:sz w:val="21"/>
        </w:rPr>
      </w:pPr>
      <w:r>
        <w:rPr>
          <w:rFonts w:hint="eastAsia" w:ascii="宋体" w:hAnsi="宋体"/>
          <w:sz w:val="21"/>
        </w:rPr>
        <w:t>（要求为复印件，加盖公章）</w:t>
      </w:r>
    </w:p>
    <w:p/>
    <w:p>
      <w:pPr>
        <w:pStyle w:val="6"/>
        <w:numPr>
          <w:ilvl w:val="0"/>
          <w:numId w:val="0"/>
        </w:numPr>
        <w:spacing w:before="0" w:after="0" w:line="360" w:lineRule="auto"/>
        <w:ind w:left="720" w:hanging="720"/>
        <w:rPr>
          <w:rFonts w:ascii="宋体" w:hAnsi="宋体"/>
          <w:b w:val="0"/>
          <w:bCs/>
          <w:sz w:val="21"/>
        </w:rPr>
        <w:sectPr>
          <w:pgSz w:w="11907" w:h="16840"/>
          <w:pgMar w:top="1440" w:right="1797" w:bottom="1440" w:left="1797" w:header="851" w:footer="992" w:gutter="0"/>
          <w:pgNumType w:fmt="decimal"/>
          <w:cols w:space="720" w:num="1"/>
          <w:docGrid w:linePitch="312" w:charSpace="0"/>
        </w:sectPr>
      </w:pPr>
    </w:p>
    <w:bookmarkEnd w:id="456"/>
    <w:bookmarkEnd w:id="457"/>
    <w:p>
      <w:bookmarkStart w:id="462" w:name="_Toc26805680"/>
      <w:bookmarkStart w:id="463" w:name="_Toc276925330"/>
      <w:bookmarkStart w:id="464" w:name="_Toc26801093"/>
    </w:p>
    <w:p>
      <w:pPr>
        <w:pStyle w:val="6"/>
        <w:numPr>
          <w:ilvl w:val="0"/>
          <w:numId w:val="0"/>
        </w:numPr>
        <w:spacing w:before="0" w:after="0" w:line="360" w:lineRule="auto"/>
        <w:rPr>
          <w:rFonts w:ascii="宋体" w:hAnsi="宋体"/>
          <w:b w:val="0"/>
          <w:bCs/>
          <w:sz w:val="21"/>
        </w:rPr>
      </w:pPr>
      <w:bookmarkStart w:id="465" w:name="_Toc429827775"/>
      <w:bookmarkStart w:id="466" w:name="_Toc22789_WPSOffice_Level3"/>
      <w:bookmarkStart w:id="467" w:name="_Toc6929_WPSOffice_Level3"/>
      <w:r>
        <w:rPr>
          <w:rFonts w:hint="eastAsia" w:ascii="宋体" w:hAnsi="宋体"/>
          <w:b w:val="0"/>
          <w:bCs/>
          <w:sz w:val="21"/>
        </w:rPr>
        <w:t>3、企业安全生产许可证</w:t>
      </w:r>
      <w:bookmarkEnd w:id="465"/>
      <w:bookmarkEnd w:id="466"/>
      <w:bookmarkEnd w:id="467"/>
    </w:p>
    <w:p>
      <w:pPr>
        <w:pStyle w:val="5"/>
        <w:ind w:firstLine="0"/>
        <w:jc w:val="center"/>
        <w:rPr>
          <w:rFonts w:ascii="宋体" w:hAnsi="宋体"/>
          <w:sz w:val="21"/>
        </w:rPr>
      </w:pPr>
      <w:r>
        <w:rPr>
          <w:rFonts w:hint="eastAsia" w:ascii="宋体" w:hAnsi="宋体"/>
          <w:sz w:val="21"/>
        </w:rPr>
        <w:t>（要求为复印件，加盖公章）</w:t>
      </w:r>
    </w:p>
    <w:p>
      <w:pPr>
        <w:pStyle w:val="5"/>
        <w:sectPr>
          <w:pgSz w:w="11907" w:h="16840"/>
          <w:pgMar w:top="1440" w:right="1797" w:bottom="1440" w:left="1797" w:header="851" w:footer="992" w:gutter="0"/>
          <w:pgNumType w:fmt="decimal"/>
          <w:cols w:space="720" w:num="1"/>
          <w:docGrid w:linePitch="312" w:charSpace="0"/>
        </w:sectPr>
      </w:pPr>
    </w:p>
    <w:bookmarkEnd w:id="462"/>
    <w:bookmarkEnd w:id="463"/>
    <w:bookmarkEnd w:id="464"/>
    <w:p>
      <w:pPr>
        <w:pStyle w:val="6"/>
        <w:numPr>
          <w:ilvl w:val="0"/>
          <w:numId w:val="0"/>
        </w:numPr>
        <w:spacing w:before="0" w:after="0" w:line="360" w:lineRule="auto"/>
        <w:rPr>
          <w:rFonts w:ascii="宋体" w:hAnsi="宋体"/>
          <w:b w:val="0"/>
          <w:bCs/>
          <w:sz w:val="21"/>
        </w:rPr>
      </w:pPr>
      <w:bookmarkStart w:id="468" w:name="_Toc276925331"/>
      <w:bookmarkStart w:id="469" w:name="_Toc26805681"/>
      <w:bookmarkStart w:id="470" w:name="_Toc26801094"/>
      <w:bookmarkStart w:id="471" w:name="_Toc429827777"/>
      <w:bookmarkStart w:id="472" w:name="_Toc7607_WPSOffice_Level3"/>
      <w:bookmarkStart w:id="473" w:name="_Toc15907_WPSOffice_Level3"/>
      <w:r>
        <w:rPr>
          <w:rFonts w:hint="eastAsia" w:ascii="宋体" w:hAnsi="宋体"/>
          <w:b w:val="0"/>
          <w:bCs/>
          <w:sz w:val="21"/>
        </w:rPr>
        <w:t>4、</w:t>
      </w:r>
      <w:bookmarkEnd w:id="468"/>
      <w:bookmarkEnd w:id="469"/>
      <w:bookmarkEnd w:id="470"/>
      <w:r>
        <w:rPr>
          <w:rFonts w:hint="eastAsia" w:ascii="宋体" w:hAnsi="宋体"/>
          <w:b w:val="0"/>
          <w:bCs/>
          <w:sz w:val="21"/>
        </w:rPr>
        <w:t>企业类似工程业绩</w:t>
      </w:r>
      <w:bookmarkEnd w:id="471"/>
      <w:bookmarkEnd w:id="472"/>
      <w:bookmarkEnd w:id="473"/>
    </w:p>
    <w:tbl>
      <w:tblPr>
        <w:tblStyle w:val="5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00"/>
        <w:gridCol w:w="916"/>
        <w:gridCol w:w="886"/>
        <w:gridCol w:w="1100"/>
        <w:gridCol w:w="1370"/>
        <w:gridCol w:w="744"/>
        <w:gridCol w:w="9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0" w:type="dxa"/>
            <w:vMerge w:val="restart"/>
            <w:vAlign w:val="center"/>
          </w:tcPr>
          <w:p>
            <w:pPr>
              <w:pStyle w:val="5"/>
              <w:ind w:firstLine="0"/>
              <w:jc w:val="center"/>
              <w:rPr>
                <w:rFonts w:ascii="宋体" w:hAnsi="宋体"/>
                <w:sz w:val="21"/>
              </w:rPr>
            </w:pPr>
            <w:r>
              <w:rPr>
                <w:rFonts w:hint="eastAsia" w:ascii="宋体" w:hAnsi="宋体"/>
                <w:sz w:val="21"/>
              </w:rPr>
              <w:t>序号</w:t>
            </w:r>
          </w:p>
        </w:tc>
        <w:tc>
          <w:tcPr>
            <w:tcW w:w="1200" w:type="dxa"/>
            <w:vMerge w:val="restart"/>
            <w:vAlign w:val="center"/>
          </w:tcPr>
          <w:p>
            <w:pPr>
              <w:pStyle w:val="5"/>
              <w:ind w:firstLine="0"/>
              <w:jc w:val="center"/>
              <w:rPr>
                <w:rFonts w:ascii="宋体" w:hAnsi="宋体"/>
                <w:sz w:val="21"/>
              </w:rPr>
            </w:pPr>
            <w:r>
              <w:rPr>
                <w:rFonts w:hint="eastAsia" w:ascii="宋体" w:hAnsi="宋体"/>
                <w:sz w:val="21"/>
              </w:rPr>
              <w:t>工程名称</w:t>
            </w:r>
          </w:p>
        </w:tc>
        <w:tc>
          <w:tcPr>
            <w:tcW w:w="2902" w:type="dxa"/>
            <w:gridSpan w:val="3"/>
            <w:vAlign w:val="center"/>
          </w:tcPr>
          <w:p>
            <w:pPr>
              <w:pStyle w:val="5"/>
              <w:ind w:firstLine="0"/>
              <w:jc w:val="center"/>
              <w:rPr>
                <w:rFonts w:ascii="宋体" w:hAnsi="宋体"/>
                <w:sz w:val="21"/>
              </w:rPr>
            </w:pPr>
            <w:r>
              <w:rPr>
                <w:rFonts w:hint="eastAsia" w:ascii="宋体" w:hAnsi="宋体"/>
                <w:sz w:val="21"/>
              </w:rPr>
              <w:t>建设单位</w:t>
            </w:r>
          </w:p>
        </w:tc>
        <w:tc>
          <w:tcPr>
            <w:tcW w:w="1370" w:type="dxa"/>
            <w:vMerge w:val="restart"/>
            <w:vAlign w:val="center"/>
          </w:tcPr>
          <w:p>
            <w:pPr>
              <w:pStyle w:val="5"/>
              <w:ind w:firstLine="0"/>
              <w:jc w:val="center"/>
              <w:rPr>
                <w:rFonts w:ascii="宋体" w:hAnsi="宋体"/>
                <w:sz w:val="21"/>
              </w:rPr>
            </w:pPr>
            <w:r>
              <w:rPr>
                <w:rFonts w:hint="eastAsia" w:ascii="宋体" w:hAnsi="宋体"/>
                <w:sz w:val="21"/>
              </w:rPr>
              <w:t>建设规模（仓容结构类型、施工工法等）</w:t>
            </w:r>
          </w:p>
        </w:tc>
        <w:tc>
          <w:tcPr>
            <w:tcW w:w="744" w:type="dxa"/>
            <w:vMerge w:val="restart"/>
            <w:vAlign w:val="center"/>
          </w:tcPr>
          <w:p>
            <w:pPr>
              <w:pStyle w:val="5"/>
              <w:ind w:firstLine="0"/>
              <w:jc w:val="center"/>
              <w:rPr>
                <w:rFonts w:ascii="宋体" w:hAnsi="宋体"/>
                <w:sz w:val="21"/>
              </w:rPr>
            </w:pPr>
            <w:r>
              <w:rPr>
                <w:rFonts w:hint="eastAsia" w:ascii="宋体" w:hAnsi="宋体"/>
                <w:sz w:val="21"/>
              </w:rPr>
              <w:t>开、竣工日期</w:t>
            </w:r>
          </w:p>
        </w:tc>
        <w:tc>
          <w:tcPr>
            <w:tcW w:w="900" w:type="dxa"/>
            <w:vMerge w:val="restart"/>
            <w:vAlign w:val="center"/>
          </w:tcPr>
          <w:p>
            <w:pPr>
              <w:pStyle w:val="5"/>
              <w:ind w:firstLine="0"/>
              <w:jc w:val="center"/>
              <w:rPr>
                <w:rFonts w:ascii="宋体" w:hAnsi="宋体"/>
                <w:sz w:val="21"/>
              </w:rPr>
            </w:pPr>
            <w:r>
              <w:rPr>
                <w:rFonts w:hint="eastAsia" w:ascii="宋体" w:hAnsi="宋体"/>
                <w:sz w:val="21"/>
              </w:rPr>
              <w:t>工程</w:t>
            </w:r>
          </w:p>
          <w:p>
            <w:pPr>
              <w:pStyle w:val="5"/>
              <w:ind w:firstLine="0"/>
              <w:jc w:val="center"/>
              <w:rPr>
                <w:rFonts w:ascii="宋体" w:hAnsi="宋体"/>
                <w:sz w:val="21"/>
              </w:rPr>
            </w:pPr>
            <w:r>
              <w:rPr>
                <w:rFonts w:hint="eastAsia" w:ascii="宋体" w:hAnsi="宋体"/>
                <w:sz w:val="21"/>
              </w:rPr>
              <w:t>质量</w:t>
            </w:r>
          </w:p>
        </w:tc>
        <w:tc>
          <w:tcPr>
            <w:tcW w:w="1400" w:type="dxa"/>
            <w:vMerge w:val="restart"/>
            <w:vAlign w:val="center"/>
          </w:tcPr>
          <w:p>
            <w:pPr>
              <w:pStyle w:val="5"/>
              <w:ind w:firstLine="0"/>
              <w:jc w:val="center"/>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0" w:type="dxa"/>
            <w:vMerge w:val="continue"/>
            <w:vAlign w:val="center"/>
          </w:tcPr>
          <w:p>
            <w:pPr>
              <w:pStyle w:val="5"/>
              <w:ind w:firstLine="0"/>
              <w:jc w:val="center"/>
              <w:rPr>
                <w:rFonts w:ascii="宋体" w:hAnsi="宋体"/>
                <w:sz w:val="21"/>
              </w:rPr>
            </w:pPr>
          </w:p>
        </w:tc>
        <w:tc>
          <w:tcPr>
            <w:tcW w:w="1200" w:type="dxa"/>
            <w:vMerge w:val="continue"/>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r>
              <w:rPr>
                <w:rFonts w:hint="eastAsia" w:ascii="宋体" w:hAnsi="宋体"/>
                <w:sz w:val="21"/>
              </w:rPr>
              <w:t>名称</w:t>
            </w:r>
          </w:p>
        </w:tc>
        <w:tc>
          <w:tcPr>
            <w:tcW w:w="886" w:type="dxa"/>
            <w:vAlign w:val="center"/>
          </w:tcPr>
          <w:p>
            <w:pPr>
              <w:pStyle w:val="5"/>
              <w:ind w:firstLine="0"/>
              <w:jc w:val="center"/>
              <w:rPr>
                <w:rFonts w:ascii="宋体" w:hAnsi="宋体"/>
                <w:sz w:val="21"/>
              </w:rPr>
            </w:pPr>
            <w:r>
              <w:rPr>
                <w:rFonts w:hint="eastAsia" w:ascii="宋体" w:hAnsi="宋体"/>
                <w:sz w:val="21"/>
              </w:rPr>
              <w:t>联系人</w:t>
            </w:r>
          </w:p>
        </w:tc>
        <w:tc>
          <w:tcPr>
            <w:tcW w:w="1100" w:type="dxa"/>
            <w:vAlign w:val="center"/>
          </w:tcPr>
          <w:p>
            <w:pPr>
              <w:pStyle w:val="5"/>
              <w:ind w:firstLine="0"/>
              <w:jc w:val="center"/>
              <w:rPr>
                <w:rFonts w:ascii="宋体" w:hAnsi="宋体"/>
                <w:sz w:val="21"/>
              </w:rPr>
            </w:pPr>
            <w:r>
              <w:rPr>
                <w:rFonts w:hint="eastAsia" w:ascii="宋体" w:hAnsi="宋体"/>
                <w:sz w:val="21"/>
              </w:rPr>
              <w:t>联系电话</w:t>
            </w:r>
          </w:p>
        </w:tc>
        <w:tc>
          <w:tcPr>
            <w:tcW w:w="1370" w:type="dxa"/>
            <w:vMerge w:val="continue"/>
          </w:tcPr>
          <w:p>
            <w:pPr>
              <w:pStyle w:val="5"/>
              <w:ind w:firstLine="0"/>
              <w:jc w:val="center"/>
              <w:rPr>
                <w:rFonts w:ascii="宋体" w:hAnsi="宋体"/>
                <w:sz w:val="21"/>
              </w:rPr>
            </w:pPr>
          </w:p>
        </w:tc>
        <w:tc>
          <w:tcPr>
            <w:tcW w:w="744" w:type="dxa"/>
            <w:vMerge w:val="continue"/>
            <w:vAlign w:val="center"/>
          </w:tcPr>
          <w:p>
            <w:pPr>
              <w:pStyle w:val="5"/>
              <w:ind w:firstLine="0"/>
              <w:jc w:val="center"/>
              <w:rPr>
                <w:rFonts w:ascii="宋体" w:hAnsi="宋体"/>
                <w:sz w:val="21"/>
              </w:rPr>
            </w:pPr>
          </w:p>
        </w:tc>
        <w:tc>
          <w:tcPr>
            <w:tcW w:w="900" w:type="dxa"/>
            <w:vMerge w:val="continue"/>
            <w:vAlign w:val="center"/>
          </w:tcPr>
          <w:p>
            <w:pPr>
              <w:pStyle w:val="5"/>
              <w:ind w:firstLine="0"/>
              <w:jc w:val="center"/>
              <w:rPr>
                <w:rFonts w:ascii="宋体" w:hAnsi="宋体"/>
                <w:sz w:val="21"/>
              </w:rPr>
            </w:pPr>
          </w:p>
        </w:tc>
        <w:tc>
          <w:tcPr>
            <w:tcW w:w="1400" w:type="dxa"/>
            <w:vMerge w:val="continue"/>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0" w:type="dxa"/>
            <w:vAlign w:val="center"/>
          </w:tcPr>
          <w:p>
            <w:pPr>
              <w:pStyle w:val="5"/>
              <w:ind w:firstLine="0"/>
              <w:jc w:val="center"/>
              <w:rPr>
                <w:rFonts w:ascii="宋体" w:hAnsi="宋体"/>
                <w:sz w:val="21"/>
              </w:rPr>
            </w:pPr>
          </w:p>
        </w:tc>
        <w:tc>
          <w:tcPr>
            <w:tcW w:w="1200" w:type="dxa"/>
            <w:vAlign w:val="center"/>
          </w:tcPr>
          <w:p>
            <w:pPr>
              <w:pStyle w:val="5"/>
              <w:ind w:firstLine="0"/>
              <w:jc w:val="center"/>
              <w:rPr>
                <w:rFonts w:ascii="宋体" w:hAnsi="宋体"/>
                <w:sz w:val="21"/>
              </w:rPr>
            </w:pPr>
          </w:p>
        </w:tc>
        <w:tc>
          <w:tcPr>
            <w:tcW w:w="916" w:type="dxa"/>
            <w:vAlign w:val="center"/>
          </w:tcPr>
          <w:p>
            <w:pPr>
              <w:pStyle w:val="5"/>
              <w:ind w:firstLine="0"/>
              <w:jc w:val="center"/>
              <w:rPr>
                <w:rFonts w:ascii="宋体" w:hAnsi="宋体"/>
                <w:sz w:val="21"/>
              </w:rPr>
            </w:pPr>
          </w:p>
        </w:tc>
        <w:tc>
          <w:tcPr>
            <w:tcW w:w="886" w:type="dxa"/>
            <w:vAlign w:val="center"/>
          </w:tcPr>
          <w:p>
            <w:pPr>
              <w:pStyle w:val="5"/>
              <w:ind w:firstLine="0"/>
              <w:jc w:val="center"/>
              <w:rPr>
                <w:rFonts w:ascii="宋体" w:hAnsi="宋体"/>
                <w:sz w:val="21"/>
              </w:rPr>
            </w:pPr>
          </w:p>
        </w:tc>
        <w:tc>
          <w:tcPr>
            <w:tcW w:w="1100" w:type="dxa"/>
            <w:vAlign w:val="center"/>
          </w:tcPr>
          <w:p>
            <w:pPr>
              <w:pStyle w:val="5"/>
              <w:ind w:firstLine="0"/>
              <w:jc w:val="center"/>
              <w:rPr>
                <w:rFonts w:ascii="宋体" w:hAnsi="宋体"/>
                <w:sz w:val="21"/>
              </w:rPr>
            </w:pPr>
          </w:p>
        </w:tc>
        <w:tc>
          <w:tcPr>
            <w:tcW w:w="1370" w:type="dxa"/>
          </w:tcPr>
          <w:p>
            <w:pPr>
              <w:pStyle w:val="5"/>
              <w:ind w:firstLine="0"/>
              <w:jc w:val="center"/>
              <w:rPr>
                <w:rFonts w:ascii="宋体" w:hAnsi="宋体"/>
                <w:sz w:val="21"/>
              </w:rPr>
            </w:pPr>
          </w:p>
        </w:tc>
        <w:tc>
          <w:tcPr>
            <w:tcW w:w="744" w:type="dxa"/>
            <w:vAlign w:val="center"/>
          </w:tcPr>
          <w:p>
            <w:pPr>
              <w:pStyle w:val="5"/>
              <w:ind w:firstLine="0"/>
              <w:jc w:val="center"/>
              <w:rPr>
                <w:rFonts w:ascii="宋体" w:hAnsi="宋体"/>
                <w:sz w:val="21"/>
              </w:rPr>
            </w:pPr>
          </w:p>
        </w:tc>
        <w:tc>
          <w:tcPr>
            <w:tcW w:w="900" w:type="dxa"/>
            <w:vAlign w:val="center"/>
          </w:tcPr>
          <w:p>
            <w:pPr>
              <w:pStyle w:val="5"/>
              <w:ind w:firstLine="0"/>
              <w:jc w:val="center"/>
              <w:rPr>
                <w:rFonts w:ascii="宋体" w:hAnsi="宋体"/>
                <w:sz w:val="21"/>
              </w:rPr>
            </w:pPr>
          </w:p>
        </w:tc>
        <w:tc>
          <w:tcPr>
            <w:tcW w:w="1400" w:type="dxa"/>
            <w:vAlign w:val="center"/>
          </w:tcPr>
          <w:p>
            <w:pPr>
              <w:pStyle w:val="5"/>
              <w:ind w:firstLine="0"/>
              <w:jc w:val="center"/>
              <w:rPr>
                <w:rFonts w:ascii="宋体" w:hAnsi="宋体"/>
                <w:sz w:val="21"/>
              </w:rPr>
            </w:pPr>
          </w:p>
        </w:tc>
      </w:tr>
    </w:tbl>
    <w:p>
      <w:pPr>
        <w:pStyle w:val="5"/>
        <w:ind w:firstLine="0"/>
        <w:jc w:val="both"/>
        <w:rPr>
          <w:rFonts w:ascii="宋体" w:hAnsi="宋体"/>
          <w:sz w:val="21"/>
        </w:rPr>
      </w:pPr>
    </w:p>
    <w:p>
      <w:pPr>
        <w:pStyle w:val="5"/>
        <w:spacing w:line="360" w:lineRule="auto"/>
        <w:ind w:left="945" w:hanging="945" w:hangingChars="450"/>
        <w:jc w:val="both"/>
        <w:rPr>
          <w:rFonts w:ascii="宋体" w:hAnsi="宋体"/>
          <w:sz w:val="21"/>
          <w:szCs w:val="21"/>
        </w:rPr>
      </w:pPr>
      <w:r>
        <w:rPr>
          <w:rFonts w:hint="eastAsia" w:ascii="宋体" w:hAnsi="宋体"/>
          <w:sz w:val="21"/>
        </w:rPr>
        <w:t>注：（1）须附有中标通知书、合同关键页及竣工验收证明材料复印件。</w:t>
      </w:r>
      <w:r>
        <w:rPr>
          <w:rFonts w:hint="eastAsia" w:ascii="宋体" w:hAnsi="宋体"/>
          <w:sz w:val="21"/>
          <w:szCs w:val="21"/>
        </w:rPr>
        <w:t>以上证明文件须加盖公章。</w:t>
      </w:r>
    </w:p>
    <w:p>
      <w:pPr>
        <w:pStyle w:val="5"/>
        <w:spacing w:line="360" w:lineRule="auto"/>
        <w:ind w:left="945" w:leftChars="210" w:hanging="525" w:hangingChars="250"/>
        <w:jc w:val="both"/>
        <w:rPr>
          <w:rFonts w:ascii="宋体" w:hAnsi="宋体"/>
          <w:sz w:val="21"/>
        </w:rPr>
      </w:pPr>
    </w:p>
    <w:p>
      <w:pPr>
        <w:tabs>
          <w:tab w:val="left" w:pos="0"/>
        </w:tabs>
        <w:spacing w:line="360" w:lineRule="auto"/>
        <w:ind w:right="-210" w:firstLine="499" w:firstLineChars="238"/>
        <w:rPr>
          <w:rFonts w:ascii="宋体" w:hAnsi="宋体"/>
          <w:sz w:val="21"/>
        </w:rPr>
      </w:pPr>
    </w:p>
    <w:p>
      <w:pPr>
        <w:tabs>
          <w:tab w:val="left" w:pos="0"/>
        </w:tabs>
        <w:spacing w:line="360" w:lineRule="auto"/>
        <w:ind w:right="-210"/>
        <w:rPr>
          <w:rFonts w:ascii="宋体" w:hAnsi="宋体"/>
          <w:sz w:val="21"/>
        </w:rPr>
      </w:pPr>
      <w:r>
        <w:rPr>
          <w:rFonts w:hint="eastAsia" w:ascii="宋体" w:hAnsi="宋体"/>
          <w:sz w:val="21"/>
        </w:rPr>
        <w:t>投标人：</w:t>
      </w:r>
      <w:r>
        <w:rPr>
          <w:rFonts w:hint="eastAsia" w:ascii="宋体" w:hAnsi="宋体"/>
          <w:sz w:val="21"/>
          <w:u w:val="single"/>
        </w:rPr>
        <w:t xml:space="preserve">                                     </w:t>
      </w:r>
      <w:r>
        <w:rPr>
          <w:rFonts w:hint="eastAsia" w:ascii="宋体" w:hAnsi="宋体"/>
          <w:sz w:val="21"/>
        </w:rPr>
        <w:t>（盖章）</w:t>
      </w:r>
    </w:p>
    <w:p>
      <w:pPr>
        <w:tabs>
          <w:tab w:val="left" w:pos="0"/>
        </w:tabs>
        <w:spacing w:line="360" w:lineRule="auto"/>
        <w:ind w:right="-210"/>
        <w:rPr>
          <w:rFonts w:ascii="宋体" w:hAnsi="宋体"/>
          <w:sz w:val="21"/>
        </w:rPr>
      </w:pPr>
      <w:r>
        <w:rPr>
          <w:rFonts w:hint="eastAsia" w:ascii="宋体" w:hAnsi="宋体"/>
          <w:sz w:val="21"/>
        </w:rPr>
        <w:t>法定代表人或委托代理人：</w:t>
      </w:r>
      <w:r>
        <w:rPr>
          <w:rFonts w:hint="eastAsia" w:ascii="宋体" w:hAnsi="宋体"/>
          <w:sz w:val="21"/>
          <w:u w:val="single"/>
        </w:rPr>
        <w:t xml:space="preserve">                </w:t>
      </w:r>
      <w:r>
        <w:rPr>
          <w:rFonts w:hint="eastAsia" w:ascii="宋体" w:hAnsi="宋体"/>
          <w:sz w:val="21"/>
        </w:rPr>
        <w:t>（签字或盖章）</w:t>
      </w:r>
    </w:p>
    <w:p>
      <w:pPr>
        <w:tabs>
          <w:tab w:val="left" w:pos="0"/>
        </w:tabs>
        <w:spacing w:line="360" w:lineRule="auto"/>
        <w:ind w:right="-210"/>
        <w:jc w:val="both"/>
        <w:rPr>
          <w:rFonts w:ascii="宋体" w:hAnsi="宋体"/>
          <w:sz w:val="21"/>
        </w:rPr>
      </w:pPr>
      <w:r>
        <w:rPr>
          <w:rFonts w:hint="eastAsia" w:ascii="宋体" w:hAnsi="宋体"/>
          <w:sz w:val="21"/>
        </w:rPr>
        <w:t>日期：</w:t>
      </w:r>
      <w:r>
        <w:rPr>
          <w:rFonts w:hint="eastAsia" w:ascii="宋体" w:hAnsi="宋体"/>
          <w:sz w:val="21"/>
          <w:u w:val="single"/>
        </w:rPr>
        <w:t xml:space="preserve">       </w:t>
      </w:r>
      <w:r>
        <w:rPr>
          <w:rFonts w:hint="eastAsia" w:ascii="宋体" w:hAnsi="宋体"/>
          <w:sz w:val="21"/>
        </w:rPr>
        <w:t>年</w:t>
      </w:r>
      <w:r>
        <w:rPr>
          <w:rFonts w:hint="eastAsia" w:ascii="宋体" w:hAnsi="宋体"/>
          <w:sz w:val="21"/>
          <w:u w:val="single"/>
        </w:rPr>
        <w:t xml:space="preserve">     </w:t>
      </w:r>
      <w:r>
        <w:rPr>
          <w:rFonts w:hint="eastAsia" w:ascii="宋体" w:hAnsi="宋体"/>
          <w:sz w:val="21"/>
        </w:rPr>
        <w:t xml:space="preserve"> 月</w:t>
      </w:r>
      <w:r>
        <w:rPr>
          <w:rFonts w:hint="eastAsia" w:ascii="宋体" w:hAnsi="宋体"/>
          <w:sz w:val="21"/>
          <w:u w:val="single"/>
        </w:rPr>
        <w:t xml:space="preserve">     </w:t>
      </w:r>
      <w:r>
        <w:rPr>
          <w:rFonts w:hint="eastAsia" w:ascii="宋体" w:hAnsi="宋体"/>
          <w:sz w:val="21"/>
        </w:rPr>
        <w:t>日</w:t>
      </w:r>
    </w:p>
    <w:p>
      <w:pPr>
        <w:pStyle w:val="6"/>
        <w:numPr>
          <w:ilvl w:val="0"/>
          <w:numId w:val="0"/>
        </w:numPr>
        <w:spacing w:before="0" w:after="0" w:line="360" w:lineRule="auto"/>
        <w:jc w:val="left"/>
        <w:rPr>
          <w:rFonts w:ascii="宋体" w:hAnsi="宋体"/>
          <w:sz w:val="21"/>
        </w:rPr>
      </w:pPr>
      <w:r>
        <w:br w:type="page"/>
      </w:r>
    </w:p>
    <w:p>
      <w:pPr>
        <w:pStyle w:val="6"/>
        <w:numPr>
          <w:ilvl w:val="0"/>
          <w:numId w:val="0"/>
        </w:numPr>
        <w:spacing w:before="0" w:after="0" w:line="360" w:lineRule="auto"/>
        <w:rPr>
          <w:rFonts w:ascii="宋体" w:hAnsi="宋体"/>
          <w:b w:val="0"/>
          <w:bCs/>
          <w:sz w:val="21"/>
        </w:rPr>
      </w:pPr>
      <w:bookmarkStart w:id="474" w:name="_Hlt28141919"/>
      <w:bookmarkEnd w:id="474"/>
      <w:bookmarkStart w:id="475" w:name="_Toc26805684"/>
      <w:bookmarkStart w:id="476" w:name="_Toc276925333"/>
      <w:bookmarkStart w:id="477" w:name="_Toc26801097"/>
      <w:bookmarkStart w:id="478" w:name="_Toc13248_WPSOffice_Level3"/>
      <w:bookmarkStart w:id="479" w:name="_Toc429827780"/>
      <w:bookmarkStart w:id="480" w:name="_Toc10781_WPSOffice_Level3"/>
    </w:p>
    <w:p>
      <w:pPr>
        <w:pStyle w:val="6"/>
        <w:numPr>
          <w:ilvl w:val="0"/>
          <w:numId w:val="0"/>
        </w:numPr>
        <w:spacing w:before="0" w:after="0" w:line="360" w:lineRule="auto"/>
        <w:rPr>
          <w:rFonts w:ascii="宋体" w:hAnsi="宋体"/>
          <w:b w:val="0"/>
          <w:bCs/>
          <w:sz w:val="21"/>
        </w:rPr>
      </w:pPr>
      <w:r>
        <w:rPr>
          <w:rFonts w:hint="eastAsia" w:ascii="宋体" w:hAnsi="宋体"/>
          <w:b w:val="0"/>
          <w:bCs/>
          <w:sz w:val="21"/>
        </w:rPr>
        <w:t>5、拟派</w:t>
      </w:r>
      <w:bookmarkEnd w:id="475"/>
      <w:bookmarkEnd w:id="476"/>
      <w:bookmarkEnd w:id="477"/>
      <w:r>
        <w:rPr>
          <w:rFonts w:hint="eastAsia" w:ascii="宋体" w:hAnsi="宋体"/>
          <w:b w:val="0"/>
          <w:bCs/>
          <w:sz w:val="21"/>
        </w:rPr>
        <w:t>项目负责人资格证书</w:t>
      </w:r>
      <w:bookmarkEnd w:id="478"/>
      <w:bookmarkEnd w:id="479"/>
      <w:bookmarkEnd w:id="480"/>
    </w:p>
    <w:p>
      <w:pPr>
        <w:pStyle w:val="5"/>
        <w:ind w:firstLine="0"/>
        <w:jc w:val="center"/>
        <w:rPr>
          <w:rFonts w:ascii="宋体" w:hAnsi="宋体"/>
          <w:sz w:val="21"/>
        </w:rPr>
      </w:pPr>
    </w:p>
    <w:p>
      <w:pPr>
        <w:pStyle w:val="5"/>
        <w:ind w:firstLine="0"/>
        <w:jc w:val="center"/>
        <w:rPr>
          <w:rFonts w:ascii="宋体" w:hAnsi="宋体"/>
          <w:sz w:val="21"/>
        </w:rPr>
      </w:pPr>
      <w:r>
        <w:rPr>
          <w:rFonts w:hint="eastAsia" w:ascii="宋体" w:hAnsi="宋体"/>
          <w:sz w:val="21"/>
        </w:rPr>
        <w:t>要求提供注册建造师证书及项目负责人安全培训考核合格证（B类）复印件加盖公章</w:t>
      </w:r>
      <w:r>
        <w:rPr>
          <w:rFonts w:hint="eastAsia" w:ascii="宋体" w:hAnsi="宋体"/>
          <w:sz w:val="21"/>
          <w:szCs w:val="21"/>
        </w:rPr>
        <w:t>或广东省建筑施工企业管理人员安全生产考核信息系统安全生产管理人员证书信息的打印页并</w:t>
      </w:r>
      <w:r>
        <w:rPr>
          <w:rFonts w:hint="eastAsia" w:ascii="宋体" w:hAnsi="宋体"/>
          <w:sz w:val="21"/>
        </w:rPr>
        <w:t>加盖公章</w:t>
      </w:r>
      <w:r>
        <w:rPr>
          <w:rFonts w:hint="eastAsia" w:ascii="宋体" w:hAnsi="宋体"/>
          <w:sz w:val="21"/>
          <w:szCs w:val="21"/>
        </w:rPr>
        <w:t>。</w:t>
      </w:r>
    </w:p>
    <w:p>
      <w:pPr>
        <w:pStyle w:val="5"/>
        <w:ind w:firstLine="0"/>
        <w:jc w:val="center"/>
        <w:rPr>
          <w:rFonts w:ascii="宋体" w:hAnsi="宋体"/>
          <w:sz w:val="21"/>
        </w:rPr>
      </w:pPr>
      <w:r>
        <w:rPr>
          <w:rFonts w:ascii="宋体" w:hAnsi="宋体"/>
          <w:sz w:val="21"/>
        </w:rPr>
        <w:br w:type="page"/>
      </w:r>
    </w:p>
    <w:p>
      <w:pPr>
        <w:pStyle w:val="6"/>
        <w:numPr>
          <w:ilvl w:val="0"/>
          <w:numId w:val="0"/>
        </w:numPr>
        <w:spacing w:before="0" w:after="0" w:line="360" w:lineRule="auto"/>
        <w:rPr>
          <w:rFonts w:ascii="宋体" w:hAnsi="宋体"/>
          <w:b w:val="0"/>
          <w:bCs/>
          <w:sz w:val="21"/>
        </w:rPr>
      </w:pPr>
      <w:bookmarkStart w:id="481" w:name="_Hlt30394613"/>
      <w:bookmarkEnd w:id="481"/>
      <w:bookmarkStart w:id="482" w:name="_Toc26801100"/>
      <w:bookmarkStart w:id="483" w:name="_Toc26805687"/>
      <w:bookmarkStart w:id="484" w:name="_Toc429827783"/>
      <w:bookmarkStart w:id="485" w:name="_Toc276925336"/>
      <w:bookmarkStart w:id="486" w:name="_Toc15514_WPSOffice_Level3"/>
      <w:bookmarkStart w:id="487" w:name="_Toc4573_WPSOffice_Level3"/>
      <w:r>
        <w:rPr>
          <w:rFonts w:hint="eastAsia" w:ascii="宋体" w:hAnsi="宋体"/>
          <w:b w:val="0"/>
          <w:bCs/>
          <w:sz w:val="21"/>
        </w:rPr>
        <w:t>6、</w:t>
      </w:r>
      <w:bookmarkEnd w:id="482"/>
      <w:bookmarkEnd w:id="483"/>
      <w:r>
        <w:rPr>
          <w:rFonts w:hint="eastAsia" w:ascii="宋体" w:hAnsi="宋体"/>
          <w:b w:val="0"/>
          <w:bCs/>
          <w:sz w:val="21"/>
        </w:rPr>
        <w:t>拟派项目部人员的组成</w:t>
      </w:r>
      <w:bookmarkEnd w:id="484"/>
      <w:bookmarkEnd w:id="485"/>
      <w:bookmarkEnd w:id="486"/>
      <w:bookmarkEnd w:id="487"/>
    </w:p>
    <w:p>
      <w:pPr>
        <w:pStyle w:val="5"/>
        <w:ind w:firstLine="0"/>
        <w:jc w:val="center"/>
      </w:pPr>
    </w:p>
    <w:tbl>
      <w:tblPr>
        <w:tblStyle w:val="5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48"/>
        <w:gridCol w:w="1047"/>
        <w:gridCol w:w="1077"/>
        <w:gridCol w:w="1078"/>
        <w:gridCol w:w="1077"/>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47" w:type="dxa"/>
            <w:vMerge w:val="restart"/>
            <w:vAlign w:val="center"/>
          </w:tcPr>
          <w:p>
            <w:pPr>
              <w:spacing w:line="360" w:lineRule="exact"/>
              <w:jc w:val="center"/>
              <w:rPr>
                <w:rFonts w:ascii="宋体" w:hAnsi="宋体"/>
                <w:sz w:val="21"/>
                <w:szCs w:val="21"/>
              </w:rPr>
            </w:pPr>
            <w:r>
              <w:rPr>
                <w:rFonts w:hint="eastAsia" w:ascii="宋体" w:hAnsi="宋体"/>
                <w:sz w:val="21"/>
                <w:szCs w:val="21"/>
              </w:rPr>
              <w:t>姓名</w:t>
            </w:r>
          </w:p>
        </w:tc>
        <w:tc>
          <w:tcPr>
            <w:tcW w:w="1048" w:type="dxa"/>
            <w:vMerge w:val="restart"/>
            <w:vAlign w:val="center"/>
          </w:tcPr>
          <w:p>
            <w:pPr>
              <w:spacing w:line="360" w:lineRule="exact"/>
              <w:jc w:val="center"/>
              <w:rPr>
                <w:rFonts w:ascii="宋体" w:hAnsi="宋体"/>
                <w:sz w:val="21"/>
                <w:szCs w:val="21"/>
              </w:rPr>
            </w:pPr>
            <w:r>
              <w:rPr>
                <w:rFonts w:hint="eastAsia" w:ascii="宋体" w:hAnsi="宋体"/>
                <w:sz w:val="21"/>
                <w:szCs w:val="21"/>
              </w:rPr>
              <w:t>拟任职务</w:t>
            </w:r>
          </w:p>
        </w:tc>
        <w:tc>
          <w:tcPr>
            <w:tcW w:w="1047" w:type="dxa"/>
            <w:vMerge w:val="restart"/>
            <w:vAlign w:val="center"/>
          </w:tcPr>
          <w:p>
            <w:pPr>
              <w:spacing w:line="360" w:lineRule="exact"/>
              <w:jc w:val="center"/>
              <w:rPr>
                <w:rFonts w:ascii="宋体" w:hAnsi="宋体"/>
                <w:sz w:val="21"/>
                <w:szCs w:val="21"/>
              </w:rPr>
            </w:pPr>
            <w:r>
              <w:rPr>
                <w:rFonts w:hint="eastAsia" w:ascii="宋体" w:hAnsi="宋体"/>
                <w:sz w:val="21"/>
                <w:szCs w:val="21"/>
              </w:rPr>
              <w:t>职称</w:t>
            </w:r>
          </w:p>
        </w:tc>
        <w:tc>
          <w:tcPr>
            <w:tcW w:w="3232" w:type="dxa"/>
            <w:gridSpan w:val="3"/>
            <w:vAlign w:val="center"/>
          </w:tcPr>
          <w:p>
            <w:pPr>
              <w:spacing w:line="360" w:lineRule="exact"/>
              <w:jc w:val="center"/>
              <w:rPr>
                <w:rFonts w:ascii="宋体" w:hAnsi="宋体"/>
                <w:sz w:val="21"/>
                <w:szCs w:val="21"/>
              </w:rPr>
            </w:pPr>
            <w:r>
              <w:rPr>
                <w:rFonts w:hint="eastAsia" w:ascii="宋体" w:hAnsi="宋体"/>
                <w:sz w:val="21"/>
                <w:szCs w:val="21"/>
              </w:rPr>
              <w:t>执业或职业资格证明</w:t>
            </w:r>
          </w:p>
        </w:tc>
        <w:tc>
          <w:tcPr>
            <w:tcW w:w="2155" w:type="dxa"/>
            <w:vMerge w:val="restart"/>
            <w:vAlign w:val="center"/>
          </w:tcPr>
          <w:p>
            <w:pPr>
              <w:spacing w:line="360" w:lineRule="exact"/>
              <w:jc w:val="center"/>
              <w:rPr>
                <w:rFonts w:ascii="宋体" w:hAnsi="宋体"/>
                <w:sz w:val="21"/>
                <w:szCs w:val="21"/>
              </w:rPr>
            </w:pPr>
            <w:r>
              <w:rPr>
                <w:rFonts w:hint="eastAsia" w:ascii="宋体" w:hAnsi="宋体"/>
                <w:sz w:val="21"/>
                <w:szCs w:val="21"/>
              </w:rPr>
              <w:t>承担过的主要项目名称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47" w:type="dxa"/>
            <w:vMerge w:val="continue"/>
            <w:vAlign w:val="center"/>
          </w:tcPr>
          <w:p>
            <w:pPr>
              <w:spacing w:line="360" w:lineRule="exact"/>
              <w:jc w:val="center"/>
              <w:rPr>
                <w:rFonts w:ascii="宋体" w:hAnsi="宋体"/>
                <w:sz w:val="21"/>
                <w:szCs w:val="21"/>
              </w:rPr>
            </w:pPr>
          </w:p>
        </w:tc>
        <w:tc>
          <w:tcPr>
            <w:tcW w:w="1048" w:type="dxa"/>
            <w:vMerge w:val="continue"/>
            <w:vAlign w:val="center"/>
          </w:tcPr>
          <w:p>
            <w:pPr>
              <w:spacing w:line="360" w:lineRule="exact"/>
              <w:jc w:val="center"/>
              <w:rPr>
                <w:rFonts w:ascii="宋体" w:hAnsi="宋体"/>
                <w:sz w:val="21"/>
                <w:szCs w:val="21"/>
              </w:rPr>
            </w:pPr>
          </w:p>
        </w:tc>
        <w:tc>
          <w:tcPr>
            <w:tcW w:w="1047" w:type="dxa"/>
            <w:vMerge w:val="continue"/>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r>
              <w:rPr>
                <w:rFonts w:hint="eastAsia" w:ascii="宋体" w:hAnsi="宋体"/>
                <w:sz w:val="21"/>
                <w:szCs w:val="21"/>
              </w:rPr>
              <w:t>证书名称</w:t>
            </w:r>
          </w:p>
        </w:tc>
        <w:tc>
          <w:tcPr>
            <w:tcW w:w="1078" w:type="dxa"/>
            <w:vAlign w:val="center"/>
          </w:tcPr>
          <w:p>
            <w:pPr>
              <w:spacing w:line="360" w:lineRule="exact"/>
              <w:jc w:val="center"/>
              <w:rPr>
                <w:rFonts w:ascii="宋体" w:hAnsi="宋体"/>
                <w:sz w:val="21"/>
                <w:szCs w:val="21"/>
              </w:rPr>
            </w:pPr>
            <w:r>
              <w:rPr>
                <w:rFonts w:hint="eastAsia" w:ascii="宋体" w:hAnsi="宋体"/>
                <w:sz w:val="21"/>
                <w:szCs w:val="21"/>
              </w:rPr>
              <w:t>证  号</w:t>
            </w:r>
          </w:p>
        </w:tc>
        <w:tc>
          <w:tcPr>
            <w:tcW w:w="1077" w:type="dxa"/>
            <w:vAlign w:val="center"/>
          </w:tcPr>
          <w:p>
            <w:pPr>
              <w:spacing w:line="360" w:lineRule="exact"/>
              <w:jc w:val="center"/>
              <w:rPr>
                <w:rFonts w:ascii="宋体" w:hAnsi="宋体"/>
                <w:sz w:val="21"/>
                <w:szCs w:val="21"/>
              </w:rPr>
            </w:pPr>
            <w:r>
              <w:rPr>
                <w:rFonts w:hint="eastAsia" w:ascii="宋体" w:hAnsi="宋体"/>
                <w:sz w:val="21"/>
                <w:szCs w:val="21"/>
              </w:rPr>
              <w:t>专  业</w:t>
            </w:r>
          </w:p>
        </w:tc>
        <w:tc>
          <w:tcPr>
            <w:tcW w:w="2155" w:type="dxa"/>
            <w:vMerge w:val="continue"/>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047" w:type="dxa"/>
            <w:vAlign w:val="center"/>
          </w:tcPr>
          <w:p>
            <w:pPr>
              <w:spacing w:line="360" w:lineRule="exact"/>
              <w:jc w:val="center"/>
              <w:rPr>
                <w:rFonts w:ascii="宋体" w:hAnsi="宋体"/>
                <w:sz w:val="21"/>
                <w:szCs w:val="21"/>
              </w:rPr>
            </w:pPr>
          </w:p>
        </w:tc>
        <w:tc>
          <w:tcPr>
            <w:tcW w:w="1048" w:type="dxa"/>
            <w:vAlign w:val="center"/>
          </w:tcPr>
          <w:p>
            <w:pPr>
              <w:spacing w:line="360" w:lineRule="exact"/>
              <w:jc w:val="center"/>
              <w:rPr>
                <w:rFonts w:ascii="宋体" w:hAnsi="宋体"/>
                <w:sz w:val="21"/>
                <w:szCs w:val="21"/>
              </w:rPr>
            </w:pPr>
          </w:p>
        </w:tc>
        <w:tc>
          <w:tcPr>
            <w:tcW w:w="1047"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1078" w:type="dxa"/>
            <w:vAlign w:val="center"/>
          </w:tcPr>
          <w:p>
            <w:pPr>
              <w:spacing w:line="360" w:lineRule="exact"/>
              <w:jc w:val="center"/>
              <w:rPr>
                <w:rFonts w:ascii="宋体" w:hAnsi="宋体"/>
                <w:sz w:val="21"/>
                <w:szCs w:val="21"/>
              </w:rPr>
            </w:pPr>
          </w:p>
        </w:tc>
        <w:tc>
          <w:tcPr>
            <w:tcW w:w="1077" w:type="dxa"/>
            <w:vAlign w:val="center"/>
          </w:tcPr>
          <w:p>
            <w:pPr>
              <w:spacing w:line="360" w:lineRule="exact"/>
              <w:jc w:val="center"/>
              <w:rPr>
                <w:rFonts w:ascii="宋体" w:hAnsi="宋体"/>
                <w:sz w:val="21"/>
                <w:szCs w:val="21"/>
              </w:rPr>
            </w:pPr>
          </w:p>
        </w:tc>
        <w:tc>
          <w:tcPr>
            <w:tcW w:w="2155" w:type="dxa"/>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8529" w:type="dxa"/>
            <w:gridSpan w:val="7"/>
            <w:vAlign w:val="center"/>
          </w:tcPr>
          <w:p>
            <w:pPr>
              <w:spacing w:line="360" w:lineRule="exact"/>
              <w:ind w:firstLine="390" w:firstLineChars="186"/>
              <w:jc w:val="both"/>
              <w:rPr>
                <w:rFonts w:ascii="宋体" w:hAnsi="宋体"/>
                <w:sz w:val="21"/>
                <w:szCs w:val="21"/>
              </w:rPr>
            </w:pPr>
            <w:r>
              <w:rPr>
                <w:rFonts w:hint="eastAsia" w:ascii="宋体" w:hAnsi="宋体"/>
                <w:sz w:val="21"/>
                <w:szCs w:val="21"/>
              </w:rPr>
              <w:t>一旦我单位中标，将实行项目负责人负责制，我方保证并配备上述项目管理机构。上述填报内容真实，若不真实，愿按有关规定接受处理。（本表中对应职务人员的相关证书等资料必须附后）。</w:t>
            </w:r>
          </w:p>
        </w:tc>
      </w:tr>
    </w:tbl>
    <w:p>
      <w:pPr>
        <w:pStyle w:val="5"/>
        <w:ind w:firstLine="0"/>
        <w:jc w:val="both"/>
        <w:outlineLvl w:val="1"/>
        <w:rPr>
          <w:rFonts w:ascii="宋体" w:hAnsi="宋体"/>
          <w:sz w:val="21"/>
        </w:rPr>
      </w:pPr>
      <w:bookmarkStart w:id="488" w:name="_Toc23949"/>
      <w:r>
        <w:rPr>
          <w:rFonts w:hint="eastAsia" w:ascii="宋体" w:hAnsi="宋体"/>
          <w:b/>
          <w:bCs/>
          <w:sz w:val="21"/>
        </w:rPr>
        <w:t>备注：项目部人员需按资格审查表的要求附相关证明材料。</w:t>
      </w:r>
      <w:bookmarkEnd w:id="488"/>
    </w:p>
    <w:p>
      <w:pPr>
        <w:tabs>
          <w:tab w:val="left" w:pos="0"/>
        </w:tabs>
        <w:spacing w:line="360" w:lineRule="auto"/>
        <w:ind w:right="-210"/>
        <w:rPr>
          <w:rFonts w:ascii="宋体" w:hAnsi="宋体"/>
          <w:sz w:val="21"/>
        </w:rPr>
      </w:pPr>
      <w:r>
        <w:rPr>
          <w:rFonts w:hint="eastAsia" w:ascii="宋体" w:hAnsi="宋体"/>
          <w:sz w:val="21"/>
        </w:rPr>
        <w:t>投标人：</w:t>
      </w:r>
      <w:r>
        <w:rPr>
          <w:rFonts w:hint="eastAsia" w:ascii="宋体" w:hAnsi="宋体"/>
          <w:sz w:val="21"/>
          <w:u w:val="single"/>
        </w:rPr>
        <w:t xml:space="preserve">                                     </w:t>
      </w:r>
      <w:r>
        <w:rPr>
          <w:rFonts w:hint="eastAsia" w:ascii="宋体" w:hAnsi="宋体"/>
          <w:sz w:val="21"/>
        </w:rPr>
        <w:t>（盖章）</w:t>
      </w:r>
    </w:p>
    <w:p>
      <w:pPr>
        <w:tabs>
          <w:tab w:val="left" w:pos="0"/>
        </w:tabs>
        <w:spacing w:line="360" w:lineRule="auto"/>
        <w:ind w:right="-210"/>
        <w:rPr>
          <w:rFonts w:ascii="宋体" w:hAnsi="宋体"/>
          <w:sz w:val="21"/>
        </w:rPr>
      </w:pPr>
      <w:r>
        <w:rPr>
          <w:rFonts w:hint="eastAsia" w:ascii="宋体" w:hAnsi="宋体"/>
          <w:sz w:val="21"/>
        </w:rPr>
        <w:t>法定代表人或委托代理人：</w:t>
      </w:r>
      <w:r>
        <w:rPr>
          <w:rFonts w:hint="eastAsia" w:ascii="宋体" w:hAnsi="宋体"/>
          <w:sz w:val="21"/>
          <w:u w:val="single"/>
        </w:rPr>
        <w:t xml:space="preserve">                </w:t>
      </w:r>
      <w:r>
        <w:rPr>
          <w:rFonts w:hint="eastAsia" w:ascii="宋体" w:hAnsi="宋体"/>
          <w:sz w:val="21"/>
        </w:rPr>
        <w:t>（签字或盖章）</w:t>
      </w:r>
    </w:p>
    <w:p>
      <w:pPr>
        <w:tabs>
          <w:tab w:val="left" w:pos="0"/>
        </w:tabs>
        <w:spacing w:line="360" w:lineRule="auto"/>
        <w:ind w:right="-210"/>
        <w:jc w:val="both"/>
        <w:rPr>
          <w:rFonts w:ascii="宋体" w:hAnsi="宋体"/>
          <w:sz w:val="21"/>
        </w:rPr>
      </w:pPr>
      <w:r>
        <w:rPr>
          <w:rFonts w:hint="eastAsia" w:ascii="宋体" w:hAnsi="宋体"/>
          <w:sz w:val="21"/>
        </w:rPr>
        <w:t>日期：</w:t>
      </w:r>
      <w:r>
        <w:rPr>
          <w:rFonts w:hint="eastAsia" w:ascii="宋体" w:hAnsi="宋体"/>
          <w:sz w:val="21"/>
          <w:u w:val="single"/>
        </w:rPr>
        <w:t xml:space="preserve">       </w:t>
      </w:r>
      <w:r>
        <w:rPr>
          <w:rFonts w:hint="eastAsia" w:ascii="宋体" w:hAnsi="宋体"/>
          <w:sz w:val="21"/>
        </w:rPr>
        <w:t>年</w:t>
      </w:r>
      <w:r>
        <w:rPr>
          <w:rFonts w:hint="eastAsia" w:ascii="宋体" w:hAnsi="宋体"/>
          <w:sz w:val="21"/>
          <w:u w:val="single"/>
        </w:rPr>
        <w:t xml:space="preserve">     </w:t>
      </w:r>
      <w:r>
        <w:rPr>
          <w:rFonts w:hint="eastAsia" w:ascii="宋体" w:hAnsi="宋体"/>
          <w:sz w:val="21"/>
        </w:rPr>
        <w:t xml:space="preserve"> 月</w:t>
      </w:r>
      <w:r>
        <w:rPr>
          <w:rFonts w:hint="eastAsia" w:ascii="宋体" w:hAnsi="宋体"/>
          <w:sz w:val="21"/>
          <w:u w:val="single"/>
        </w:rPr>
        <w:t xml:space="preserve">     </w:t>
      </w:r>
      <w:r>
        <w:rPr>
          <w:rFonts w:hint="eastAsia" w:ascii="宋体" w:hAnsi="宋体"/>
          <w:sz w:val="21"/>
        </w:rPr>
        <w:t>日</w:t>
      </w:r>
    </w:p>
    <w:p>
      <w:pPr>
        <w:jc w:val="center"/>
      </w:pPr>
      <w:r>
        <w:br w:type="page"/>
      </w:r>
    </w:p>
    <w:p>
      <w:pPr>
        <w:pStyle w:val="5"/>
        <w:ind w:firstLine="0"/>
        <w:jc w:val="center"/>
        <w:rPr>
          <w:rFonts w:ascii="宋体" w:hAnsi="宋体"/>
          <w:sz w:val="21"/>
        </w:rPr>
      </w:pPr>
    </w:p>
    <w:p>
      <w:pPr>
        <w:pStyle w:val="6"/>
        <w:numPr>
          <w:ilvl w:val="0"/>
          <w:numId w:val="0"/>
        </w:numPr>
        <w:spacing w:before="0" w:after="0" w:line="360" w:lineRule="auto"/>
        <w:rPr>
          <w:rFonts w:ascii="宋体" w:hAnsi="宋体"/>
          <w:b w:val="0"/>
          <w:bCs/>
          <w:sz w:val="21"/>
        </w:rPr>
      </w:pPr>
      <w:bookmarkStart w:id="489" w:name="_Toc276925338"/>
      <w:bookmarkStart w:id="490" w:name="_Toc12249_WPSOffice_Level3"/>
      <w:bookmarkStart w:id="491" w:name="_Toc26805688"/>
      <w:bookmarkStart w:id="492" w:name="_Toc429827785"/>
      <w:bookmarkStart w:id="493" w:name="_Toc29398_WPSOffice_Level3"/>
      <w:bookmarkStart w:id="494" w:name="_Toc26801101"/>
      <w:r>
        <w:rPr>
          <w:rFonts w:hint="eastAsia" w:ascii="宋体" w:hAnsi="宋体"/>
          <w:b w:val="0"/>
          <w:bCs/>
          <w:sz w:val="21"/>
        </w:rPr>
        <w:t>7、其他相关证明文件</w:t>
      </w:r>
      <w:bookmarkEnd w:id="489"/>
      <w:bookmarkEnd w:id="490"/>
      <w:bookmarkEnd w:id="491"/>
      <w:bookmarkEnd w:id="492"/>
      <w:bookmarkEnd w:id="493"/>
      <w:bookmarkEnd w:id="494"/>
    </w:p>
    <w:p>
      <w:pPr>
        <w:pStyle w:val="5"/>
        <w:ind w:firstLine="0"/>
        <w:jc w:val="center"/>
      </w:pPr>
    </w:p>
    <w:p>
      <w:pPr>
        <w:spacing w:line="360" w:lineRule="auto"/>
        <w:jc w:val="both"/>
        <w:rPr>
          <w:rFonts w:ascii="宋体" w:hAnsi="宋体"/>
          <w:sz w:val="21"/>
          <w:szCs w:val="21"/>
        </w:rPr>
      </w:pPr>
      <w:r>
        <w:rPr>
          <w:rFonts w:hint="eastAsia" w:ascii="宋体" w:hAnsi="宋体"/>
          <w:sz w:val="21"/>
          <w:szCs w:val="21"/>
        </w:rPr>
        <w:t>包括但不限于：</w:t>
      </w:r>
    </w:p>
    <w:p>
      <w:pPr>
        <w:spacing w:line="360" w:lineRule="auto"/>
        <w:jc w:val="both"/>
        <w:rPr>
          <w:rFonts w:ascii="宋体" w:hAnsi="宋体"/>
          <w:sz w:val="21"/>
          <w:szCs w:val="21"/>
        </w:rPr>
      </w:pPr>
      <w:r>
        <w:rPr>
          <w:rFonts w:hint="eastAsia" w:ascii="宋体" w:hAnsi="宋体"/>
          <w:sz w:val="21"/>
          <w:szCs w:val="21"/>
        </w:rPr>
        <w:t>1、满足招标文件要求的其它文件和投标人认为有必要提供的其它文件；</w:t>
      </w:r>
    </w:p>
    <w:p>
      <w:pPr>
        <w:spacing w:line="360" w:lineRule="auto"/>
        <w:jc w:val="both"/>
        <w:rPr>
          <w:rFonts w:ascii="宋体" w:hAnsi="宋体"/>
          <w:sz w:val="21"/>
          <w:szCs w:val="21"/>
        </w:rPr>
      </w:pPr>
    </w:p>
    <w:p>
      <w:pPr>
        <w:spacing w:line="360" w:lineRule="auto"/>
        <w:jc w:val="both"/>
        <w:rPr>
          <w:rFonts w:ascii="宋体" w:hAnsi="宋体"/>
          <w:sz w:val="21"/>
          <w:szCs w:val="21"/>
        </w:rPr>
      </w:pPr>
      <w:r>
        <w:rPr>
          <w:rFonts w:ascii="宋体" w:hAnsi="宋体"/>
          <w:sz w:val="21"/>
          <w:szCs w:val="21"/>
        </w:rPr>
        <w:t>……</w:t>
      </w:r>
    </w:p>
    <w:p>
      <w:pPr>
        <w:spacing w:line="360" w:lineRule="auto"/>
        <w:rPr>
          <w:rFonts w:ascii="宋体" w:hAnsi="宋体"/>
          <w:sz w:val="21"/>
        </w:rPr>
      </w:pPr>
      <w:r>
        <w:rPr>
          <w:rFonts w:hint="eastAsia" w:ascii="宋体" w:hAnsi="宋体"/>
          <w:sz w:val="21"/>
        </w:rPr>
        <w:t xml:space="preserve"> </w:t>
      </w:r>
    </w:p>
    <w:p>
      <w:pPr>
        <w:spacing w:line="360" w:lineRule="auto"/>
        <w:outlineLvl w:val="1"/>
        <w:rPr>
          <w:rFonts w:ascii="宋体" w:hAnsi="宋体"/>
          <w:b/>
          <w:sz w:val="21"/>
        </w:rPr>
      </w:pPr>
      <w:r>
        <w:rPr>
          <w:rFonts w:ascii="宋体" w:hAnsi="宋体"/>
          <w:sz w:val="21"/>
        </w:rPr>
        <w:br w:type="page"/>
      </w:r>
      <w:bookmarkStart w:id="495" w:name="_Toc26800786"/>
      <w:bookmarkStart w:id="496" w:name="_Toc26800975"/>
      <w:bookmarkStart w:id="497" w:name="_Toc26800857"/>
      <w:bookmarkStart w:id="498" w:name="_Toc32469_WPSOffice_Level2"/>
      <w:bookmarkStart w:id="499" w:name="_Toc429827786"/>
      <w:bookmarkStart w:id="500" w:name="_Toc276925339"/>
      <w:bookmarkStart w:id="501" w:name="_Toc26805689"/>
      <w:bookmarkStart w:id="502" w:name="_Toc11609"/>
      <w:bookmarkStart w:id="503" w:name="_Toc26801102"/>
      <w:r>
        <w:rPr>
          <w:rFonts w:hint="eastAsia" w:ascii="宋体" w:hAnsi="宋体"/>
          <w:b/>
          <w:sz w:val="21"/>
        </w:rPr>
        <w:t>二、投标报价</w:t>
      </w:r>
      <w:bookmarkEnd w:id="495"/>
      <w:bookmarkEnd w:id="496"/>
      <w:bookmarkEnd w:id="497"/>
      <w:r>
        <w:rPr>
          <w:rFonts w:hint="eastAsia" w:ascii="宋体" w:hAnsi="宋体"/>
          <w:b/>
          <w:sz w:val="21"/>
        </w:rPr>
        <w:t>内容</w:t>
      </w:r>
      <w:bookmarkEnd w:id="498"/>
      <w:bookmarkEnd w:id="499"/>
      <w:bookmarkEnd w:id="500"/>
      <w:bookmarkEnd w:id="501"/>
      <w:bookmarkEnd w:id="502"/>
      <w:bookmarkEnd w:id="503"/>
      <w:bookmarkStart w:id="504" w:name="_Toc429827787"/>
      <w:bookmarkStart w:id="505" w:name="_Toc26800859"/>
      <w:bookmarkStart w:id="506" w:name="_Toc26800788"/>
      <w:bookmarkStart w:id="507" w:name="_Toc26800977"/>
    </w:p>
    <w:p>
      <w:pPr>
        <w:pStyle w:val="6"/>
        <w:numPr>
          <w:ilvl w:val="0"/>
          <w:numId w:val="0"/>
        </w:numPr>
        <w:spacing w:before="0" w:after="0" w:line="360" w:lineRule="auto"/>
        <w:rPr>
          <w:rFonts w:ascii="宋体" w:hAnsi="宋体"/>
          <w:b w:val="0"/>
          <w:bCs/>
          <w:sz w:val="21"/>
        </w:rPr>
      </w:pPr>
      <w:bookmarkStart w:id="508" w:name="_Toc24604_WPSOffice_Level3"/>
      <w:r>
        <w:rPr>
          <w:rFonts w:hint="eastAsia" w:ascii="宋体" w:hAnsi="宋体"/>
          <w:b w:val="0"/>
          <w:bCs/>
          <w:sz w:val="21"/>
        </w:rPr>
        <w:t>1、已标价工程量清单</w:t>
      </w:r>
      <w:bookmarkEnd w:id="504"/>
      <w:bookmarkEnd w:id="508"/>
    </w:p>
    <w:p>
      <w:pPr>
        <w:tabs>
          <w:tab w:val="left" w:pos="0"/>
        </w:tabs>
        <w:spacing w:line="360" w:lineRule="auto"/>
        <w:ind w:right="326" w:firstLine="999" w:firstLineChars="476"/>
        <w:jc w:val="both"/>
        <w:rPr>
          <w:rFonts w:ascii="宋体" w:hAnsi="宋体"/>
          <w:sz w:val="21"/>
        </w:rPr>
      </w:pPr>
    </w:p>
    <w:bookmarkEnd w:id="505"/>
    <w:bookmarkEnd w:id="506"/>
    <w:bookmarkEnd w:id="507"/>
    <w:p>
      <w:pPr>
        <w:spacing w:line="360" w:lineRule="auto"/>
        <w:jc w:val="center"/>
        <w:rPr>
          <w:rFonts w:ascii="宋体" w:hAnsi="宋体"/>
          <w:sz w:val="21"/>
        </w:rPr>
      </w:pPr>
      <w:r>
        <w:rPr>
          <w:rFonts w:ascii="宋体" w:hAnsi="宋体"/>
          <w:sz w:val="21"/>
        </w:rPr>
        <w:br w:type="page"/>
      </w:r>
      <w:bookmarkStart w:id="509" w:name="_Hlt26801612"/>
      <w:bookmarkEnd w:id="509"/>
      <w:bookmarkStart w:id="510" w:name="_Hlt26801607"/>
      <w:bookmarkEnd w:id="510"/>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bookmarkStart w:id="511" w:name="_Hlt30840813"/>
      <w:bookmarkEnd w:id="511"/>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512" w:name="_Hlt19963571"/>
      <w:bookmarkEnd w:id="512"/>
      <w:bookmarkStart w:id="513" w:name="_Toc18222"/>
      <w:bookmarkStart w:id="514" w:name="_Toc10747_WPSOffice_Level1"/>
      <w:bookmarkStart w:id="515" w:name="_Toc9351_WPSOffice_Level1"/>
      <w:bookmarkStart w:id="516" w:name="_Toc26800794"/>
      <w:bookmarkStart w:id="517" w:name="_Toc777812"/>
      <w:bookmarkStart w:id="518" w:name="_Toc26800983"/>
      <w:bookmarkStart w:id="519" w:name="_Toc26800865"/>
      <w:bookmarkStart w:id="520" w:name="_Toc26805690"/>
      <w:bookmarkStart w:id="521" w:name="_Toc429827788"/>
      <w:bookmarkStart w:id="522" w:name="_Toc276925340"/>
      <w:bookmarkStart w:id="523" w:name="_Toc26801103"/>
      <w:bookmarkStart w:id="524" w:name="_Toc310240379"/>
      <w:r>
        <w:rPr>
          <w:rFonts w:hint="eastAsia"/>
          <w:color w:val="auto"/>
        </w:rPr>
        <w:t>第</w:t>
      </w:r>
      <w:bookmarkStart w:id="525" w:name="_Hlt28137965"/>
      <w:bookmarkEnd w:id="525"/>
      <w:r>
        <w:rPr>
          <w:rFonts w:hint="eastAsia"/>
          <w:color w:val="auto"/>
        </w:rPr>
        <w:t xml:space="preserve">八章  </w:t>
      </w:r>
      <w:bookmarkStart w:id="526" w:name="_Hlt19957519"/>
      <w:bookmarkEnd w:id="526"/>
      <w:r>
        <w:rPr>
          <w:rFonts w:hint="eastAsia"/>
          <w:color w:val="auto"/>
        </w:rPr>
        <w:t>投标文件技术部分格式</w:t>
      </w:r>
      <w:bookmarkEnd w:id="513"/>
      <w:bookmarkEnd w:id="514"/>
      <w:bookmarkEnd w:id="515"/>
      <w:bookmarkEnd w:id="516"/>
      <w:bookmarkEnd w:id="517"/>
      <w:bookmarkEnd w:id="518"/>
      <w:bookmarkEnd w:id="519"/>
      <w:bookmarkEnd w:id="520"/>
      <w:bookmarkEnd w:id="521"/>
      <w:bookmarkEnd w:id="522"/>
      <w:bookmarkEnd w:id="523"/>
      <w:bookmarkEnd w:id="524"/>
    </w:p>
    <w:p>
      <w:pPr>
        <w:pStyle w:val="5"/>
        <w:spacing w:line="360" w:lineRule="auto"/>
        <w:ind w:firstLine="0"/>
        <w:jc w:val="center"/>
        <w:rPr>
          <w:sz w:val="21"/>
        </w:rPr>
      </w:pPr>
      <w:r>
        <w:br w:type="page"/>
      </w:r>
    </w:p>
    <w:p>
      <w:pPr>
        <w:pStyle w:val="6"/>
        <w:numPr>
          <w:ilvl w:val="0"/>
          <w:numId w:val="0"/>
        </w:numPr>
        <w:spacing w:before="0" w:after="0" w:line="360" w:lineRule="auto"/>
        <w:rPr>
          <w:rFonts w:ascii="宋体" w:hAnsi="宋体"/>
          <w:bCs/>
          <w:sz w:val="21"/>
        </w:rPr>
      </w:pPr>
      <w:bookmarkStart w:id="527" w:name="_Toc13248_WPSOffice_Level2"/>
      <w:bookmarkStart w:id="528" w:name="_Toc429827789"/>
      <w:bookmarkStart w:id="529" w:name="_Toc29398_WPSOffice_Level2"/>
      <w:r>
        <w:rPr>
          <w:rFonts w:hint="eastAsia" w:ascii="宋体" w:hAnsi="宋体"/>
          <w:bCs/>
          <w:sz w:val="21"/>
        </w:rPr>
        <w:t>技术部分主要内容</w:t>
      </w:r>
      <w:bookmarkEnd w:id="527"/>
      <w:bookmarkEnd w:id="528"/>
      <w:bookmarkEnd w:id="529"/>
    </w:p>
    <w:p>
      <w:pPr>
        <w:pStyle w:val="5"/>
        <w:spacing w:line="360" w:lineRule="auto"/>
        <w:ind w:firstLine="0"/>
        <w:jc w:val="center"/>
        <w:rPr>
          <w:rFonts w:ascii="宋体" w:hAnsi="宋体"/>
          <w:sz w:val="21"/>
        </w:rPr>
      </w:pPr>
    </w:p>
    <w:p>
      <w:pPr>
        <w:spacing w:line="360" w:lineRule="auto"/>
        <w:ind w:left="321" w:hanging="321" w:hangingChars="153"/>
        <w:jc w:val="both"/>
        <w:rPr>
          <w:rFonts w:ascii="宋体" w:hAnsi="宋体"/>
          <w:sz w:val="21"/>
        </w:rPr>
      </w:pPr>
      <w:r>
        <w:rPr>
          <w:rFonts w:hint="eastAsia" w:ascii="宋体" w:hAnsi="宋体"/>
          <w:sz w:val="21"/>
        </w:rPr>
        <w:t>1、投标人应编制施工组织设计，包括招标文件第一章投标须知11.4项规定的施工组织设计基本内容。编制具体要求是：编制时应采用文字并结合图表形式说明各分部分项工程的施工方法；拟投入的劳动力计划等；结合招标工程特点提出切实可行的工程质量、安全生产、文明施工、工程进度、技术组织措施，同时应对关键工序、复杂环节重点提出相应技术措施</w:t>
      </w:r>
      <w:bookmarkStart w:id="530" w:name="_Hlt20219906"/>
      <w:bookmarkEnd w:id="530"/>
      <w:r>
        <w:rPr>
          <w:rFonts w:hint="eastAsia" w:ascii="宋体" w:hAnsi="宋体"/>
          <w:sz w:val="21"/>
        </w:rPr>
        <w:t>，如冬雨季施工技术措施、减少扰民噪音、降低环境污染技术措施、地下管线及其他地上地下设施的保护加固措施等。</w:t>
      </w:r>
    </w:p>
    <w:p>
      <w:pPr>
        <w:spacing w:line="360" w:lineRule="auto"/>
        <w:ind w:left="321" w:hanging="321" w:hangingChars="153"/>
        <w:jc w:val="both"/>
        <w:rPr>
          <w:rFonts w:ascii="宋体" w:hAnsi="宋体"/>
          <w:sz w:val="21"/>
        </w:rPr>
      </w:pPr>
      <w:r>
        <w:rPr>
          <w:rFonts w:hint="eastAsia" w:ascii="宋体" w:hAnsi="宋体"/>
          <w:sz w:val="21"/>
        </w:rPr>
        <w:t>2、施工组织设计的主要内容包括（但不限于）：</w:t>
      </w:r>
    </w:p>
    <w:p>
      <w:pPr>
        <w:numPr>
          <w:ilvl w:val="0"/>
          <w:numId w:val="49"/>
        </w:numPr>
        <w:spacing w:line="360" w:lineRule="auto"/>
        <w:jc w:val="both"/>
        <w:outlineLvl w:val="1"/>
        <w:rPr>
          <w:rFonts w:hAnsi="宋体"/>
          <w:sz w:val="21"/>
          <w:szCs w:val="21"/>
        </w:rPr>
      </w:pPr>
      <w:bookmarkStart w:id="531" w:name="_Toc8456"/>
      <w:bookmarkStart w:id="532" w:name="_Toc25182_WPSOffice_Level2"/>
      <w:bookmarkStart w:id="533" w:name="_Toc12249_WPSOffice_Level2"/>
      <w:r>
        <w:rPr>
          <w:rFonts w:hint="eastAsia" w:hAnsi="宋体"/>
          <w:sz w:val="21"/>
          <w:szCs w:val="21"/>
        </w:rPr>
        <w:t>总体施工部署</w:t>
      </w:r>
    </w:p>
    <w:p>
      <w:pPr>
        <w:numPr>
          <w:ilvl w:val="0"/>
          <w:numId w:val="49"/>
        </w:numPr>
        <w:spacing w:line="360" w:lineRule="auto"/>
        <w:jc w:val="both"/>
        <w:outlineLvl w:val="1"/>
        <w:rPr>
          <w:rFonts w:hAnsi="宋体"/>
          <w:sz w:val="21"/>
          <w:szCs w:val="21"/>
        </w:rPr>
      </w:pPr>
      <w:r>
        <w:rPr>
          <w:rFonts w:hint="eastAsia" w:hAnsi="宋体"/>
          <w:sz w:val="21"/>
          <w:szCs w:val="21"/>
        </w:rPr>
        <w:t>进度计划安排及工期保证措施</w:t>
      </w:r>
    </w:p>
    <w:p>
      <w:pPr>
        <w:numPr>
          <w:ilvl w:val="0"/>
          <w:numId w:val="49"/>
        </w:numPr>
        <w:spacing w:line="360" w:lineRule="auto"/>
        <w:jc w:val="both"/>
        <w:outlineLvl w:val="1"/>
        <w:rPr>
          <w:rFonts w:hAnsi="宋体"/>
          <w:sz w:val="21"/>
          <w:szCs w:val="21"/>
        </w:rPr>
      </w:pPr>
      <w:r>
        <w:rPr>
          <w:rFonts w:hint="eastAsia" w:hAnsi="宋体"/>
          <w:sz w:val="21"/>
          <w:szCs w:val="21"/>
        </w:rPr>
        <w:t>拟投入机械设备、劳动力资源配备计划</w:t>
      </w:r>
    </w:p>
    <w:p>
      <w:pPr>
        <w:numPr>
          <w:ilvl w:val="0"/>
          <w:numId w:val="49"/>
        </w:numPr>
        <w:spacing w:line="360" w:lineRule="auto"/>
        <w:jc w:val="both"/>
        <w:outlineLvl w:val="1"/>
        <w:rPr>
          <w:rFonts w:hAnsi="宋体"/>
          <w:sz w:val="21"/>
          <w:szCs w:val="21"/>
        </w:rPr>
      </w:pPr>
      <w:r>
        <w:rPr>
          <w:rFonts w:hint="eastAsia" w:hAnsi="宋体"/>
          <w:sz w:val="21"/>
          <w:szCs w:val="21"/>
        </w:rPr>
        <w:t>施工工艺流程及施工方案</w:t>
      </w:r>
    </w:p>
    <w:p>
      <w:pPr>
        <w:numPr>
          <w:ilvl w:val="0"/>
          <w:numId w:val="49"/>
        </w:numPr>
        <w:spacing w:line="360" w:lineRule="auto"/>
        <w:jc w:val="both"/>
        <w:outlineLvl w:val="1"/>
        <w:rPr>
          <w:rFonts w:hAnsi="宋体"/>
          <w:sz w:val="21"/>
          <w:szCs w:val="21"/>
        </w:rPr>
      </w:pPr>
      <w:r>
        <w:rPr>
          <w:rFonts w:hint="eastAsia" w:hAnsi="宋体"/>
          <w:sz w:val="21"/>
          <w:szCs w:val="21"/>
        </w:rPr>
        <w:t>质量保证措施</w:t>
      </w:r>
    </w:p>
    <w:p>
      <w:pPr>
        <w:numPr>
          <w:ilvl w:val="0"/>
          <w:numId w:val="49"/>
        </w:numPr>
        <w:spacing w:line="360" w:lineRule="auto"/>
        <w:jc w:val="both"/>
        <w:outlineLvl w:val="1"/>
        <w:rPr>
          <w:rFonts w:ascii="宋体" w:hAnsi="宋体"/>
          <w:sz w:val="21"/>
        </w:rPr>
      </w:pPr>
      <w:r>
        <w:rPr>
          <w:rFonts w:hint="eastAsia" w:hAnsi="宋体"/>
          <w:sz w:val="21"/>
          <w:szCs w:val="21"/>
        </w:rPr>
        <w:t>安全文明施工措施</w:t>
      </w:r>
    </w:p>
    <w:p>
      <w:pPr>
        <w:numPr>
          <w:ilvl w:val="0"/>
          <w:numId w:val="49"/>
        </w:numPr>
        <w:spacing w:line="360" w:lineRule="auto"/>
        <w:jc w:val="both"/>
        <w:outlineLvl w:val="1"/>
        <w:rPr>
          <w:rFonts w:ascii="宋体" w:hAnsi="宋体"/>
          <w:sz w:val="21"/>
        </w:rPr>
      </w:pPr>
      <w:r>
        <w:rPr>
          <w:rFonts w:hAnsi="宋体"/>
          <w:sz w:val="21"/>
          <w:szCs w:val="21"/>
        </w:rPr>
        <w:t>施工组织方案与技术措施</w:t>
      </w:r>
      <w:r>
        <w:rPr>
          <w:rFonts w:hint="eastAsia" w:ascii="宋体" w:hAnsi="宋体"/>
          <w:sz w:val="21"/>
        </w:rPr>
        <w:t>；</w:t>
      </w:r>
      <w:bookmarkEnd w:id="531"/>
      <w:bookmarkEnd w:id="532"/>
      <w:bookmarkEnd w:id="533"/>
    </w:p>
    <w:p>
      <w:pPr>
        <w:spacing w:line="360" w:lineRule="auto"/>
        <w:jc w:val="center"/>
        <w:rPr>
          <w:rFonts w:ascii="宋体" w:hAnsi="宋体"/>
          <w:sz w:val="21"/>
        </w:rPr>
      </w:pPr>
      <w:bookmarkStart w:id="534" w:name="_Hlt30838204"/>
      <w:bookmarkEnd w:id="534"/>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tabs>
          <w:tab w:val="left" w:pos="720"/>
        </w:tabs>
        <w:spacing w:line="500" w:lineRule="exact"/>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69"/>
        <w:rPr>
          <w:rFonts w:hint="default" w:ascii="宋体" w:hAnsi="宋体"/>
        </w:rPr>
      </w:pPr>
    </w:p>
    <w:p>
      <w:pPr>
        <w:pStyle w:val="43"/>
        <w:rPr>
          <w:rFonts w:hAnsi="宋体"/>
          <w:sz w:val="21"/>
        </w:rPr>
      </w:pPr>
    </w:p>
    <w:p>
      <w:pPr>
        <w:pStyle w:val="43"/>
        <w:rPr>
          <w:rFonts w:hAnsi="宋体"/>
          <w:sz w:val="21"/>
        </w:rPr>
      </w:pPr>
    </w:p>
    <w:p>
      <w:pPr>
        <w:pStyle w:val="43"/>
        <w:rPr>
          <w:rFonts w:hAnsi="宋体"/>
          <w:sz w:val="21"/>
        </w:rPr>
      </w:pPr>
    </w:p>
    <w:p>
      <w:pPr>
        <w:pStyle w:val="43"/>
        <w:rPr>
          <w:rFonts w:hAnsi="宋体"/>
          <w:sz w:val="21"/>
        </w:rPr>
      </w:pPr>
    </w:p>
    <w:p>
      <w:pPr>
        <w:spacing w:line="360" w:lineRule="auto"/>
        <w:jc w:val="center"/>
        <w:rPr>
          <w:rFonts w:ascii="宋体" w:hAnsi="宋体"/>
          <w:sz w:val="21"/>
        </w:rPr>
      </w:pPr>
    </w:p>
    <w:p>
      <w:pPr>
        <w:spacing w:line="360" w:lineRule="auto"/>
        <w:jc w:val="center"/>
        <w:rPr>
          <w:rFonts w:ascii="宋体" w:hAnsi="宋体"/>
          <w:sz w:val="21"/>
        </w:rPr>
      </w:pPr>
    </w:p>
    <w:p>
      <w:pPr>
        <w:pStyle w:val="4"/>
        <w:rPr>
          <w:color w:val="auto"/>
        </w:rPr>
      </w:pPr>
      <w:bookmarkStart w:id="535" w:name="_Toc276925341"/>
      <w:bookmarkStart w:id="536" w:name="_Toc26801118"/>
      <w:bookmarkStart w:id="537" w:name="_Toc26800998"/>
      <w:bookmarkStart w:id="538" w:name="_Toc18078_WPSOffice_Level1"/>
      <w:bookmarkStart w:id="539" w:name="_Toc3494_WPSOffice_Level1"/>
      <w:bookmarkStart w:id="540" w:name="_Toc26800880"/>
      <w:bookmarkStart w:id="541" w:name="_Toc7429"/>
      <w:bookmarkStart w:id="542" w:name="_Toc26805706"/>
      <w:bookmarkStart w:id="543" w:name="_Toc777813"/>
      <w:bookmarkStart w:id="544" w:name="_Toc26800809"/>
      <w:bookmarkStart w:id="545" w:name="_Toc429827790"/>
      <w:r>
        <w:rPr>
          <w:rFonts w:hint="eastAsia"/>
          <w:color w:val="auto"/>
        </w:rPr>
        <w:t>第九章  评标办法</w:t>
      </w:r>
      <w:bookmarkEnd w:id="535"/>
      <w:bookmarkEnd w:id="536"/>
      <w:bookmarkEnd w:id="537"/>
      <w:bookmarkEnd w:id="538"/>
      <w:bookmarkEnd w:id="539"/>
      <w:bookmarkEnd w:id="540"/>
      <w:bookmarkEnd w:id="541"/>
      <w:bookmarkEnd w:id="542"/>
      <w:bookmarkEnd w:id="543"/>
      <w:bookmarkEnd w:id="544"/>
      <w:bookmarkEnd w:id="545"/>
    </w:p>
    <w:p>
      <w:pPr>
        <w:keepNext/>
        <w:keepLines/>
        <w:spacing w:line="360" w:lineRule="auto"/>
        <w:jc w:val="center"/>
        <w:outlineLvl w:val="1"/>
        <w:rPr>
          <w:rFonts w:ascii="宋体" w:hAnsi="宋体"/>
          <w:b/>
          <w:bCs/>
          <w:sz w:val="21"/>
        </w:rPr>
      </w:pPr>
      <w:bookmarkStart w:id="546" w:name="_Hlt20583661"/>
      <w:bookmarkEnd w:id="546"/>
      <w:r>
        <w:rPr>
          <w:rFonts w:ascii="宋体" w:hAnsi="宋体"/>
          <w:sz w:val="21"/>
        </w:rPr>
        <w:br w:type="page"/>
      </w:r>
      <w:bookmarkStart w:id="547" w:name="_Toc27390_WPSOffice_Level2"/>
      <w:bookmarkStart w:id="548" w:name="_Toc12403"/>
      <w:bookmarkStart w:id="549" w:name="_Toc429827791"/>
      <w:r>
        <w:rPr>
          <w:rFonts w:hint="eastAsia" w:ascii="宋体" w:hAnsi="宋体"/>
          <w:b/>
          <w:bCs/>
          <w:sz w:val="21"/>
        </w:rPr>
        <w:t>一、总则</w:t>
      </w:r>
      <w:bookmarkEnd w:id="547"/>
      <w:bookmarkEnd w:id="548"/>
      <w:bookmarkEnd w:id="549"/>
    </w:p>
    <w:p>
      <w:pPr>
        <w:widowControl w:val="0"/>
        <w:numPr>
          <w:ilvl w:val="2"/>
          <w:numId w:val="28"/>
        </w:numPr>
        <w:tabs>
          <w:tab w:val="left" w:pos="700"/>
          <w:tab w:val="left" w:pos="2200"/>
        </w:tabs>
        <w:spacing w:line="400" w:lineRule="exact"/>
        <w:ind w:left="700" w:hanging="700"/>
        <w:jc w:val="both"/>
        <w:rPr>
          <w:rFonts w:ascii="宋体" w:hAnsi="宋体"/>
          <w:sz w:val="21"/>
          <w:szCs w:val="21"/>
        </w:rPr>
      </w:pPr>
      <w:r>
        <w:rPr>
          <w:rFonts w:hint="eastAsia" w:ascii="宋体" w:hAnsi="宋体"/>
          <w:sz w:val="21"/>
          <w:szCs w:val="21"/>
        </w:rPr>
        <w:t>为保证评标的各项活动做到公平、公正、科学、择优，依照《中华人民共和国招标投标法》、《中华人民共和国招标投标法实施条例》和国家、广东省有关法规以及招标文件的有关规定，制定本评标办法。</w:t>
      </w:r>
    </w:p>
    <w:p>
      <w:pPr>
        <w:widowControl w:val="0"/>
        <w:numPr>
          <w:ilvl w:val="2"/>
          <w:numId w:val="28"/>
        </w:numPr>
        <w:tabs>
          <w:tab w:val="left" w:pos="700"/>
          <w:tab w:val="left" w:pos="2200"/>
        </w:tabs>
        <w:spacing w:line="400" w:lineRule="exact"/>
        <w:ind w:left="700" w:hanging="700"/>
        <w:jc w:val="both"/>
        <w:rPr>
          <w:rFonts w:ascii="宋体" w:hAnsi="宋体"/>
          <w:sz w:val="21"/>
          <w:szCs w:val="21"/>
        </w:rPr>
      </w:pPr>
      <w:r>
        <w:rPr>
          <w:rFonts w:hint="eastAsia" w:ascii="宋体" w:hAnsi="宋体"/>
          <w:sz w:val="21"/>
          <w:szCs w:val="21"/>
        </w:rPr>
        <w:t>评标委员会由招标人依法组建。评标委员会依据本评标办法，对投标文件进行评审，确定出各投标人的排序及推荐3名中标候选人并完成评标报告。</w:t>
      </w:r>
    </w:p>
    <w:p>
      <w:pPr>
        <w:widowControl w:val="0"/>
        <w:numPr>
          <w:ilvl w:val="2"/>
          <w:numId w:val="28"/>
        </w:numPr>
        <w:tabs>
          <w:tab w:val="left" w:pos="700"/>
          <w:tab w:val="left" w:pos="2200"/>
        </w:tabs>
        <w:spacing w:line="400" w:lineRule="exact"/>
        <w:ind w:left="700" w:hanging="700"/>
        <w:jc w:val="both"/>
        <w:rPr>
          <w:rFonts w:ascii="宋体" w:hAnsi="宋体"/>
          <w:sz w:val="21"/>
          <w:szCs w:val="21"/>
        </w:rPr>
      </w:pPr>
      <w:r>
        <w:rPr>
          <w:rFonts w:hint="eastAsia" w:ascii="宋体" w:hAnsi="宋体"/>
          <w:sz w:val="21"/>
          <w:szCs w:val="21"/>
        </w:rPr>
        <w:t>偏差的处理方法：</w:t>
      </w:r>
    </w:p>
    <w:p>
      <w:pPr>
        <w:spacing w:line="400" w:lineRule="exact"/>
        <w:ind w:left="700" w:leftChars="350"/>
        <w:rPr>
          <w:rFonts w:ascii="宋体" w:hAnsi="宋体"/>
          <w:sz w:val="21"/>
          <w:szCs w:val="21"/>
        </w:rPr>
      </w:pPr>
      <w:r>
        <w:rPr>
          <w:rFonts w:hint="eastAsia" w:ascii="宋体" w:hAnsi="宋体"/>
          <w:sz w:val="21"/>
          <w:szCs w:val="21"/>
        </w:rPr>
        <w:t>（1）重大偏差：与招标文件有重大偏差的投标文件将不能进入详细评审，评标委员会有权拒绝被确定为非实质性响应的投标。投标人不能通过修正或撤销不符之处而使其投标成为实质性响应的投标。</w:t>
      </w:r>
    </w:p>
    <w:p>
      <w:pPr>
        <w:spacing w:line="400" w:lineRule="exact"/>
        <w:ind w:left="700" w:leftChars="350"/>
        <w:rPr>
          <w:rFonts w:ascii="宋体" w:hAnsi="宋体"/>
          <w:sz w:val="21"/>
          <w:szCs w:val="21"/>
        </w:rPr>
      </w:pPr>
      <w:r>
        <w:rPr>
          <w:rFonts w:hint="eastAsia" w:ascii="宋体" w:hAnsi="宋体"/>
          <w:sz w:val="21"/>
          <w:szCs w:val="21"/>
        </w:rPr>
        <w:t>（2）细微偏差：指投标文件在实质上响应招标文件要求，但在个别地方存在漏项或提供了不完整的技术信息和数据等情况，并且补正这些疏漏或不完整不会对投标文件的实质性内容人造成影响。细微偏差不影响投标文件的有效性。</w:t>
      </w:r>
    </w:p>
    <w:p>
      <w:pPr>
        <w:widowControl w:val="0"/>
        <w:numPr>
          <w:ilvl w:val="2"/>
          <w:numId w:val="28"/>
        </w:numPr>
        <w:tabs>
          <w:tab w:val="left" w:pos="700"/>
          <w:tab w:val="left" w:pos="1900"/>
        </w:tabs>
        <w:spacing w:line="400" w:lineRule="exact"/>
        <w:ind w:left="700" w:hanging="700"/>
        <w:jc w:val="both"/>
        <w:rPr>
          <w:rFonts w:ascii="宋体" w:hAnsi="宋体"/>
          <w:sz w:val="21"/>
          <w:szCs w:val="21"/>
        </w:rPr>
      </w:pPr>
      <w:r>
        <w:rPr>
          <w:rFonts w:hint="eastAsia" w:ascii="宋体" w:hAnsi="宋体"/>
          <w:sz w:val="21"/>
          <w:szCs w:val="21"/>
        </w:rPr>
        <w:t xml:space="preserve">本次评审采用综合评标法进行评标，对投标文件的商务、价格二方面通过打分进行综合评估。   </w:t>
      </w:r>
    </w:p>
    <w:p>
      <w:pPr>
        <w:keepNext/>
        <w:keepLines/>
        <w:spacing w:line="360" w:lineRule="auto"/>
        <w:jc w:val="center"/>
        <w:outlineLvl w:val="1"/>
        <w:rPr>
          <w:rFonts w:ascii="宋体" w:hAnsi="宋体"/>
          <w:b/>
          <w:bCs/>
          <w:sz w:val="21"/>
        </w:rPr>
      </w:pPr>
      <w:bookmarkStart w:id="550" w:name="_Toc429827792"/>
      <w:bookmarkStart w:id="551" w:name="_Toc28440"/>
      <w:bookmarkStart w:id="552" w:name="_Toc13504_WPSOffice_Level2"/>
      <w:r>
        <w:rPr>
          <w:rFonts w:hint="eastAsia" w:ascii="宋体" w:hAnsi="宋体"/>
          <w:b/>
          <w:bCs/>
          <w:sz w:val="21"/>
        </w:rPr>
        <w:t>二、评标步骤</w:t>
      </w:r>
      <w:bookmarkEnd w:id="550"/>
      <w:bookmarkEnd w:id="551"/>
      <w:bookmarkEnd w:id="552"/>
    </w:p>
    <w:p>
      <w:pPr>
        <w:widowControl w:val="0"/>
        <w:numPr>
          <w:ilvl w:val="2"/>
          <w:numId w:val="28"/>
        </w:numPr>
        <w:tabs>
          <w:tab w:val="left" w:pos="700"/>
        </w:tabs>
        <w:spacing w:line="400" w:lineRule="exact"/>
        <w:ind w:hanging="2570"/>
        <w:jc w:val="both"/>
        <w:rPr>
          <w:rFonts w:ascii="宋体" w:hAnsi="宋体"/>
          <w:sz w:val="21"/>
          <w:szCs w:val="21"/>
        </w:rPr>
      </w:pPr>
      <w:r>
        <w:rPr>
          <w:rFonts w:hint="eastAsia" w:ascii="宋体" w:hAnsi="宋体"/>
          <w:sz w:val="21"/>
          <w:szCs w:val="21"/>
        </w:rPr>
        <w:t>资格审查</w:t>
      </w:r>
    </w:p>
    <w:p>
      <w:pPr>
        <w:spacing w:line="400" w:lineRule="exact"/>
        <w:ind w:left="700" w:leftChars="350"/>
        <w:rPr>
          <w:rFonts w:ascii="宋体" w:hAnsi="宋体"/>
          <w:sz w:val="21"/>
          <w:szCs w:val="21"/>
        </w:rPr>
      </w:pPr>
      <w:r>
        <w:rPr>
          <w:rFonts w:hint="eastAsia" w:ascii="宋体" w:hAnsi="宋体"/>
          <w:sz w:val="21"/>
          <w:szCs w:val="21"/>
        </w:rPr>
        <w:t>（1）评标委员会按照资格审查标准（详见附件1）对全部投标文件进行审查。只有通过资格审查的投标人则进入下一阶段的评审。</w:t>
      </w:r>
    </w:p>
    <w:p>
      <w:pPr>
        <w:spacing w:line="400" w:lineRule="exact"/>
        <w:ind w:left="700" w:leftChars="350"/>
        <w:rPr>
          <w:rFonts w:ascii="宋体" w:hAnsi="宋体"/>
          <w:sz w:val="21"/>
          <w:szCs w:val="21"/>
        </w:rPr>
      </w:pPr>
      <w:r>
        <w:rPr>
          <w:rFonts w:hint="eastAsia" w:ascii="宋体" w:hAnsi="宋体"/>
          <w:sz w:val="21"/>
          <w:szCs w:val="21"/>
        </w:rPr>
        <w:t>（2）通过资格审查的投标人数量不足3个时，本次招标失败。招标人分析招标失败原因，修正招标方案后，重新组织招标。</w:t>
      </w:r>
    </w:p>
    <w:p>
      <w:pPr>
        <w:widowControl w:val="0"/>
        <w:numPr>
          <w:ilvl w:val="2"/>
          <w:numId w:val="28"/>
        </w:numPr>
        <w:tabs>
          <w:tab w:val="left" w:pos="700"/>
        </w:tabs>
        <w:spacing w:line="400" w:lineRule="exact"/>
        <w:ind w:hanging="2570"/>
        <w:jc w:val="both"/>
        <w:rPr>
          <w:rFonts w:ascii="宋体" w:hAnsi="宋体"/>
          <w:sz w:val="21"/>
          <w:szCs w:val="21"/>
        </w:rPr>
      </w:pPr>
      <w:r>
        <w:rPr>
          <w:rFonts w:hint="eastAsia" w:ascii="宋体" w:hAnsi="宋体"/>
          <w:sz w:val="21"/>
          <w:szCs w:val="21"/>
        </w:rPr>
        <w:t>符合性审查</w:t>
      </w:r>
    </w:p>
    <w:p>
      <w:pPr>
        <w:spacing w:line="400" w:lineRule="exact"/>
        <w:ind w:left="700" w:leftChars="350"/>
        <w:rPr>
          <w:rFonts w:ascii="宋体" w:hAnsi="宋体"/>
          <w:sz w:val="21"/>
          <w:szCs w:val="21"/>
        </w:rPr>
      </w:pPr>
      <w:r>
        <w:rPr>
          <w:rFonts w:hint="eastAsia" w:ascii="宋体" w:hAnsi="宋体"/>
          <w:sz w:val="21"/>
          <w:szCs w:val="21"/>
        </w:rPr>
        <w:t>（1）评标委员会按照符合性审查标准（详见附件2）对通过资格审查的投标文件进行审查。只有通过符合性审查的投标人则进入下一阶段的评审。</w:t>
      </w:r>
    </w:p>
    <w:p>
      <w:pPr>
        <w:spacing w:line="400" w:lineRule="exact"/>
        <w:ind w:left="700" w:leftChars="350"/>
        <w:rPr>
          <w:rFonts w:ascii="宋体" w:hAnsi="宋体"/>
          <w:sz w:val="21"/>
          <w:szCs w:val="21"/>
        </w:rPr>
      </w:pPr>
      <w:r>
        <w:rPr>
          <w:rFonts w:hint="eastAsia" w:ascii="宋体" w:hAnsi="宋体"/>
          <w:sz w:val="21"/>
          <w:szCs w:val="21"/>
        </w:rPr>
        <w:t>（2）通过符合性审查的投标人数量不足3个时，本次招标失败。招标人分析招标失败原因，修正招标方案后，重新组织招标。</w:t>
      </w:r>
    </w:p>
    <w:p>
      <w:pPr>
        <w:widowControl w:val="0"/>
        <w:numPr>
          <w:ilvl w:val="2"/>
          <w:numId w:val="28"/>
        </w:numPr>
        <w:tabs>
          <w:tab w:val="left" w:pos="700"/>
        </w:tabs>
        <w:spacing w:line="400" w:lineRule="exact"/>
        <w:ind w:hanging="2570"/>
        <w:jc w:val="both"/>
        <w:rPr>
          <w:rFonts w:ascii="宋体" w:hAnsi="宋体"/>
          <w:sz w:val="21"/>
          <w:szCs w:val="21"/>
        </w:rPr>
      </w:pPr>
      <w:r>
        <w:rPr>
          <w:rFonts w:hint="eastAsia" w:ascii="宋体" w:hAnsi="宋体"/>
          <w:sz w:val="21"/>
          <w:szCs w:val="21"/>
        </w:rPr>
        <w:t>详细评审</w:t>
      </w:r>
    </w:p>
    <w:p>
      <w:pPr>
        <w:spacing w:line="400" w:lineRule="exact"/>
        <w:ind w:left="701" w:leftChars="350" w:hanging="1"/>
        <w:rPr>
          <w:rFonts w:ascii="宋体" w:hAnsi="宋体"/>
          <w:sz w:val="21"/>
          <w:szCs w:val="21"/>
        </w:rPr>
      </w:pPr>
      <w:r>
        <w:rPr>
          <w:rFonts w:hint="eastAsia" w:ascii="宋体" w:hAnsi="宋体"/>
          <w:sz w:val="21"/>
          <w:szCs w:val="21"/>
        </w:rPr>
        <w:t>（1）投标人的商务、技术和价格总分为</w:t>
      </w:r>
      <w:r>
        <w:rPr>
          <w:rFonts w:ascii="宋体" w:hAnsi="宋体"/>
          <w:sz w:val="21"/>
          <w:szCs w:val="21"/>
        </w:rPr>
        <w:t>100</w:t>
      </w:r>
      <w:r>
        <w:rPr>
          <w:rFonts w:hint="eastAsia" w:ascii="宋体" w:hAnsi="宋体"/>
          <w:sz w:val="21"/>
          <w:szCs w:val="21"/>
        </w:rPr>
        <w:t>分。</w:t>
      </w:r>
    </w:p>
    <w:p>
      <w:pPr>
        <w:spacing w:line="400" w:lineRule="exact"/>
        <w:ind w:left="701" w:leftChars="350" w:hanging="1"/>
        <w:rPr>
          <w:rFonts w:ascii="宋体" w:hAnsi="宋体"/>
          <w:sz w:val="21"/>
          <w:szCs w:val="21"/>
        </w:rPr>
      </w:pPr>
      <w:r>
        <w:rPr>
          <w:rFonts w:hint="eastAsia" w:ascii="宋体" w:hAnsi="宋体"/>
          <w:sz w:val="21"/>
          <w:szCs w:val="21"/>
        </w:rPr>
        <w:t>根据招标文件中确定的评分比例，进行打分。各部分所占的分值如下：</w:t>
      </w:r>
    </w:p>
    <w:tbl>
      <w:tblPr>
        <w:tblStyle w:val="57"/>
        <w:tblW w:w="68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992"/>
        <w:gridCol w:w="1992"/>
        <w:gridCol w:w="1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sz w:val="21"/>
                <w:szCs w:val="21"/>
              </w:rPr>
              <w:t>项目</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sz w:val="21"/>
                <w:szCs w:val="21"/>
              </w:rPr>
              <w:t>商务部分</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sz w:val="21"/>
                <w:szCs w:val="21"/>
              </w:rPr>
              <w:t>技术部分</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sz w:val="21"/>
                <w:szCs w:val="21"/>
              </w:rPr>
              <w:t>价格部分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1"/>
                <w:szCs w:val="21"/>
              </w:rPr>
            </w:pPr>
            <w:r>
              <w:rPr>
                <w:rFonts w:hint="eastAsia" w:ascii="宋体" w:hAnsi="宋体"/>
                <w:sz w:val="21"/>
                <w:szCs w:val="21"/>
              </w:rPr>
              <w:t>分值</w:t>
            </w:r>
          </w:p>
        </w:tc>
        <w:tc>
          <w:tcPr>
            <w:tcW w:w="1992"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宋体" w:hAnsi="宋体"/>
                <w:kern w:val="2"/>
                <w:sz w:val="21"/>
                <w:szCs w:val="21"/>
              </w:rPr>
            </w:pPr>
            <w:r>
              <w:rPr>
                <w:rFonts w:ascii="宋体" w:hAnsi="宋体"/>
                <w:kern w:val="2"/>
                <w:sz w:val="21"/>
                <w:szCs w:val="21"/>
              </w:rPr>
              <w:t>20</w:t>
            </w:r>
          </w:p>
        </w:tc>
        <w:tc>
          <w:tcPr>
            <w:tcW w:w="1992"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宋体" w:hAnsi="宋体"/>
                <w:kern w:val="2"/>
                <w:sz w:val="21"/>
                <w:szCs w:val="21"/>
              </w:rPr>
            </w:pPr>
            <w:r>
              <w:rPr>
                <w:rFonts w:hint="eastAsia" w:ascii="宋体" w:hAnsi="宋体"/>
                <w:kern w:val="2"/>
                <w:sz w:val="21"/>
                <w:szCs w:val="21"/>
              </w:rPr>
              <w:t>20</w:t>
            </w:r>
          </w:p>
        </w:tc>
        <w:tc>
          <w:tcPr>
            <w:tcW w:w="1992"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宋体" w:hAnsi="宋体"/>
                <w:kern w:val="2"/>
                <w:sz w:val="21"/>
                <w:szCs w:val="21"/>
              </w:rPr>
            </w:pPr>
            <w:r>
              <w:rPr>
                <w:rFonts w:ascii="宋体" w:hAnsi="宋体"/>
                <w:kern w:val="2"/>
                <w:sz w:val="21"/>
                <w:szCs w:val="21"/>
              </w:rPr>
              <w:t>60</w:t>
            </w:r>
          </w:p>
        </w:tc>
      </w:tr>
    </w:tbl>
    <w:p>
      <w:pPr>
        <w:spacing w:line="360" w:lineRule="auto"/>
        <w:ind w:left="698" w:leftChars="349"/>
        <w:rPr>
          <w:rFonts w:ascii="宋体" w:hAnsi="宋体"/>
          <w:sz w:val="21"/>
          <w:szCs w:val="21"/>
        </w:rPr>
      </w:pPr>
    </w:p>
    <w:p>
      <w:pPr>
        <w:spacing w:line="360" w:lineRule="auto"/>
        <w:ind w:left="698" w:leftChars="349"/>
        <w:rPr>
          <w:rFonts w:ascii="宋体" w:hAnsi="宋体"/>
          <w:sz w:val="21"/>
          <w:szCs w:val="21"/>
        </w:rPr>
      </w:pPr>
      <w:r>
        <w:rPr>
          <w:rFonts w:hint="eastAsia" w:ascii="宋体" w:hAnsi="宋体"/>
          <w:sz w:val="21"/>
          <w:szCs w:val="21"/>
        </w:rPr>
        <w:t>（2）评委单独对投标人的商务进行评审，独立打分。</w:t>
      </w:r>
    </w:p>
    <w:p>
      <w:pPr>
        <w:spacing w:line="360" w:lineRule="auto"/>
        <w:ind w:left="698" w:leftChars="349"/>
        <w:rPr>
          <w:rFonts w:ascii="宋体" w:hAnsi="宋体"/>
          <w:sz w:val="21"/>
          <w:szCs w:val="21"/>
        </w:rPr>
      </w:pPr>
      <w:r>
        <w:rPr>
          <w:rFonts w:hint="eastAsia" w:ascii="宋体" w:hAnsi="宋体"/>
          <w:sz w:val="21"/>
          <w:szCs w:val="21"/>
        </w:rPr>
        <w:t>所有评委对投标人商务打分的算术平均值即为该投标人的商务得分（小数点后保存两位有效数，四舍五入），详见商务评审细则（附件3）。</w:t>
      </w:r>
    </w:p>
    <w:p>
      <w:pPr>
        <w:spacing w:line="360" w:lineRule="auto"/>
        <w:ind w:left="698" w:leftChars="349"/>
        <w:rPr>
          <w:rFonts w:ascii="宋体" w:hAnsi="宋体"/>
          <w:sz w:val="21"/>
          <w:szCs w:val="21"/>
        </w:rPr>
      </w:pPr>
      <w:r>
        <w:rPr>
          <w:rFonts w:hint="eastAsia" w:ascii="宋体" w:hAnsi="宋体"/>
          <w:sz w:val="21"/>
          <w:szCs w:val="21"/>
        </w:rPr>
        <w:t>（3）评委单独对投标人的技术进行评审，独立打分。</w:t>
      </w:r>
    </w:p>
    <w:p>
      <w:pPr>
        <w:spacing w:line="360" w:lineRule="auto"/>
        <w:ind w:left="698" w:leftChars="349"/>
        <w:rPr>
          <w:rFonts w:ascii="宋体" w:hAnsi="宋体"/>
          <w:sz w:val="21"/>
          <w:szCs w:val="21"/>
        </w:rPr>
      </w:pPr>
      <w:r>
        <w:rPr>
          <w:rFonts w:hint="eastAsia" w:ascii="宋体" w:hAnsi="宋体"/>
          <w:sz w:val="21"/>
          <w:szCs w:val="21"/>
        </w:rPr>
        <w:t>所有评委对投标人技术打分的算术平均值即为该投标人的技术得分（小数点后保存两位有效数，四舍五入），详见技术评审细则（附件4）。</w:t>
      </w:r>
    </w:p>
    <w:p>
      <w:pPr>
        <w:widowControl w:val="0"/>
        <w:spacing w:line="360" w:lineRule="auto"/>
        <w:ind w:left="700" w:leftChars="350"/>
        <w:jc w:val="both"/>
        <w:rPr>
          <w:rFonts w:ascii="宋体" w:hAnsi="宋体"/>
          <w:b/>
          <w:spacing w:val="12"/>
          <w:sz w:val="21"/>
          <w:szCs w:val="21"/>
        </w:rPr>
      </w:pPr>
      <w:r>
        <w:rPr>
          <w:rFonts w:hint="eastAsia" w:ascii="宋体" w:hAnsi="宋体"/>
          <w:kern w:val="2"/>
          <w:sz w:val="21"/>
          <w:szCs w:val="21"/>
        </w:rPr>
        <w:t>（4）</w:t>
      </w:r>
      <w:r>
        <w:rPr>
          <w:rFonts w:hint="eastAsia" w:ascii="宋体" w:hAnsi="宋体"/>
          <w:spacing w:val="12"/>
          <w:sz w:val="21"/>
          <w:szCs w:val="21"/>
        </w:rPr>
        <w:t>（a）首先分析投标报价的合理性，对合理的投标报价才进行评分。</w:t>
      </w:r>
      <w:r>
        <w:rPr>
          <w:rFonts w:hint="eastAsia" w:ascii="宋体" w:hAnsi="宋体"/>
          <w:b/>
          <w:spacing w:val="12"/>
          <w:sz w:val="21"/>
          <w:szCs w:val="21"/>
        </w:rPr>
        <w:t>如果投标人的总报价超出招标控制价，其投标将被认定为无效投标。投标单位的报价原则上不能低于招标控制价80%。若低于招标控制价80%时须说明充分且可行的理由，不作说明或说明理由不充分可当作废标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业主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废标处理。</w:t>
      </w:r>
    </w:p>
    <w:p>
      <w:pPr>
        <w:adjustRightInd w:val="0"/>
        <w:spacing w:line="360" w:lineRule="auto"/>
        <w:ind w:left="701" w:leftChars="350" w:hanging="1"/>
        <w:rPr>
          <w:rFonts w:ascii="宋体" w:hAnsi="宋体"/>
          <w:sz w:val="21"/>
          <w:szCs w:val="21"/>
        </w:rPr>
      </w:pPr>
      <w:r>
        <w:rPr>
          <w:rFonts w:hint="eastAsia" w:ascii="宋体" w:hAnsi="宋体"/>
          <w:spacing w:val="12"/>
          <w:sz w:val="21"/>
          <w:szCs w:val="21"/>
        </w:rPr>
        <w:t>（b）对价格的评分主要以投标人报价与评标基准价之间的比例确定投标人此部分的得分。</w:t>
      </w:r>
      <w:r>
        <w:rPr>
          <w:rFonts w:hint="eastAsia" w:ascii="宋体" w:hAnsi="宋体"/>
          <w:sz w:val="21"/>
          <w:szCs w:val="21"/>
        </w:rPr>
        <w:t>投标人的价格得分范围为0～</w:t>
      </w:r>
      <w:r>
        <w:rPr>
          <w:rFonts w:ascii="宋体" w:hAnsi="宋体"/>
          <w:sz w:val="21"/>
          <w:szCs w:val="21"/>
        </w:rPr>
        <w:t>60</w:t>
      </w:r>
      <w:r>
        <w:rPr>
          <w:rFonts w:hint="eastAsia" w:ascii="宋体" w:hAnsi="宋体"/>
          <w:sz w:val="21"/>
          <w:szCs w:val="21"/>
        </w:rPr>
        <w:t>分。</w:t>
      </w:r>
    </w:p>
    <w:p>
      <w:pPr>
        <w:adjustRightInd w:val="0"/>
        <w:spacing w:line="360" w:lineRule="auto"/>
        <w:ind w:left="701" w:leftChars="350" w:hanging="1"/>
        <w:rPr>
          <w:rFonts w:ascii="宋体" w:hAnsi="宋体"/>
          <w:sz w:val="21"/>
          <w:szCs w:val="21"/>
        </w:rPr>
      </w:pPr>
      <w:r>
        <w:rPr>
          <w:rFonts w:hint="eastAsia" w:ascii="宋体" w:hAnsi="宋体"/>
          <w:sz w:val="21"/>
          <w:szCs w:val="21"/>
        </w:rPr>
        <w:t>取所有投标人报价去掉最高及最低报价后的平均值作为基准价（当少于或等于五家有效投标人时，不再去掉最高及最低报价）当评标价等于基准价时，价格分为</w:t>
      </w:r>
      <w:r>
        <w:rPr>
          <w:rFonts w:ascii="宋体" w:hAnsi="宋体"/>
          <w:sz w:val="21"/>
          <w:szCs w:val="21"/>
        </w:rPr>
        <w:t>60</w:t>
      </w:r>
      <w:r>
        <w:rPr>
          <w:rFonts w:hint="eastAsia" w:ascii="宋体" w:hAnsi="宋体"/>
          <w:sz w:val="21"/>
          <w:szCs w:val="21"/>
        </w:rPr>
        <w:t>分；评标价高于基准价1%从</w:t>
      </w:r>
      <w:r>
        <w:rPr>
          <w:rFonts w:ascii="宋体" w:hAnsi="宋体"/>
          <w:sz w:val="21"/>
          <w:szCs w:val="21"/>
        </w:rPr>
        <w:t>60</w:t>
      </w:r>
      <w:r>
        <w:rPr>
          <w:rFonts w:hint="eastAsia" w:ascii="宋体" w:hAnsi="宋体"/>
          <w:sz w:val="21"/>
          <w:szCs w:val="21"/>
        </w:rPr>
        <w:t>分中扣1分，评标价低于基准价1%从</w:t>
      </w:r>
      <w:r>
        <w:rPr>
          <w:rFonts w:ascii="宋体" w:hAnsi="宋体"/>
          <w:sz w:val="21"/>
          <w:szCs w:val="21"/>
        </w:rPr>
        <w:t>60</w:t>
      </w:r>
      <w:r>
        <w:rPr>
          <w:rFonts w:hint="eastAsia" w:ascii="宋体" w:hAnsi="宋体"/>
          <w:sz w:val="21"/>
          <w:szCs w:val="21"/>
        </w:rPr>
        <w:t>分中扣0.5分，按线性关系计算价格得分，价格分最低为0分。</w:t>
      </w:r>
    </w:p>
    <w:p>
      <w:pPr>
        <w:adjustRightInd w:val="0"/>
        <w:spacing w:line="360" w:lineRule="auto"/>
        <w:ind w:left="701" w:leftChars="350" w:hanging="1"/>
        <w:rPr>
          <w:rFonts w:ascii="宋体" w:hAnsi="宋体"/>
          <w:sz w:val="21"/>
          <w:szCs w:val="21"/>
        </w:rPr>
      </w:pPr>
      <w:bookmarkStart w:id="553" w:name="_Toc22303_WPSOffice_Level3"/>
      <w:r>
        <w:rPr>
          <w:rFonts w:hint="eastAsia" w:ascii="宋体" w:hAnsi="宋体"/>
          <w:sz w:val="21"/>
          <w:szCs w:val="21"/>
        </w:rPr>
        <w:t>（4）投标人的最终得分为：商务得分＋技术得分＋价格得分。</w:t>
      </w:r>
      <w:bookmarkEnd w:id="553"/>
    </w:p>
    <w:p>
      <w:pPr>
        <w:tabs>
          <w:tab w:val="left" w:pos="700"/>
        </w:tabs>
        <w:spacing w:line="360" w:lineRule="auto"/>
        <w:rPr>
          <w:rFonts w:ascii="宋体" w:hAnsi="宋体"/>
          <w:sz w:val="21"/>
          <w:szCs w:val="21"/>
        </w:rPr>
      </w:pPr>
    </w:p>
    <w:p>
      <w:pPr>
        <w:keepNext/>
        <w:keepLines/>
        <w:spacing w:line="360" w:lineRule="auto"/>
        <w:jc w:val="center"/>
        <w:outlineLvl w:val="1"/>
        <w:rPr>
          <w:rFonts w:ascii="宋体" w:hAnsi="宋体"/>
          <w:b/>
          <w:bCs/>
          <w:sz w:val="21"/>
        </w:rPr>
      </w:pPr>
      <w:bookmarkStart w:id="554" w:name="_Toc429827793"/>
      <w:bookmarkStart w:id="555" w:name="_Toc32629_WPSOffice_Level2"/>
      <w:bookmarkStart w:id="556" w:name="_Toc4810"/>
      <w:r>
        <w:rPr>
          <w:rFonts w:hint="eastAsia" w:ascii="宋体" w:hAnsi="宋体"/>
          <w:b/>
          <w:bCs/>
          <w:sz w:val="21"/>
        </w:rPr>
        <w:t>三、推荐中标候选人</w:t>
      </w:r>
      <w:bookmarkEnd w:id="554"/>
      <w:bookmarkEnd w:id="555"/>
      <w:bookmarkEnd w:id="556"/>
    </w:p>
    <w:p>
      <w:pPr>
        <w:widowControl w:val="0"/>
        <w:numPr>
          <w:ilvl w:val="2"/>
          <w:numId w:val="28"/>
        </w:numPr>
        <w:tabs>
          <w:tab w:val="left" w:pos="700"/>
          <w:tab w:val="left" w:pos="2300"/>
        </w:tabs>
        <w:spacing w:line="360" w:lineRule="auto"/>
        <w:ind w:left="700" w:hanging="700"/>
        <w:jc w:val="both"/>
        <w:rPr>
          <w:rFonts w:ascii="宋体" w:hAnsi="宋体"/>
          <w:sz w:val="21"/>
          <w:szCs w:val="21"/>
        </w:rPr>
      </w:pPr>
      <w:r>
        <w:rPr>
          <w:rFonts w:hint="eastAsia" w:ascii="宋体" w:hAnsi="宋体"/>
          <w:sz w:val="21"/>
          <w:szCs w:val="21"/>
        </w:rPr>
        <w:t>评委会对进入本阶段评审的投标人进行总分排序，各评委签名确认。由评委主任组织，编写《评标报告》</w:t>
      </w:r>
      <w:r>
        <w:rPr>
          <w:rFonts w:ascii="宋体" w:hAnsi="宋体"/>
          <w:sz w:val="21"/>
          <w:szCs w:val="21"/>
        </w:rPr>
        <w:t>,</w:t>
      </w:r>
      <w:r>
        <w:rPr>
          <w:rFonts w:hint="eastAsia" w:ascii="宋体" w:hAnsi="宋体"/>
          <w:sz w:val="21"/>
          <w:szCs w:val="21"/>
        </w:rPr>
        <w:t>按总分由高到低对投标人进行排序，总得分最高者为第一中标候选人，次高者为第二中标候选人，……，评委会将推荐总得分前3名的投标人为中标候选人,</w:t>
      </w:r>
      <w:r>
        <w:rPr>
          <w:rFonts w:hint="eastAsia" w:ascii="宋体" w:hAnsi="宋体"/>
          <w:sz w:val="21"/>
        </w:rPr>
        <w:t>如出现总得分相同，评标价低者排名靠前。</w:t>
      </w:r>
      <w:r>
        <w:rPr>
          <w:rFonts w:hint="eastAsia" w:ascii="宋体" w:hAnsi="宋体"/>
          <w:sz w:val="21"/>
          <w:szCs w:val="21"/>
        </w:rPr>
        <w:t>评委会将中标候选人名单排序推荐给业主，由招标人依法确定中标人。</w:t>
      </w:r>
    </w:p>
    <w:p>
      <w:pPr>
        <w:tabs>
          <w:tab w:val="left" w:pos="700"/>
        </w:tabs>
        <w:spacing w:line="360" w:lineRule="auto"/>
        <w:rPr>
          <w:rFonts w:ascii="宋体" w:hAnsi="宋体"/>
          <w:sz w:val="21"/>
          <w:szCs w:val="21"/>
        </w:rPr>
      </w:pPr>
    </w:p>
    <w:p>
      <w:pPr>
        <w:keepNext/>
        <w:keepLines/>
        <w:spacing w:line="360" w:lineRule="auto"/>
        <w:jc w:val="center"/>
        <w:outlineLvl w:val="1"/>
        <w:rPr>
          <w:rFonts w:ascii="宋体" w:hAnsi="宋体"/>
          <w:b/>
          <w:bCs/>
          <w:sz w:val="21"/>
        </w:rPr>
      </w:pPr>
      <w:bookmarkStart w:id="557" w:name="_Toc429827794"/>
      <w:bookmarkStart w:id="558" w:name="_Toc27010"/>
      <w:bookmarkStart w:id="559" w:name="_Toc4630_WPSOffice_Level2"/>
      <w:r>
        <w:rPr>
          <w:rFonts w:hint="eastAsia" w:ascii="宋体" w:hAnsi="宋体"/>
          <w:b/>
          <w:bCs/>
          <w:sz w:val="21"/>
        </w:rPr>
        <w:t>四、审定中标人</w:t>
      </w:r>
      <w:bookmarkEnd w:id="557"/>
      <w:bookmarkEnd w:id="558"/>
      <w:bookmarkEnd w:id="559"/>
    </w:p>
    <w:p>
      <w:pPr>
        <w:widowControl w:val="0"/>
        <w:numPr>
          <w:ilvl w:val="2"/>
          <w:numId w:val="28"/>
        </w:numPr>
        <w:tabs>
          <w:tab w:val="left" w:pos="700"/>
        </w:tabs>
        <w:spacing w:line="360" w:lineRule="auto"/>
        <w:ind w:left="700" w:hanging="700"/>
        <w:jc w:val="both"/>
        <w:rPr>
          <w:rFonts w:ascii="宋体" w:hAnsi="宋体"/>
          <w:sz w:val="21"/>
          <w:szCs w:val="21"/>
        </w:rPr>
      </w:pPr>
      <w:r>
        <w:rPr>
          <w:rFonts w:hint="eastAsia" w:ascii="宋体" w:hAnsi="宋体"/>
          <w:sz w:val="21"/>
          <w:szCs w:val="21"/>
        </w:rPr>
        <w:t>招标人将把合同授予评标委员会推选出的中标候选人，条件是该投标人经进一步审查能满意地履行其合同义务。</w:t>
      </w:r>
    </w:p>
    <w:p>
      <w:pPr>
        <w:widowControl w:val="0"/>
        <w:tabs>
          <w:tab w:val="left" w:pos="700"/>
        </w:tabs>
        <w:spacing w:line="360" w:lineRule="auto"/>
        <w:rPr>
          <w:rFonts w:ascii="宋体" w:hAnsi="宋体"/>
          <w:sz w:val="21"/>
          <w:szCs w:val="21"/>
        </w:rPr>
      </w:pPr>
      <w:bookmarkStart w:id="560" w:name="OLE_LINK9"/>
      <w:r>
        <w:rPr>
          <w:rFonts w:hint="eastAsia" w:ascii="宋体" w:hAnsi="宋体"/>
          <w:sz w:val="21"/>
          <w:szCs w:val="21"/>
        </w:rPr>
        <w:t>第10条</w:t>
      </w:r>
      <w:bookmarkEnd w:id="560"/>
      <w:r>
        <w:rPr>
          <w:rFonts w:hint="eastAsia" w:ascii="宋体" w:hAnsi="宋体"/>
          <w:sz w:val="21"/>
          <w:szCs w:val="21"/>
        </w:rPr>
        <w:t xml:space="preserve"> 中标人确定后，由广州海建工程咨询有限公司发出《中标通知书》，并由广州海建工程咨询有限公司向未中标人发出《招标结果通知书》。投标人的投标保证金将按《投标人须知》的相关规定予以退还。</w:t>
      </w:r>
    </w:p>
    <w:p>
      <w:pPr>
        <w:keepNext/>
        <w:keepLines/>
        <w:spacing w:line="360" w:lineRule="auto"/>
        <w:jc w:val="center"/>
        <w:outlineLvl w:val="1"/>
        <w:rPr>
          <w:rFonts w:ascii="宋体" w:hAnsi="宋体"/>
          <w:b/>
          <w:bCs/>
          <w:sz w:val="21"/>
        </w:rPr>
      </w:pPr>
      <w:bookmarkStart w:id="561" w:name="_Toc15838"/>
      <w:bookmarkStart w:id="562" w:name="_Toc486_WPSOffice_Level2"/>
      <w:bookmarkStart w:id="563" w:name="_Toc429827795"/>
      <w:r>
        <w:rPr>
          <w:rFonts w:hint="eastAsia" w:ascii="宋体" w:hAnsi="宋体"/>
          <w:b/>
          <w:bCs/>
          <w:sz w:val="21"/>
        </w:rPr>
        <w:t>五、保密注意事项</w:t>
      </w:r>
      <w:bookmarkEnd w:id="561"/>
      <w:bookmarkEnd w:id="562"/>
      <w:bookmarkEnd w:id="563"/>
    </w:p>
    <w:p>
      <w:pPr>
        <w:widowControl w:val="0"/>
        <w:tabs>
          <w:tab w:val="left" w:pos="700"/>
          <w:tab w:val="left" w:pos="2400"/>
        </w:tabs>
        <w:spacing w:line="360" w:lineRule="auto"/>
        <w:jc w:val="both"/>
        <w:rPr>
          <w:rFonts w:ascii="宋体" w:hAnsi="宋体"/>
          <w:sz w:val="21"/>
          <w:szCs w:val="21"/>
        </w:rPr>
      </w:pPr>
      <w:r>
        <w:rPr>
          <w:rFonts w:hint="eastAsia" w:ascii="宋体" w:hAnsi="宋体"/>
          <w:sz w:val="21"/>
          <w:szCs w:val="21"/>
        </w:rPr>
        <w:t>第11条 依据《中华人民共和国招标投标法》的有关规定，招标人对评标过程严格保密，任何单位和个人不得非法干预、影响评标的过程和结果，同时，评标委员会成员和参与评标的有关工作人员在任何时候均不得向他人透露有关评标过程的情况，否则将依法追究其相应的法律责任。从投标截止之日起到中标人确定之日止，投标人不得与参加评标的有关人员进行私下接触、意图获取有关评标过程的任何信息，否则可能造成其投标无效。</w:t>
      </w:r>
    </w:p>
    <w:p>
      <w:pPr>
        <w:keepNext/>
        <w:keepLines/>
        <w:spacing w:line="360" w:lineRule="auto"/>
        <w:jc w:val="center"/>
        <w:outlineLvl w:val="1"/>
        <w:rPr>
          <w:rFonts w:ascii="宋体" w:hAnsi="宋体"/>
          <w:b/>
          <w:bCs/>
          <w:sz w:val="21"/>
        </w:rPr>
      </w:pPr>
      <w:bookmarkStart w:id="564" w:name="_Toc31631_WPSOffice_Level2"/>
      <w:bookmarkStart w:id="565" w:name="_Toc7534"/>
      <w:bookmarkStart w:id="566" w:name="_Toc429827796"/>
      <w:r>
        <w:rPr>
          <w:rFonts w:hint="eastAsia" w:ascii="宋体" w:hAnsi="宋体"/>
          <w:b/>
          <w:bCs/>
          <w:sz w:val="21"/>
        </w:rPr>
        <w:t>六、相关附件</w:t>
      </w:r>
      <w:bookmarkEnd w:id="564"/>
      <w:bookmarkEnd w:id="565"/>
      <w:bookmarkEnd w:id="566"/>
    </w:p>
    <w:p>
      <w:pPr>
        <w:spacing w:line="400" w:lineRule="exact"/>
        <w:ind w:firstLine="420" w:firstLineChars="200"/>
        <w:outlineLvl w:val="0"/>
        <w:rPr>
          <w:rFonts w:ascii="宋体" w:hAnsi="宋体"/>
          <w:sz w:val="21"/>
          <w:szCs w:val="21"/>
        </w:rPr>
      </w:pPr>
      <w:bookmarkStart w:id="567" w:name="_Toc28768_WPSOffice_Level1"/>
      <w:bookmarkStart w:id="568" w:name="_Toc2853_WPSOffice_Level1"/>
      <w:bookmarkStart w:id="569" w:name="_Toc6958_WPSOffice_Level1"/>
      <w:bookmarkStart w:id="570" w:name="_Toc30273"/>
      <w:r>
        <w:rPr>
          <w:rFonts w:hint="eastAsia" w:ascii="宋体" w:hAnsi="宋体"/>
          <w:sz w:val="21"/>
          <w:szCs w:val="21"/>
        </w:rPr>
        <w:t>附件1：资格审查标准</w:t>
      </w:r>
      <w:bookmarkEnd w:id="567"/>
      <w:bookmarkEnd w:id="568"/>
      <w:bookmarkEnd w:id="569"/>
      <w:bookmarkEnd w:id="570"/>
    </w:p>
    <w:p>
      <w:pPr>
        <w:spacing w:line="400" w:lineRule="exact"/>
        <w:ind w:firstLine="420" w:firstLineChars="200"/>
        <w:outlineLvl w:val="0"/>
        <w:rPr>
          <w:rFonts w:ascii="宋体" w:hAnsi="宋体"/>
          <w:sz w:val="21"/>
          <w:szCs w:val="21"/>
        </w:rPr>
      </w:pPr>
      <w:bookmarkStart w:id="571" w:name="_Toc21013_WPSOffice_Level1"/>
      <w:bookmarkStart w:id="572" w:name="_Toc7410"/>
      <w:bookmarkStart w:id="573" w:name="_Toc30497_WPSOffice_Level1"/>
      <w:bookmarkStart w:id="574" w:name="_Toc29977_WPSOffice_Level1"/>
      <w:r>
        <w:rPr>
          <w:rFonts w:hint="eastAsia" w:ascii="宋体" w:hAnsi="宋体"/>
          <w:sz w:val="21"/>
          <w:szCs w:val="21"/>
        </w:rPr>
        <w:t>附件2：符合性审查标准</w:t>
      </w:r>
      <w:bookmarkEnd w:id="571"/>
      <w:bookmarkEnd w:id="572"/>
      <w:bookmarkEnd w:id="573"/>
      <w:bookmarkEnd w:id="574"/>
    </w:p>
    <w:p>
      <w:pPr>
        <w:spacing w:line="400" w:lineRule="exact"/>
        <w:ind w:firstLine="420" w:firstLineChars="200"/>
        <w:outlineLvl w:val="0"/>
        <w:rPr>
          <w:rFonts w:ascii="宋体" w:hAnsi="宋体"/>
          <w:b/>
          <w:sz w:val="21"/>
        </w:rPr>
      </w:pPr>
      <w:bookmarkStart w:id="575" w:name="_Toc7734_WPSOffice_Level1"/>
      <w:bookmarkStart w:id="576" w:name="_Toc3667"/>
      <w:bookmarkStart w:id="577" w:name="_Toc10452_WPSOffice_Level1"/>
      <w:bookmarkStart w:id="578" w:name="_Toc31424_WPSOffice_Level1"/>
      <w:r>
        <w:rPr>
          <w:rFonts w:hint="eastAsia" w:ascii="宋体" w:hAnsi="宋体"/>
          <w:sz w:val="21"/>
          <w:szCs w:val="21"/>
        </w:rPr>
        <w:t>附件3：商务评审细则</w:t>
      </w:r>
      <w:bookmarkEnd w:id="575"/>
      <w:bookmarkEnd w:id="576"/>
      <w:bookmarkEnd w:id="577"/>
      <w:bookmarkEnd w:id="578"/>
    </w:p>
    <w:p>
      <w:pPr>
        <w:spacing w:line="400" w:lineRule="exact"/>
        <w:ind w:firstLine="420" w:firstLineChars="200"/>
        <w:outlineLvl w:val="0"/>
        <w:rPr>
          <w:rFonts w:ascii="宋体" w:hAnsi="宋体"/>
          <w:sz w:val="21"/>
          <w:szCs w:val="21"/>
        </w:rPr>
      </w:pPr>
      <w:bookmarkStart w:id="579" w:name="_Toc12365_WPSOffice_Level1"/>
      <w:bookmarkStart w:id="580" w:name="_Toc10993_WPSOffice_Level1"/>
      <w:bookmarkStart w:id="581" w:name="_Toc24325"/>
      <w:bookmarkStart w:id="582" w:name="_Toc4163_WPSOffice_Level1"/>
      <w:r>
        <w:rPr>
          <w:rFonts w:hint="eastAsia" w:ascii="宋体" w:hAnsi="宋体"/>
          <w:sz w:val="21"/>
          <w:szCs w:val="21"/>
        </w:rPr>
        <w:t>附件4：技术评审细则</w:t>
      </w:r>
      <w:bookmarkEnd w:id="579"/>
      <w:bookmarkEnd w:id="580"/>
      <w:bookmarkEnd w:id="581"/>
      <w:bookmarkEnd w:id="582"/>
    </w:p>
    <w:p>
      <w:pPr>
        <w:spacing w:line="400" w:lineRule="exact"/>
        <w:rPr>
          <w:rFonts w:ascii="宋体" w:hAnsi="宋体"/>
          <w:b/>
          <w:sz w:val="21"/>
        </w:rPr>
        <w:sectPr>
          <w:footerReference r:id="rId7" w:type="even"/>
          <w:type w:val="nextColumn"/>
          <w:pgSz w:w="11907" w:h="16840"/>
          <w:pgMar w:top="1246" w:right="1797" w:bottom="1440" w:left="1797" w:header="680" w:footer="907" w:gutter="0"/>
          <w:pgNumType w:fmt="decimal"/>
          <w:cols w:space="720" w:num="1"/>
          <w:docGrid w:linePitch="271" w:charSpace="0"/>
        </w:sectPr>
      </w:pPr>
    </w:p>
    <w:p>
      <w:pPr>
        <w:spacing w:line="400" w:lineRule="exact"/>
        <w:outlineLvl w:val="0"/>
        <w:rPr>
          <w:rFonts w:ascii="宋体" w:hAnsi="宋体"/>
          <w:sz w:val="21"/>
          <w:szCs w:val="21"/>
        </w:rPr>
      </w:pPr>
      <w:bookmarkStart w:id="583" w:name="_Toc8485_WPSOffice_Level1"/>
      <w:bookmarkStart w:id="584" w:name="_Toc2964_WPSOffice_Level1"/>
      <w:bookmarkStart w:id="585" w:name="_Toc16095"/>
      <w:bookmarkStart w:id="586" w:name="_Toc31742_WPSOffice_Level1"/>
      <w:r>
        <w:rPr>
          <w:rFonts w:hint="eastAsia" w:ascii="宋体" w:hAnsi="宋体"/>
          <w:sz w:val="21"/>
          <w:szCs w:val="21"/>
        </w:rPr>
        <w:t>附件1：资格审查标准</w:t>
      </w:r>
      <w:bookmarkEnd w:id="583"/>
      <w:bookmarkEnd w:id="584"/>
      <w:bookmarkEnd w:id="585"/>
      <w:bookmarkEnd w:id="586"/>
    </w:p>
    <w:p>
      <w:pPr>
        <w:spacing w:line="400" w:lineRule="exact"/>
        <w:jc w:val="center"/>
        <w:rPr>
          <w:rFonts w:ascii="宋体" w:hAnsi="宋体"/>
          <w:b/>
          <w:sz w:val="28"/>
          <w:szCs w:val="28"/>
        </w:rPr>
      </w:pPr>
      <w:bookmarkStart w:id="587" w:name="_Toc19094_WPSOffice_Level2"/>
      <w:bookmarkStart w:id="588" w:name="_Toc12983_WPSOffice_Level2"/>
      <w:r>
        <w:rPr>
          <w:rFonts w:hint="eastAsia" w:ascii="宋体" w:hAnsi="宋体"/>
          <w:b/>
          <w:sz w:val="28"/>
          <w:szCs w:val="28"/>
        </w:rPr>
        <w:t>资格审查标准</w:t>
      </w:r>
      <w:bookmarkEnd w:id="587"/>
      <w:bookmarkEnd w:id="588"/>
    </w:p>
    <w:p>
      <w:pPr>
        <w:pStyle w:val="2"/>
      </w:pPr>
    </w:p>
    <w:tbl>
      <w:tblPr>
        <w:tblStyle w:val="5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1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8" w:type="dxa"/>
            <w:vAlign w:val="center"/>
          </w:tcPr>
          <w:p>
            <w:pPr>
              <w:spacing w:line="320" w:lineRule="exact"/>
              <w:jc w:val="center"/>
              <w:rPr>
                <w:rFonts w:ascii="宋体" w:hAnsi="宋体"/>
                <w:b/>
                <w:sz w:val="21"/>
                <w:szCs w:val="21"/>
              </w:rPr>
            </w:pPr>
            <w:r>
              <w:rPr>
                <w:rFonts w:hint="eastAsia" w:ascii="宋体" w:hAnsi="宋体"/>
                <w:b/>
                <w:sz w:val="21"/>
                <w:szCs w:val="21"/>
              </w:rPr>
              <w:t>序号</w:t>
            </w:r>
          </w:p>
        </w:tc>
        <w:tc>
          <w:tcPr>
            <w:tcW w:w="1411" w:type="dxa"/>
            <w:vAlign w:val="center"/>
          </w:tcPr>
          <w:p>
            <w:pPr>
              <w:spacing w:line="320" w:lineRule="exact"/>
              <w:ind w:left="-30" w:leftChars="-15"/>
              <w:jc w:val="center"/>
              <w:rPr>
                <w:rFonts w:ascii="宋体" w:hAnsi="宋体"/>
                <w:b/>
                <w:sz w:val="21"/>
                <w:szCs w:val="21"/>
              </w:rPr>
            </w:pPr>
            <w:r>
              <w:rPr>
                <w:rFonts w:hint="eastAsia" w:ascii="宋体" w:hAnsi="宋体"/>
                <w:b/>
                <w:sz w:val="21"/>
                <w:szCs w:val="21"/>
              </w:rPr>
              <w:t>评审项目</w:t>
            </w:r>
          </w:p>
        </w:tc>
        <w:tc>
          <w:tcPr>
            <w:tcW w:w="6617" w:type="dxa"/>
            <w:vAlign w:val="center"/>
          </w:tcPr>
          <w:p>
            <w:pPr>
              <w:spacing w:line="320" w:lineRule="exact"/>
              <w:jc w:val="center"/>
              <w:rPr>
                <w:rFonts w:ascii="宋体" w:hAnsi="宋体"/>
                <w:b/>
                <w:sz w:val="21"/>
                <w:szCs w:val="21"/>
              </w:rPr>
            </w:pPr>
            <w:r>
              <w:rPr>
                <w:rFonts w:hint="eastAsia" w:ascii="宋体" w:hAnsi="宋体"/>
                <w:b/>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1</w:t>
            </w:r>
          </w:p>
        </w:tc>
        <w:tc>
          <w:tcPr>
            <w:tcW w:w="1411" w:type="dxa"/>
            <w:vAlign w:val="center"/>
          </w:tcPr>
          <w:p>
            <w:pPr>
              <w:spacing w:line="320" w:lineRule="exact"/>
              <w:ind w:right="-42"/>
              <w:rPr>
                <w:rFonts w:ascii="宋体" w:hAnsi="宋体"/>
                <w:szCs w:val="21"/>
              </w:rPr>
            </w:pPr>
            <w:r>
              <w:rPr>
                <w:rFonts w:hint="eastAsia" w:ascii="宋体" w:hAnsi="宋体"/>
                <w:szCs w:val="21"/>
              </w:rPr>
              <w:t>投标人资质</w:t>
            </w:r>
          </w:p>
        </w:tc>
        <w:tc>
          <w:tcPr>
            <w:tcW w:w="6617" w:type="dxa"/>
            <w:vAlign w:val="center"/>
          </w:tcPr>
          <w:p>
            <w:pPr>
              <w:spacing w:line="320" w:lineRule="exact"/>
              <w:rPr>
                <w:rFonts w:ascii="宋体" w:hAnsi="宋体"/>
                <w:szCs w:val="21"/>
              </w:rPr>
            </w:pPr>
            <w:r>
              <w:rPr>
                <w:rFonts w:hint="eastAsia" w:ascii="宋体" w:hAnsi="宋体"/>
                <w:color w:val="000000"/>
                <w:szCs w:val="21"/>
              </w:rPr>
              <w:t>（</w:t>
            </w:r>
            <w:r>
              <w:rPr>
                <w:rFonts w:hint="eastAsia" w:ascii="宋体" w:hAnsi="宋体"/>
                <w:szCs w:val="21"/>
              </w:rPr>
              <w:t>1）投标人参加投标的意思表达清楚，投标人代表被授权有效；</w:t>
            </w:r>
          </w:p>
          <w:p>
            <w:pPr>
              <w:spacing w:line="320" w:lineRule="exact"/>
              <w:rPr>
                <w:rFonts w:ascii="宋体" w:hAnsi="宋体"/>
                <w:szCs w:val="21"/>
              </w:rPr>
            </w:pPr>
            <w:r>
              <w:rPr>
                <w:rFonts w:hint="eastAsia" w:ascii="宋体" w:hAnsi="宋体"/>
                <w:szCs w:val="21"/>
              </w:rPr>
              <w:t>（2）投标人为中华人民共和国国内注册的独立法人，持有工商行政管理部门核发的营业执照；</w:t>
            </w:r>
          </w:p>
          <w:p>
            <w:pPr>
              <w:spacing w:line="320" w:lineRule="exact"/>
              <w:rPr>
                <w:rFonts w:ascii="宋体" w:hAnsi="宋体"/>
                <w:szCs w:val="21"/>
              </w:rPr>
            </w:pPr>
            <w:r>
              <w:rPr>
                <w:rFonts w:hint="eastAsia" w:ascii="宋体" w:hAnsi="宋体"/>
                <w:szCs w:val="21"/>
              </w:rPr>
              <w:t>（3）投标人具有承接本工程所需的建筑工程施工总承包三级或以上级别施工总承包资质。</w:t>
            </w:r>
          </w:p>
          <w:p>
            <w:pPr>
              <w:spacing w:line="320" w:lineRule="exact"/>
              <w:rPr>
                <w:rFonts w:ascii="宋体" w:hAnsi="宋体"/>
                <w:szCs w:val="21"/>
              </w:rPr>
            </w:pPr>
            <w:r>
              <w:rPr>
                <w:rFonts w:hint="eastAsia" w:ascii="宋体" w:hAnsi="宋体"/>
                <w:szCs w:val="21"/>
              </w:rPr>
              <w:t>注：营业执照及资质证书复印件须加盖公章，否则资格审查不予通过。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2</w:t>
            </w:r>
          </w:p>
        </w:tc>
        <w:tc>
          <w:tcPr>
            <w:tcW w:w="1411" w:type="dxa"/>
            <w:vAlign w:val="center"/>
          </w:tcPr>
          <w:p>
            <w:pPr>
              <w:spacing w:line="320" w:lineRule="exact"/>
              <w:ind w:right="-42"/>
              <w:rPr>
                <w:rFonts w:ascii="宋体" w:hAnsi="宋体"/>
                <w:szCs w:val="21"/>
              </w:rPr>
            </w:pPr>
            <w:r>
              <w:rPr>
                <w:rFonts w:hint="eastAsia" w:ascii="宋体" w:hAnsi="宋体"/>
                <w:szCs w:val="21"/>
              </w:rPr>
              <w:t>安全生产许可证</w:t>
            </w:r>
          </w:p>
        </w:tc>
        <w:tc>
          <w:tcPr>
            <w:tcW w:w="6617" w:type="dxa"/>
            <w:vAlign w:val="center"/>
          </w:tcPr>
          <w:p>
            <w:pPr>
              <w:widowControl w:val="0"/>
              <w:tabs>
                <w:tab w:val="center" w:pos="3488"/>
              </w:tabs>
              <w:adjustRightInd w:val="0"/>
              <w:snapToGrid w:val="0"/>
              <w:spacing w:line="320" w:lineRule="exact"/>
              <w:ind w:right="-42" w:rightChars="-21"/>
              <w:rPr>
                <w:rFonts w:ascii="宋体" w:hAnsi="宋体"/>
                <w:szCs w:val="21"/>
              </w:rPr>
            </w:pPr>
            <w:r>
              <w:rPr>
                <w:rFonts w:hint="eastAsia" w:ascii="宋体" w:hAnsi="宋体"/>
                <w:szCs w:val="21"/>
              </w:rPr>
              <w:t>具有有效企业安全生产许可证；</w:t>
            </w:r>
          </w:p>
          <w:p>
            <w:pPr>
              <w:widowControl w:val="0"/>
              <w:adjustRightInd w:val="0"/>
              <w:snapToGrid w:val="0"/>
              <w:spacing w:line="320" w:lineRule="exact"/>
              <w:ind w:right="-42" w:rightChars="-21"/>
              <w:rPr>
                <w:rFonts w:ascii="宋体" w:hAnsi="宋体"/>
                <w:szCs w:val="21"/>
              </w:rPr>
            </w:pPr>
            <w:r>
              <w:rPr>
                <w:rFonts w:hint="eastAsia" w:ascii="宋体" w:hAnsi="宋体"/>
                <w:szCs w:val="21"/>
              </w:rPr>
              <w:t>注：证书复印件须加盖公章，否则资格审查不予通过。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28" w:type="dxa"/>
            <w:vAlign w:val="center"/>
          </w:tcPr>
          <w:p>
            <w:pPr>
              <w:spacing w:line="320" w:lineRule="exact"/>
              <w:jc w:val="center"/>
              <w:rPr>
                <w:rFonts w:ascii="宋体" w:hAnsi="宋体"/>
                <w:sz w:val="21"/>
                <w:szCs w:val="21"/>
              </w:rPr>
            </w:pPr>
            <w:r>
              <w:rPr>
                <w:rFonts w:ascii="宋体" w:hAnsi="宋体"/>
                <w:sz w:val="21"/>
                <w:szCs w:val="21"/>
              </w:rPr>
              <w:t>3</w:t>
            </w:r>
          </w:p>
        </w:tc>
        <w:tc>
          <w:tcPr>
            <w:tcW w:w="1411" w:type="dxa"/>
            <w:vAlign w:val="center"/>
          </w:tcPr>
          <w:p>
            <w:pPr>
              <w:spacing w:line="320" w:lineRule="exact"/>
              <w:ind w:right="-42"/>
              <w:rPr>
                <w:rFonts w:ascii="宋体" w:hAnsi="宋体"/>
                <w:szCs w:val="21"/>
              </w:rPr>
            </w:pPr>
            <w:r>
              <w:rPr>
                <w:rFonts w:hint="eastAsia" w:ascii="宋体" w:hAnsi="宋体"/>
                <w:szCs w:val="21"/>
              </w:rPr>
              <w:t>项目负责人资格</w:t>
            </w:r>
          </w:p>
        </w:tc>
        <w:tc>
          <w:tcPr>
            <w:tcW w:w="6617" w:type="dxa"/>
            <w:vAlign w:val="center"/>
          </w:tcPr>
          <w:p>
            <w:pPr>
              <w:spacing w:line="320" w:lineRule="exact"/>
              <w:rPr>
                <w:rFonts w:ascii="宋体" w:hAnsi="宋体"/>
                <w:szCs w:val="21"/>
              </w:rPr>
            </w:pPr>
            <w:r>
              <w:rPr>
                <w:rFonts w:hint="eastAsia" w:ascii="宋体" w:hAnsi="宋体"/>
                <w:szCs w:val="21"/>
              </w:rPr>
              <w:t>拟派本工程的项目负责人须具有建筑工程专业二级或以上级别的建造师资格，且具有《安全生产考核合格证书》（B证）或广东省建筑施工企业管理人员安全生产考核信息系统安全生产管理人员证书信息的打印页；</w:t>
            </w:r>
          </w:p>
          <w:p>
            <w:pPr>
              <w:spacing w:line="320" w:lineRule="exact"/>
              <w:rPr>
                <w:rFonts w:ascii="宋体" w:hAnsi="宋体"/>
                <w:szCs w:val="21"/>
              </w:rPr>
            </w:pPr>
            <w:r>
              <w:rPr>
                <w:rFonts w:hint="eastAsia" w:ascii="宋体" w:hAnsi="宋体"/>
                <w:szCs w:val="21"/>
              </w:rPr>
              <w:t>拟任项目负责人没有在其他在建项目中担任项目负责人，在本项目任职期间不得担任专职安全员；</w:t>
            </w:r>
          </w:p>
          <w:p>
            <w:pPr>
              <w:spacing w:line="320" w:lineRule="exact"/>
              <w:rPr>
                <w:rFonts w:ascii="宋体" w:hAnsi="宋体"/>
                <w:szCs w:val="21"/>
              </w:rPr>
            </w:pPr>
            <w:r>
              <w:rPr>
                <w:rFonts w:hint="eastAsia" w:ascii="宋体" w:hAnsi="宋体"/>
                <w:szCs w:val="21"/>
              </w:rPr>
              <w:t>注：证书、证明材料复印件或打印页须加盖公章，否则资格审查不予通过。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28" w:type="dxa"/>
            <w:vAlign w:val="center"/>
          </w:tcPr>
          <w:p>
            <w:pPr>
              <w:spacing w:line="320" w:lineRule="exact"/>
              <w:jc w:val="center"/>
              <w:rPr>
                <w:rFonts w:ascii="宋体" w:hAnsi="宋体"/>
                <w:sz w:val="21"/>
                <w:szCs w:val="21"/>
              </w:rPr>
            </w:pPr>
            <w:r>
              <w:rPr>
                <w:rFonts w:ascii="宋体" w:hAnsi="宋体"/>
                <w:sz w:val="21"/>
                <w:szCs w:val="21"/>
              </w:rPr>
              <w:t>4</w:t>
            </w:r>
          </w:p>
        </w:tc>
        <w:tc>
          <w:tcPr>
            <w:tcW w:w="1411" w:type="dxa"/>
            <w:vAlign w:val="center"/>
          </w:tcPr>
          <w:p>
            <w:pPr>
              <w:spacing w:line="320" w:lineRule="exact"/>
              <w:ind w:right="-42"/>
              <w:rPr>
                <w:rFonts w:ascii="宋体" w:hAnsi="宋体"/>
                <w:szCs w:val="21"/>
              </w:rPr>
            </w:pPr>
            <w:r>
              <w:rPr>
                <w:rFonts w:hint="eastAsia" w:ascii="宋体" w:hAnsi="宋体"/>
                <w:szCs w:val="21"/>
              </w:rPr>
              <w:t>专职安全人员</w:t>
            </w:r>
          </w:p>
        </w:tc>
        <w:tc>
          <w:tcPr>
            <w:tcW w:w="6617" w:type="dxa"/>
            <w:vAlign w:val="center"/>
          </w:tcPr>
          <w:p>
            <w:pPr>
              <w:widowControl w:val="0"/>
              <w:adjustRightInd w:val="0"/>
              <w:snapToGrid w:val="0"/>
              <w:spacing w:line="320" w:lineRule="exact"/>
              <w:ind w:right="-42" w:rightChars="-21"/>
              <w:rPr>
                <w:rFonts w:ascii="宋体" w:hAnsi="宋体"/>
                <w:szCs w:val="21"/>
              </w:rPr>
            </w:pPr>
            <w:r>
              <w:rPr>
                <w:rFonts w:hint="eastAsia" w:ascii="宋体" w:hAnsi="宋体"/>
                <w:szCs w:val="21"/>
              </w:rPr>
              <w:t>拟派的专职安全人员须具有有效的安全生产考核合格证书（</w:t>
            </w:r>
            <w:r>
              <w:rPr>
                <w:rFonts w:ascii="宋体" w:hAnsi="宋体"/>
                <w:szCs w:val="21"/>
              </w:rPr>
              <w:t>C证）或能够提供广东省建筑施工企业管理人员安全生产考核信息系统安全生产管理人员证书信息的</w:t>
            </w:r>
            <w:r>
              <w:rPr>
                <w:rFonts w:hint="eastAsia" w:ascii="宋体" w:hAnsi="宋体"/>
                <w:szCs w:val="21"/>
              </w:rPr>
              <w:t>打印页；</w:t>
            </w:r>
          </w:p>
          <w:p>
            <w:pPr>
              <w:widowControl w:val="0"/>
              <w:adjustRightInd w:val="0"/>
              <w:snapToGrid w:val="0"/>
              <w:spacing w:line="320" w:lineRule="exact"/>
              <w:ind w:right="-42" w:rightChars="-21"/>
              <w:rPr>
                <w:rFonts w:ascii="宋体" w:hAnsi="宋体"/>
                <w:szCs w:val="21"/>
              </w:rPr>
            </w:pPr>
            <w:r>
              <w:rPr>
                <w:rFonts w:hint="eastAsia" w:ascii="宋体" w:hAnsi="宋体"/>
                <w:szCs w:val="21"/>
              </w:rPr>
              <w:t>专职安全员与其他岗位人员不得兼任。</w:t>
            </w:r>
          </w:p>
          <w:p>
            <w:pPr>
              <w:widowControl w:val="0"/>
              <w:adjustRightInd w:val="0"/>
              <w:snapToGrid w:val="0"/>
              <w:spacing w:line="320" w:lineRule="exact"/>
              <w:ind w:right="-42" w:rightChars="-21"/>
              <w:rPr>
                <w:rFonts w:ascii="宋体" w:hAnsi="宋体"/>
                <w:szCs w:val="21"/>
              </w:rPr>
            </w:pPr>
            <w:r>
              <w:rPr>
                <w:rFonts w:hint="eastAsia" w:ascii="宋体" w:hAnsi="宋体"/>
                <w:szCs w:val="21"/>
              </w:rPr>
              <w:t>注：证书、证明材料复印件或打印页须加盖公章，否则资格审查不予通过。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5</w:t>
            </w:r>
          </w:p>
        </w:tc>
        <w:tc>
          <w:tcPr>
            <w:tcW w:w="1411" w:type="dxa"/>
            <w:vAlign w:val="center"/>
          </w:tcPr>
          <w:p>
            <w:pPr>
              <w:spacing w:line="320" w:lineRule="exact"/>
              <w:ind w:right="-42"/>
              <w:rPr>
                <w:rFonts w:ascii="宋体" w:hAnsi="宋体"/>
                <w:szCs w:val="21"/>
              </w:rPr>
            </w:pPr>
            <w:r>
              <w:rPr>
                <w:rFonts w:hint="eastAsia" w:ascii="宋体" w:hAnsi="宋体"/>
                <w:szCs w:val="21"/>
              </w:rPr>
              <w:t>业绩要求</w:t>
            </w:r>
          </w:p>
        </w:tc>
        <w:tc>
          <w:tcPr>
            <w:tcW w:w="6617" w:type="dxa"/>
            <w:vAlign w:val="center"/>
          </w:tcPr>
          <w:p>
            <w:pPr>
              <w:widowControl w:val="0"/>
              <w:adjustRightInd w:val="0"/>
              <w:snapToGrid w:val="0"/>
              <w:spacing w:line="320" w:lineRule="exact"/>
              <w:ind w:right="-42" w:rightChars="-21"/>
              <w:rPr>
                <w:rFonts w:ascii="宋体" w:hAnsi="宋体"/>
                <w:szCs w:val="21"/>
              </w:rPr>
            </w:pPr>
            <w:r>
              <w:rPr>
                <w:rFonts w:ascii="宋体" w:hAnsi="宋体"/>
                <w:szCs w:val="21"/>
              </w:rPr>
              <w:t>2020年1月1日至今，完成的质量合格且单项合同金额不低</w:t>
            </w:r>
            <w:r>
              <w:rPr>
                <w:rFonts w:ascii="宋体" w:hAnsi="宋体"/>
                <w:color w:val="FF0000"/>
                <w:szCs w:val="21"/>
              </w:rPr>
              <w:t>于</w:t>
            </w:r>
            <w:r>
              <w:rPr>
                <w:rFonts w:hint="eastAsia" w:ascii="宋体" w:hAnsi="宋体"/>
                <w:color w:val="FF0000"/>
                <w:szCs w:val="21"/>
              </w:rPr>
              <w:t>150万元</w:t>
            </w:r>
            <w:r>
              <w:rPr>
                <w:rFonts w:ascii="宋体" w:hAnsi="宋体"/>
                <w:szCs w:val="21"/>
              </w:rPr>
              <w:t>的房屋建筑工程施工业绩，上述施工业绩指已竣工工程（竣工时间在2020年1月1日以后）。业绩证明材料须提供中标通知书、合同关键页和竣工验收证明材料并加盖公章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6</w:t>
            </w:r>
          </w:p>
        </w:tc>
        <w:tc>
          <w:tcPr>
            <w:tcW w:w="1411" w:type="dxa"/>
            <w:vAlign w:val="center"/>
          </w:tcPr>
          <w:p>
            <w:pPr>
              <w:spacing w:line="320" w:lineRule="exact"/>
              <w:ind w:right="-42"/>
              <w:rPr>
                <w:rFonts w:ascii="宋体" w:hAnsi="宋体"/>
                <w:szCs w:val="21"/>
              </w:rPr>
            </w:pPr>
            <w:r>
              <w:rPr>
                <w:rFonts w:hint="eastAsia" w:ascii="宋体" w:hAnsi="宋体"/>
                <w:szCs w:val="21"/>
              </w:rPr>
              <w:t>财务状况</w:t>
            </w:r>
          </w:p>
        </w:tc>
        <w:tc>
          <w:tcPr>
            <w:tcW w:w="6617" w:type="dxa"/>
            <w:vAlign w:val="center"/>
          </w:tcPr>
          <w:p>
            <w:pPr>
              <w:widowControl w:val="0"/>
              <w:adjustRightInd w:val="0"/>
              <w:snapToGrid w:val="0"/>
              <w:spacing w:line="320" w:lineRule="exact"/>
              <w:ind w:right="-42" w:rightChars="-21"/>
              <w:rPr>
                <w:rFonts w:ascii="宋体" w:hAnsi="宋体"/>
                <w:szCs w:val="21"/>
              </w:rPr>
            </w:pPr>
            <w:r>
              <w:rPr>
                <w:rFonts w:hint="eastAsia" w:ascii="宋体" w:hAnsi="宋体"/>
                <w:szCs w:val="21"/>
              </w:rPr>
              <w:t>投标人财务状况良好，没有处于财产被接管、冻结、破产的状态，提供经第三方审计机构出具的年度财务审计报告（2021年或2022年）；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7</w:t>
            </w:r>
          </w:p>
        </w:tc>
        <w:tc>
          <w:tcPr>
            <w:tcW w:w="1411" w:type="dxa"/>
            <w:vAlign w:val="center"/>
          </w:tcPr>
          <w:p>
            <w:pPr>
              <w:spacing w:line="320" w:lineRule="exact"/>
              <w:ind w:right="-42"/>
              <w:rPr>
                <w:rFonts w:ascii="宋体" w:hAnsi="宋体"/>
                <w:szCs w:val="21"/>
              </w:rPr>
            </w:pPr>
            <w:r>
              <w:rPr>
                <w:rFonts w:hint="eastAsia"/>
              </w:rPr>
              <w:t>商业信誉</w:t>
            </w:r>
          </w:p>
        </w:tc>
        <w:tc>
          <w:tcPr>
            <w:tcW w:w="6617" w:type="dxa"/>
            <w:vAlign w:val="center"/>
          </w:tcPr>
          <w:p>
            <w:pPr>
              <w:widowControl w:val="0"/>
              <w:adjustRightInd w:val="0"/>
              <w:snapToGrid w:val="0"/>
              <w:spacing w:line="320" w:lineRule="exact"/>
              <w:ind w:right="-42" w:rightChars="-21"/>
              <w:rPr>
                <w:rFonts w:ascii="宋体" w:hAnsi="宋体"/>
                <w:szCs w:val="21"/>
              </w:rPr>
            </w:pPr>
            <w:r>
              <w:rPr>
                <w:rFonts w:hint="eastAsia" w:ascii="宋体" w:hAnsi="宋体"/>
                <w:szCs w:val="21"/>
              </w:rPr>
              <w:t>投标人具有良好的商业信誉，未在“信用中国”网站（</w:t>
            </w:r>
            <w:r>
              <w:fldChar w:fldCharType="begin"/>
            </w:r>
            <w:r>
              <w:instrText xml:space="preserve"> HYPERLINK "http://www.creditchina.gov.cn/" </w:instrText>
            </w:r>
            <w:r>
              <w:fldChar w:fldCharType="separate"/>
            </w:r>
            <w:r>
              <w:rPr>
                <w:rFonts w:hint="eastAsia" w:ascii="宋体" w:hAnsi="宋体"/>
                <w:szCs w:val="21"/>
              </w:rPr>
              <w:t>www.creditchina.gov.cn</w:t>
            </w:r>
            <w:r>
              <w:rPr>
                <w:rFonts w:hint="eastAsia" w:ascii="宋体" w:hAnsi="宋体"/>
                <w:szCs w:val="21"/>
              </w:rPr>
              <w:fldChar w:fldCharType="end"/>
            </w:r>
            <w:r>
              <w:rPr>
                <w:rFonts w:hint="eastAsia" w:ascii="宋体" w:hAnsi="宋体"/>
                <w:szCs w:val="21"/>
              </w:rPr>
              <w:t>）被列为失信被执行人或重大税收违法案件当事人名单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8</w:t>
            </w:r>
          </w:p>
        </w:tc>
        <w:tc>
          <w:tcPr>
            <w:tcW w:w="1411" w:type="dxa"/>
            <w:vAlign w:val="center"/>
          </w:tcPr>
          <w:p>
            <w:pPr>
              <w:spacing w:line="320" w:lineRule="exact"/>
              <w:ind w:right="-42"/>
              <w:rPr>
                <w:rFonts w:ascii="宋体" w:hAnsi="宋体"/>
                <w:szCs w:val="21"/>
              </w:rPr>
            </w:pPr>
            <w:r>
              <w:rPr>
                <w:rFonts w:hint="eastAsia" w:ascii="宋体" w:hAnsi="宋体"/>
                <w:color w:val="000000"/>
                <w:szCs w:val="21"/>
              </w:rPr>
              <w:t>关联企业</w:t>
            </w:r>
          </w:p>
        </w:tc>
        <w:tc>
          <w:tcPr>
            <w:tcW w:w="6617" w:type="dxa"/>
            <w:vAlign w:val="center"/>
          </w:tcPr>
          <w:p>
            <w:pPr>
              <w:spacing w:line="320" w:lineRule="exact"/>
              <w:rPr>
                <w:rFonts w:ascii="宋体" w:hAnsi="宋体"/>
                <w:color w:val="000000"/>
                <w:szCs w:val="21"/>
              </w:rPr>
            </w:pPr>
            <w:r>
              <w:rPr>
                <w:rFonts w:hint="eastAsia" w:ascii="宋体" w:hAnsi="宋体"/>
                <w:color w:val="000000"/>
                <w:szCs w:val="21"/>
              </w:rPr>
              <w:t>与各投标单位之间无关联关系（投标单位需承诺若与其他投标人存在关联关系，则遵循我方招标文件规定作废标处理）</w:t>
            </w:r>
          </w:p>
          <w:p>
            <w:pPr>
              <w:spacing w:line="320" w:lineRule="exact"/>
              <w:rPr>
                <w:rFonts w:ascii="宋体" w:hAnsi="宋体"/>
                <w:szCs w:val="21"/>
              </w:rPr>
            </w:pPr>
            <w:r>
              <w:rPr>
                <w:rFonts w:hint="eastAsia" w:ascii="宋体" w:hAnsi="宋体"/>
                <w:color w:val="000000"/>
                <w:szCs w:val="21"/>
              </w:rPr>
              <w:t>注：须提交承诺书（格式自拟）并加盖公章，否则资</w:t>
            </w:r>
            <w:r>
              <w:rPr>
                <w:rFonts w:hint="eastAsia" w:ascii="宋体" w:hAnsi="宋体"/>
                <w:szCs w:val="21"/>
              </w:rPr>
              <w:t>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9</w:t>
            </w:r>
          </w:p>
        </w:tc>
        <w:tc>
          <w:tcPr>
            <w:tcW w:w="1411" w:type="dxa"/>
            <w:vAlign w:val="center"/>
          </w:tcPr>
          <w:p>
            <w:pPr>
              <w:spacing w:line="320" w:lineRule="exact"/>
              <w:jc w:val="both"/>
              <w:rPr>
                <w:rFonts w:ascii="宋体" w:hAnsi="宋体"/>
                <w:sz w:val="21"/>
                <w:szCs w:val="21"/>
              </w:rPr>
            </w:pPr>
            <w:r>
              <w:rPr>
                <w:rFonts w:hint="eastAsia" w:ascii="宋体" w:hAnsi="宋体"/>
                <w:sz w:val="21"/>
                <w:szCs w:val="21"/>
              </w:rPr>
              <w:t>联合体投标</w:t>
            </w:r>
          </w:p>
        </w:tc>
        <w:tc>
          <w:tcPr>
            <w:tcW w:w="6617" w:type="dxa"/>
            <w:vAlign w:val="center"/>
          </w:tcPr>
          <w:p>
            <w:pPr>
              <w:spacing w:line="320" w:lineRule="exact"/>
              <w:ind w:right="-42"/>
              <w:rPr>
                <w:rFonts w:ascii="宋体" w:hAnsi="宋体"/>
                <w:color w:val="000000"/>
                <w:szCs w:val="21"/>
              </w:rPr>
            </w:pPr>
            <w:r>
              <w:rPr>
                <w:rFonts w:hint="eastAsia" w:ascii="宋体" w:hAnsi="宋体"/>
                <w:color w:val="00000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8" w:type="dxa"/>
            <w:vAlign w:val="center"/>
          </w:tcPr>
          <w:p>
            <w:pPr>
              <w:spacing w:line="320" w:lineRule="exact"/>
              <w:jc w:val="center"/>
              <w:rPr>
                <w:rFonts w:ascii="宋体" w:hAnsi="宋体"/>
                <w:sz w:val="21"/>
                <w:szCs w:val="21"/>
              </w:rPr>
            </w:pPr>
            <w:r>
              <w:rPr>
                <w:rFonts w:hint="eastAsia" w:ascii="宋体" w:hAnsi="宋体"/>
                <w:sz w:val="21"/>
                <w:szCs w:val="21"/>
              </w:rPr>
              <w:t>10</w:t>
            </w:r>
          </w:p>
        </w:tc>
        <w:tc>
          <w:tcPr>
            <w:tcW w:w="1411" w:type="dxa"/>
            <w:vAlign w:val="center"/>
          </w:tcPr>
          <w:p>
            <w:pPr>
              <w:spacing w:line="320" w:lineRule="exact"/>
              <w:rPr>
                <w:rFonts w:ascii="宋体" w:hAnsi="宋体"/>
                <w:szCs w:val="21"/>
              </w:rPr>
            </w:pPr>
            <w:r>
              <w:rPr>
                <w:rFonts w:hint="eastAsia" w:ascii="宋体" w:hAnsi="宋体"/>
                <w:szCs w:val="21"/>
              </w:rPr>
              <w:t>结论</w:t>
            </w:r>
          </w:p>
        </w:tc>
        <w:tc>
          <w:tcPr>
            <w:tcW w:w="6617" w:type="dxa"/>
            <w:vAlign w:val="center"/>
          </w:tcPr>
          <w:p>
            <w:pPr>
              <w:spacing w:line="320" w:lineRule="exact"/>
              <w:ind w:firstLine="26" w:firstLineChars="13"/>
              <w:rPr>
                <w:rFonts w:ascii="宋体" w:hAnsi="宋体"/>
                <w:szCs w:val="21"/>
              </w:rPr>
            </w:pPr>
          </w:p>
        </w:tc>
      </w:tr>
    </w:tbl>
    <w:p>
      <w:pPr>
        <w:spacing w:line="400" w:lineRule="exact"/>
        <w:ind w:left="420" w:hanging="420" w:hangingChars="200"/>
        <w:rPr>
          <w:rFonts w:ascii="宋体" w:hAnsi="宋体"/>
          <w:sz w:val="21"/>
          <w:szCs w:val="21"/>
        </w:rPr>
      </w:pPr>
      <w:r>
        <w:rPr>
          <w:rFonts w:hint="eastAsia" w:ascii="宋体" w:hAnsi="宋体"/>
          <w:sz w:val="21"/>
          <w:szCs w:val="21"/>
        </w:rPr>
        <w:t>注：栏目各项中符合填写“○”，不符合填写“×”。全部符合方可视为通过符合性检查，在结论栏中填写“通过”，否则为“不通过”。</w:t>
      </w:r>
    </w:p>
    <w:p>
      <w:pPr>
        <w:pStyle w:val="2"/>
      </w:pPr>
      <w:r>
        <w:rPr>
          <w:rFonts w:ascii="宋体" w:hAnsi="宋体"/>
          <w:sz w:val="21"/>
          <w:szCs w:val="21"/>
        </w:rPr>
        <w:br w:type="page"/>
      </w:r>
    </w:p>
    <w:p>
      <w:pPr>
        <w:spacing w:line="400" w:lineRule="exact"/>
        <w:ind w:left="420" w:leftChars="210"/>
        <w:outlineLvl w:val="0"/>
        <w:rPr>
          <w:rFonts w:ascii="宋体" w:hAnsi="宋体"/>
          <w:sz w:val="21"/>
          <w:szCs w:val="21"/>
        </w:rPr>
      </w:pPr>
      <w:bookmarkStart w:id="589" w:name="_Toc25498_WPSOffice_Level1"/>
      <w:bookmarkStart w:id="590" w:name="_Toc10289"/>
      <w:bookmarkStart w:id="591" w:name="_Toc22431_WPSOffice_Level1"/>
      <w:bookmarkStart w:id="592" w:name="_Toc16993_WPSOffice_Level1"/>
      <w:r>
        <w:rPr>
          <w:rFonts w:hint="eastAsia" w:ascii="宋体" w:hAnsi="宋体"/>
          <w:sz w:val="21"/>
          <w:szCs w:val="21"/>
        </w:rPr>
        <w:t>附件2：符合性审查标准</w:t>
      </w:r>
      <w:bookmarkEnd w:id="589"/>
      <w:bookmarkEnd w:id="590"/>
      <w:bookmarkEnd w:id="591"/>
      <w:bookmarkEnd w:id="592"/>
    </w:p>
    <w:p>
      <w:pPr>
        <w:spacing w:line="400" w:lineRule="exact"/>
        <w:rPr>
          <w:rFonts w:ascii="宋体" w:hAnsi="宋体"/>
          <w:sz w:val="21"/>
          <w:szCs w:val="21"/>
        </w:rPr>
      </w:pPr>
    </w:p>
    <w:p>
      <w:pPr>
        <w:spacing w:line="360" w:lineRule="exact"/>
        <w:jc w:val="center"/>
        <w:rPr>
          <w:rFonts w:ascii="宋体" w:hAnsi="宋体"/>
          <w:b/>
          <w:sz w:val="28"/>
          <w:szCs w:val="28"/>
        </w:rPr>
      </w:pPr>
      <w:bookmarkStart w:id="593" w:name="_Toc18409_WPSOffice_Level2"/>
      <w:bookmarkStart w:id="594" w:name="_Toc25217_WPSOffice_Level2"/>
      <w:r>
        <w:rPr>
          <w:rFonts w:hint="eastAsia" w:ascii="宋体" w:hAnsi="宋体"/>
          <w:b/>
          <w:sz w:val="28"/>
          <w:szCs w:val="28"/>
        </w:rPr>
        <w:t>符合性审查标准</w:t>
      </w:r>
      <w:bookmarkEnd w:id="593"/>
      <w:bookmarkEnd w:id="594"/>
    </w:p>
    <w:tbl>
      <w:tblPr>
        <w:tblStyle w:val="57"/>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19"/>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ascii="宋体" w:hAnsi="宋体"/>
                <w:b/>
                <w:sz w:val="21"/>
                <w:szCs w:val="21"/>
              </w:rPr>
            </w:pPr>
            <w:r>
              <w:rPr>
                <w:rFonts w:hint="eastAsia" w:ascii="宋体" w:hAnsi="宋体"/>
                <w:b/>
                <w:sz w:val="21"/>
                <w:szCs w:val="21"/>
              </w:rPr>
              <w:t>序号</w:t>
            </w:r>
          </w:p>
        </w:tc>
        <w:tc>
          <w:tcPr>
            <w:tcW w:w="2419" w:type="dxa"/>
            <w:vAlign w:val="center"/>
          </w:tcPr>
          <w:p>
            <w:pPr>
              <w:jc w:val="center"/>
              <w:rPr>
                <w:rFonts w:ascii="宋体" w:hAnsi="宋体"/>
                <w:b/>
                <w:sz w:val="21"/>
                <w:szCs w:val="21"/>
              </w:rPr>
            </w:pPr>
            <w:r>
              <w:rPr>
                <w:rFonts w:hint="eastAsia" w:ascii="宋体" w:hAnsi="宋体"/>
                <w:b/>
                <w:sz w:val="21"/>
                <w:szCs w:val="21"/>
              </w:rPr>
              <w:t>评审项目</w:t>
            </w:r>
          </w:p>
        </w:tc>
        <w:tc>
          <w:tcPr>
            <w:tcW w:w="4772" w:type="dxa"/>
            <w:vAlign w:val="center"/>
          </w:tcPr>
          <w:p>
            <w:pPr>
              <w:jc w:val="center"/>
              <w:rPr>
                <w:rFonts w:ascii="宋体" w:hAnsi="宋体"/>
                <w:b/>
                <w:sz w:val="21"/>
                <w:szCs w:val="21"/>
              </w:rPr>
            </w:pPr>
            <w:r>
              <w:rPr>
                <w:rFonts w:hint="eastAsia" w:ascii="宋体" w:hAnsi="宋体"/>
                <w:b/>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投标文件签字盖章</w:t>
            </w:r>
          </w:p>
        </w:tc>
        <w:tc>
          <w:tcPr>
            <w:tcW w:w="4772" w:type="dxa"/>
            <w:vAlign w:val="center"/>
          </w:tcPr>
          <w:p>
            <w:pPr>
              <w:spacing w:line="360" w:lineRule="exact"/>
              <w:rPr>
                <w:rFonts w:ascii="宋体" w:hAnsi="宋体"/>
                <w:sz w:val="21"/>
                <w:szCs w:val="21"/>
              </w:rPr>
            </w:pPr>
            <w:r>
              <w:rPr>
                <w:rFonts w:hint="eastAsia" w:ascii="宋体" w:hAnsi="宋体"/>
                <w:sz w:val="21"/>
                <w:szCs w:val="21"/>
              </w:rPr>
              <w:t>投标文件、投标函加盖投标人单位公章和法人代表人或其委托代理人签字或盖章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2</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项目负责人</w:t>
            </w:r>
          </w:p>
        </w:tc>
        <w:tc>
          <w:tcPr>
            <w:tcW w:w="4772" w:type="dxa"/>
            <w:vAlign w:val="center"/>
          </w:tcPr>
          <w:p>
            <w:pPr>
              <w:spacing w:line="360" w:lineRule="exact"/>
              <w:rPr>
                <w:rFonts w:ascii="宋体" w:hAnsi="宋体"/>
                <w:sz w:val="21"/>
                <w:szCs w:val="21"/>
              </w:rPr>
            </w:pPr>
            <w:r>
              <w:rPr>
                <w:rFonts w:hint="eastAsia" w:ascii="宋体" w:hAnsi="宋体"/>
                <w:sz w:val="21"/>
                <w:szCs w:val="21"/>
              </w:rPr>
              <w:t>投标文件所列项目负责人与报名时一致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3</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投标文件格式</w:t>
            </w:r>
          </w:p>
        </w:tc>
        <w:tc>
          <w:tcPr>
            <w:tcW w:w="4772" w:type="dxa"/>
            <w:vAlign w:val="center"/>
          </w:tcPr>
          <w:p>
            <w:pPr>
              <w:spacing w:line="360" w:lineRule="exact"/>
              <w:rPr>
                <w:rFonts w:ascii="宋体" w:hAnsi="宋体"/>
                <w:sz w:val="21"/>
                <w:szCs w:val="21"/>
              </w:rPr>
            </w:pPr>
            <w:r>
              <w:rPr>
                <w:rFonts w:hint="eastAsia" w:ascii="宋体" w:hAnsi="宋体"/>
                <w:sz w:val="21"/>
                <w:szCs w:val="21"/>
              </w:rPr>
              <w:t>符合招标文件投标文件格式的要求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4</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投标保证金</w:t>
            </w:r>
          </w:p>
        </w:tc>
        <w:tc>
          <w:tcPr>
            <w:tcW w:w="4772" w:type="dxa"/>
            <w:vAlign w:val="center"/>
          </w:tcPr>
          <w:p>
            <w:pPr>
              <w:spacing w:line="360" w:lineRule="exact"/>
              <w:rPr>
                <w:rFonts w:ascii="宋体" w:hAnsi="宋体"/>
                <w:sz w:val="21"/>
                <w:szCs w:val="21"/>
              </w:rPr>
            </w:pPr>
            <w:r>
              <w:rPr>
                <w:rFonts w:hint="eastAsia" w:ascii="宋体" w:hAnsi="宋体"/>
                <w:sz w:val="21"/>
                <w:szCs w:val="21"/>
              </w:rPr>
              <w:t>金额、内容、有效期符合招标文件规定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5</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投标有效期</w:t>
            </w:r>
          </w:p>
        </w:tc>
        <w:tc>
          <w:tcPr>
            <w:tcW w:w="4772" w:type="dxa"/>
            <w:vAlign w:val="center"/>
          </w:tcPr>
          <w:p>
            <w:pPr>
              <w:spacing w:line="360" w:lineRule="exact"/>
              <w:rPr>
                <w:rFonts w:ascii="宋体" w:hAnsi="宋体"/>
                <w:sz w:val="21"/>
                <w:szCs w:val="21"/>
              </w:rPr>
            </w:pPr>
            <w:r>
              <w:rPr>
                <w:rFonts w:hint="eastAsia" w:ascii="宋体" w:hAnsi="宋体"/>
                <w:sz w:val="21"/>
                <w:szCs w:val="21"/>
              </w:rPr>
              <w:t>符合招标文件规定，90日历天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6</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投标报价</w:t>
            </w:r>
          </w:p>
        </w:tc>
        <w:tc>
          <w:tcPr>
            <w:tcW w:w="4772" w:type="dxa"/>
            <w:vAlign w:val="center"/>
          </w:tcPr>
          <w:p>
            <w:pPr>
              <w:spacing w:line="360" w:lineRule="exact"/>
              <w:rPr>
                <w:rFonts w:ascii="宋体" w:hAnsi="宋体"/>
                <w:sz w:val="21"/>
                <w:szCs w:val="21"/>
              </w:rPr>
            </w:pPr>
            <w:r>
              <w:rPr>
                <w:rFonts w:hint="eastAsia" w:ascii="宋体" w:hAnsi="宋体"/>
                <w:sz w:val="21"/>
                <w:szCs w:val="21"/>
              </w:rPr>
              <w:t>须是固定价，且仅有一个报价，没有超出限价，没有低于成本价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7</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工期</w:t>
            </w:r>
          </w:p>
        </w:tc>
        <w:tc>
          <w:tcPr>
            <w:tcW w:w="4772" w:type="dxa"/>
            <w:vAlign w:val="center"/>
          </w:tcPr>
          <w:p>
            <w:pPr>
              <w:spacing w:line="360" w:lineRule="exact"/>
              <w:jc w:val="both"/>
              <w:rPr>
                <w:rFonts w:ascii="宋体" w:hAnsi="宋体"/>
                <w:sz w:val="21"/>
                <w:szCs w:val="21"/>
              </w:rPr>
            </w:pPr>
            <w:r>
              <w:rPr>
                <w:rFonts w:hint="eastAsia" w:ascii="宋体" w:hAnsi="宋体"/>
                <w:sz w:val="21"/>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8</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工程质量</w:t>
            </w:r>
          </w:p>
        </w:tc>
        <w:tc>
          <w:tcPr>
            <w:tcW w:w="4772" w:type="dxa"/>
            <w:vAlign w:val="center"/>
          </w:tcPr>
          <w:p>
            <w:pPr>
              <w:spacing w:line="360" w:lineRule="exact"/>
              <w:jc w:val="both"/>
              <w:rPr>
                <w:rFonts w:ascii="宋体" w:hAnsi="宋体"/>
                <w:sz w:val="21"/>
                <w:szCs w:val="21"/>
              </w:rPr>
            </w:pPr>
            <w:r>
              <w:rPr>
                <w:rFonts w:hint="eastAsia" w:ascii="宋体" w:hAnsi="宋体"/>
                <w:sz w:val="21"/>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9</w:t>
            </w:r>
          </w:p>
        </w:tc>
        <w:tc>
          <w:tcPr>
            <w:tcW w:w="2419" w:type="dxa"/>
            <w:vAlign w:val="center"/>
          </w:tcPr>
          <w:p>
            <w:pPr>
              <w:snapToGrid w:val="0"/>
              <w:spacing w:line="360" w:lineRule="auto"/>
              <w:jc w:val="center"/>
              <w:rPr>
                <w:rFonts w:ascii="宋体" w:hAnsi="宋体"/>
                <w:sz w:val="21"/>
                <w:szCs w:val="21"/>
              </w:rPr>
            </w:pPr>
            <w:r>
              <w:rPr>
                <w:rFonts w:hint="eastAsia" w:ascii="宋体" w:hAnsi="宋体"/>
                <w:sz w:val="21"/>
                <w:szCs w:val="21"/>
              </w:rPr>
              <w:t>其他实质性要求</w:t>
            </w:r>
          </w:p>
        </w:tc>
        <w:tc>
          <w:tcPr>
            <w:tcW w:w="4772" w:type="dxa"/>
            <w:vAlign w:val="center"/>
          </w:tcPr>
          <w:p>
            <w:pPr>
              <w:spacing w:line="360" w:lineRule="auto"/>
              <w:rPr>
                <w:rFonts w:ascii="宋体" w:hAnsi="宋体"/>
                <w:sz w:val="21"/>
                <w:szCs w:val="21"/>
              </w:rPr>
            </w:pPr>
            <w:r>
              <w:rPr>
                <w:rFonts w:hint="eastAsia" w:ascii="宋体" w:hAnsi="宋体"/>
                <w:sz w:val="21"/>
                <w:szCs w:val="21"/>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0" w:type="dxa"/>
            <w:vAlign w:val="center"/>
          </w:tcPr>
          <w:p>
            <w:pPr>
              <w:spacing w:line="360" w:lineRule="exact"/>
              <w:jc w:val="center"/>
              <w:rPr>
                <w:rFonts w:ascii="宋体" w:hAnsi="宋体"/>
                <w:sz w:val="21"/>
                <w:szCs w:val="21"/>
              </w:rPr>
            </w:pPr>
            <w:r>
              <w:rPr>
                <w:rFonts w:hint="eastAsia" w:ascii="宋体" w:hAnsi="宋体"/>
                <w:sz w:val="21"/>
                <w:szCs w:val="21"/>
              </w:rPr>
              <w:t>10</w:t>
            </w:r>
          </w:p>
        </w:tc>
        <w:tc>
          <w:tcPr>
            <w:tcW w:w="2419" w:type="dxa"/>
            <w:vAlign w:val="center"/>
          </w:tcPr>
          <w:p>
            <w:pPr>
              <w:spacing w:line="360" w:lineRule="exact"/>
              <w:jc w:val="center"/>
              <w:rPr>
                <w:rFonts w:ascii="宋体" w:hAnsi="宋体"/>
                <w:sz w:val="21"/>
                <w:szCs w:val="21"/>
              </w:rPr>
            </w:pPr>
            <w:r>
              <w:rPr>
                <w:rFonts w:hint="eastAsia" w:ascii="宋体" w:hAnsi="宋体"/>
                <w:sz w:val="21"/>
                <w:szCs w:val="21"/>
              </w:rPr>
              <w:t>结论</w:t>
            </w:r>
          </w:p>
        </w:tc>
        <w:tc>
          <w:tcPr>
            <w:tcW w:w="4772" w:type="dxa"/>
            <w:vAlign w:val="center"/>
          </w:tcPr>
          <w:p>
            <w:pPr>
              <w:spacing w:line="360" w:lineRule="exact"/>
              <w:ind w:firstLine="27" w:firstLineChars="13"/>
              <w:jc w:val="center"/>
              <w:rPr>
                <w:rFonts w:ascii="宋体" w:hAnsi="宋体"/>
                <w:sz w:val="21"/>
                <w:szCs w:val="21"/>
              </w:rPr>
            </w:pPr>
          </w:p>
        </w:tc>
      </w:tr>
    </w:tbl>
    <w:p>
      <w:pPr>
        <w:spacing w:line="400" w:lineRule="exact"/>
        <w:rPr>
          <w:rFonts w:ascii="宋体" w:hAnsi="宋体"/>
          <w:sz w:val="21"/>
          <w:szCs w:val="21"/>
        </w:rPr>
      </w:pPr>
      <w:r>
        <w:rPr>
          <w:rFonts w:hint="eastAsia" w:ascii="宋体" w:hAnsi="宋体"/>
          <w:sz w:val="21"/>
          <w:szCs w:val="21"/>
        </w:rPr>
        <w:t>注：栏目各项中符合填写“○”，不符合填写“×”。全部符合方可视为通过符合性检查，在结论栏中填写“通过”，否则为“不通过”。</w:t>
      </w:r>
    </w:p>
    <w:p>
      <w:pPr>
        <w:spacing w:line="400" w:lineRule="exact"/>
        <w:rPr>
          <w:rFonts w:ascii="宋体" w:hAnsi="宋体"/>
          <w:sz w:val="21"/>
          <w:szCs w:val="21"/>
        </w:rPr>
        <w:sectPr>
          <w:pgSz w:w="11907" w:h="16840"/>
          <w:pgMar w:top="1246" w:right="1797" w:bottom="1440" w:left="1797" w:header="680" w:footer="907" w:gutter="0"/>
          <w:pgNumType w:fmt="decimal"/>
          <w:cols w:space="720" w:num="1"/>
          <w:docGrid w:linePitch="271" w:charSpace="0"/>
        </w:sectPr>
      </w:pPr>
    </w:p>
    <w:p>
      <w:pPr>
        <w:spacing w:line="400" w:lineRule="exact"/>
        <w:outlineLvl w:val="0"/>
        <w:rPr>
          <w:rFonts w:ascii="宋体" w:hAnsi="宋体"/>
          <w:sz w:val="21"/>
          <w:szCs w:val="21"/>
        </w:rPr>
      </w:pPr>
      <w:bookmarkStart w:id="595" w:name="_Toc19094_WPSOffice_Level1"/>
      <w:bookmarkStart w:id="596" w:name="_Toc269_WPSOffice_Level1"/>
      <w:bookmarkStart w:id="597" w:name="_Toc5513"/>
      <w:bookmarkStart w:id="598" w:name="_Toc6929_WPSOffice_Level1"/>
      <w:r>
        <w:rPr>
          <w:rFonts w:hint="eastAsia" w:ascii="宋体" w:hAnsi="宋体"/>
          <w:sz w:val="21"/>
          <w:szCs w:val="21"/>
        </w:rPr>
        <w:t>附件3：商务评审细则</w:t>
      </w:r>
      <w:bookmarkEnd w:id="595"/>
      <w:bookmarkEnd w:id="596"/>
      <w:bookmarkEnd w:id="597"/>
      <w:bookmarkEnd w:id="598"/>
    </w:p>
    <w:p>
      <w:pPr>
        <w:spacing w:line="400" w:lineRule="exact"/>
        <w:rPr>
          <w:rFonts w:ascii="宋体" w:hAnsi="宋体"/>
          <w:sz w:val="21"/>
          <w:szCs w:val="21"/>
        </w:rPr>
      </w:pPr>
    </w:p>
    <w:p>
      <w:pPr>
        <w:adjustRightInd w:val="0"/>
        <w:spacing w:line="360" w:lineRule="auto"/>
        <w:jc w:val="center"/>
        <w:rPr>
          <w:rFonts w:ascii="宋体" w:hAnsi="宋体"/>
          <w:b/>
          <w:color w:val="000000"/>
          <w:sz w:val="28"/>
          <w:szCs w:val="28"/>
        </w:rPr>
      </w:pPr>
      <w:bookmarkStart w:id="599" w:name="_Toc16656_WPSOffice_Level2"/>
      <w:bookmarkStart w:id="600" w:name="_Toc20046_WPSOffice_Level2"/>
      <w:r>
        <w:rPr>
          <w:rFonts w:hint="eastAsia" w:ascii="宋体" w:hAnsi="宋体"/>
          <w:b/>
          <w:color w:val="000000"/>
          <w:sz w:val="28"/>
          <w:szCs w:val="28"/>
        </w:rPr>
        <w:t>商务部分：</w:t>
      </w:r>
      <w:r>
        <w:rPr>
          <w:rFonts w:ascii="宋体" w:hAnsi="宋体"/>
          <w:b/>
          <w:color w:val="000000"/>
          <w:sz w:val="28"/>
          <w:szCs w:val="28"/>
        </w:rPr>
        <w:t>2</w:t>
      </w:r>
      <w:r>
        <w:rPr>
          <w:rFonts w:hint="eastAsia" w:ascii="宋体" w:hAnsi="宋体"/>
          <w:b/>
          <w:color w:val="000000"/>
          <w:sz w:val="28"/>
          <w:szCs w:val="28"/>
        </w:rPr>
        <w:t>0分</w:t>
      </w:r>
      <w:bookmarkEnd w:id="599"/>
      <w:bookmarkEnd w:id="600"/>
    </w:p>
    <w:tbl>
      <w:tblPr>
        <w:tblStyle w:val="57"/>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00"/>
        <w:gridCol w:w="709"/>
        <w:gridCol w:w="453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jc w:val="center"/>
        </w:trPr>
        <w:tc>
          <w:tcPr>
            <w:tcW w:w="490" w:type="dxa"/>
            <w:vAlign w:val="center"/>
          </w:tcPr>
          <w:p>
            <w:pPr>
              <w:spacing w:line="360" w:lineRule="exact"/>
              <w:jc w:val="center"/>
              <w:rPr>
                <w:rFonts w:ascii="宋体" w:hAnsi="宋体"/>
                <w:sz w:val="21"/>
                <w:szCs w:val="21"/>
              </w:rPr>
            </w:pPr>
            <w:r>
              <w:rPr>
                <w:rFonts w:hint="eastAsia" w:ascii="宋体" w:hAnsi="宋体"/>
                <w:sz w:val="21"/>
                <w:szCs w:val="21"/>
              </w:rPr>
              <w:t>序号</w:t>
            </w:r>
          </w:p>
        </w:tc>
        <w:tc>
          <w:tcPr>
            <w:tcW w:w="1100" w:type="dxa"/>
            <w:vAlign w:val="center"/>
          </w:tcPr>
          <w:p>
            <w:pPr>
              <w:spacing w:line="360" w:lineRule="exact"/>
              <w:jc w:val="center"/>
              <w:rPr>
                <w:rFonts w:ascii="宋体" w:hAnsi="宋体"/>
                <w:sz w:val="21"/>
                <w:szCs w:val="21"/>
              </w:rPr>
            </w:pPr>
            <w:r>
              <w:rPr>
                <w:rFonts w:hint="eastAsia" w:ascii="宋体" w:hAnsi="宋体"/>
                <w:sz w:val="21"/>
                <w:szCs w:val="21"/>
              </w:rPr>
              <w:t>评分项目</w:t>
            </w:r>
          </w:p>
        </w:tc>
        <w:tc>
          <w:tcPr>
            <w:tcW w:w="709" w:type="dxa"/>
            <w:vAlign w:val="center"/>
          </w:tcPr>
          <w:p>
            <w:pPr>
              <w:spacing w:line="360" w:lineRule="exact"/>
              <w:jc w:val="center"/>
              <w:rPr>
                <w:rFonts w:ascii="宋体" w:hAnsi="宋体"/>
                <w:sz w:val="21"/>
                <w:szCs w:val="21"/>
              </w:rPr>
            </w:pPr>
            <w:r>
              <w:rPr>
                <w:rFonts w:hint="eastAsia" w:ascii="宋体" w:hAnsi="宋体"/>
                <w:sz w:val="21"/>
                <w:szCs w:val="21"/>
              </w:rPr>
              <w:t>标准分</w:t>
            </w:r>
          </w:p>
        </w:tc>
        <w:tc>
          <w:tcPr>
            <w:tcW w:w="4536" w:type="dxa"/>
            <w:vAlign w:val="center"/>
          </w:tcPr>
          <w:p>
            <w:pPr>
              <w:spacing w:line="360" w:lineRule="exact"/>
              <w:jc w:val="center"/>
              <w:rPr>
                <w:rFonts w:ascii="宋体" w:hAnsi="宋体"/>
                <w:sz w:val="21"/>
                <w:szCs w:val="21"/>
              </w:rPr>
            </w:pPr>
            <w:r>
              <w:rPr>
                <w:rFonts w:hint="eastAsia" w:ascii="宋体" w:hAnsi="宋体"/>
                <w:sz w:val="21"/>
                <w:szCs w:val="21"/>
              </w:rPr>
              <w:t>评分标准</w:t>
            </w:r>
          </w:p>
        </w:tc>
        <w:tc>
          <w:tcPr>
            <w:tcW w:w="2106" w:type="dxa"/>
            <w:vAlign w:val="center"/>
          </w:tcPr>
          <w:p>
            <w:pPr>
              <w:spacing w:line="360" w:lineRule="exact"/>
              <w:jc w:val="center"/>
              <w:rPr>
                <w:rFonts w:ascii="宋体" w:hAnsi="宋体"/>
                <w:sz w:val="21"/>
                <w:szCs w:val="21"/>
              </w:rPr>
            </w:pPr>
            <w:r>
              <w:rPr>
                <w:rFonts w:hint="eastAsia" w:ascii="宋体" w:hAnsi="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90" w:type="dxa"/>
            <w:tcBorders>
              <w:bottom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1</w:t>
            </w:r>
          </w:p>
        </w:tc>
        <w:tc>
          <w:tcPr>
            <w:tcW w:w="1100" w:type="dxa"/>
            <w:tcBorders>
              <w:bottom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企业施工业绩</w:t>
            </w:r>
          </w:p>
        </w:tc>
        <w:tc>
          <w:tcPr>
            <w:tcW w:w="709" w:type="dxa"/>
            <w:tcBorders>
              <w:bottom w:val="single" w:color="auto" w:sz="4" w:space="0"/>
            </w:tcBorders>
            <w:vAlign w:val="center"/>
          </w:tcPr>
          <w:p>
            <w:pPr>
              <w:spacing w:line="360" w:lineRule="exact"/>
              <w:jc w:val="center"/>
              <w:rPr>
                <w:rFonts w:ascii="宋体" w:hAnsi="宋体"/>
                <w:sz w:val="21"/>
                <w:szCs w:val="21"/>
              </w:rPr>
            </w:pPr>
            <w:r>
              <w:rPr>
                <w:rFonts w:hint="eastAsia" w:ascii="宋体" w:hAnsi="宋体"/>
                <w:sz w:val="21"/>
                <w:szCs w:val="21"/>
              </w:rPr>
              <w:t>10</w:t>
            </w:r>
          </w:p>
        </w:tc>
        <w:tc>
          <w:tcPr>
            <w:tcW w:w="4536" w:type="dxa"/>
            <w:tcBorders>
              <w:bottom w:val="single" w:color="auto" w:sz="4" w:space="0"/>
            </w:tcBorders>
            <w:vAlign w:val="center"/>
          </w:tcPr>
          <w:p>
            <w:pPr>
              <w:spacing w:line="360" w:lineRule="exact"/>
              <w:rPr>
                <w:rFonts w:ascii="宋体" w:hAnsi="宋体"/>
                <w:sz w:val="21"/>
                <w:szCs w:val="21"/>
              </w:rPr>
            </w:pPr>
            <w:r>
              <w:rPr>
                <w:rFonts w:hint="eastAsia" w:ascii="宋体" w:hAnsi="宋体"/>
                <w:sz w:val="21"/>
                <w:szCs w:val="21"/>
              </w:rPr>
              <w:t>2020年1月1日至今，投标人具备单项合同金额不低</w:t>
            </w:r>
            <w:r>
              <w:rPr>
                <w:rFonts w:hint="eastAsia" w:ascii="宋体" w:hAnsi="宋体"/>
                <w:color w:val="FF0000"/>
                <w:sz w:val="21"/>
                <w:szCs w:val="21"/>
              </w:rPr>
              <w:t>150万元</w:t>
            </w:r>
            <w:r>
              <w:rPr>
                <w:rFonts w:hint="eastAsia" w:ascii="宋体" w:hAnsi="宋体"/>
                <w:sz w:val="21"/>
                <w:szCs w:val="21"/>
              </w:rPr>
              <w:t>的建筑工程施工业绩的每项得2分，此项最多的10分。上述施工业绩指已竣工工程（竣工时间在2020年1月1日以后）。</w:t>
            </w:r>
          </w:p>
        </w:tc>
        <w:tc>
          <w:tcPr>
            <w:tcW w:w="2106" w:type="dxa"/>
            <w:tcBorders>
              <w:bottom w:val="single" w:color="auto" w:sz="4" w:space="0"/>
            </w:tcBorders>
            <w:vAlign w:val="center"/>
          </w:tcPr>
          <w:p>
            <w:pPr>
              <w:spacing w:line="360" w:lineRule="exact"/>
              <w:rPr>
                <w:rFonts w:ascii="宋体" w:hAnsi="宋体"/>
                <w:sz w:val="21"/>
                <w:szCs w:val="21"/>
              </w:rPr>
            </w:pPr>
            <w:r>
              <w:rPr>
                <w:rFonts w:hint="eastAsia" w:ascii="宋体" w:hAnsi="宋体"/>
                <w:sz w:val="21"/>
                <w:szCs w:val="21"/>
              </w:rPr>
              <w:t>业绩证明材料须提供合同关键页和竣工验收报告（竣工验收证明）的复印件并加盖公章，否则不得分。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490" w:type="dxa"/>
            <w:vAlign w:val="center"/>
          </w:tcPr>
          <w:p>
            <w:pPr>
              <w:spacing w:line="360" w:lineRule="exact"/>
              <w:jc w:val="center"/>
              <w:rPr>
                <w:rFonts w:ascii="宋体" w:hAnsi="宋体"/>
                <w:sz w:val="21"/>
                <w:szCs w:val="21"/>
              </w:rPr>
            </w:pPr>
            <w:r>
              <w:rPr>
                <w:rFonts w:hint="eastAsia" w:ascii="宋体" w:hAnsi="宋体"/>
                <w:sz w:val="21"/>
                <w:szCs w:val="21"/>
              </w:rPr>
              <w:t>2</w:t>
            </w:r>
          </w:p>
        </w:tc>
        <w:tc>
          <w:tcPr>
            <w:tcW w:w="1100" w:type="dxa"/>
            <w:vAlign w:val="center"/>
          </w:tcPr>
          <w:p>
            <w:pPr>
              <w:spacing w:line="360" w:lineRule="exact"/>
              <w:jc w:val="center"/>
              <w:rPr>
                <w:rFonts w:ascii="宋体" w:hAnsi="宋体"/>
                <w:sz w:val="21"/>
                <w:szCs w:val="21"/>
              </w:rPr>
            </w:pPr>
            <w:r>
              <w:rPr>
                <w:rFonts w:hint="eastAsia" w:ascii="宋体" w:hAnsi="宋体"/>
                <w:sz w:val="21"/>
                <w:szCs w:val="21"/>
              </w:rPr>
              <w:t>财务指标</w:t>
            </w:r>
          </w:p>
        </w:tc>
        <w:tc>
          <w:tcPr>
            <w:tcW w:w="709" w:type="dxa"/>
            <w:vAlign w:val="center"/>
          </w:tcPr>
          <w:p>
            <w:pPr>
              <w:spacing w:line="360" w:lineRule="exact"/>
              <w:jc w:val="center"/>
              <w:rPr>
                <w:rFonts w:ascii="宋体" w:hAnsi="宋体"/>
                <w:sz w:val="21"/>
                <w:szCs w:val="21"/>
              </w:rPr>
            </w:pPr>
            <w:r>
              <w:rPr>
                <w:rFonts w:hint="eastAsia" w:ascii="宋体" w:hAnsi="宋体"/>
                <w:sz w:val="21"/>
                <w:szCs w:val="21"/>
              </w:rPr>
              <w:t>5</w:t>
            </w:r>
          </w:p>
        </w:tc>
        <w:tc>
          <w:tcPr>
            <w:tcW w:w="4536" w:type="dxa"/>
            <w:vAlign w:val="center"/>
          </w:tcPr>
          <w:p>
            <w:pPr>
              <w:spacing w:line="360" w:lineRule="exact"/>
              <w:rPr>
                <w:rFonts w:ascii="宋体" w:hAnsi="宋体"/>
                <w:sz w:val="21"/>
                <w:szCs w:val="21"/>
              </w:rPr>
            </w:pPr>
            <w:r>
              <w:rPr>
                <w:rFonts w:hint="eastAsia" w:ascii="宋体" w:hAnsi="宋体"/>
                <w:sz w:val="21"/>
                <w:szCs w:val="21"/>
              </w:rPr>
              <w:t>投标人2021年或2022年负债率≤10%，得5分；</w:t>
            </w:r>
          </w:p>
          <w:p>
            <w:pPr>
              <w:spacing w:line="360" w:lineRule="exact"/>
              <w:rPr>
                <w:rFonts w:ascii="宋体" w:hAnsi="宋体"/>
                <w:sz w:val="21"/>
                <w:szCs w:val="21"/>
              </w:rPr>
            </w:pPr>
            <w:r>
              <w:rPr>
                <w:rFonts w:hint="eastAsia" w:ascii="宋体" w:hAnsi="宋体"/>
                <w:sz w:val="21"/>
                <w:szCs w:val="21"/>
              </w:rPr>
              <w:t>投标人2021年或2022年负债率≤30%，得3分；</w:t>
            </w:r>
          </w:p>
          <w:p>
            <w:pPr>
              <w:spacing w:line="360" w:lineRule="exact"/>
              <w:rPr>
                <w:rFonts w:ascii="宋体" w:hAnsi="宋体"/>
                <w:sz w:val="21"/>
                <w:szCs w:val="21"/>
              </w:rPr>
            </w:pPr>
            <w:r>
              <w:rPr>
                <w:rFonts w:hint="eastAsia" w:ascii="宋体" w:hAnsi="宋体"/>
                <w:sz w:val="21"/>
                <w:szCs w:val="21"/>
              </w:rPr>
              <w:t>投标人2021年或2022年负债率≤50%，得1分；</w:t>
            </w:r>
          </w:p>
          <w:p>
            <w:pPr>
              <w:spacing w:line="360" w:lineRule="exact"/>
              <w:rPr>
                <w:rFonts w:ascii="宋体" w:hAnsi="宋体"/>
                <w:sz w:val="21"/>
                <w:szCs w:val="21"/>
              </w:rPr>
            </w:pPr>
            <w:r>
              <w:rPr>
                <w:rFonts w:hint="eastAsia" w:ascii="宋体" w:hAnsi="宋体"/>
                <w:sz w:val="21"/>
                <w:szCs w:val="21"/>
              </w:rPr>
              <w:t>注：该项以投标单位的财务状况为评价标准，依据为投标文件中提供的2021年或2022年经会计师事务所审计的年度财务报表。</w:t>
            </w:r>
          </w:p>
        </w:tc>
        <w:tc>
          <w:tcPr>
            <w:tcW w:w="2106" w:type="dxa"/>
            <w:vAlign w:val="center"/>
          </w:tcPr>
          <w:p>
            <w:pPr>
              <w:spacing w:line="360" w:lineRule="exact"/>
              <w:rPr>
                <w:rFonts w:ascii="宋体" w:hAnsi="宋体"/>
                <w:sz w:val="21"/>
                <w:szCs w:val="21"/>
              </w:rPr>
            </w:pPr>
            <w:r>
              <w:rPr>
                <w:rFonts w:hint="eastAsia" w:ascii="宋体" w:hAnsi="宋体"/>
                <w:sz w:val="21"/>
                <w:szCs w:val="21"/>
              </w:rPr>
              <w:t>须提供证书复印件并加盖公章，否则不得分。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490" w:type="dxa"/>
            <w:vAlign w:val="center"/>
          </w:tcPr>
          <w:p>
            <w:pPr>
              <w:spacing w:line="360" w:lineRule="exact"/>
              <w:jc w:val="center"/>
              <w:rPr>
                <w:rFonts w:ascii="宋体" w:hAnsi="宋体"/>
                <w:sz w:val="21"/>
                <w:szCs w:val="21"/>
              </w:rPr>
            </w:pPr>
            <w:r>
              <w:rPr>
                <w:rFonts w:hint="eastAsia" w:ascii="宋体" w:hAnsi="宋体"/>
                <w:sz w:val="21"/>
                <w:szCs w:val="21"/>
              </w:rPr>
              <w:t>3</w:t>
            </w:r>
          </w:p>
        </w:tc>
        <w:tc>
          <w:tcPr>
            <w:tcW w:w="1100" w:type="dxa"/>
            <w:vAlign w:val="center"/>
          </w:tcPr>
          <w:p>
            <w:pPr>
              <w:spacing w:line="360" w:lineRule="exact"/>
              <w:jc w:val="center"/>
              <w:rPr>
                <w:rFonts w:ascii="宋体" w:hAnsi="宋体"/>
                <w:sz w:val="21"/>
                <w:szCs w:val="21"/>
              </w:rPr>
            </w:pPr>
            <w:r>
              <w:rPr>
                <w:rFonts w:hint="eastAsia" w:ascii="宋体" w:hAnsi="宋体"/>
                <w:sz w:val="21"/>
                <w:szCs w:val="21"/>
              </w:rPr>
              <w:t>企业信誉</w:t>
            </w:r>
          </w:p>
        </w:tc>
        <w:tc>
          <w:tcPr>
            <w:tcW w:w="709" w:type="dxa"/>
            <w:vAlign w:val="center"/>
          </w:tcPr>
          <w:p>
            <w:pPr>
              <w:spacing w:line="360" w:lineRule="exact"/>
              <w:jc w:val="center"/>
              <w:rPr>
                <w:rFonts w:ascii="宋体" w:hAnsi="宋体"/>
                <w:sz w:val="21"/>
                <w:szCs w:val="21"/>
              </w:rPr>
            </w:pPr>
            <w:r>
              <w:rPr>
                <w:rFonts w:hint="eastAsia" w:ascii="宋体" w:hAnsi="宋体"/>
                <w:sz w:val="21"/>
                <w:szCs w:val="21"/>
              </w:rPr>
              <w:t>5</w:t>
            </w:r>
          </w:p>
        </w:tc>
        <w:tc>
          <w:tcPr>
            <w:tcW w:w="4536" w:type="dxa"/>
            <w:vAlign w:val="center"/>
          </w:tcPr>
          <w:p>
            <w:pPr>
              <w:spacing w:line="360" w:lineRule="exact"/>
            </w:pPr>
            <w:r>
              <w:rPr>
                <w:rFonts w:hint="eastAsia"/>
              </w:rPr>
              <w:t>1.投标人具有良好的商业信誉，未在“信用中国”网站（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）被列为失信被执行人或重大税收违法案件当事人名单2分</w:t>
            </w:r>
          </w:p>
          <w:p>
            <w:pPr>
              <w:pStyle w:val="2"/>
            </w:pPr>
            <w:r>
              <w:rPr>
                <w:rFonts w:hint="eastAsia"/>
              </w:rPr>
              <w:t>2.投标人具有具有质量管理体系、职业健康安全管理体系和环境管理体系认证。同时具有以上3项得3分，具有两项得2分，具有一项得1分。</w:t>
            </w:r>
          </w:p>
        </w:tc>
        <w:tc>
          <w:tcPr>
            <w:tcW w:w="2106" w:type="dxa"/>
            <w:vAlign w:val="center"/>
          </w:tcPr>
          <w:p>
            <w:pPr>
              <w:spacing w:line="360" w:lineRule="exact"/>
            </w:pPr>
            <w:r>
              <w:rPr>
                <w:rFonts w:hint="eastAsia"/>
              </w:rPr>
              <w:t>1.须提查询截图并加盖公章，否则不得分，</w:t>
            </w:r>
          </w:p>
          <w:p>
            <w:pPr>
              <w:pStyle w:val="2"/>
            </w:pPr>
            <w:r>
              <w:rPr>
                <w:rFonts w:hint="eastAsia" w:ascii="宋体" w:hAnsi="宋体"/>
                <w:sz w:val="21"/>
                <w:szCs w:val="21"/>
              </w:rPr>
              <w:t>2.须提供证书复印件并加盖公章，否则不得分。</w:t>
            </w:r>
          </w:p>
        </w:tc>
      </w:tr>
    </w:tbl>
    <w:p>
      <w:pPr>
        <w:adjustRightInd w:val="0"/>
        <w:spacing w:line="360" w:lineRule="auto"/>
        <w:ind w:left="993" w:hanging="993"/>
        <w:rPr>
          <w:rFonts w:ascii="宋体" w:hAnsi="宋体"/>
          <w:sz w:val="21"/>
        </w:rPr>
      </w:pPr>
      <w:r>
        <w:rPr>
          <w:rFonts w:hint="eastAsia" w:ascii="宋体" w:hAnsi="宋体"/>
          <w:sz w:val="21"/>
        </w:rPr>
        <w:t>注：1、如果发现投标人在证明文件中有弄虚作假情况，则该文件所在项得分为零分；</w:t>
      </w: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adjustRightInd w:val="0"/>
        <w:spacing w:line="360" w:lineRule="auto"/>
        <w:ind w:left="993" w:hanging="993"/>
        <w:rPr>
          <w:rFonts w:ascii="宋体" w:hAnsi="宋体"/>
          <w:sz w:val="21"/>
        </w:rPr>
      </w:pPr>
    </w:p>
    <w:p>
      <w:pPr>
        <w:rPr>
          <w:rFonts w:ascii="宋体" w:hAnsi="宋体"/>
          <w:sz w:val="21"/>
        </w:rPr>
      </w:pPr>
      <w:r>
        <w:rPr>
          <w:rFonts w:ascii="宋体" w:hAnsi="宋体"/>
          <w:sz w:val="21"/>
        </w:rPr>
        <w:br w:type="page"/>
      </w:r>
    </w:p>
    <w:p>
      <w:pPr>
        <w:adjustRightInd w:val="0"/>
        <w:spacing w:line="360" w:lineRule="auto"/>
        <w:outlineLvl w:val="0"/>
        <w:rPr>
          <w:rFonts w:ascii="宋体" w:hAnsi="宋体"/>
          <w:sz w:val="21"/>
          <w:szCs w:val="21"/>
        </w:rPr>
      </w:pPr>
      <w:bookmarkStart w:id="601" w:name="_Toc18409_WPSOffice_Level1"/>
      <w:bookmarkStart w:id="602" w:name="_Toc17860"/>
      <w:bookmarkStart w:id="603" w:name="_Toc9858_WPSOffice_Level1"/>
      <w:bookmarkStart w:id="604" w:name="_Toc7607_WPSOffice_Level1"/>
      <w:r>
        <w:rPr>
          <w:rFonts w:hint="eastAsia" w:ascii="宋体" w:hAnsi="宋体"/>
          <w:sz w:val="21"/>
          <w:szCs w:val="21"/>
        </w:rPr>
        <w:t>附件4：技术评审细则</w:t>
      </w:r>
      <w:bookmarkEnd w:id="601"/>
      <w:bookmarkEnd w:id="602"/>
      <w:bookmarkEnd w:id="603"/>
      <w:bookmarkEnd w:id="604"/>
    </w:p>
    <w:p>
      <w:pPr>
        <w:pStyle w:val="69"/>
        <w:rPr>
          <w:rFonts w:hint="default"/>
        </w:rPr>
      </w:pPr>
    </w:p>
    <w:p>
      <w:pPr>
        <w:adjustRightInd w:val="0"/>
        <w:spacing w:line="360" w:lineRule="auto"/>
        <w:jc w:val="center"/>
        <w:rPr>
          <w:rFonts w:ascii="宋体" w:hAnsi="宋体"/>
          <w:b/>
          <w:sz w:val="28"/>
          <w:szCs w:val="28"/>
        </w:rPr>
      </w:pPr>
      <w:bookmarkStart w:id="605" w:name="_Toc10601_WPSOffice_Level2"/>
      <w:bookmarkStart w:id="606" w:name="_Toc26778_WPSOffice_Level2"/>
      <w:r>
        <w:rPr>
          <w:rFonts w:hint="eastAsia" w:ascii="宋体" w:hAnsi="宋体"/>
          <w:b/>
          <w:sz w:val="28"/>
          <w:szCs w:val="28"/>
        </w:rPr>
        <w:t>施工组织设计部分：</w:t>
      </w:r>
      <w:bookmarkEnd w:id="605"/>
      <w:r>
        <w:rPr>
          <w:rFonts w:hint="eastAsia" w:ascii="宋体" w:hAnsi="宋体"/>
          <w:b/>
          <w:sz w:val="28"/>
          <w:szCs w:val="28"/>
        </w:rPr>
        <w:t>2</w:t>
      </w:r>
      <w:bookmarkEnd w:id="606"/>
      <w:r>
        <w:rPr>
          <w:rFonts w:hint="eastAsia" w:ascii="宋体" w:hAnsi="宋体"/>
          <w:b/>
          <w:sz w:val="28"/>
          <w:szCs w:val="28"/>
        </w:rPr>
        <w:t>0分</w:t>
      </w:r>
    </w:p>
    <w:tbl>
      <w:tblPr>
        <w:tblStyle w:val="57"/>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104"/>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422" w:type="dxa"/>
            <w:vAlign w:val="center"/>
          </w:tcPr>
          <w:p>
            <w:pPr>
              <w:spacing w:line="220" w:lineRule="exact"/>
              <w:jc w:val="center"/>
              <w:rPr>
                <w:rFonts w:ascii="宋体" w:hAnsi="宋体"/>
                <w:b/>
                <w:sz w:val="21"/>
                <w:szCs w:val="21"/>
              </w:rPr>
            </w:pPr>
            <w:r>
              <w:rPr>
                <w:rFonts w:hint="eastAsia" w:ascii="宋体" w:hAnsi="宋体"/>
                <w:b/>
                <w:sz w:val="21"/>
                <w:szCs w:val="21"/>
              </w:rPr>
              <w:t>序号</w:t>
            </w:r>
          </w:p>
        </w:tc>
        <w:tc>
          <w:tcPr>
            <w:tcW w:w="1104" w:type="dxa"/>
            <w:vAlign w:val="center"/>
          </w:tcPr>
          <w:p>
            <w:pPr>
              <w:spacing w:line="220" w:lineRule="exact"/>
              <w:jc w:val="center"/>
              <w:rPr>
                <w:rFonts w:ascii="宋体" w:hAnsi="宋体"/>
                <w:b/>
                <w:sz w:val="21"/>
                <w:szCs w:val="21"/>
              </w:rPr>
            </w:pPr>
            <w:r>
              <w:rPr>
                <w:rFonts w:hint="eastAsia" w:ascii="宋体" w:hAnsi="宋体"/>
                <w:b/>
                <w:sz w:val="21"/>
                <w:szCs w:val="21"/>
              </w:rPr>
              <w:t>评审内容</w:t>
            </w:r>
          </w:p>
        </w:tc>
        <w:tc>
          <w:tcPr>
            <w:tcW w:w="7286" w:type="dxa"/>
            <w:vAlign w:val="center"/>
          </w:tcPr>
          <w:p>
            <w:pPr>
              <w:spacing w:line="220" w:lineRule="exact"/>
              <w:jc w:val="center"/>
              <w:rPr>
                <w:rFonts w:ascii="宋体" w:hAnsi="宋体"/>
                <w:b/>
                <w:sz w:val="21"/>
                <w:szCs w:val="21"/>
              </w:rPr>
            </w:pPr>
            <w:r>
              <w:rPr>
                <w:rFonts w:hint="eastAsia" w:ascii="宋体" w:hAnsi="宋体"/>
                <w:b/>
                <w:sz w:val="21"/>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422" w:type="dxa"/>
            <w:vAlign w:val="center"/>
          </w:tcPr>
          <w:p>
            <w:pPr>
              <w:snapToGrid w:val="0"/>
              <w:jc w:val="center"/>
              <w:rPr>
                <w:rFonts w:ascii="宋体" w:hAnsi="宋体"/>
                <w:szCs w:val="21"/>
              </w:rPr>
            </w:pPr>
            <w:r>
              <w:rPr>
                <w:rFonts w:hint="eastAsia" w:ascii="宋体" w:hAnsi="宋体"/>
                <w:szCs w:val="21"/>
              </w:rPr>
              <w:t>1</w:t>
            </w:r>
          </w:p>
        </w:tc>
        <w:tc>
          <w:tcPr>
            <w:tcW w:w="1104" w:type="dxa"/>
            <w:vAlign w:val="center"/>
          </w:tcPr>
          <w:p>
            <w:pPr>
              <w:jc w:val="center"/>
              <w:rPr>
                <w:rFonts w:ascii="宋体" w:hAnsi="宋体"/>
                <w:bCs/>
                <w:sz w:val="21"/>
                <w:szCs w:val="21"/>
              </w:rPr>
            </w:pPr>
            <w:r>
              <w:rPr>
                <w:rFonts w:ascii="宋体" w:hAnsi="宋体" w:cs="Calibri"/>
                <w:szCs w:val="21"/>
              </w:rPr>
              <w:t>总体施工部署</w:t>
            </w:r>
          </w:p>
        </w:tc>
        <w:tc>
          <w:tcPr>
            <w:tcW w:w="7286" w:type="dxa"/>
            <w:vAlign w:val="center"/>
          </w:tcPr>
          <w:p>
            <w:pPr>
              <w:rPr>
                <w:rFonts w:ascii="宋体" w:hAnsi="宋体" w:cs="Calibri"/>
                <w:szCs w:val="21"/>
              </w:rPr>
            </w:pPr>
            <w:r>
              <w:rPr>
                <w:rFonts w:hint="eastAsia" w:ascii="宋体" w:hAnsi="宋体" w:cs="Calibri"/>
                <w:szCs w:val="21"/>
              </w:rPr>
              <w:t>【</w:t>
            </w:r>
            <w:r>
              <w:rPr>
                <w:rFonts w:ascii="宋体" w:hAnsi="宋体" w:cs="Calibri"/>
                <w:szCs w:val="21"/>
              </w:rPr>
              <w:t>优</w:t>
            </w:r>
            <w:r>
              <w:rPr>
                <w:rFonts w:hint="eastAsia" w:ascii="宋体" w:hAnsi="宋体" w:cs="Calibri"/>
                <w:szCs w:val="21"/>
              </w:rPr>
              <w:t>】</w:t>
            </w:r>
            <w:r>
              <w:rPr>
                <w:rFonts w:ascii="宋体" w:hAnsi="宋体" w:cs="Calibri"/>
                <w:szCs w:val="21"/>
              </w:rPr>
              <w:t>总体施工部署完全科学可靠、完善，完全可行的，得</w:t>
            </w:r>
            <w:r>
              <w:rPr>
                <w:rFonts w:hint="eastAsia" w:ascii="宋体" w:hAnsi="宋体" w:cs="Calibri"/>
                <w:szCs w:val="21"/>
              </w:rPr>
              <w:t>4</w:t>
            </w:r>
            <w:r>
              <w:rPr>
                <w:rFonts w:ascii="宋体" w:hAnsi="宋体" w:cs="Calibri"/>
                <w:szCs w:val="21"/>
              </w:rPr>
              <w:t>分；</w:t>
            </w:r>
          </w:p>
          <w:p>
            <w:pPr>
              <w:rPr>
                <w:rFonts w:ascii="宋体" w:hAnsi="宋体" w:cs="Calibri"/>
                <w:szCs w:val="21"/>
              </w:rPr>
            </w:pPr>
            <w:r>
              <w:rPr>
                <w:rFonts w:hint="eastAsia" w:ascii="宋体" w:hAnsi="宋体" w:cs="Calibri"/>
                <w:szCs w:val="21"/>
              </w:rPr>
              <w:t>【良】</w:t>
            </w:r>
            <w:r>
              <w:rPr>
                <w:rFonts w:ascii="宋体" w:hAnsi="宋体" w:cs="Calibri"/>
                <w:szCs w:val="21"/>
              </w:rPr>
              <w:t>总体施工部署科学可靠、完善的，得</w:t>
            </w:r>
            <w:r>
              <w:rPr>
                <w:rFonts w:hint="eastAsia" w:ascii="宋体" w:hAnsi="宋体" w:cs="Calibri"/>
                <w:szCs w:val="21"/>
              </w:rPr>
              <w:t>2</w:t>
            </w:r>
            <w:r>
              <w:rPr>
                <w:rFonts w:ascii="宋体" w:hAnsi="宋体" w:cs="Calibri"/>
                <w:szCs w:val="21"/>
              </w:rPr>
              <w:t>分；</w:t>
            </w:r>
          </w:p>
          <w:p>
            <w:pPr>
              <w:rPr>
                <w:rFonts w:ascii="宋体" w:hAnsi="宋体" w:cs="Calibri"/>
                <w:szCs w:val="21"/>
              </w:rPr>
            </w:pPr>
            <w:r>
              <w:rPr>
                <w:rFonts w:hint="eastAsia" w:ascii="宋体" w:hAnsi="宋体" w:cs="Calibri"/>
                <w:szCs w:val="21"/>
              </w:rPr>
              <w:t>【中】有提供</w:t>
            </w:r>
            <w:r>
              <w:rPr>
                <w:rFonts w:ascii="宋体" w:hAnsi="宋体" w:cs="Calibri"/>
                <w:szCs w:val="21"/>
              </w:rPr>
              <w:t>总体施工部署的，得</w:t>
            </w:r>
            <w:r>
              <w:rPr>
                <w:rFonts w:hint="eastAsia" w:ascii="宋体" w:hAnsi="宋体" w:cs="Calibri"/>
                <w:szCs w:val="21"/>
              </w:rPr>
              <w:t>1</w:t>
            </w:r>
            <w:r>
              <w:rPr>
                <w:rFonts w:ascii="宋体" w:hAnsi="宋体" w:cs="Calibri"/>
                <w:szCs w:val="21"/>
              </w:rPr>
              <w:t>分；</w:t>
            </w:r>
          </w:p>
          <w:p>
            <w:pPr>
              <w:rPr>
                <w:rFonts w:ascii="宋体" w:hAnsi="宋体"/>
                <w:bCs/>
                <w:sz w:val="21"/>
                <w:szCs w:val="21"/>
              </w:rPr>
            </w:pPr>
            <w:r>
              <w:rPr>
                <w:rFonts w:hint="eastAsia" w:ascii="宋体" w:hAnsi="宋体" w:cs="Calibri"/>
                <w:szCs w:val="21"/>
              </w:rPr>
              <w:t>【差】没提供</w:t>
            </w:r>
            <w:r>
              <w:rPr>
                <w:rFonts w:ascii="宋体" w:hAnsi="宋体" w:cs="Calibri"/>
                <w:szCs w:val="21"/>
              </w:rPr>
              <w:t>总体施工部署</w:t>
            </w:r>
            <w:r>
              <w:rPr>
                <w:rFonts w:hint="eastAsia" w:ascii="宋体" w:hAnsi="宋体" w:cs="Calibri"/>
                <w:szCs w:val="21"/>
              </w:rPr>
              <w:t>的</w:t>
            </w:r>
            <w:r>
              <w:rPr>
                <w:rFonts w:ascii="宋体" w:hAnsi="宋体" w:cs="Calibri"/>
                <w:szCs w:val="21"/>
              </w:rPr>
              <w:t>，得</w:t>
            </w:r>
            <w:r>
              <w:rPr>
                <w:rFonts w:hint="eastAsia" w:ascii="宋体" w:hAnsi="宋体" w:cs="Calibri"/>
                <w:szCs w:val="21"/>
              </w:rPr>
              <w:t>0</w:t>
            </w:r>
            <w:r>
              <w:rPr>
                <w:rFonts w:ascii="宋体" w:hAnsi="宋体" w:cs="Calibr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422" w:type="dxa"/>
            <w:vAlign w:val="center"/>
          </w:tcPr>
          <w:p>
            <w:pPr>
              <w:snapToGrid w:val="0"/>
              <w:jc w:val="center"/>
              <w:rPr>
                <w:rFonts w:ascii="宋体" w:hAnsi="宋体"/>
                <w:szCs w:val="21"/>
              </w:rPr>
            </w:pPr>
            <w:r>
              <w:rPr>
                <w:rFonts w:hint="eastAsia" w:ascii="宋体" w:hAnsi="宋体"/>
                <w:szCs w:val="21"/>
              </w:rPr>
              <w:t>2</w:t>
            </w:r>
          </w:p>
        </w:tc>
        <w:tc>
          <w:tcPr>
            <w:tcW w:w="1104" w:type="dxa"/>
            <w:vAlign w:val="center"/>
          </w:tcPr>
          <w:p>
            <w:pPr>
              <w:jc w:val="center"/>
              <w:rPr>
                <w:rFonts w:hAnsi="宋体"/>
                <w:sz w:val="21"/>
                <w:szCs w:val="21"/>
              </w:rPr>
            </w:pPr>
            <w:r>
              <w:rPr>
                <w:rFonts w:ascii="宋体" w:hAnsi="宋体" w:cs="Calibri"/>
                <w:szCs w:val="21"/>
              </w:rPr>
              <w:t>进度计划安排及工期保证措施</w:t>
            </w:r>
          </w:p>
        </w:tc>
        <w:tc>
          <w:tcPr>
            <w:tcW w:w="7286" w:type="dxa"/>
            <w:vAlign w:val="center"/>
          </w:tcPr>
          <w:p>
            <w:pPr>
              <w:rPr>
                <w:rFonts w:ascii="宋体" w:hAnsi="宋体" w:cs="Calibri"/>
                <w:szCs w:val="21"/>
              </w:rPr>
            </w:pPr>
            <w:r>
              <w:rPr>
                <w:rFonts w:hint="eastAsia" w:ascii="宋体" w:hAnsi="宋体" w:cs="Calibri"/>
                <w:szCs w:val="21"/>
              </w:rPr>
              <w:t>【</w:t>
            </w:r>
            <w:r>
              <w:rPr>
                <w:rFonts w:ascii="宋体" w:hAnsi="宋体" w:cs="Calibri"/>
                <w:szCs w:val="21"/>
              </w:rPr>
              <w:t>优</w:t>
            </w:r>
            <w:r>
              <w:rPr>
                <w:rFonts w:hint="eastAsia" w:ascii="宋体" w:hAnsi="宋体" w:cs="Calibri"/>
                <w:szCs w:val="21"/>
              </w:rPr>
              <w:t>】结合项目实施需要，制定施工节点和进度计划，工期保证</w:t>
            </w:r>
            <w:r>
              <w:rPr>
                <w:rFonts w:ascii="宋体" w:hAnsi="宋体" w:cs="Calibri"/>
                <w:szCs w:val="21"/>
              </w:rPr>
              <w:t>措施科学可靠、完善，可行的，得</w:t>
            </w:r>
            <w:r>
              <w:rPr>
                <w:rFonts w:hint="eastAsia" w:ascii="宋体" w:hAnsi="宋体" w:cs="Calibri"/>
                <w:szCs w:val="21"/>
              </w:rPr>
              <w:t>4</w:t>
            </w:r>
            <w:r>
              <w:rPr>
                <w:rFonts w:ascii="宋体" w:hAnsi="宋体" w:cs="Calibri"/>
                <w:szCs w:val="21"/>
              </w:rPr>
              <w:t>分；</w:t>
            </w:r>
          </w:p>
          <w:p>
            <w:pPr>
              <w:rPr>
                <w:rFonts w:ascii="宋体" w:hAnsi="宋体" w:cs="Calibri"/>
                <w:szCs w:val="21"/>
              </w:rPr>
            </w:pPr>
            <w:r>
              <w:rPr>
                <w:rFonts w:ascii="宋体" w:hAnsi="宋体" w:cs="Calibri"/>
                <w:szCs w:val="21"/>
              </w:rPr>
              <w:t>【</w:t>
            </w:r>
            <w:r>
              <w:rPr>
                <w:rFonts w:hint="eastAsia" w:ascii="宋体" w:hAnsi="宋体" w:cs="Calibri"/>
                <w:szCs w:val="21"/>
              </w:rPr>
              <w:t>良</w:t>
            </w:r>
            <w:r>
              <w:rPr>
                <w:rFonts w:ascii="宋体" w:hAnsi="宋体" w:cs="Calibri"/>
                <w:szCs w:val="21"/>
              </w:rPr>
              <w:t>】</w:t>
            </w:r>
            <w:r>
              <w:rPr>
                <w:rFonts w:hint="eastAsia" w:ascii="宋体" w:hAnsi="宋体" w:cs="Calibri"/>
                <w:szCs w:val="21"/>
              </w:rPr>
              <w:t>施工计划安排比较合理，工期保证</w:t>
            </w:r>
            <w:r>
              <w:rPr>
                <w:rFonts w:ascii="宋体" w:hAnsi="宋体" w:cs="Calibri"/>
                <w:szCs w:val="21"/>
              </w:rPr>
              <w:t>措施科学可靠、完善的，得</w:t>
            </w:r>
            <w:r>
              <w:rPr>
                <w:rFonts w:hint="eastAsia" w:ascii="宋体" w:hAnsi="宋体" w:cs="Calibri"/>
                <w:szCs w:val="21"/>
              </w:rPr>
              <w:t>2</w:t>
            </w:r>
            <w:r>
              <w:rPr>
                <w:rFonts w:ascii="宋体" w:hAnsi="宋体" w:cs="Calibri"/>
                <w:szCs w:val="21"/>
              </w:rPr>
              <w:t>分</w:t>
            </w:r>
            <w:r>
              <w:rPr>
                <w:rFonts w:hint="eastAsia" w:ascii="宋体" w:hAnsi="宋体" w:cs="Calibri"/>
                <w:szCs w:val="21"/>
              </w:rPr>
              <w:t>；</w:t>
            </w:r>
          </w:p>
          <w:p>
            <w:pPr>
              <w:rPr>
                <w:rFonts w:ascii="宋体" w:hAnsi="宋体" w:cs="Calibri"/>
                <w:szCs w:val="21"/>
              </w:rPr>
            </w:pPr>
            <w:r>
              <w:rPr>
                <w:rFonts w:ascii="宋体" w:hAnsi="宋体" w:cs="Calibri"/>
                <w:szCs w:val="21"/>
              </w:rPr>
              <w:t>【中】</w:t>
            </w:r>
            <w:r>
              <w:rPr>
                <w:rFonts w:hint="eastAsia" w:ascii="宋体" w:hAnsi="宋体" w:cs="Calibri"/>
                <w:szCs w:val="21"/>
              </w:rPr>
              <w:t>有提供工程施工计划安排和工期保证</w:t>
            </w:r>
            <w:r>
              <w:rPr>
                <w:rFonts w:ascii="宋体" w:hAnsi="宋体" w:cs="Calibri"/>
                <w:szCs w:val="21"/>
              </w:rPr>
              <w:t>措施的，得</w:t>
            </w:r>
            <w:r>
              <w:rPr>
                <w:rFonts w:hint="eastAsia" w:ascii="宋体" w:hAnsi="宋体" w:cs="Calibri"/>
                <w:szCs w:val="21"/>
              </w:rPr>
              <w:t>1</w:t>
            </w:r>
            <w:r>
              <w:rPr>
                <w:rFonts w:ascii="宋体" w:hAnsi="宋体" w:cs="Calibri"/>
                <w:szCs w:val="21"/>
              </w:rPr>
              <w:t>分</w:t>
            </w:r>
            <w:r>
              <w:rPr>
                <w:rFonts w:hint="eastAsia" w:ascii="宋体" w:hAnsi="宋体" w:cs="Calibri"/>
                <w:szCs w:val="21"/>
              </w:rPr>
              <w:t>；</w:t>
            </w:r>
          </w:p>
          <w:p>
            <w:pPr>
              <w:rPr>
                <w:rFonts w:hAnsi="宋体"/>
                <w:sz w:val="21"/>
                <w:szCs w:val="21"/>
              </w:rPr>
            </w:pPr>
            <w:r>
              <w:rPr>
                <w:rFonts w:ascii="宋体" w:hAnsi="宋体" w:cs="Calibri"/>
                <w:szCs w:val="21"/>
              </w:rPr>
              <w:t>【差】</w:t>
            </w:r>
            <w:r>
              <w:rPr>
                <w:rFonts w:hint="eastAsia" w:ascii="宋体" w:hAnsi="宋体" w:cs="Calibri"/>
                <w:szCs w:val="21"/>
              </w:rPr>
              <w:t>没有提供相关计划和</w:t>
            </w:r>
            <w:r>
              <w:rPr>
                <w:rFonts w:ascii="宋体" w:hAnsi="宋体" w:cs="Calibri"/>
                <w:szCs w:val="21"/>
              </w:rPr>
              <w:t>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422" w:type="dxa"/>
            <w:vAlign w:val="center"/>
          </w:tcPr>
          <w:p>
            <w:pPr>
              <w:snapToGrid w:val="0"/>
              <w:jc w:val="center"/>
              <w:rPr>
                <w:rFonts w:ascii="宋体" w:hAnsi="宋体"/>
                <w:szCs w:val="21"/>
              </w:rPr>
            </w:pPr>
            <w:r>
              <w:rPr>
                <w:rFonts w:hint="eastAsia" w:ascii="宋体" w:hAnsi="宋体"/>
                <w:szCs w:val="21"/>
              </w:rPr>
              <w:t>3</w:t>
            </w:r>
          </w:p>
        </w:tc>
        <w:tc>
          <w:tcPr>
            <w:tcW w:w="1104" w:type="dxa"/>
            <w:vAlign w:val="center"/>
          </w:tcPr>
          <w:p>
            <w:pPr>
              <w:jc w:val="center"/>
              <w:rPr>
                <w:rFonts w:hAnsi="宋体"/>
                <w:sz w:val="21"/>
                <w:szCs w:val="21"/>
              </w:rPr>
            </w:pPr>
            <w:r>
              <w:rPr>
                <w:rFonts w:ascii="宋体" w:hAnsi="宋体" w:cs="Calibri"/>
                <w:szCs w:val="21"/>
              </w:rPr>
              <w:t>拟投入机械设备、劳动力资源配备计划</w:t>
            </w:r>
          </w:p>
        </w:tc>
        <w:tc>
          <w:tcPr>
            <w:tcW w:w="7286" w:type="dxa"/>
            <w:vAlign w:val="center"/>
          </w:tcPr>
          <w:p>
            <w:pPr>
              <w:rPr>
                <w:rFonts w:ascii="宋体" w:hAnsi="宋体" w:cs="Calibri"/>
                <w:szCs w:val="21"/>
              </w:rPr>
            </w:pPr>
            <w:r>
              <w:rPr>
                <w:rFonts w:hint="eastAsia" w:ascii="宋体" w:hAnsi="宋体" w:cs="Calibri"/>
                <w:szCs w:val="21"/>
              </w:rPr>
              <w:t>【</w:t>
            </w:r>
            <w:r>
              <w:rPr>
                <w:rFonts w:ascii="宋体" w:hAnsi="宋体" w:cs="Calibri"/>
                <w:szCs w:val="21"/>
              </w:rPr>
              <w:t>优</w:t>
            </w:r>
            <w:r>
              <w:rPr>
                <w:rFonts w:hint="eastAsia" w:ascii="宋体" w:hAnsi="宋体" w:cs="Calibri"/>
                <w:szCs w:val="21"/>
              </w:rPr>
              <w:t>】</w:t>
            </w:r>
            <w:r>
              <w:rPr>
                <w:rFonts w:ascii="宋体" w:hAnsi="宋体" w:cs="Calibri"/>
                <w:szCs w:val="21"/>
              </w:rPr>
              <w:t>机械设备配备合理，劳动力资源配置充足，满足本工程</w:t>
            </w:r>
            <w:r>
              <w:rPr>
                <w:rFonts w:hint="eastAsia" w:ascii="宋体" w:hAnsi="宋体" w:cs="Calibri"/>
                <w:szCs w:val="21"/>
              </w:rPr>
              <w:t>施工和进度计划</w:t>
            </w:r>
            <w:r>
              <w:rPr>
                <w:rFonts w:ascii="宋体" w:hAnsi="宋体" w:cs="Calibri"/>
                <w:szCs w:val="21"/>
              </w:rPr>
              <w:t>需</w:t>
            </w:r>
            <w:r>
              <w:rPr>
                <w:rFonts w:hint="eastAsia" w:ascii="宋体" w:hAnsi="宋体" w:cs="Calibri"/>
                <w:szCs w:val="21"/>
              </w:rPr>
              <w:t>要</w:t>
            </w:r>
            <w:r>
              <w:rPr>
                <w:rFonts w:ascii="宋体" w:hAnsi="宋体" w:cs="Calibri"/>
                <w:szCs w:val="21"/>
              </w:rPr>
              <w:t>的，得</w:t>
            </w:r>
            <w:r>
              <w:rPr>
                <w:rFonts w:hint="eastAsia" w:ascii="宋体" w:hAnsi="宋体" w:cs="Calibri"/>
                <w:szCs w:val="21"/>
              </w:rPr>
              <w:t>3</w:t>
            </w:r>
            <w:r>
              <w:rPr>
                <w:rFonts w:ascii="宋体" w:hAnsi="宋体" w:cs="Calibri"/>
                <w:szCs w:val="21"/>
              </w:rPr>
              <w:t>分；</w:t>
            </w:r>
          </w:p>
          <w:p>
            <w:pPr>
              <w:rPr>
                <w:rFonts w:ascii="宋体" w:hAnsi="宋体" w:cs="Calibri"/>
                <w:szCs w:val="21"/>
              </w:rPr>
            </w:pPr>
            <w:r>
              <w:rPr>
                <w:rFonts w:ascii="宋体" w:hAnsi="宋体" w:cs="Calibri"/>
                <w:szCs w:val="21"/>
              </w:rPr>
              <w:t>【</w:t>
            </w:r>
            <w:r>
              <w:rPr>
                <w:rFonts w:hint="eastAsia" w:ascii="宋体" w:hAnsi="宋体" w:cs="Calibri"/>
                <w:szCs w:val="21"/>
              </w:rPr>
              <w:t>良</w:t>
            </w:r>
            <w:r>
              <w:rPr>
                <w:rFonts w:ascii="宋体" w:hAnsi="宋体" w:cs="Calibri"/>
                <w:szCs w:val="21"/>
              </w:rPr>
              <w:t>】机械设备配备</w:t>
            </w:r>
            <w:r>
              <w:rPr>
                <w:rFonts w:hint="eastAsia" w:ascii="宋体" w:hAnsi="宋体" w:cs="Calibri"/>
                <w:szCs w:val="21"/>
              </w:rPr>
              <w:t>和</w:t>
            </w:r>
            <w:r>
              <w:rPr>
                <w:rFonts w:ascii="宋体" w:hAnsi="宋体" w:cs="Calibri"/>
                <w:szCs w:val="21"/>
              </w:rPr>
              <w:t>劳动力资源配置</w:t>
            </w:r>
            <w:r>
              <w:rPr>
                <w:rFonts w:hint="eastAsia" w:ascii="宋体" w:hAnsi="宋体" w:cs="Calibri"/>
                <w:szCs w:val="21"/>
              </w:rPr>
              <w:t>比较</w:t>
            </w:r>
            <w:r>
              <w:rPr>
                <w:rFonts w:ascii="宋体" w:hAnsi="宋体" w:cs="Calibri"/>
                <w:szCs w:val="21"/>
              </w:rPr>
              <w:t>合理，</w:t>
            </w:r>
            <w:r>
              <w:rPr>
                <w:rFonts w:hint="eastAsia" w:ascii="宋体" w:hAnsi="宋体" w:cs="Calibri"/>
                <w:szCs w:val="21"/>
              </w:rPr>
              <w:t>可以</w:t>
            </w:r>
            <w:r>
              <w:rPr>
                <w:rFonts w:ascii="宋体" w:hAnsi="宋体" w:cs="Calibri"/>
                <w:szCs w:val="21"/>
              </w:rPr>
              <w:t>满足本工程</w:t>
            </w:r>
            <w:r>
              <w:rPr>
                <w:rFonts w:hint="eastAsia" w:ascii="宋体" w:hAnsi="宋体" w:cs="Calibri"/>
                <w:szCs w:val="21"/>
              </w:rPr>
              <w:t>施工和进度计划</w:t>
            </w:r>
            <w:r>
              <w:rPr>
                <w:rFonts w:ascii="宋体" w:hAnsi="宋体" w:cs="Calibri"/>
                <w:szCs w:val="21"/>
              </w:rPr>
              <w:t>需</w:t>
            </w:r>
            <w:r>
              <w:rPr>
                <w:rFonts w:hint="eastAsia" w:ascii="宋体" w:hAnsi="宋体" w:cs="Calibri"/>
                <w:szCs w:val="21"/>
              </w:rPr>
              <w:t>要</w:t>
            </w:r>
            <w:r>
              <w:rPr>
                <w:rFonts w:ascii="宋体" w:hAnsi="宋体" w:cs="Calibri"/>
                <w:szCs w:val="21"/>
              </w:rPr>
              <w:t>的，得</w:t>
            </w:r>
            <w:r>
              <w:rPr>
                <w:rFonts w:hint="eastAsia" w:ascii="宋体" w:hAnsi="宋体" w:cs="Calibri"/>
                <w:szCs w:val="21"/>
              </w:rPr>
              <w:t>2</w:t>
            </w:r>
            <w:r>
              <w:rPr>
                <w:rFonts w:ascii="宋体" w:hAnsi="宋体" w:cs="Calibri"/>
                <w:szCs w:val="21"/>
              </w:rPr>
              <w:t>分</w:t>
            </w:r>
            <w:r>
              <w:rPr>
                <w:rFonts w:hint="eastAsia" w:ascii="宋体" w:hAnsi="宋体" w:cs="Calibri"/>
                <w:szCs w:val="21"/>
              </w:rPr>
              <w:t>；</w:t>
            </w:r>
          </w:p>
          <w:p>
            <w:pPr>
              <w:rPr>
                <w:rFonts w:ascii="宋体" w:hAnsi="宋体" w:cs="Calibri"/>
                <w:szCs w:val="21"/>
              </w:rPr>
            </w:pPr>
            <w:r>
              <w:rPr>
                <w:rFonts w:ascii="宋体" w:hAnsi="宋体" w:cs="Calibri"/>
                <w:szCs w:val="21"/>
              </w:rPr>
              <w:t>【中】</w:t>
            </w:r>
            <w:r>
              <w:rPr>
                <w:rFonts w:hint="eastAsia" w:ascii="宋体" w:hAnsi="宋体" w:cs="Calibri"/>
                <w:szCs w:val="21"/>
              </w:rPr>
              <w:t>有提供相应的机械设备和劳动力资源</w:t>
            </w:r>
            <w:r>
              <w:rPr>
                <w:rFonts w:ascii="宋体" w:hAnsi="宋体" w:cs="Calibri"/>
                <w:szCs w:val="21"/>
              </w:rPr>
              <w:t>配置</w:t>
            </w:r>
            <w:r>
              <w:rPr>
                <w:rFonts w:hint="eastAsia" w:ascii="宋体" w:hAnsi="宋体" w:cs="Calibri"/>
                <w:szCs w:val="21"/>
              </w:rPr>
              <w:t>计划</w:t>
            </w:r>
            <w:r>
              <w:rPr>
                <w:rFonts w:ascii="宋体" w:hAnsi="宋体" w:cs="Calibri"/>
                <w:szCs w:val="21"/>
              </w:rPr>
              <w:t>的，得</w:t>
            </w:r>
            <w:r>
              <w:rPr>
                <w:rFonts w:hint="eastAsia" w:ascii="宋体" w:hAnsi="宋体" w:cs="Calibri"/>
                <w:szCs w:val="21"/>
              </w:rPr>
              <w:t>1</w:t>
            </w:r>
            <w:r>
              <w:rPr>
                <w:rFonts w:ascii="宋体" w:hAnsi="宋体" w:cs="Calibri"/>
                <w:szCs w:val="21"/>
              </w:rPr>
              <w:t>分</w:t>
            </w:r>
            <w:r>
              <w:rPr>
                <w:rFonts w:hint="eastAsia" w:ascii="宋体" w:hAnsi="宋体" w:cs="Calibri"/>
                <w:szCs w:val="21"/>
              </w:rPr>
              <w:t>；</w:t>
            </w:r>
          </w:p>
          <w:p>
            <w:pPr>
              <w:rPr>
                <w:rFonts w:hAnsi="宋体"/>
                <w:sz w:val="21"/>
                <w:szCs w:val="21"/>
              </w:rPr>
            </w:pPr>
            <w:r>
              <w:rPr>
                <w:rFonts w:ascii="宋体" w:hAnsi="宋体" w:cs="Calibri"/>
                <w:szCs w:val="21"/>
              </w:rPr>
              <w:t>【差】</w:t>
            </w:r>
            <w:r>
              <w:rPr>
                <w:rFonts w:hint="eastAsia" w:ascii="宋体" w:hAnsi="宋体" w:cs="Calibri"/>
                <w:szCs w:val="21"/>
              </w:rPr>
              <w:t>没有提供相关</w:t>
            </w:r>
            <w:r>
              <w:rPr>
                <w:rFonts w:ascii="宋体" w:hAnsi="宋体" w:cs="Calibri"/>
                <w:szCs w:val="21"/>
              </w:rPr>
              <w:t>资源配置</w:t>
            </w:r>
            <w:r>
              <w:rPr>
                <w:rFonts w:hint="eastAsia" w:ascii="宋体" w:hAnsi="宋体" w:cs="Calibri"/>
                <w:szCs w:val="21"/>
              </w:rPr>
              <w:t>计划</w:t>
            </w:r>
            <w:r>
              <w:rPr>
                <w:rFonts w:ascii="宋体" w:hAnsi="宋体" w:cs="Calibri"/>
                <w:szCs w:val="21"/>
              </w:rPr>
              <w:t>的，得0分</w:t>
            </w: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422" w:type="dxa"/>
            <w:vAlign w:val="center"/>
          </w:tcPr>
          <w:p>
            <w:pPr>
              <w:snapToGrid w:val="0"/>
              <w:jc w:val="center"/>
              <w:rPr>
                <w:rFonts w:ascii="宋体" w:hAnsi="宋体"/>
                <w:szCs w:val="21"/>
              </w:rPr>
            </w:pPr>
            <w:r>
              <w:rPr>
                <w:rFonts w:hint="eastAsia" w:ascii="宋体" w:hAnsi="宋体"/>
                <w:szCs w:val="21"/>
              </w:rPr>
              <w:t>4</w:t>
            </w:r>
          </w:p>
        </w:tc>
        <w:tc>
          <w:tcPr>
            <w:tcW w:w="1104" w:type="dxa"/>
            <w:vAlign w:val="center"/>
          </w:tcPr>
          <w:p>
            <w:pPr>
              <w:jc w:val="center"/>
              <w:rPr>
                <w:rFonts w:hAnsi="宋体"/>
                <w:sz w:val="21"/>
                <w:szCs w:val="21"/>
              </w:rPr>
            </w:pPr>
            <w:r>
              <w:rPr>
                <w:rFonts w:hint="eastAsia" w:ascii="宋体" w:hAnsi="宋体" w:cs="Calibri"/>
                <w:szCs w:val="21"/>
              </w:rPr>
              <w:t>施工工艺流程及施工方案</w:t>
            </w:r>
          </w:p>
        </w:tc>
        <w:tc>
          <w:tcPr>
            <w:tcW w:w="7286" w:type="dxa"/>
            <w:vAlign w:val="center"/>
          </w:tcPr>
          <w:p>
            <w:pPr>
              <w:rPr>
                <w:rFonts w:ascii="宋体" w:hAnsi="宋体" w:cs="Calibri"/>
                <w:szCs w:val="21"/>
              </w:rPr>
            </w:pPr>
            <w:r>
              <w:rPr>
                <w:rFonts w:ascii="宋体" w:hAnsi="宋体" w:cs="Calibri"/>
                <w:szCs w:val="21"/>
              </w:rPr>
              <w:t>【优】</w:t>
            </w:r>
            <w:r>
              <w:rPr>
                <w:rFonts w:hint="eastAsia" w:ascii="宋体" w:hAnsi="宋体" w:cs="Calibri"/>
                <w:szCs w:val="21"/>
              </w:rPr>
              <w:t>施工工艺流程及施工方案</w:t>
            </w:r>
            <w:r>
              <w:rPr>
                <w:rFonts w:ascii="宋体" w:hAnsi="宋体" w:cs="Calibri"/>
                <w:szCs w:val="21"/>
              </w:rPr>
              <w:t>科学可靠、完善，可行的，得</w:t>
            </w:r>
            <w:r>
              <w:rPr>
                <w:rFonts w:hint="eastAsia" w:ascii="宋体" w:hAnsi="宋体" w:cs="Calibri"/>
                <w:szCs w:val="21"/>
              </w:rPr>
              <w:t>3</w:t>
            </w:r>
            <w:r>
              <w:rPr>
                <w:rFonts w:ascii="宋体" w:hAnsi="宋体" w:cs="Calibri"/>
                <w:szCs w:val="21"/>
              </w:rPr>
              <w:t>分；</w:t>
            </w:r>
          </w:p>
          <w:p>
            <w:pPr>
              <w:rPr>
                <w:rFonts w:ascii="宋体" w:hAnsi="宋体" w:cs="Calibri"/>
                <w:szCs w:val="21"/>
              </w:rPr>
            </w:pPr>
            <w:r>
              <w:rPr>
                <w:rFonts w:ascii="宋体" w:hAnsi="宋体" w:cs="Calibri"/>
                <w:szCs w:val="21"/>
              </w:rPr>
              <w:t>【</w:t>
            </w:r>
            <w:r>
              <w:rPr>
                <w:rFonts w:hint="eastAsia" w:ascii="宋体" w:hAnsi="宋体" w:cs="Calibri"/>
                <w:szCs w:val="21"/>
              </w:rPr>
              <w:t>良</w:t>
            </w:r>
            <w:r>
              <w:rPr>
                <w:rFonts w:ascii="宋体" w:hAnsi="宋体" w:cs="Calibri"/>
                <w:szCs w:val="21"/>
              </w:rPr>
              <w:t>】</w:t>
            </w:r>
            <w:r>
              <w:rPr>
                <w:rFonts w:hint="eastAsia" w:ascii="宋体" w:hAnsi="宋体" w:cs="Calibri"/>
                <w:szCs w:val="21"/>
              </w:rPr>
              <w:t>施工工艺流程及施工方案比较</w:t>
            </w:r>
            <w:r>
              <w:rPr>
                <w:rFonts w:ascii="宋体" w:hAnsi="宋体" w:cs="Calibri"/>
                <w:szCs w:val="21"/>
              </w:rPr>
              <w:t>可靠、</w:t>
            </w:r>
            <w:r>
              <w:rPr>
                <w:rFonts w:hint="eastAsia" w:ascii="宋体" w:hAnsi="宋体" w:cs="Calibri"/>
                <w:szCs w:val="21"/>
              </w:rPr>
              <w:t>比较</w:t>
            </w:r>
            <w:r>
              <w:rPr>
                <w:rFonts w:ascii="宋体" w:hAnsi="宋体" w:cs="Calibri"/>
                <w:szCs w:val="21"/>
              </w:rPr>
              <w:t>完善的，得</w:t>
            </w:r>
            <w:r>
              <w:rPr>
                <w:rFonts w:hint="eastAsia" w:ascii="宋体" w:hAnsi="宋体" w:cs="Calibri"/>
                <w:szCs w:val="21"/>
              </w:rPr>
              <w:t>2</w:t>
            </w:r>
            <w:r>
              <w:rPr>
                <w:rFonts w:ascii="宋体" w:hAnsi="宋体" w:cs="Calibri"/>
                <w:szCs w:val="21"/>
              </w:rPr>
              <w:t>分；</w:t>
            </w:r>
          </w:p>
          <w:p>
            <w:pPr>
              <w:rPr>
                <w:rFonts w:ascii="宋体" w:hAnsi="宋体" w:cs="Calibri"/>
                <w:szCs w:val="21"/>
              </w:rPr>
            </w:pPr>
            <w:r>
              <w:rPr>
                <w:rFonts w:ascii="宋体" w:hAnsi="宋体" w:cs="Calibri"/>
                <w:szCs w:val="21"/>
              </w:rPr>
              <w:t>【中】</w:t>
            </w:r>
            <w:r>
              <w:rPr>
                <w:rFonts w:hint="eastAsia" w:ascii="宋体" w:hAnsi="宋体" w:cs="Calibri"/>
                <w:szCs w:val="21"/>
              </w:rPr>
              <w:t>有提供施工工艺流程及施工方案</w:t>
            </w:r>
            <w:r>
              <w:rPr>
                <w:rFonts w:ascii="宋体" w:hAnsi="宋体" w:cs="Calibri"/>
                <w:szCs w:val="21"/>
              </w:rPr>
              <w:t>的，得</w:t>
            </w:r>
            <w:r>
              <w:rPr>
                <w:rFonts w:hint="eastAsia" w:ascii="宋体" w:hAnsi="宋体" w:cs="Calibri"/>
                <w:szCs w:val="21"/>
              </w:rPr>
              <w:t>1</w:t>
            </w:r>
            <w:r>
              <w:rPr>
                <w:rFonts w:ascii="宋体" w:hAnsi="宋体" w:cs="Calibri"/>
                <w:szCs w:val="21"/>
              </w:rPr>
              <w:t>分；</w:t>
            </w:r>
          </w:p>
          <w:p>
            <w:pPr>
              <w:spacing w:line="320" w:lineRule="exact"/>
              <w:rPr>
                <w:rFonts w:hAnsi="宋体"/>
                <w:sz w:val="21"/>
                <w:szCs w:val="21"/>
              </w:rPr>
            </w:pPr>
            <w:r>
              <w:rPr>
                <w:rFonts w:ascii="宋体" w:hAnsi="宋体" w:cs="Calibri"/>
                <w:szCs w:val="21"/>
              </w:rPr>
              <w:t>【差】</w:t>
            </w:r>
            <w:r>
              <w:rPr>
                <w:rFonts w:hint="eastAsia" w:ascii="宋体" w:hAnsi="宋体" w:cs="Calibri"/>
                <w:szCs w:val="21"/>
              </w:rPr>
              <w:t>没有提供相关施工工艺流程或施工方案</w:t>
            </w:r>
            <w:r>
              <w:rPr>
                <w:rFonts w:ascii="宋体" w:hAnsi="宋体" w:cs="Calibri"/>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422" w:type="dxa"/>
            <w:vAlign w:val="center"/>
          </w:tcPr>
          <w:p>
            <w:pPr>
              <w:snapToGrid w:val="0"/>
              <w:jc w:val="center"/>
              <w:rPr>
                <w:rFonts w:ascii="宋体" w:hAnsi="宋体"/>
                <w:szCs w:val="21"/>
              </w:rPr>
            </w:pPr>
            <w:r>
              <w:rPr>
                <w:rFonts w:hint="eastAsia" w:ascii="宋体" w:hAnsi="宋体"/>
                <w:szCs w:val="21"/>
              </w:rPr>
              <w:t>5</w:t>
            </w:r>
          </w:p>
        </w:tc>
        <w:tc>
          <w:tcPr>
            <w:tcW w:w="1104" w:type="dxa"/>
            <w:vAlign w:val="center"/>
          </w:tcPr>
          <w:p>
            <w:pPr>
              <w:jc w:val="center"/>
              <w:rPr>
                <w:rFonts w:hAnsi="宋体"/>
                <w:sz w:val="21"/>
                <w:szCs w:val="21"/>
              </w:rPr>
            </w:pPr>
            <w:r>
              <w:rPr>
                <w:rFonts w:ascii="宋体" w:hAnsi="宋体" w:cs="Calibri"/>
                <w:szCs w:val="21"/>
              </w:rPr>
              <w:t>质量保证措施</w:t>
            </w:r>
          </w:p>
        </w:tc>
        <w:tc>
          <w:tcPr>
            <w:tcW w:w="7286" w:type="dxa"/>
            <w:vAlign w:val="center"/>
          </w:tcPr>
          <w:p>
            <w:pPr>
              <w:rPr>
                <w:rFonts w:ascii="宋体" w:hAnsi="宋体" w:cs="Calibri"/>
                <w:szCs w:val="21"/>
              </w:rPr>
            </w:pPr>
            <w:r>
              <w:rPr>
                <w:rFonts w:ascii="宋体" w:hAnsi="宋体" w:cs="Calibri"/>
                <w:szCs w:val="21"/>
              </w:rPr>
              <w:t>【优】</w:t>
            </w:r>
            <w:r>
              <w:rPr>
                <w:rFonts w:hint="eastAsia" w:ascii="宋体" w:hAnsi="宋体" w:cs="Calibri"/>
                <w:szCs w:val="21"/>
              </w:rPr>
              <w:t>质量保证</w:t>
            </w:r>
            <w:r>
              <w:rPr>
                <w:rFonts w:ascii="宋体" w:hAnsi="宋体" w:cs="Calibri"/>
                <w:szCs w:val="21"/>
              </w:rPr>
              <w:t>措施科学可靠、完善，可行的，得</w:t>
            </w:r>
            <w:r>
              <w:rPr>
                <w:rFonts w:hint="eastAsia" w:ascii="宋体" w:hAnsi="宋体" w:cs="Calibri"/>
                <w:szCs w:val="21"/>
              </w:rPr>
              <w:t>3</w:t>
            </w:r>
            <w:r>
              <w:rPr>
                <w:rFonts w:ascii="宋体" w:hAnsi="宋体" w:cs="Calibri"/>
                <w:szCs w:val="21"/>
              </w:rPr>
              <w:t>分；</w:t>
            </w:r>
          </w:p>
          <w:p>
            <w:pPr>
              <w:rPr>
                <w:rFonts w:ascii="宋体" w:hAnsi="宋体" w:cs="Calibri"/>
                <w:szCs w:val="21"/>
              </w:rPr>
            </w:pPr>
            <w:r>
              <w:rPr>
                <w:rFonts w:ascii="宋体" w:hAnsi="宋体" w:cs="Calibri"/>
                <w:szCs w:val="21"/>
              </w:rPr>
              <w:t>【</w:t>
            </w:r>
            <w:r>
              <w:rPr>
                <w:rFonts w:hint="eastAsia" w:ascii="宋体" w:hAnsi="宋体" w:cs="Calibri"/>
                <w:szCs w:val="21"/>
              </w:rPr>
              <w:t>良</w:t>
            </w:r>
            <w:r>
              <w:rPr>
                <w:rFonts w:ascii="宋体" w:hAnsi="宋体" w:cs="Calibri"/>
                <w:szCs w:val="21"/>
              </w:rPr>
              <w:t>】</w:t>
            </w:r>
            <w:r>
              <w:rPr>
                <w:rFonts w:hint="eastAsia" w:ascii="宋体" w:hAnsi="宋体" w:cs="Calibri"/>
                <w:szCs w:val="21"/>
              </w:rPr>
              <w:t>质量保证</w:t>
            </w:r>
            <w:r>
              <w:rPr>
                <w:rFonts w:ascii="宋体" w:hAnsi="宋体" w:cs="Calibri"/>
                <w:szCs w:val="21"/>
              </w:rPr>
              <w:t>措施</w:t>
            </w:r>
            <w:r>
              <w:rPr>
                <w:rFonts w:hint="eastAsia" w:ascii="宋体" w:hAnsi="宋体" w:cs="Calibri"/>
                <w:szCs w:val="21"/>
              </w:rPr>
              <w:t>比较</w:t>
            </w:r>
            <w:r>
              <w:rPr>
                <w:rFonts w:ascii="宋体" w:hAnsi="宋体" w:cs="Calibri"/>
                <w:szCs w:val="21"/>
              </w:rPr>
              <w:t>可靠、</w:t>
            </w:r>
            <w:r>
              <w:rPr>
                <w:rFonts w:hint="eastAsia" w:ascii="宋体" w:hAnsi="宋体" w:cs="Calibri"/>
                <w:szCs w:val="21"/>
              </w:rPr>
              <w:t>比较</w:t>
            </w:r>
            <w:r>
              <w:rPr>
                <w:rFonts w:ascii="宋体" w:hAnsi="宋体" w:cs="Calibri"/>
                <w:szCs w:val="21"/>
              </w:rPr>
              <w:t>完善的，得</w:t>
            </w:r>
            <w:r>
              <w:rPr>
                <w:rFonts w:hint="eastAsia" w:ascii="宋体" w:hAnsi="宋体" w:cs="Calibri"/>
                <w:szCs w:val="21"/>
              </w:rPr>
              <w:t>2</w:t>
            </w:r>
            <w:r>
              <w:rPr>
                <w:rFonts w:ascii="宋体" w:hAnsi="宋体" w:cs="Calibri"/>
                <w:szCs w:val="21"/>
              </w:rPr>
              <w:t>分；</w:t>
            </w:r>
          </w:p>
          <w:p>
            <w:pPr>
              <w:rPr>
                <w:rFonts w:ascii="宋体" w:hAnsi="宋体" w:cs="Calibri"/>
                <w:szCs w:val="21"/>
              </w:rPr>
            </w:pPr>
            <w:r>
              <w:rPr>
                <w:rFonts w:ascii="宋体" w:hAnsi="宋体" w:cs="Calibri"/>
                <w:szCs w:val="21"/>
              </w:rPr>
              <w:t>【中】</w:t>
            </w:r>
            <w:r>
              <w:rPr>
                <w:rFonts w:hint="eastAsia" w:ascii="宋体" w:hAnsi="宋体" w:cs="Calibri"/>
                <w:szCs w:val="21"/>
              </w:rPr>
              <w:t>有提供相应的质量保证措施</w:t>
            </w:r>
            <w:r>
              <w:rPr>
                <w:rFonts w:ascii="宋体" w:hAnsi="宋体" w:cs="Calibri"/>
                <w:szCs w:val="21"/>
              </w:rPr>
              <w:t>的，得</w:t>
            </w:r>
            <w:r>
              <w:rPr>
                <w:rFonts w:hint="eastAsia" w:ascii="宋体" w:hAnsi="宋体" w:cs="Calibri"/>
                <w:szCs w:val="21"/>
              </w:rPr>
              <w:t>1</w:t>
            </w:r>
            <w:r>
              <w:rPr>
                <w:rFonts w:ascii="宋体" w:hAnsi="宋体" w:cs="Calibri"/>
                <w:szCs w:val="21"/>
              </w:rPr>
              <w:t>分；</w:t>
            </w:r>
          </w:p>
          <w:p>
            <w:pPr>
              <w:rPr>
                <w:rFonts w:hAnsi="宋体"/>
                <w:sz w:val="21"/>
                <w:szCs w:val="21"/>
              </w:rPr>
            </w:pPr>
            <w:r>
              <w:rPr>
                <w:rFonts w:ascii="宋体" w:hAnsi="宋体" w:cs="Calibri"/>
                <w:szCs w:val="21"/>
              </w:rPr>
              <w:t>【差】</w:t>
            </w:r>
            <w:r>
              <w:rPr>
                <w:rFonts w:hint="eastAsia" w:ascii="宋体" w:hAnsi="宋体" w:cs="Calibri"/>
                <w:szCs w:val="21"/>
              </w:rPr>
              <w:t>没有提供相关</w:t>
            </w:r>
            <w:r>
              <w:rPr>
                <w:rFonts w:ascii="宋体" w:hAnsi="宋体" w:cs="Calibri"/>
                <w:szCs w:val="21"/>
              </w:rPr>
              <w:t>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422" w:type="dxa"/>
            <w:vAlign w:val="center"/>
          </w:tcPr>
          <w:p>
            <w:pPr>
              <w:snapToGrid w:val="0"/>
              <w:jc w:val="center"/>
              <w:rPr>
                <w:rFonts w:ascii="宋体" w:hAnsi="宋体"/>
                <w:szCs w:val="21"/>
              </w:rPr>
            </w:pPr>
            <w:r>
              <w:rPr>
                <w:rFonts w:hint="eastAsia" w:ascii="宋体" w:hAnsi="宋体"/>
                <w:szCs w:val="21"/>
              </w:rPr>
              <w:t>6</w:t>
            </w:r>
          </w:p>
        </w:tc>
        <w:tc>
          <w:tcPr>
            <w:tcW w:w="1104" w:type="dxa"/>
            <w:vAlign w:val="center"/>
          </w:tcPr>
          <w:p>
            <w:pPr>
              <w:jc w:val="center"/>
              <w:rPr>
                <w:rFonts w:hAnsi="宋体"/>
                <w:sz w:val="21"/>
                <w:szCs w:val="21"/>
              </w:rPr>
            </w:pPr>
            <w:r>
              <w:rPr>
                <w:rFonts w:ascii="宋体" w:hAnsi="宋体" w:cs="Calibri"/>
                <w:szCs w:val="21"/>
              </w:rPr>
              <w:t>安全文明施工措施</w:t>
            </w:r>
          </w:p>
        </w:tc>
        <w:tc>
          <w:tcPr>
            <w:tcW w:w="7286" w:type="dxa"/>
            <w:vAlign w:val="center"/>
          </w:tcPr>
          <w:p>
            <w:pPr>
              <w:rPr>
                <w:rFonts w:ascii="宋体" w:hAnsi="宋体" w:cs="Calibri"/>
                <w:szCs w:val="21"/>
              </w:rPr>
            </w:pPr>
            <w:r>
              <w:rPr>
                <w:rFonts w:ascii="宋体" w:hAnsi="宋体" w:cs="Calibri"/>
                <w:szCs w:val="21"/>
              </w:rPr>
              <w:t>【优】</w:t>
            </w:r>
            <w:r>
              <w:rPr>
                <w:rFonts w:hint="eastAsia" w:ascii="宋体" w:hAnsi="宋体" w:cs="Calibri"/>
                <w:szCs w:val="21"/>
              </w:rPr>
              <w:t>安全文明施工</w:t>
            </w:r>
            <w:r>
              <w:rPr>
                <w:rFonts w:ascii="宋体" w:hAnsi="宋体" w:cs="Calibri"/>
                <w:szCs w:val="21"/>
              </w:rPr>
              <w:t>措施科学可靠、完善，可行的，得</w:t>
            </w:r>
            <w:r>
              <w:rPr>
                <w:rFonts w:hint="eastAsia" w:ascii="宋体" w:hAnsi="宋体" w:cs="Calibri"/>
                <w:szCs w:val="21"/>
              </w:rPr>
              <w:t>3</w:t>
            </w:r>
            <w:r>
              <w:rPr>
                <w:rFonts w:ascii="宋体" w:hAnsi="宋体" w:cs="Calibri"/>
                <w:szCs w:val="21"/>
              </w:rPr>
              <w:t>分；</w:t>
            </w:r>
          </w:p>
          <w:p>
            <w:pPr>
              <w:rPr>
                <w:rFonts w:ascii="宋体" w:hAnsi="宋体" w:cs="Calibri"/>
                <w:szCs w:val="21"/>
              </w:rPr>
            </w:pPr>
            <w:r>
              <w:rPr>
                <w:rFonts w:ascii="宋体" w:hAnsi="宋体" w:cs="Calibri"/>
                <w:szCs w:val="21"/>
              </w:rPr>
              <w:t>【</w:t>
            </w:r>
            <w:r>
              <w:rPr>
                <w:rFonts w:hint="eastAsia" w:ascii="宋体" w:hAnsi="宋体" w:cs="Calibri"/>
                <w:szCs w:val="21"/>
              </w:rPr>
              <w:t>良</w:t>
            </w:r>
            <w:r>
              <w:rPr>
                <w:rFonts w:ascii="宋体" w:hAnsi="宋体" w:cs="Calibri"/>
                <w:szCs w:val="21"/>
              </w:rPr>
              <w:t>】</w:t>
            </w:r>
            <w:r>
              <w:rPr>
                <w:rFonts w:hint="eastAsia" w:ascii="宋体" w:hAnsi="宋体" w:cs="Calibri"/>
                <w:szCs w:val="21"/>
              </w:rPr>
              <w:t>安全文明施工</w:t>
            </w:r>
            <w:r>
              <w:rPr>
                <w:rFonts w:ascii="宋体" w:hAnsi="宋体" w:cs="Calibri"/>
                <w:szCs w:val="21"/>
              </w:rPr>
              <w:t>措施</w:t>
            </w:r>
            <w:r>
              <w:rPr>
                <w:rFonts w:hint="eastAsia" w:ascii="宋体" w:hAnsi="宋体" w:cs="Calibri"/>
                <w:szCs w:val="21"/>
              </w:rPr>
              <w:t>比较</w:t>
            </w:r>
            <w:r>
              <w:rPr>
                <w:rFonts w:ascii="宋体" w:hAnsi="宋体" w:cs="Calibri"/>
                <w:szCs w:val="21"/>
              </w:rPr>
              <w:t>可靠、</w:t>
            </w:r>
            <w:r>
              <w:rPr>
                <w:rFonts w:hint="eastAsia" w:ascii="宋体" w:hAnsi="宋体" w:cs="Calibri"/>
                <w:szCs w:val="21"/>
              </w:rPr>
              <w:t>比较</w:t>
            </w:r>
            <w:r>
              <w:rPr>
                <w:rFonts w:ascii="宋体" w:hAnsi="宋体" w:cs="Calibri"/>
                <w:szCs w:val="21"/>
              </w:rPr>
              <w:t>完善的，得</w:t>
            </w:r>
            <w:r>
              <w:rPr>
                <w:rFonts w:hint="eastAsia" w:ascii="宋体" w:hAnsi="宋体" w:cs="Calibri"/>
                <w:szCs w:val="21"/>
              </w:rPr>
              <w:t>2</w:t>
            </w:r>
            <w:r>
              <w:rPr>
                <w:rFonts w:ascii="宋体" w:hAnsi="宋体" w:cs="Calibri"/>
                <w:szCs w:val="21"/>
              </w:rPr>
              <w:t>分；</w:t>
            </w:r>
          </w:p>
          <w:p>
            <w:pPr>
              <w:rPr>
                <w:rFonts w:ascii="宋体" w:hAnsi="宋体" w:cs="Calibri"/>
                <w:szCs w:val="21"/>
              </w:rPr>
            </w:pPr>
            <w:r>
              <w:rPr>
                <w:rFonts w:ascii="宋体" w:hAnsi="宋体" w:cs="Calibri"/>
                <w:szCs w:val="21"/>
              </w:rPr>
              <w:t>【中】</w:t>
            </w:r>
            <w:r>
              <w:rPr>
                <w:rFonts w:hint="eastAsia" w:ascii="宋体" w:hAnsi="宋体" w:cs="Calibri"/>
                <w:szCs w:val="21"/>
              </w:rPr>
              <w:t>有提供相应的安全文明施工</w:t>
            </w:r>
            <w:r>
              <w:rPr>
                <w:rFonts w:ascii="宋体" w:hAnsi="宋体" w:cs="Calibri"/>
                <w:szCs w:val="21"/>
              </w:rPr>
              <w:t>措施的，得</w:t>
            </w:r>
            <w:r>
              <w:rPr>
                <w:rFonts w:hint="eastAsia" w:ascii="宋体" w:hAnsi="宋体" w:cs="Calibri"/>
                <w:szCs w:val="21"/>
              </w:rPr>
              <w:t>1</w:t>
            </w:r>
            <w:r>
              <w:rPr>
                <w:rFonts w:ascii="宋体" w:hAnsi="宋体" w:cs="Calibri"/>
                <w:szCs w:val="21"/>
              </w:rPr>
              <w:t>分；</w:t>
            </w:r>
          </w:p>
          <w:p>
            <w:pPr>
              <w:rPr>
                <w:rFonts w:hAnsi="宋体"/>
                <w:sz w:val="21"/>
                <w:szCs w:val="21"/>
              </w:rPr>
            </w:pPr>
            <w:r>
              <w:rPr>
                <w:rFonts w:ascii="宋体" w:hAnsi="宋体" w:cs="Calibri"/>
                <w:szCs w:val="21"/>
              </w:rPr>
              <w:t>【差】</w:t>
            </w:r>
            <w:r>
              <w:rPr>
                <w:rFonts w:hint="eastAsia" w:ascii="宋体" w:hAnsi="宋体" w:cs="Calibri"/>
                <w:szCs w:val="21"/>
              </w:rPr>
              <w:t>没有提供相关</w:t>
            </w:r>
            <w:r>
              <w:rPr>
                <w:rFonts w:ascii="宋体" w:hAnsi="宋体" w:cs="Calibri"/>
                <w:szCs w:val="21"/>
              </w:rPr>
              <w:t>措施的，得0分。</w:t>
            </w:r>
          </w:p>
        </w:tc>
      </w:tr>
    </w:tbl>
    <w:p/>
    <w:sectPr>
      <w:footerReference r:id="rId8" w:type="even"/>
      <w:type w:val="nextColumn"/>
      <w:pgSz w:w="11907" w:h="16840"/>
      <w:pgMar w:top="1246" w:right="1797" w:bottom="1440" w:left="1797" w:header="680" w:footer="907" w:gutter="0"/>
      <w:pgNumType w:fmt="decimal"/>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长城新魏碑体">
    <w:altName w:val="宋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9653117"/>
                          </w:sdtPr>
                          <w:sdtContent>
                            <w:p>
                              <w:pPr>
                                <w:pStyle w:val="3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59653117"/>
                    </w:sdtPr>
                    <w:sdtContent>
                      <w:p>
                        <w:pPr>
                          <w:pStyle w:val="34"/>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129</w:t>
    </w:r>
    <w: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129</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ascii="宋体" w:hAnsi="宋体" w:eastAsia="宋体"/>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D"/>
    <w:multiLevelType w:val="multilevel"/>
    <w:tmpl w:val="0000000D"/>
    <w:lvl w:ilvl="0" w:tentative="0">
      <w:start w:val="2"/>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000000F"/>
    <w:multiLevelType w:val="multilevel"/>
    <w:tmpl w:val="0000000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2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11"/>
    <w:multiLevelType w:val="multilevel"/>
    <w:tmpl w:val="00000011"/>
    <w:lvl w:ilvl="0" w:tentative="0">
      <w:start w:val="1"/>
      <w:numFmt w:val="decimal"/>
      <w:lvlText w:val="（%1）"/>
      <w:lvlJc w:val="left"/>
      <w:pPr>
        <w:tabs>
          <w:tab w:val="left" w:pos="1420"/>
        </w:tabs>
        <w:ind w:left="1420" w:hanging="720"/>
      </w:pPr>
      <w:rPr>
        <w:rFonts w:hint="eastAsia"/>
      </w:rPr>
    </w:lvl>
    <w:lvl w:ilvl="1" w:tentative="0">
      <w:start w:val="1"/>
      <w:numFmt w:val="decimal"/>
      <w:lvlText w:val="（%2）"/>
      <w:lvlJc w:val="left"/>
      <w:pPr>
        <w:tabs>
          <w:tab w:val="left" w:pos="1840"/>
        </w:tabs>
        <w:ind w:left="1840" w:hanging="720"/>
      </w:pPr>
      <w:rPr>
        <w:rFonts w:hint="eastAsia"/>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5">
    <w:nsid w:val="00000012"/>
    <w:multiLevelType w:val="multilevel"/>
    <w:tmpl w:val="00000012"/>
    <w:lvl w:ilvl="0" w:tentative="0">
      <w:start w:val="1"/>
      <w:numFmt w:val="decimal"/>
      <w:lvlText w:val="（%1）"/>
      <w:lvlJc w:val="left"/>
      <w:pPr>
        <w:tabs>
          <w:tab w:val="left" w:pos="1280"/>
        </w:tabs>
        <w:ind w:left="1280" w:hanging="720"/>
      </w:pPr>
      <w:rPr>
        <w:rFonts w:hint="eastAsia"/>
        <w:sz w:val="21"/>
      </w:rPr>
    </w:lvl>
    <w:lvl w:ilvl="1" w:tentative="0">
      <w:start w:val="1"/>
      <w:numFmt w:val="decimal"/>
      <w:lvlText w:val="%2、"/>
      <w:lvlJc w:val="left"/>
      <w:pPr>
        <w:tabs>
          <w:tab w:val="left" w:pos="1340"/>
        </w:tabs>
        <w:ind w:left="1340" w:hanging="360"/>
      </w:pPr>
      <w:rPr>
        <w:rFonts w:hint="default"/>
      </w:rPr>
    </w:lvl>
    <w:lvl w:ilvl="2" w:tentative="0">
      <w:start w:val="1"/>
      <w:numFmt w:val="decimal"/>
      <w:lvlText w:val="第%3条"/>
      <w:lvlJc w:val="left"/>
      <w:pPr>
        <w:tabs>
          <w:tab w:val="left" w:pos="2570"/>
        </w:tabs>
        <w:ind w:left="2570" w:hanging="1170"/>
      </w:pPr>
      <w:rPr>
        <w:rFonts w:hint="default"/>
      </w:rPr>
    </w:lvl>
    <w:lvl w:ilvl="3" w:tentative="0">
      <w:start w:val="1"/>
      <w:numFmt w:val="decimal"/>
      <w:lvlText w:val="（%4）"/>
      <w:lvlJc w:val="left"/>
      <w:pPr>
        <w:tabs>
          <w:tab w:val="left" w:pos="2540"/>
        </w:tabs>
        <w:ind w:left="2540" w:hanging="720"/>
      </w:pPr>
      <w:rPr>
        <w:rFonts w:hint="eastAsia"/>
        <w:sz w:val="21"/>
      </w:r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6">
    <w:nsid w:val="00000013"/>
    <w:multiLevelType w:val="multilevel"/>
    <w:tmpl w:val="00000013"/>
    <w:lvl w:ilvl="0" w:tentative="0">
      <w:start w:val="26"/>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14"/>
    <w:multiLevelType w:val="multilevel"/>
    <w:tmpl w:val="00000014"/>
    <w:lvl w:ilvl="0" w:tentative="0">
      <w:start w:val="3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15"/>
    <w:multiLevelType w:val="multilevel"/>
    <w:tmpl w:val="00000015"/>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16"/>
    <w:multiLevelType w:val="multilevel"/>
    <w:tmpl w:val="00000016"/>
    <w:lvl w:ilvl="0" w:tentative="0">
      <w:start w:val="20"/>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18"/>
    <w:multiLevelType w:val="multilevel"/>
    <w:tmpl w:val="00000018"/>
    <w:lvl w:ilvl="0" w:tentative="0">
      <w:start w:val="1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9"/>
    <w:multiLevelType w:val="multilevel"/>
    <w:tmpl w:val="0000001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0000001A"/>
    <w:multiLevelType w:val="multilevel"/>
    <w:tmpl w:val="0000001A"/>
    <w:lvl w:ilvl="0" w:tentative="0">
      <w:start w:val="2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0000001B"/>
    <w:multiLevelType w:val="multilevel"/>
    <w:tmpl w:val="0000001B"/>
    <w:lvl w:ilvl="0" w:tentative="0">
      <w:start w:val="2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0000001C"/>
    <w:multiLevelType w:val="multilevel"/>
    <w:tmpl w:val="0000001C"/>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0000001D"/>
    <w:multiLevelType w:val="multilevel"/>
    <w:tmpl w:val="0000001D"/>
    <w:lvl w:ilvl="0" w:tentative="0">
      <w:start w:val="1"/>
      <w:numFmt w:val="decimal"/>
      <w:lvlText w:val="（%1）"/>
      <w:lvlJc w:val="left"/>
      <w:pPr>
        <w:tabs>
          <w:tab w:val="left" w:pos="1420"/>
        </w:tabs>
        <w:ind w:left="14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E"/>
    <w:multiLevelType w:val="multilevel"/>
    <w:tmpl w:val="0000001E"/>
    <w:lvl w:ilvl="0" w:tentative="0">
      <w:start w:val="3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F"/>
    <w:multiLevelType w:val="multilevel"/>
    <w:tmpl w:val="0000001F"/>
    <w:lvl w:ilvl="0" w:tentative="0">
      <w:start w:val="3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00000020"/>
    <w:multiLevelType w:val="multilevel"/>
    <w:tmpl w:val="00000020"/>
    <w:lvl w:ilvl="0" w:tentative="0">
      <w:start w:val="6"/>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00000021"/>
    <w:multiLevelType w:val="multilevel"/>
    <w:tmpl w:val="00000021"/>
    <w:lvl w:ilvl="0" w:tentative="0">
      <w:start w:val="1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val="0"/>
        <w:dstrike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00000022"/>
    <w:multiLevelType w:val="multilevel"/>
    <w:tmpl w:val="00000022"/>
    <w:lvl w:ilvl="0" w:tentative="0">
      <w:start w:val="3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3"/>
    <w:multiLevelType w:val="multilevel"/>
    <w:tmpl w:val="00000023"/>
    <w:lvl w:ilvl="0" w:tentative="0">
      <w:start w:val="1"/>
      <w:numFmt w:val="decimal"/>
      <w:lvlText w:val="%1、"/>
      <w:lvlJc w:val="left"/>
      <w:pPr>
        <w:tabs>
          <w:tab w:val="left" w:pos="525"/>
        </w:tabs>
        <w:ind w:left="525" w:hanging="525"/>
      </w:pPr>
      <w:rPr>
        <w:rFonts w:hint="default"/>
        <w:b w:val="0"/>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4"/>
    <w:multiLevelType w:val="multilevel"/>
    <w:tmpl w:val="00000024"/>
    <w:lvl w:ilvl="0" w:tentative="0">
      <w:start w:val="3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25"/>
    <w:multiLevelType w:val="multilevel"/>
    <w:tmpl w:val="00000025"/>
    <w:lvl w:ilvl="0" w:tentative="0">
      <w:start w:val="34"/>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00000026"/>
    <w:multiLevelType w:val="multilevel"/>
    <w:tmpl w:val="00000026"/>
    <w:lvl w:ilvl="0" w:tentative="0">
      <w:start w:val="27"/>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00000027"/>
    <w:multiLevelType w:val="multilevel"/>
    <w:tmpl w:val="00000027"/>
    <w:lvl w:ilvl="0" w:tentative="0">
      <w:start w:val="14"/>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00000028"/>
    <w:multiLevelType w:val="multilevel"/>
    <w:tmpl w:val="00000028"/>
    <w:lvl w:ilvl="0" w:tentative="0">
      <w:start w:val="4"/>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00000029"/>
    <w:multiLevelType w:val="multilevel"/>
    <w:tmpl w:val="00000029"/>
    <w:lvl w:ilvl="0" w:tentative="0">
      <w:start w:val="3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8">
    <w:nsid w:val="0000002A"/>
    <w:multiLevelType w:val="multilevel"/>
    <w:tmpl w:val="0000002A"/>
    <w:lvl w:ilvl="0" w:tentative="0">
      <w:start w:val="1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0000002B"/>
    <w:multiLevelType w:val="multilevel"/>
    <w:tmpl w:val="0000002B"/>
    <w:lvl w:ilvl="0" w:tentative="0">
      <w:start w:val="1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0000002C"/>
    <w:multiLevelType w:val="multilevel"/>
    <w:tmpl w:val="0000002C"/>
    <w:lvl w:ilvl="0" w:tentative="0">
      <w:start w:val="3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0000002D"/>
    <w:multiLevelType w:val="multilevel"/>
    <w:tmpl w:val="0000002D"/>
    <w:lvl w:ilvl="0" w:tentative="0">
      <w:start w:val="1"/>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0000002E"/>
    <w:multiLevelType w:val="multilevel"/>
    <w:tmpl w:val="0000002E"/>
    <w:lvl w:ilvl="0" w:tentative="0">
      <w:start w:val="18"/>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0000002F"/>
    <w:multiLevelType w:val="multilevel"/>
    <w:tmpl w:val="0000002F"/>
    <w:lvl w:ilvl="0" w:tentative="0">
      <w:start w:val="2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00000030"/>
    <w:multiLevelType w:val="multilevel"/>
    <w:tmpl w:val="00000030"/>
    <w:lvl w:ilvl="0" w:tentative="0">
      <w:start w:val="11"/>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00000033"/>
    <w:multiLevelType w:val="multilevel"/>
    <w:tmpl w:val="00000033"/>
    <w:lvl w:ilvl="0" w:tentative="0">
      <w:start w:val="10"/>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00000034"/>
    <w:multiLevelType w:val="multilevel"/>
    <w:tmpl w:val="00000034"/>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37">
    <w:nsid w:val="00000035"/>
    <w:multiLevelType w:val="multilevel"/>
    <w:tmpl w:val="00000035"/>
    <w:lvl w:ilvl="0" w:tentative="0">
      <w:start w:val="2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00000036"/>
    <w:multiLevelType w:val="multilevel"/>
    <w:tmpl w:val="00000036"/>
    <w:lvl w:ilvl="0" w:tentative="0">
      <w:start w:val="21"/>
      <w:numFmt w:val="decimal"/>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9">
    <w:nsid w:val="00000037"/>
    <w:multiLevelType w:val="multilevel"/>
    <w:tmpl w:val="00000037"/>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00000038"/>
    <w:multiLevelType w:val="multilevel"/>
    <w:tmpl w:val="00000038"/>
    <w:lvl w:ilvl="0" w:tentative="0">
      <w:start w:val="3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1">
    <w:nsid w:val="00000039"/>
    <w:multiLevelType w:val="multilevel"/>
    <w:tmpl w:val="00000039"/>
    <w:lvl w:ilvl="0" w:tentative="0">
      <w:start w:val="7"/>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2">
    <w:nsid w:val="0000003A"/>
    <w:multiLevelType w:val="multilevel"/>
    <w:tmpl w:val="0000003A"/>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3">
    <w:nsid w:val="0000003B"/>
    <w:multiLevelType w:val="multilevel"/>
    <w:tmpl w:val="0000003B"/>
    <w:lvl w:ilvl="0" w:tentative="0">
      <w:start w:val="1"/>
      <w:numFmt w:val="decimal"/>
      <w:lvlText w:val="（%1）"/>
      <w:lvlJc w:val="left"/>
      <w:pPr>
        <w:tabs>
          <w:tab w:val="left" w:pos="1420"/>
        </w:tabs>
        <w:ind w:left="14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8A16832"/>
    <w:multiLevelType w:val="multilevel"/>
    <w:tmpl w:val="28A16832"/>
    <w:lvl w:ilvl="0" w:tentative="0">
      <w:start w:val="1"/>
      <w:numFmt w:val="japaneseCounting"/>
      <w:pStyle w:val="42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3B6F5795"/>
    <w:multiLevelType w:val="multilevel"/>
    <w:tmpl w:val="3B6F57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291"/>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57EE1ECB"/>
    <w:multiLevelType w:val="multilevel"/>
    <w:tmpl w:val="57EE1ECB"/>
    <w:lvl w:ilvl="0" w:tentative="0">
      <w:start w:val="1"/>
      <w:numFmt w:val="decimal"/>
      <w:lvlText w:val="（%1）"/>
      <w:lvlJc w:val="left"/>
      <w:pPr>
        <w:tabs>
          <w:tab w:val="left" w:pos="1420"/>
        </w:tabs>
        <w:ind w:left="14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8C93434"/>
    <w:multiLevelType w:val="multilevel"/>
    <w:tmpl w:val="68C93434"/>
    <w:lvl w:ilvl="0" w:tentative="0">
      <w:start w:val="1"/>
      <w:numFmt w:val="none"/>
      <w:suff w:val="nothing"/>
      <w:lvlText w:val="第3章"/>
      <w:lvlJc w:val="left"/>
      <w:pPr>
        <w:ind w:left="425" w:hanging="425"/>
      </w:pPr>
      <w:rPr>
        <w:rFonts w:hint="eastAsia"/>
      </w:rPr>
    </w:lvl>
    <w:lvl w:ilvl="1" w:tentative="0">
      <w:start w:val="1"/>
      <w:numFmt w:val="none"/>
      <w:suff w:val="nothing"/>
      <w:lvlText w:val="2.4."/>
      <w:lvlJc w:val="left"/>
      <w:pPr>
        <w:ind w:left="369" w:hanging="369"/>
      </w:pPr>
      <w:rPr>
        <w:rFonts w:hint="eastAsia"/>
      </w:rPr>
    </w:lvl>
    <w:lvl w:ilvl="2" w:tentative="0">
      <w:start w:val="1"/>
      <w:numFmt w:val="none"/>
      <w:pStyle w:val="316"/>
      <w:suff w:val="nothing"/>
      <w:lvlText w:val="2.4.2"/>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num w:numId="1">
    <w:abstractNumId w:val="36"/>
  </w:num>
  <w:num w:numId="2">
    <w:abstractNumId w:val="45"/>
  </w:num>
  <w:num w:numId="3">
    <w:abstractNumId w:val="47"/>
  </w:num>
  <w:num w:numId="4">
    <w:abstractNumId w:val="4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21"/>
  </w:num>
  <w:num w:numId="9">
    <w:abstractNumId w:val="31"/>
  </w:num>
  <w:num w:numId="10">
    <w:abstractNumId w:val="1"/>
  </w:num>
  <w:num w:numId="11">
    <w:abstractNumId w:val="14"/>
  </w:num>
  <w:num w:numId="12">
    <w:abstractNumId w:val="26"/>
  </w:num>
  <w:num w:numId="13">
    <w:abstractNumId w:val="8"/>
  </w:num>
  <w:num w:numId="14">
    <w:abstractNumId w:val="18"/>
  </w:num>
  <w:num w:numId="15">
    <w:abstractNumId w:val="41"/>
  </w:num>
  <w:num w:numId="16">
    <w:abstractNumId w:val="42"/>
  </w:num>
  <w:num w:numId="17">
    <w:abstractNumId w:val="39"/>
  </w:num>
  <w:num w:numId="18">
    <w:abstractNumId w:val="35"/>
  </w:num>
  <w:num w:numId="19">
    <w:abstractNumId w:val="34"/>
  </w:num>
  <w:num w:numId="20">
    <w:abstractNumId w:val="4"/>
  </w:num>
  <w:num w:numId="21">
    <w:abstractNumId w:val="15"/>
  </w:num>
  <w:num w:numId="22">
    <w:abstractNumId w:val="43"/>
  </w:num>
  <w:num w:numId="23">
    <w:abstractNumId w:val="10"/>
  </w:num>
  <w:num w:numId="24">
    <w:abstractNumId w:val="19"/>
  </w:num>
  <w:num w:numId="25">
    <w:abstractNumId w:val="25"/>
  </w:num>
  <w:num w:numId="26">
    <w:abstractNumId w:val="29"/>
  </w:num>
  <w:num w:numId="27">
    <w:abstractNumId w:val="0"/>
  </w:num>
  <w:num w:numId="28">
    <w:abstractNumId w:val="5"/>
  </w:num>
  <w:num w:numId="29">
    <w:abstractNumId w:val="32"/>
  </w:num>
  <w:num w:numId="30">
    <w:abstractNumId w:val="28"/>
  </w:num>
  <w:num w:numId="31">
    <w:abstractNumId w:val="9"/>
  </w:num>
  <w:num w:numId="32">
    <w:abstractNumId w:val="38"/>
  </w:num>
  <w:num w:numId="33">
    <w:abstractNumId w:val="13"/>
  </w:num>
  <w:num w:numId="34">
    <w:abstractNumId w:val="3"/>
  </w:num>
  <w:num w:numId="35">
    <w:abstractNumId w:val="33"/>
  </w:num>
  <w:num w:numId="36">
    <w:abstractNumId w:val="6"/>
  </w:num>
  <w:num w:numId="37">
    <w:abstractNumId w:val="24"/>
  </w:num>
  <w:num w:numId="38">
    <w:abstractNumId w:val="37"/>
  </w:num>
  <w:num w:numId="39">
    <w:abstractNumId w:val="12"/>
  </w:num>
  <w:num w:numId="40">
    <w:abstractNumId w:val="22"/>
  </w:num>
  <w:num w:numId="41">
    <w:abstractNumId w:val="17"/>
  </w:num>
  <w:num w:numId="42">
    <w:abstractNumId w:val="40"/>
  </w:num>
  <w:num w:numId="43">
    <w:abstractNumId w:val="30"/>
  </w:num>
  <w:num w:numId="44">
    <w:abstractNumId w:val="23"/>
  </w:num>
  <w:num w:numId="45">
    <w:abstractNumId w:val="16"/>
  </w:num>
  <w:num w:numId="46">
    <w:abstractNumId w:val="27"/>
  </w:num>
  <w:num w:numId="47">
    <w:abstractNumId w:val="7"/>
  </w:num>
  <w:num w:numId="48">
    <w:abstractNumId w:val="2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MmZmZTJlNzIyYjc4ZmY2N2MzMmZmYjMzZTA0MzMifQ=="/>
  </w:docVars>
  <w:rsids>
    <w:rsidRoot w:val="000333B6"/>
    <w:rsid w:val="000333B6"/>
    <w:rsid w:val="001220E0"/>
    <w:rsid w:val="00132801"/>
    <w:rsid w:val="001466B7"/>
    <w:rsid w:val="00391B53"/>
    <w:rsid w:val="005D0A1C"/>
    <w:rsid w:val="005F64D3"/>
    <w:rsid w:val="007775F1"/>
    <w:rsid w:val="00900F98"/>
    <w:rsid w:val="00A57FD0"/>
    <w:rsid w:val="00B85CE0"/>
    <w:rsid w:val="00CD4C9A"/>
    <w:rsid w:val="00DB765B"/>
    <w:rsid w:val="00E00635"/>
    <w:rsid w:val="00EC78B6"/>
    <w:rsid w:val="00F978F8"/>
    <w:rsid w:val="022E7CF8"/>
    <w:rsid w:val="02390373"/>
    <w:rsid w:val="033B61C6"/>
    <w:rsid w:val="034B4BE6"/>
    <w:rsid w:val="052C508A"/>
    <w:rsid w:val="05821762"/>
    <w:rsid w:val="05CD7A82"/>
    <w:rsid w:val="05DB66F5"/>
    <w:rsid w:val="05ED496D"/>
    <w:rsid w:val="07276F7E"/>
    <w:rsid w:val="076D200B"/>
    <w:rsid w:val="08650040"/>
    <w:rsid w:val="08DC4C90"/>
    <w:rsid w:val="091D5442"/>
    <w:rsid w:val="095C69F8"/>
    <w:rsid w:val="0AB77B66"/>
    <w:rsid w:val="0C546736"/>
    <w:rsid w:val="0E597C64"/>
    <w:rsid w:val="11262882"/>
    <w:rsid w:val="11FB054B"/>
    <w:rsid w:val="12513994"/>
    <w:rsid w:val="12BB58E4"/>
    <w:rsid w:val="13622204"/>
    <w:rsid w:val="164A6107"/>
    <w:rsid w:val="184218B0"/>
    <w:rsid w:val="187059FC"/>
    <w:rsid w:val="19E17DEB"/>
    <w:rsid w:val="1C3B778D"/>
    <w:rsid w:val="1C4D0E6F"/>
    <w:rsid w:val="1CD24D85"/>
    <w:rsid w:val="1D5A672C"/>
    <w:rsid w:val="1D604EB3"/>
    <w:rsid w:val="1E3F2812"/>
    <w:rsid w:val="1EB84B12"/>
    <w:rsid w:val="1F260691"/>
    <w:rsid w:val="210B4D96"/>
    <w:rsid w:val="22485098"/>
    <w:rsid w:val="22B445F4"/>
    <w:rsid w:val="22B91715"/>
    <w:rsid w:val="236C0175"/>
    <w:rsid w:val="237C5BD3"/>
    <w:rsid w:val="237D6A6E"/>
    <w:rsid w:val="24871098"/>
    <w:rsid w:val="24FA7E02"/>
    <w:rsid w:val="25F7646F"/>
    <w:rsid w:val="27FA5792"/>
    <w:rsid w:val="280519ED"/>
    <w:rsid w:val="28DE53BE"/>
    <w:rsid w:val="298868F3"/>
    <w:rsid w:val="2C8C20E9"/>
    <w:rsid w:val="2D377E06"/>
    <w:rsid w:val="2E8E2013"/>
    <w:rsid w:val="2F914B14"/>
    <w:rsid w:val="30DC435A"/>
    <w:rsid w:val="30F77FD8"/>
    <w:rsid w:val="31772B30"/>
    <w:rsid w:val="31D45077"/>
    <w:rsid w:val="320A2489"/>
    <w:rsid w:val="32701E62"/>
    <w:rsid w:val="32983D2A"/>
    <w:rsid w:val="32AB72CC"/>
    <w:rsid w:val="331A1C52"/>
    <w:rsid w:val="352001C4"/>
    <w:rsid w:val="356C108E"/>
    <w:rsid w:val="35D4530D"/>
    <w:rsid w:val="364000C3"/>
    <w:rsid w:val="36546526"/>
    <w:rsid w:val="3654667A"/>
    <w:rsid w:val="371C3202"/>
    <w:rsid w:val="375E7384"/>
    <w:rsid w:val="37E64902"/>
    <w:rsid w:val="3801434B"/>
    <w:rsid w:val="381E312F"/>
    <w:rsid w:val="38440215"/>
    <w:rsid w:val="38CE4CF0"/>
    <w:rsid w:val="38E1019F"/>
    <w:rsid w:val="38F90BC9"/>
    <w:rsid w:val="3B544A9A"/>
    <w:rsid w:val="3CEE6B23"/>
    <w:rsid w:val="3DF156C8"/>
    <w:rsid w:val="3EC70912"/>
    <w:rsid w:val="40A04335"/>
    <w:rsid w:val="40A15A3A"/>
    <w:rsid w:val="40AD06B3"/>
    <w:rsid w:val="40EB3530"/>
    <w:rsid w:val="42C93A33"/>
    <w:rsid w:val="43925411"/>
    <w:rsid w:val="44657C35"/>
    <w:rsid w:val="44E6229E"/>
    <w:rsid w:val="45461447"/>
    <w:rsid w:val="47171BFF"/>
    <w:rsid w:val="47E56984"/>
    <w:rsid w:val="491237A9"/>
    <w:rsid w:val="49531D40"/>
    <w:rsid w:val="4BAF63DD"/>
    <w:rsid w:val="4BCD3B03"/>
    <w:rsid w:val="4C59132B"/>
    <w:rsid w:val="4DD1569C"/>
    <w:rsid w:val="4DF96CE5"/>
    <w:rsid w:val="4E74751B"/>
    <w:rsid w:val="4EFA1C8E"/>
    <w:rsid w:val="510E497B"/>
    <w:rsid w:val="512322CB"/>
    <w:rsid w:val="527A467F"/>
    <w:rsid w:val="53A16CE1"/>
    <w:rsid w:val="56220DA3"/>
    <w:rsid w:val="5710274E"/>
    <w:rsid w:val="57E73AFA"/>
    <w:rsid w:val="57F070BC"/>
    <w:rsid w:val="586A445C"/>
    <w:rsid w:val="5A1F0BE3"/>
    <w:rsid w:val="5A204427"/>
    <w:rsid w:val="5A220CDA"/>
    <w:rsid w:val="5B77212B"/>
    <w:rsid w:val="5CD54DC2"/>
    <w:rsid w:val="5CFB5593"/>
    <w:rsid w:val="5D157C04"/>
    <w:rsid w:val="5D45547F"/>
    <w:rsid w:val="5D51797B"/>
    <w:rsid w:val="5ECE0D07"/>
    <w:rsid w:val="5ECF6E10"/>
    <w:rsid w:val="5F893990"/>
    <w:rsid w:val="5F9735CD"/>
    <w:rsid w:val="60526807"/>
    <w:rsid w:val="60761FC3"/>
    <w:rsid w:val="61E433B1"/>
    <w:rsid w:val="62327848"/>
    <w:rsid w:val="624A76B8"/>
    <w:rsid w:val="626A09ED"/>
    <w:rsid w:val="62774C82"/>
    <w:rsid w:val="62A42440"/>
    <w:rsid w:val="62DC0B28"/>
    <w:rsid w:val="63A5331F"/>
    <w:rsid w:val="64FA1D73"/>
    <w:rsid w:val="652F66B6"/>
    <w:rsid w:val="666A5162"/>
    <w:rsid w:val="67C34D50"/>
    <w:rsid w:val="682524F7"/>
    <w:rsid w:val="691B0859"/>
    <w:rsid w:val="6A7F28FA"/>
    <w:rsid w:val="6A8F76B6"/>
    <w:rsid w:val="6AB870DA"/>
    <w:rsid w:val="6D5618BF"/>
    <w:rsid w:val="6D6F6D96"/>
    <w:rsid w:val="6F982E43"/>
    <w:rsid w:val="6FAF4199"/>
    <w:rsid w:val="6FD838ED"/>
    <w:rsid w:val="724A314A"/>
    <w:rsid w:val="74C23A26"/>
    <w:rsid w:val="74E46215"/>
    <w:rsid w:val="75720FA8"/>
    <w:rsid w:val="7600602D"/>
    <w:rsid w:val="76A23D3E"/>
    <w:rsid w:val="77903F68"/>
    <w:rsid w:val="7A1E1E33"/>
    <w:rsid w:val="7B8E4662"/>
    <w:rsid w:val="7C003181"/>
    <w:rsid w:val="7E1C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70"/>
    <w:qFormat/>
    <w:uiPriority w:val="0"/>
    <w:pPr>
      <w:keepNext/>
      <w:numPr>
        <w:ilvl w:val="0"/>
        <w:numId w:val="1"/>
      </w:numPr>
      <w:jc w:val="center"/>
      <w:outlineLvl w:val="0"/>
    </w:pPr>
    <w:rPr>
      <w:rFonts w:ascii="黑体" w:eastAsia="黑体"/>
      <w:sz w:val="52"/>
    </w:rPr>
  </w:style>
  <w:style w:type="paragraph" w:styleId="4">
    <w:name w:val="heading 2"/>
    <w:basedOn w:val="1"/>
    <w:next w:val="5"/>
    <w:link w:val="71"/>
    <w:qFormat/>
    <w:uiPriority w:val="0"/>
    <w:pPr>
      <w:keepNext/>
      <w:keepLines/>
      <w:spacing w:line="360" w:lineRule="auto"/>
      <w:jc w:val="center"/>
      <w:outlineLvl w:val="1"/>
    </w:pPr>
    <w:rPr>
      <w:rFonts w:ascii="宋体" w:hAnsi="宋体"/>
      <w:b/>
      <w:bCs/>
      <w:color w:val="000000"/>
      <w:sz w:val="44"/>
      <w:szCs w:val="44"/>
    </w:rPr>
  </w:style>
  <w:style w:type="paragraph" w:styleId="6">
    <w:name w:val="heading 3"/>
    <w:basedOn w:val="1"/>
    <w:next w:val="1"/>
    <w:link w:val="72"/>
    <w:qFormat/>
    <w:uiPriority w:val="0"/>
    <w:pPr>
      <w:keepNext/>
      <w:keepLines/>
      <w:numPr>
        <w:ilvl w:val="2"/>
        <w:numId w:val="1"/>
      </w:numPr>
      <w:spacing w:before="260" w:after="260" w:line="416" w:lineRule="auto"/>
      <w:jc w:val="center"/>
      <w:outlineLvl w:val="2"/>
    </w:pPr>
    <w:rPr>
      <w:b/>
      <w:sz w:val="24"/>
    </w:rPr>
  </w:style>
  <w:style w:type="paragraph" w:styleId="7">
    <w:name w:val="heading 4"/>
    <w:basedOn w:val="1"/>
    <w:next w:val="1"/>
    <w:link w:val="73"/>
    <w:qFormat/>
    <w:uiPriority w:val="0"/>
    <w:pPr>
      <w:keepNext/>
      <w:keepLines/>
      <w:ind w:left="601" w:hanging="101"/>
      <w:outlineLvl w:val="3"/>
    </w:pPr>
    <w:rPr>
      <w:rFonts w:ascii="Arial" w:hAnsi="Arial"/>
      <w:b/>
      <w:sz w:val="24"/>
    </w:rPr>
  </w:style>
  <w:style w:type="paragraph" w:styleId="8">
    <w:name w:val="heading 5"/>
    <w:basedOn w:val="1"/>
    <w:next w:val="1"/>
    <w:link w:val="74"/>
    <w:qFormat/>
    <w:uiPriority w:val="0"/>
    <w:pPr>
      <w:keepNext/>
      <w:keepLines/>
      <w:spacing w:before="120" w:after="120" w:line="360" w:lineRule="auto"/>
      <w:ind w:firstLine="567"/>
      <w:outlineLvl w:val="4"/>
    </w:pPr>
    <w:rPr>
      <w:rFonts w:ascii="宋体" w:hAnsi="宋体"/>
      <w:sz w:val="24"/>
    </w:rPr>
  </w:style>
  <w:style w:type="paragraph" w:styleId="9">
    <w:name w:val="heading 6"/>
    <w:basedOn w:val="1"/>
    <w:next w:val="1"/>
    <w:link w:val="75"/>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76"/>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77"/>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78"/>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2"/>
    <w:unhideWhenUsed/>
    <w:qFormat/>
    <w:uiPriority w:val="99"/>
    <w:pPr>
      <w:spacing w:after="120"/>
    </w:pPr>
  </w:style>
  <w:style w:type="paragraph" w:styleId="5">
    <w:name w:val="Normal Indent"/>
    <w:basedOn w:val="1"/>
    <w:link w:val="79"/>
    <w:qFormat/>
    <w:uiPriority w:val="0"/>
    <w:pPr>
      <w:ind w:firstLine="420"/>
    </w:pPr>
  </w:style>
  <w:style w:type="paragraph" w:styleId="13">
    <w:name w:val="toc 7"/>
    <w:basedOn w:val="1"/>
    <w:next w:val="1"/>
    <w:qFormat/>
    <w:uiPriority w:val="39"/>
    <w:pPr>
      <w:ind w:left="1200"/>
    </w:pPr>
    <w:rPr>
      <w:szCs w:val="21"/>
    </w:rPr>
  </w:style>
  <w:style w:type="paragraph" w:styleId="14">
    <w:name w:val="index 8"/>
    <w:basedOn w:val="1"/>
    <w:next w:val="1"/>
    <w:qFormat/>
    <w:uiPriority w:val="0"/>
    <w:pPr>
      <w:widowControl w:val="0"/>
      <w:ind w:left="1400" w:leftChars="1400"/>
      <w:jc w:val="both"/>
    </w:pPr>
    <w:rPr>
      <w:kern w:val="2"/>
      <w:sz w:val="21"/>
      <w:szCs w:val="24"/>
    </w:rPr>
  </w:style>
  <w:style w:type="paragraph" w:styleId="15">
    <w:name w:val="caption"/>
    <w:basedOn w:val="1"/>
    <w:next w:val="1"/>
    <w:link w:val="84"/>
    <w:qFormat/>
    <w:uiPriority w:val="0"/>
    <w:pPr>
      <w:widowControl w:val="0"/>
      <w:ind w:firstLine="6290" w:firstLineChars="2282"/>
      <w:jc w:val="both"/>
    </w:pPr>
    <w:rPr>
      <w:rFonts w:asciiTheme="minorHAnsi" w:hAnsiTheme="minorHAnsi" w:eastAsiaTheme="minorEastAsia" w:cstheme="minorBidi"/>
      <w:b/>
      <w:bCs/>
      <w:color w:val="000080"/>
      <w:kern w:val="2"/>
      <w:sz w:val="28"/>
      <w:szCs w:val="24"/>
    </w:rPr>
  </w:style>
  <w:style w:type="paragraph" w:styleId="16">
    <w:name w:val="index 5"/>
    <w:basedOn w:val="1"/>
    <w:next w:val="1"/>
    <w:qFormat/>
    <w:uiPriority w:val="0"/>
    <w:pPr>
      <w:widowControl w:val="0"/>
      <w:ind w:left="800" w:leftChars="800"/>
      <w:jc w:val="both"/>
    </w:pPr>
    <w:rPr>
      <w:kern w:val="2"/>
      <w:sz w:val="21"/>
      <w:szCs w:val="24"/>
    </w:rPr>
  </w:style>
  <w:style w:type="paragraph" w:styleId="17">
    <w:name w:val="Document Map"/>
    <w:basedOn w:val="1"/>
    <w:link w:val="85"/>
    <w:qFormat/>
    <w:uiPriority w:val="99"/>
    <w:pPr>
      <w:shd w:val="clear" w:color="auto" w:fill="000080"/>
    </w:pPr>
    <w:rPr>
      <w:rFonts w:asciiTheme="minorHAnsi" w:hAnsiTheme="minorHAnsi" w:eastAsiaTheme="minorEastAsia" w:cstheme="minorBidi"/>
      <w:kern w:val="2"/>
      <w:sz w:val="21"/>
      <w:szCs w:val="22"/>
      <w:shd w:val="clear" w:color="auto" w:fill="000080"/>
    </w:rPr>
  </w:style>
  <w:style w:type="paragraph" w:styleId="18">
    <w:name w:val="toa heading"/>
    <w:basedOn w:val="1"/>
    <w:next w:val="1"/>
    <w:qFormat/>
    <w:uiPriority w:val="0"/>
    <w:pPr>
      <w:widowControl w:val="0"/>
      <w:spacing w:before="120" w:line="480" w:lineRule="exact"/>
      <w:jc w:val="both"/>
    </w:pPr>
    <w:rPr>
      <w:rFonts w:ascii="Arial" w:hAnsi="Arial"/>
      <w:kern w:val="2"/>
      <w:sz w:val="24"/>
    </w:rPr>
  </w:style>
  <w:style w:type="paragraph" w:styleId="19">
    <w:name w:val="annotation text"/>
    <w:basedOn w:val="1"/>
    <w:link w:val="80"/>
    <w:unhideWhenUsed/>
    <w:qFormat/>
    <w:uiPriority w:val="99"/>
  </w:style>
  <w:style w:type="paragraph" w:styleId="20">
    <w:name w:val="index 6"/>
    <w:basedOn w:val="1"/>
    <w:next w:val="1"/>
    <w:qFormat/>
    <w:uiPriority w:val="0"/>
    <w:pPr>
      <w:widowControl w:val="0"/>
      <w:ind w:left="1000" w:leftChars="1000"/>
      <w:jc w:val="both"/>
    </w:pPr>
    <w:rPr>
      <w:kern w:val="2"/>
      <w:sz w:val="21"/>
      <w:szCs w:val="24"/>
    </w:rPr>
  </w:style>
  <w:style w:type="paragraph" w:styleId="21">
    <w:name w:val="Body Text 3"/>
    <w:basedOn w:val="1"/>
    <w:link w:val="86"/>
    <w:qFormat/>
    <w:uiPriority w:val="0"/>
    <w:pPr>
      <w:widowControl w:val="0"/>
      <w:jc w:val="both"/>
    </w:pPr>
    <w:rPr>
      <w:rFonts w:ascii="宋体" w:hAnsi="宋体" w:eastAsiaTheme="minorEastAsia" w:cstheme="minorBidi"/>
      <w:color w:val="0000FF"/>
      <w:kern w:val="2"/>
      <w:sz w:val="21"/>
      <w:szCs w:val="22"/>
    </w:rPr>
  </w:style>
  <w:style w:type="paragraph" w:styleId="22">
    <w:name w:val="Body Text Indent"/>
    <w:basedOn w:val="1"/>
    <w:link w:val="87"/>
    <w:unhideWhenUsed/>
    <w:qFormat/>
    <w:uiPriority w:val="99"/>
    <w:pPr>
      <w:spacing w:after="120"/>
      <w:ind w:left="420" w:leftChars="200"/>
    </w:pPr>
  </w:style>
  <w:style w:type="paragraph" w:styleId="23">
    <w:name w:val="Block Text"/>
    <w:basedOn w:val="1"/>
    <w:qFormat/>
    <w:uiPriority w:val="0"/>
    <w:pPr>
      <w:widowControl w:val="0"/>
      <w:adjustRightInd w:val="0"/>
      <w:ind w:left="420" w:right="33"/>
      <w:textAlignment w:val="baseline"/>
    </w:pPr>
    <w:rPr>
      <w:sz w:val="24"/>
    </w:rPr>
  </w:style>
  <w:style w:type="paragraph" w:styleId="24">
    <w:name w:val="index 4"/>
    <w:basedOn w:val="1"/>
    <w:next w:val="1"/>
    <w:qFormat/>
    <w:uiPriority w:val="0"/>
    <w:pPr>
      <w:widowControl w:val="0"/>
      <w:ind w:left="600" w:leftChars="600"/>
      <w:jc w:val="both"/>
    </w:pPr>
    <w:rPr>
      <w:kern w:val="2"/>
      <w:sz w:val="21"/>
      <w:szCs w:val="24"/>
    </w:rPr>
  </w:style>
  <w:style w:type="paragraph" w:styleId="25">
    <w:name w:val="toc 5"/>
    <w:basedOn w:val="1"/>
    <w:next w:val="1"/>
    <w:qFormat/>
    <w:uiPriority w:val="39"/>
    <w:pPr>
      <w:ind w:left="800"/>
    </w:pPr>
    <w:rPr>
      <w:szCs w:val="21"/>
    </w:rPr>
  </w:style>
  <w:style w:type="paragraph" w:styleId="26">
    <w:name w:val="toc 3"/>
    <w:basedOn w:val="1"/>
    <w:next w:val="1"/>
    <w:qFormat/>
    <w:uiPriority w:val="39"/>
    <w:pPr>
      <w:ind w:left="400"/>
    </w:pPr>
    <w:rPr>
      <w:i/>
      <w:iCs/>
      <w:szCs w:val="24"/>
    </w:rPr>
  </w:style>
  <w:style w:type="paragraph" w:styleId="27">
    <w:name w:val="Plain Text"/>
    <w:basedOn w:val="1"/>
    <w:link w:val="88"/>
    <w:qFormat/>
    <w:uiPriority w:val="0"/>
    <w:pPr>
      <w:widowControl w:val="0"/>
      <w:jc w:val="both"/>
    </w:pPr>
    <w:rPr>
      <w:rFonts w:ascii="宋体" w:hAnsi="Courier New" w:eastAsiaTheme="minorEastAsia" w:cstheme="minorBidi"/>
      <w:kern w:val="2"/>
      <w:sz w:val="21"/>
      <w:szCs w:val="22"/>
    </w:rPr>
  </w:style>
  <w:style w:type="paragraph" w:styleId="28">
    <w:name w:val="toc 8"/>
    <w:basedOn w:val="1"/>
    <w:next w:val="1"/>
    <w:qFormat/>
    <w:uiPriority w:val="39"/>
    <w:pPr>
      <w:ind w:left="1400"/>
    </w:pPr>
    <w:rPr>
      <w:szCs w:val="21"/>
    </w:rPr>
  </w:style>
  <w:style w:type="paragraph" w:styleId="29">
    <w:name w:val="index 3"/>
    <w:basedOn w:val="1"/>
    <w:next w:val="1"/>
    <w:qFormat/>
    <w:uiPriority w:val="0"/>
    <w:pPr>
      <w:widowControl w:val="0"/>
      <w:ind w:left="400" w:leftChars="400"/>
      <w:jc w:val="both"/>
    </w:pPr>
    <w:rPr>
      <w:kern w:val="2"/>
      <w:sz w:val="21"/>
      <w:szCs w:val="24"/>
    </w:rPr>
  </w:style>
  <w:style w:type="paragraph" w:styleId="30">
    <w:name w:val="Date"/>
    <w:basedOn w:val="1"/>
    <w:next w:val="1"/>
    <w:link w:val="89"/>
    <w:qFormat/>
    <w:uiPriority w:val="0"/>
    <w:pPr>
      <w:widowControl w:val="0"/>
      <w:jc w:val="both"/>
    </w:pPr>
    <w:rPr>
      <w:rFonts w:asciiTheme="minorHAnsi" w:hAnsiTheme="minorHAnsi" w:eastAsiaTheme="minorEastAsia" w:cstheme="minorBidi"/>
      <w:kern w:val="2"/>
      <w:sz w:val="24"/>
      <w:szCs w:val="22"/>
    </w:rPr>
  </w:style>
  <w:style w:type="paragraph" w:styleId="31">
    <w:name w:val="Body Text Indent 2"/>
    <w:basedOn w:val="1"/>
    <w:link w:val="90"/>
    <w:qFormat/>
    <w:uiPriority w:val="99"/>
    <w:pPr>
      <w:overflowPunct w:val="0"/>
      <w:autoSpaceDE w:val="0"/>
      <w:autoSpaceDN w:val="0"/>
      <w:adjustRightInd w:val="0"/>
      <w:spacing w:line="360" w:lineRule="auto"/>
      <w:ind w:firstLine="555"/>
      <w:jc w:val="both"/>
      <w:textAlignment w:val="baseline"/>
    </w:pPr>
    <w:rPr>
      <w:rFonts w:ascii="宋体" w:hAnsi="MS Sans Serif" w:eastAsiaTheme="minorEastAsia" w:cstheme="minorBidi"/>
      <w:spacing w:val="12"/>
      <w:kern w:val="2"/>
      <w:sz w:val="24"/>
      <w:szCs w:val="22"/>
    </w:rPr>
  </w:style>
  <w:style w:type="paragraph" w:styleId="32">
    <w:name w:val="endnote text"/>
    <w:basedOn w:val="1"/>
    <w:link w:val="91"/>
    <w:qFormat/>
    <w:uiPriority w:val="0"/>
    <w:pPr>
      <w:snapToGrid w:val="0"/>
    </w:pPr>
  </w:style>
  <w:style w:type="paragraph" w:styleId="33">
    <w:name w:val="Balloon Text"/>
    <w:basedOn w:val="1"/>
    <w:link w:val="92"/>
    <w:qFormat/>
    <w:uiPriority w:val="99"/>
    <w:rPr>
      <w:rFonts w:asciiTheme="minorHAnsi" w:hAnsiTheme="minorHAnsi" w:eastAsiaTheme="minorEastAsia" w:cstheme="minorBidi"/>
      <w:kern w:val="2"/>
      <w:sz w:val="18"/>
      <w:szCs w:val="18"/>
    </w:rPr>
  </w:style>
  <w:style w:type="paragraph" w:styleId="34">
    <w:name w:val="footer"/>
    <w:basedOn w:val="1"/>
    <w:link w:val="93"/>
    <w:qFormat/>
    <w:uiPriority w:val="99"/>
    <w:pPr>
      <w:tabs>
        <w:tab w:val="center" w:pos="4153"/>
        <w:tab w:val="right" w:pos="8306"/>
      </w:tabs>
      <w:snapToGrid w:val="0"/>
    </w:pPr>
    <w:rPr>
      <w:rFonts w:asciiTheme="minorHAnsi" w:hAnsiTheme="minorHAnsi" w:eastAsiaTheme="minorEastAsia" w:cstheme="minorBidi"/>
      <w:kern w:val="2"/>
      <w:sz w:val="18"/>
      <w:szCs w:val="22"/>
    </w:rPr>
  </w:style>
  <w:style w:type="paragraph" w:styleId="35">
    <w:name w:val="header"/>
    <w:basedOn w:val="1"/>
    <w:link w:val="9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22"/>
    </w:rPr>
  </w:style>
  <w:style w:type="paragraph" w:styleId="36">
    <w:name w:val="toc 1"/>
    <w:basedOn w:val="1"/>
    <w:next w:val="1"/>
    <w:qFormat/>
    <w:uiPriority w:val="39"/>
    <w:pPr>
      <w:spacing w:before="120" w:after="120"/>
    </w:pPr>
    <w:rPr>
      <w:b/>
      <w:bCs/>
      <w:caps/>
      <w:szCs w:val="24"/>
    </w:rPr>
  </w:style>
  <w:style w:type="paragraph" w:styleId="37">
    <w:name w:val="toc 4"/>
    <w:basedOn w:val="1"/>
    <w:next w:val="1"/>
    <w:qFormat/>
    <w:uiPriority w:val="39"/>
    <w:pPr>
      <w:ind w:left="600"/>
    </w:pPr>
    <w:rPr>
      <w:szCs w:val="21"/>
    </w:rPr>
  </w:style>
  <w:style w:type="paragraph" w:styleId="38">
    <w:name w:val="index heading"/>
    <w:basedOn w:val="1"/>
    <w:next w:val="39"/>
    <w:qFormat/>
    <w:uiPriority w:val="0"/>
    <w:pPr>
      <w:widowControl w:val="0"/>
      <w:jc w:val="both"/>
    </w:pPr>
    <w:rPr>
      <w:kern w:val="2"/>
      <w:sz w:val="21"/>
      <w:szCs w:val="24"/>
    </w:rPr>
  </w:style>
  <w:style w:type="paragraph" w:styleId="39">
    <w:name w:val="index 1"/>
    <w:basedOn w:val="1"/>
    <w:next w:val="1"/>
    <w:unhideWhenUsed/>
    <w:qFormat/>
    <w:uiPriority w:val="0"/>
  </w:style>
  <w:style w:type="paragraph" w:styleId="40">
    <w:name w:val="Subtitle"/>
    <w:basedOn w:val="1"/>
    <w:next w:val="1"/>
    <w:link w:val="96"/>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41">
    <w:name w:val="footnote text"/>
    <w:basedOn w:val="1"/>
    <w:link w:val="97"/>
    <w:qFormat/>
    <w:uiPriority w:val="0"/>
    <w:pPr>
      <w:widowControl w:val="0"/>
      <w:adjustRightInd w:val="0"/>
      <w:spacing w:line="312" w:lineRule="atLeast"/>
      <w:textAlignment w:val="baseline"/>
    </w:pPr>
    <w:rPr>
      <w:rFonts w:asciiTheme="minorHAnsi" w:hAnsiTheme="minorHAnsi" w:eastAsiaTheme="minorEastAsia" w:cstheme="minorBidi"/>
      <w:kern w:val="2"/>
      <w:sz w:val="18"/>
      <w:szCs w:val="22"/>
    </w:rPr>
  </w:style>
  <w:style w:type="paragraph" w:styleId="42">
    <w:name w:val="toc 6"/>
    <w:basedOn w:val="1"/>
    <w:next w:val="1"/>
    <w:qFormat/>
    <w:uiPriority w:val="39"/>
    <w:pPr>
      <w:ind w:left="1000"/>
    </w:pPr>
    <w:rPr>
      <w:szCs w:val="21"/>
    </w:rPr>
  </w:style>
  <w:style w:type="paragraph" w:styleId="43">
    <w:name w:val="Body Text Indent 3"/>
    <w:basedOn w:val="1"/>
    <w:link w:val="98"/>
    <w:qFormat/>
    <w:uiPriority w:val="99"/>
    <w:pPr>
      <w:overflowPunct w:val="0"/>
      <w:autoSpaceDE w:val="0"/>
      <w:autoSpaceDN w:val="0"/>
      <w:adjustRightInd w:val="0"/>
      <w:spacing w:line="360" w:lineRule="auto"/>
      <w:ind w:firstLine="540"/>
      <w:jc w:val="both"/>
      <w:textAlignment w:val="baseline"/>
    </w:pPr>
    <w:rPr>
      <w:rFonts w:ascii="宋体" w:hAnsi="MS Sans Serif" w:eastAsiaTheme="minorEastAsia" w:cstheme="minorBidi"/>
      <w:color w:val="000000"/>
      <w:kern w:val="2"/>
      <w:sz w:val="24"/>
      <w:szCs w:val="22"/>
    </w:rPr>
  </w:style>
  <w:style w:type="paragraph" w:styleId="44">
    <w:name w:val="index 7"/>
    <w:basedOn w:val="1"/>
    <w:next w:val="1"/>
    <w:qFormat/>
    <w:uiPriority w:val="0"/>
    <w:pPr>
      <w:widowControl w:val="0"/>
      <w:ind w:left="1200" w:leftChars="1200"/>
      <w:jc w:val="both"/>
    </w:pPr>
    <w:rPr>
      <w:kern w:val="2"/>
      <w:sz w:val="21"/>
      <w:szCs w:val="24"/>
    </w:rPr>
  </w:style>
  <w:style w:type="paragraph" w:styleId="45">
    <w:name w:val="index 9"/>
    <w:basedOn w:val="1"/>
    <w:next w:val="1"/>
    <w:qFormat/>
    <w:uiPriority w:val="0"/>
    <w:pPr>
      <w:widowControl w:val="0"/>
      <w:ind w:left="1600" w:leftChars="1600"/>
      <w:jc w:val="both"/>
    </w:pPr>
    <w:rPr>
      <w:kern w:val="2"/>
      <w:sz w:val="21"/>
      <w:szCs w:val="24"/>
    </w:rPr>
  </w:style>
  <w:style w:type="paragraph" w:styleId="46">
    <w:name w:val="table of figures"/>
    <w:basedOn w:val="1"/>
    <w:next w:val="1"/>
    <w:unhideWhenUsed/>
    <w:qFormat/>
    <w:uiPriority w:val="99"/>
    <w:pPr>
      <w:widowControl w:val="0"/>
      <w:spacing w:beforeLines="50" w:line="264" w:lineRule="auto"/>
      <w:ind w:left="480" w:hanging="480"/>
    </w:pPr>
    <w:rPr>
      <w:rFonts w:ascii="Calibri" w:hAnsi="Calibri" w:eastAsia="华文中宋"/>
      <w:smallCaps/>
      <w:kern w:val="2"/>
    </w:rPr>
  </w:style>
  <w:style w:type="paragraph" w:styleId="47">
    <w:name w:val="toc 2"/>
    <w:basedOn w:val="1"/>
    <w:next w:val="1"/>
    <w:qFormat/>
    <w:uiPriority w:val="39"/>
    <w:pPr>
      <w:tabs>
        <w:tab w:val="right" w:leader="dot" w:pos="9470"/>
        <w:tab w:val="right" w:leader="dot" w:pos="9498"/>
      </w:tabs>
      <w:ind w:left="420"/>
    </w:pPr>
    <w:rPr>
      <w:smallCaps/>
      <w:szCs w:val="24"/>
    </w:rPr>
  </w:style>
  <w:style w:type="paragraph" w:styleId="48">
    <w:name w:val="toc 9"/>
    <w:basedOn w:val="1"/>
    <w:next w:val="1"/>
    <w:qFormat/>
    <w:uiPriority w:val="39"/>
    <w:pPr>
      <w:ind w:left="1600"/>
    </w:pPr>
    <w:rPr>
      <w:szCs w:val="21"/>
    </w:rPr>
  </w:style>
  <w:style w:type="paragraph" w:styleId="49">
    <w:name w:val="Body Text 2"/>
    <w:basedOn w:val="1"/>
    <w:link w:val="99"/>
    <w:qFormat/>
    <w:uiPriority w:val="99"/>
    <w:pPr>
      <w:spacing w:line="360" w:lineRule="auto"/>
    </w:pPr>
    <w:rPr>
      <w:rFonts w:ascii="宋体" w:hAnsi="宋体" w:eastAsiaTheme="minorEastAsia" w:cstheme="minorBidi"/>
      <w:kern w:val="2"/>
      <w:sz w:val="21"/>
      <w:szCs w:val="22"/>
    </w:rPr>
  </w:style>
  <w:style w:type="paragraph" w:styleId="50">
    <w:name w:val="HTML Preformatted"/>
    <w:basedOn w:val="1"/>
    <w:link w:val="10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Theme="minorEastAsia" w:cstheme="minorBidi"/>
      <w:kern w:val="2"/>
      <w:sz w:val="24"/>
      <w:szCs w:val="22"/>
    </w:rPr>
  </w:style>
  <w:style w:type="paragraph" w:styleId="51">
    <w:name w:val="Normal (Web)"/>
    <w:basedOn w:val="1"/>
    <w:qFormat/>
    <w:uiPriority w:val="99"/>
    <w:pPr>
      <w:spacing w:before="100" w:beforeAutospacing="1" w:after="100" w:afterAutospacing="1"/>
    </w:pPr>
    <w:rPr>
      <w:rFonts w:ascii="宋体" w:hAnsi="宋体"/>
      <w:sz w:val="24"/>
    </w:rPr>
  </w:style>
  <w:style w:type="paragraph" w:styleId="52">
    <w:name w:val="index 2"/>
    <w:basedOn w:val="1"/>
    <w:next w:val="1"/>
    <w:qFormat/>
    <w:uiPriority w:val="0"/>
    <w:pPr>
      <w:widowControl w:val="0"/>
      <w:ind w:left="200" w:leftChars="200"/>
      <w:jc w:val="both"/>
    </w:pPr>
    <w:rPr>
      <w:kern w:val="2"/>
      <w:sz w:val="21"/>
      <w:szCs w:val="24"/>
    </w:rPr>
  </w:style>
  <w:style w:type="paragraph" w:styleId="53">
    <w:name w:val="Title"/>
    <w:basedOn w:val="1"/>
    <w:link w:val="101"/>
    <w:qFormat/>
    <w:uiPriority w:val="0"/>
    <w:pPr>
      <w:widowControl w:val="0"/>
      <w:spacing w:before="240" w:after="60"/>
      <w:jc w:val="center"/>
      <w:outlineLvl w:val="0"/>
    </w:pPr>
    <w:rPr>
      <w:rFonts w:ascii="Arial" w:hAnsi="Arial" w:eastAsiaTheme="minorEastAsia" w:cstheme="minorBidi"/>
      <w:b/>
      <w:kern w:val="2"/>
      <w:sz w:val="32"/>
      <w:szCs w:val="22"/>
    </w:rPr>
  </w:style>
  <w:style w:type="paragraph" w:styleId="54">
    <w:name w:val="annotation subject"/>
    <w:basedOn w:val="19"/>
    <w:next w:val="19"/>
    <w:link w:val="81"/>
    <w:qFormat/>
    <w:uiPriority w:val="99"/>
    <w:rPr>
      <w:rFonts w:asciiTheme="minorHAnsi" w:hAnsiTheme="minorHAnsi" w:eastAsiaTheme="minorEastAsia" w:cstheme="minorBidi"/>
      <w:b/>
      <w:bCs/>
      <w:kern w:val="2"/>
      <w:sz w:val="21"/>
      <w:szCs w:val="22"/>
    </w:rPr>
  </w:style>
  <w:style w:type="paragraph" w:styleId="55">
    <w:name w:val="Body Text First Indent"/>
    <w:basedOn w:val="2"/>
    <w:link w:val="83"/>
    <w:qFormat/>
    <w:uiPriority w:val="0"/>
    <w:pPr>
      <w:widowControl w:val="0"/>
      <w:ind w:firstLine="420" w:firstLineChars="100"/>
      <w:jc w:val="both"/>
    </w:pPr>
    <w:rPr>
      <w:rFonts w:asciiTheme="minorHAnsi" w:hAnsiTheme="minorHAnsi" w:eastAsiaTheme="minorEastAsia" w:cstheme="minorBidi"/>
      <w:b/>
      <w:kern w:val="2"/>
      <w:sz w:val="21"/>
      <w:szCs w:val="22"/>
    </w:rPr>
  </w:style>
  <w:style w:type="paragraph" w:styleId="56">
    <w:name w:val="Body Text First Indent 2"/>
    <w:basedOn w:val="22"/>
    <w:link w:val="94"/>
    <w:qFormat/>
    <w:uiPriority w:val="0"/>
    <w:pPr>
      <w:widowControl w:val="0"/>
      <w:ind w:firstLine="420" w:firstLineChars="200"/>
      <w:jc w:val="both"/>
    </w:pPr>
    <w:rPr>
      <w:rFonts w:ascii="宋体" w:hAnsi="MS Sans Serif" w:eastAsiaTheme="minorEastAsia" w:cstheme="minorBidi"/>
      <w:spacing w:val="12"/>
      <w:kern w:val="2"/>
      <w:sz w:val="24"/>
      <w:szCs w:val="22"/>
    </w:rPr>
  </w:style>
  <w:style w:type="table" w:styleId="58">
    <w:name w:val="Table Grid"/>
    <w:basedOn w:val="5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Table Grid 1"/>
    <w:basedOn w:val="57"/>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1">
    <w:name w:val="Strong"/>
    <w:qFormat/>
    <w:uiPriority w:val="22"/>
    <w:rPr>
      <w:rFonts w:ascii="仿宋_GB2312" w:eastAsia="宋体"/>
      <w:b/>
      <w:kern w:val="2"/>
      <w:sz w:val="24"/>
      <w:lang w:val="en-US" w:eastAsia="zh-CN"/>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99"/>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99"/>
    <w:rPr>
      <w:sz w:val="21"/>
      <w:szCs w:val="21"/>
    </w:rPr>
  </w:style>
  <w:style w:type="character" w:styleId="68">
    <w:name w:val="footnote reference"/>
    <w:qFormat/>
    <w:uiPriority w:val="0"/>
    <w:rPr>
      <w:vertAlign w:val="superscript"/>
    </w:rPr>
  </w:style>
  <w:style w:type="paragraph" w:customStyle="1" w:styleId="69">
    <w:name w:val="_Style 3"/>
    <w:next w:val="43"/>
    <w:unhideWhenUsed/>
    <w:qFormat/>
    <w:uiPriority w:val="0"/>
    <w:pPr>
      <w:widowControl w:val="0"/>
      <w:jc w:val="both"/>
    </w:pPr>
    <w:rPr>
      <w:rFonts w:hint="eastAsia" w:ascii="Calibri" w:hAnsi="Calibri" w:eastAsia="Calibri" w:cs="Times New Roman"/>
      <w:kern w:val="2"/>
      <w:sz w:val="21"/>
      <w:lang w:val="en-US" w:eastAsia="zh-CN" w:bidi="ar-SA"/>
    </w:rPr>
  </w:style>
  <w:style w:type="character" w:customStyle="1" w:styleId="70">
    <w:name w:val="标题 1 字符"/>
    <w:basedOn w:val="60"/>
    <w:link w:val="3"/>
    <w:qFormat/>
    <w:uiPriority w:val="0"/>
    <w:rPr>
      <w:rFonts w:ascii="黑体" w:hAnsi="Times New Roman" w:eastAsia="黑体" w:cs="Times New Roman"/>
      <w:kern w:val="0"/>
      <w:sz w:val="52"/>
      <w:szCs w:val="20"/>
    </w:rPr>
  </w:style>
  <w:style w:type="character" w:customStyle="1" w:styleId="71">
    <w:name w:val="标题 2 字符"/>
    <w:basedOn w:val="60"/>
    <w:link w:val="4"/>
    <w:qFormat/>
    <w:uiPriority w:val="0"/>
    <w:rPr>
      <w:rFonts w:ascii="宋体" w:hAnsi="宋体" w:eastAsia="宋体" w:cs="Times New Roman"/>
      <w:b/>
      <w:bCs/>
      <w:color w:val="000000"/>
      <w:kern w:val="0"/>
      <w:sz w:val="44"/>
      <w:szCs w:val="44"/>
    </w:rPr>
  </w:style>
  <w:style w:type="character" w:customStyle="1" w:styleId="72">
    <w:name w:val="标题 3 字符"/>
    <w:basedOn w:val="60"/>
    <w:link w:val="6"/>
    <w:qFormat/>
    <w:uiPriority w:val="0"/>
    <w:rPr>
      <w:rFonts w:ascii="Times New Roman" w:hAnsi="Times New Roman" w:eastAsia="宋体" w:cs="Times New Roman"/>
      <w:b/>
      <w:kern w:val="0"/>
      <w:sz w:val="24"/>
      <w:szCs w:val="20"/>
    </w:rPr>
  </w:style>
  <w:style w:type="character" w:customStyle="1" w:styleId="73">
    <w:name w:val="标题 4 字符"/>
    <w:basedOn w:val="60"/>
    <w:link w:val="7"/>
    <w:qFormat/>
    <w:uiPriority w:val="0"/>
    <w:rPr>
      <w:rFonts w:ascii="Arial" w:hAnsi="Arial" w:eastAsia="宋体" w:cs="Times New Roman"/>
      <w:b/>
      <w:kern w:val="0"/>
      <w:sz w:val="24"/>
      <w:szCs w:val="20"/>
    </w:rPr>
  </w:style>
  <w:style w:type="character" w:customStyle="1" w:styleId="74">
    <w:name w:val="标题 5 字符"/>
    <w:basedOn w:val="60"/>
    <w:link w:val="8"/>
    <w:qFormat/>
    <w:uiPriority w:val="0"/>
    <w:rPr>
      <w:rFonts w:ascii="宋体" w:hAnsi="宋体" w:eastAsia="宋体" w:cs="Times New Roman"/>
      <w:kern w:val="0"/>
      <w:sz w:val="24"/>
      <w:szCs w:val="20"/>
    </w:rPr>
  </w:style>
  <w:style w:type="character" w:customStyle="1" w:styleId="75">
    <w:name w:val="标题 6 字符"/>
    <w:basedOn w:val="60"/>
    <w:link w:val="9"/>
    <w:qFormat/>
    <w:uiPriority w:val="0"/>
    <w:rPr>
      <w:rFonts w:ascii="Arial" w:hAnsi="Arial" w:eastAsia="黑体" w:cs="Times New Roman"/>
      <w:b/>
      <w:bCs/>
      <w:kern w:val="0"/>
      <w:sz w:val="24"/>
      <w:szCs w:val="24"/>
    </w:rPr>
  </w:style>
  <w:style w:type="character" w:customStyle="1" w:styleId="76">
    <w:name w:val="标题 7 字符"/>
    <w:basedOn w:val="60"/>
    <w:link w:val="10"/>
    <w:qFormat/>
    <w:uiPriority w:val="0"/>
    <w:rPr>
      <w:rFonts w:ascii="Times New Roman" w:hAnsi="Times New Roman" w:eastAsia="宋体" w:cs="Times New Roman"/>
      <w:b/>
      <w:bCs/>
      <w:kern w:val="0"/>
      <w:sz w:val="24"/>
      <w:szCs w:val="24"/>
    </w:rPr>
  </w:style>
  <w:style w:type="character" w:customStyle="1" w:styleId="77">
    <w:name w:val="标题 8 字符"/>
    <w:basedOn w:val="60"/>
    <w:link w:val="11"/>
    <w:qFormat/>
    <w:uiPriority w:val="0"/>
    <w:rPr>
      <w:rFonts w:ascii="Arial" w:hAnsi="Arial" w:eastAsia="黑体" w:cs="Times New Roman"/>
      <w:kern w:val="0"/>
      <w:sz w:val="24"/>
      <w:szCs w:val="24"/>
    </w:rPr>
  </w:style>
  <w:style w:type="character" w:customStyle="1" w:styleId="78">
    <w:name w:val="标题 9 字符"/>
    <w:basedOn w:val="60"/>
    <w:link w:val="12"/>
    <w:qFormat/>
    <w:uiPriority w:val="0"/>
    <w:rPr>
      <w:rFonts w:ascii="Arial" w:hAnsi="Arial" w:eastAsia="黑体" w:cs="Times New Roman"/>
      <w:kern w:val="0"/>
      <w:szCs w:val="21"/>
    </w:rPr>
  </w:style>
  <w:style w:type="character" w:customStyle="1" w:styleId="79">
    <w:name w:val="正文缩进 字符"/>
    <w:link w:val="5"/>
    <w:qFormat/>
    <w:uiPriority w:val="0"/>
    <w:rPr>
      <w:rFonts w:ascii="Times New Roman" w:hAnsi="Times New Roman" w:eastAsia="宋体" w:cs="Times New Roman"/>
      <w:kern w:val="0"/>
      <w:sz w:val="20"/>
      <w:szCs w:val="20"/>
    </w:rPr>
  </w:style>
  <w:style w:type="character" w:customStyle="1" w:styleId="80">
    <w:name w:val="批注文字 字符"/>
    <w:basedOn w:val="60"/>
    <w:link w:val="19"/>
    <w:qFormat/>
    <w:uiPriority w:val="99"/>
    <w:rPr>
      <w:rFonts w:ascii="Times New Roman" w:hAnsi="Times New Roman" w:eastAsia="宋体" w:cs="Times New Roman"/>
      <w:kern w:val="0"/>
      <w:sz w:val="20"/>
      <w:szCs w:val="20"/>
    </w:rPr>
  </w:style>
  <w:style w:type="character" w:customStyle="1" w:styleId="81">
    <w:name w:val="批注主题 字符"/>
    <w:basedOn w:val="80"/>
    <w:link w:val="54"/>
    <w:qFormat/>
    <w:uiPriority w:val="99"/>
    <w:rPr>
      <w:rFonts w:ascii="Times New Roman" w:hAnsi="Times New Roman" w:eastAsia="宋体" w:cs="Times New Roman"/>
      <w:b/>
      <w:bCs/>
      <w:kern w:val="0"/>
      <w:sz w:val="20"/>
      <w:szCs w:val="20"/>
    </w:rPr>
  </w:style>
  <w:style w:type="character" w:customStyle="1" w:styleId="82">
    <w:name w:val="正文文本 字符"/>
    <w:basedOn w:val="60"/>
    <w:link w:val="2"/>
    <w:qFormat/>
    <w:uiPriority w:val="99"/>
    <w:rPr>
      <w:rFonts w:ascii="Times New Roman" w:hAnsi="Times New Roman" w:eastAsia="宋体" w:cs="Times New Roman"/>
      <w:kern w:val="0"/>
      <w:sz w:val="20"/>
      <w:szCs w:val="20"/>
    </w:rPr>
  </w:style>
  <w:style w:type="character" w:customStyle="1" w:styleId="83">
    <w:name w:val="正文文本首行缩进 字符"/>
    <w:basedOn w:val="82"/>
    <w:link w:val="55"/>
    <w:qFormat/>
    <w:uiPriority w:val="0"/>
    <w:rPr>
      <w:rFonts w:ascii="Times New Roman" w:hAnsi="Times New Roman" w:eastAsia="宋体" w:cs="Times New Roman"/>
      <w:b/>
      <w:kern w:val="0"/>
      <w:sz w:val="20"/>
      <w:szCs w:val="20"/>
    </w:rPr>
  </w:style>
  <w:style w:type="character" w:customStyle="1" w:styleId="84">
    <w:name w:val="题注 字符"/>
    <w:link w:val="15"/>
    <w:qFormat/>
    <w:uiPriority w:val="0"/>
    <w:rPr>
      <w:b/>
      <w:bCs/>
      <w:color w:val="000080"/>
      <w:sz w:val="28"/>
      <w:szCs w:val="24"/>
    </w:rPr>
  </w:style>
  <w:style w:type="character" w:customStyle="1" w:styleId="85">
    <w:name w:val="文档结构图 字符"/>
    <w:basedOn w:val="60"/>
    <w:link w:val="17"/>
    <w:qFormat/>
    <w:uiPriority w:val="99"/>
    <w:rPr>
      <w:shd w:val="clear" w:color="auto" w:fill="000080"/>
    </w:rPr>
  </w:style>
  <w:style w:type="character" w:customStyle="1" w:styleId="86">
    <w:name w:val="正文文本 3 字符"/>
    <w:basedOn w:val="60"/>
    <w:link w:val="21"/>
    <w:qFormat/>
    <w:uiPriority w:val="0"/>
    <w:rPr>
      <w:rFonts w:ascii="宋体" w:hAnsi="宋体"/>
      <w:color w:val="0000FF"/>
    </w:rPr>
  </w:style>
  <w:style w:type="character" w:customStyle="1" w:styleId="87">
    <w:name w:val="正文文本缩进 字符"/>
    <w:basedOn w:val="60"/>
    <w:link w:val="22"/>
    <w:qFormat/>
    <w:uiPriority w:val="99"/>
    <w:rPr>
      <w:rFonts w:ascii="Times New Roman" w:hAnsi="Times New Roman" w:eastAsia="宋体" w:cs="Times New Roman"/>
      <w:kern w:val="0"/>
      <w:sz w:val="20"/>
      <w:szCs w:val="20"/>
    </w:rPr>
  </w:style>
  <w:style w:type="character" w:customStyle="1" w:styleId="88">
    <w:name w:val="纯文本 字符"/>
    <w:basedOn w:val="60"/>
    <w:link w:val="27"/>
    <w:qFormat/>
    <w:uiPriority w:val="0"/>
    <w:rPr>
      <w:rFonts w:ascii="宋体" w:hAnsi="Courier New"/>
    </w:rPr>
  </w:style>
  <w:style w:type="character" w:customStyle="1" w:styleId="89">
    <w:name w:val="日期 字符"/>
    <w:basedOn w:val="60"/>
    <w:link w:val="30"/>
    <w:qFormat/>
    <w:uiPriority w:val="0"/>
    <w:rPr>
      <w:sz w:val="24"/>
    </w:rPr>
  </w:style>
  <w:style w:type="character" w:customStyle="1" w:styleId="90">
    <w:name w:val="正文文本缩进 2 字符"/>
    <w:basedOn w:val="60"/>
    <w:link w:val="31"/>
    <w:qFormat/>
    <w:uiPriority w:val="99"/>
    <w:rPr>
      <w:rFonts w:ascii="宋体" w:hAnsi="MS Sans Serif"/>
      <w:spacing w:val="12"/>
      <w:sz w:val="24"/>
    </w:rPr>
  </w:style>
  <w:style w:type="character" w:customStyle="1" w:styleId="91">
    <w:name w:val="尾注文本 字符"/>
    <w:basedOn w:val="60"/>
    <w:link w:val="32"/>
    <w:qFormat/>
    <w:uiPriority w:val="0"/>
    <w:rPr>
      <w:rFonts w:ascii="Times New Roman" w:hAnsi="Times New Roman" w:eastAsia="宋体" w:cs="Times New Roman"/>
      <w:kern w:val="0"/>
      <w:sz w:val="20"/>
      <w:szCs w:val="20"/>
    </w:rPr>
  </w:style>
  <w:style w:type="character" w:customStyle="1" w:styleId="92">
    <w:name w:val="批注框文本 字符"/>
    <w:basedOn w:val="60"/>
    <w:link w:val="33"/>
    <w:qFormat/>
    <w:uiPriority w:val="99"/>
    <w:rPr>
      <w:sz w:val="18"/>
      <w:szCs w:val="18"/>
    </w:rPr>
  </w:style>
  <w:style w:type="character" w:customStyle="1" w:styleId="93">
    <w:name w:val="页脚 字符"/>
    <w:basedOn w:val="60"/>
    <w:link w:val="34"/>
    <w:qFormat/>
    <w:uiPriority w:val="99"/>
    <w:rPr>
      <w:sz w:val="18"/>
    </w:rPr>
  </w:style>
  <w:style w:type="character" w:customStyle="1" w:styleId="94">
    <w:name w:val="正文文本首行缩进 2 字符"/>
    <w:basedOn w:val="87"/>
    <w:link w:val="56"/>
    <w:qFormat/>
    <w:uiPriority w:val="0"/>
    <w:rPr>
      <w:rFonts w:ascii="宋体" w:hAnsi="MS Sans Serif" w:eastAsia="宋体" w:cs="Times New Roman"/>
      <w:spacing w:val="12"/>
      <w:kern w:val="0"/>
      <w:sz w:val="24"/>
      <w:szCs w:val="20"/>
    </w:rPr>
  </w:style>
  <w:style w:type="character" w:customStyle="1" w:styleId="95">
    <w:name w:val="页眉 字符"/>
    <w:basedOn w:val="60"/>
    <w:link w:val="35"/>
    <w:qFormat/>
    <w:uiPriority w:val="99"/>
    <w:rPr>
      <w:sz w:val="18"/>
    </w:rPr>
  </w:style>
  <w:style w:type="character" w:customStyle="1" w:styleId="96">
    <w:name w:val="副标题 字符"/>
    <w:basedOn w:val="60"/>
    <w:link w:val="40"/>
    <w:qFormat/>
    <w:uiPriority w:val="0"/>
    <w:rPr>
      <w:rFonts w:ascii="Cambria" w:hAnsi="Cambria"/>
      <w:b/>
      <w:bCs/>
      <w:kern w:val="28"/>
      <w:sz w:val="32"/>
      <w:szCs w:val="32"/>
    </w:rPr>
  </w:style>
  <w:style w:type="character" w:customStyle="1" w:styleId="97">
    <w:name w:val="脚注文本 字符"/>
    <w:basedOn w:val="60"/>
    <w:link w:val="41"/>
    <w:qFormat/>
    <w:uiPriority w:val="0"/>
    <w:rPr>
      <w:sz w:val="18"/>
    </w:rPr>
  </w:style>
  <w:style w:type="character" w:customStyle="1" w:styleId="98">
    <w:name w:val="正文文本缩进 3 字符"/>
    <w:basedOn w:val="60"/>
    <w:link w:val="43"/>
    <w:qFormat/>
    <w:uiPriority w:val="99"/>
    <w:rPr>
      <w:rFonts w:ascii="宋体" w:hAnsi="MS Sans Serif"/>
      <w:color w:val="000000"/>
      <w:sz w:val="24"/>
    </w:rPr>
  </w:style>
  <w:style w:type="character" w:customStyle="1" w:styleId="99">
    <w:name w:val="正文文本 2 字符"/>
    <w:basedOn w:val="60"/>
    <w:link w:val="49"/>
    <w:qFormat/>
    <w:uiPriority w:val="99"/>
    <w:rPr>
      <w:rFonts w:ascii="宋体" w:hAnsi="宋体"/>
    </w:rPr>
  </w:style>
  <w:style w:type="character" w:customStyle="1" w:styleId="100">
    <w:name w:val="HTML 预设格式 字符"/>
    <w:basedOn w:val="60"/>
    <w:link w:val="50"/>
    <w:qFormat/>
    <w:uiPriority w:val="99"/>
    <w:rPr>
      <w:rFonts w:ascii="宋体" w:hAnsi="宋体"/>
      <w:sz w:val="24"/>
    </w:rPr>
  </w:style>
  <w:style w:type="character" w:customStyle="1" w:styleId="101">
    <w:name w:val="标题 字符"/>
    <w:basedOn w:val="60"/>
    <w:link w:val="53"/>
    <w:qFormat/>
    <w:uiPriority w:val="0"/>
    <w:rPr>
      <w:rFonts w:ascii="Arial" w:hAnsi="Arial"/>
      <w:b/>
      <w:sz w:val="32"/>
    </w:rPr>
  </w:style>
  <w:style w:type="character" w:customStyle="1" w:styleId="102">
    <w:name w:val="param-value"/>
    <w:qFormat/>
    <w:uiPriority w:val="0"/>
  </w:style>
  <w:style w:type="character" w:customStyle="1" w:styleId="103">
    <w:name w:val="文一 Char Char"/>
    <w:link w:val="104"/>
    <w:qFormat/>
    <w:uiPriority w:val="0"/>
    <w:rPr>
      <w:snapToGrid w:val="0"/>
      <w:spacing w:val="4"/>
      <w:sz w:val="24"/>
      <w:szCs w:val="24"/>
    </w:rPr>
  </w:style>
  <w:style w:type="paragraph" w:customStyle="1" w:styleId="104">
    <w:name w:val="文一"/>
    <w:basedOn w:val="1"/>
    <w:link w:val="103"/>
    <w:qFormat/>
    <w:uiPriority w:val="0"/>
    <w:pPr>
      <w:widowControl w:val="0"/>
      <w:topLinePunct/>
      <w:adjustRightInd w:val="0"/>
      <w:snapToGrid w:val="0"/>
      <w:spacing w:line="360" w:lineRule="auto"/>
      <w:ind w:firstLine="200" w:firstLineChars="200"/>
      <w:jc w:val="both"/>
    </w:pPr>
    <w:rPr>
      <w:rFonts w:asciiTheme="minorHAnsi" w:hAnsiTheme="minorHAnsi" w:eastAsiaTheme="minorEastAsia" w:cstheme="minorBidi"/>
      <w:snapToGrid w:val="0"/>
      <w:spacing w:val="4"/>
      <w:kern w:val="2"/>
      <w:sz w:val="24"/>
      <w:szCs w:val="24"/>
    </w:rPr>
  </w:style>
  <w:style w:type="character" w:customStyle="1" w:styleId="105">
    <w:name w:val="Char Char"/>
    <w:link w:val="106"/>
    <w:qFormat/>
    <w:uiPriority w:val="0"/>
    <w:rPr>
      <w:rFonts w:ascii="Verdana" w:hAnsi="Verdana"/>
      <w:lang w:eastAsia="en-US"/>
    </w:rPr>
  </w:style>
  <w:style w:type="paragraph" w:customStyle="1" w:styleId="106">
    <w:name w:val="Char2"/>
    <w:basedOn w:val="1"/>
    <w:link w:val="105"/>
    <w:qFormat/>
    <w:uiPriority w:val="0"/>
    <w:pPr>
      <w:spacing w:after="160" w:line="240" w:lineRule="exact"/>
    </w:pPr>
    <w:rPr>
      <w:rFonts w:ascii="Verdana" w:hAnsi="Verdana" w:eastAsiaTheme="minorEastAsia" w:cstheme="minorBidi"/>
      <w:kern w:val="2"/>
      <w:sz w:val="21"/>
      <w:szCs w:val="22"/>
      <w:lang w:eastAsia="en-US"/>
    </w:rPr>
  </w:style>
  <w:style w:type="character" w:customStyle="1" w:styleId="107">
    <w:name w:val="contenttitle"/>
    <w:basedOn w:val="60"/>
    <w:qFormat/>
    <w:uiPriority w:val="0"/>
  </w:style>
  <w:style w:type="character" w:customStyle="1" w:styleId="108">
    <w:name w:val="5正文 Char"/>
    <w:link w:val="109"/>
    <w:qFormat/>
    <w:uiPriority w:val="0"/>
    <w:rPr>
      <w:rFonts w:ascii="宋体" w:hAnsi="宋体"/>
      <w:sz w:val="24"/>
      <w:szCs w:val="24"/>
    </w:rPr>
  </w:style>
  <w:style w:type="paragraph" w:customStyle="1" w:styleId="109">
    <w:name w:val="5正文"/>
    <w:basedOn w:val="1"/>
    <w:link w:val="108"/>
    <w:qFormat/>
    <w:uiPriority w:val="0"/>
    <w:pPr>
      <w:adjustRightInd w:val="0"/>
      <w:snapToGrid w:val="0"/>
      <w:spacing w:afterLines="50" w:line="360" w:lineRule="auto"/>
      <w:ind w:firstLine="200" w:firstLineChars="200"/>
      <w:jc w:val="both"/>
    </w:pPr>
    <w:rPr>
      <w:rFonts w:ascii="宋体" w:hAnsi="宋体" w:eastAsiaTheme="minorEastAsia" w:cstheme="minorBidi"/>
      <w:kern w:val="2"/>
      <w:sz w:val="24"/>
      <w:szCs w:val="24"/>
    </w:rPr>
  </w:style>
  <w:style w:type="character" w:customStyle="1" w:styleId="110">
    <w:name w:val="列表段落 字符"/>
    <w:link w:val="111"/>
    <w:qFormat/>
    <w:uiPriority w:val="34"/>
    <w:rPr>
      <w:rFonts w:ascii="Times New Roman" w:hAnsi="Times New Roman" w:eastAsia="宋体" w:cs="Times New Roman"/>
      <w:kern w:val="0"/>
      <w:sz w:val="20"/>
      <w:szCs w:val="20"/>
    </w:rPr>
  </w:style>
  <w:style w:type="paragraph" w:styleId="111">
    <w:name w:val="List Paragraph"/>
    <w:basedOn w:val="1"/>
    <w:link w:val="110"/>
    <w:qFormat/>
    <w:uiPriority w:val="34"/>
    <w:pPr>
      <w:ind w:firstLine="420" w:firstLineChars="200"/>
    </w:pPr>
  </w:style>
  <w:style w:type="character" w:customStyle="1" w:styleId="112">
    <w:name w:val="无间隔 字符"/>
    <w:link w:val="113"/>
    <w:qFormat/>
    <w:uiPriority w:val="1"/>
    <w:rPr>
      <w:rFonts w:ascii="Calibri" w:hAnsi="Calibri"/>
    </w:rPr>
  </w:style>
  <w:style w:type="paragraph" w:styleId="113">
    <w:name w:val="No Spacing"/>
    <w:link w:val="112"/>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114">
    <w:name w:val="文档正文 Char"/>
    <w:link w:val="115"/>
    <w:qFormat/>
    <w:uiPriority w:val="0"/>
    <w:rPr>
      <w:rFonts w:ascii="Arial" w:hAnsi="Arial"/>
      <w:sz w:val="48"/>
    </w:rPr>
  </w:style>
  <w:style w:type="paragraph" w:customStyle="1" w:styleId="115">
    <w:name w:val="文档正文"/>
    <w:basedOn w:val="1"/>
    <w:link w:val="114"/>
    <w:qFormat/>
    <w:uiPriority w:val="0"/>
    <w:pPr>
      <w:widowControl w:val="0"/>
      <w:jc w:val="both"/>
    </w:pPr>
    <w:rPr>
      <w:rFonts w:ascii="Arial" w:hAnsi="Arial" w:eastAsiaTheme="minorEastAsia" w:cstheme="minorBidi"/>
      <w:kern w:val="2"/>
      <w:sz w:val="48"/>
      <w:szCs w:val="22"/>
    </w:rPr>
  </w:style>
  <w:style w:type="character" w:customStyle="1" w:styleId="116">
    <w:name w:val="工可正文 Char"/>
    <w:link w:val="117"/>
    <w:qFormat/>
    <w:uiPriority w:val="0"/>
    <w:rPr>
      <w:rFonts w:ascii="宋体" w:hAnsi="Courier New"/>
      <w:sz w:val="28"/>
    </w:rPr>
  </w:style>
  <w:style w:type="paragraph" w:customStyle="1" w:styleId="117">
    <w:name w:val="工可正文"/>
    <w:basedOn w:val="1"/>
    <w:link w:val="116"/>
    <w:qFormat/>
    <w:uiPriority w:val="0"/>
    <w:pPr>
      <w:widowControl w:val="0"/>
      <w:ind w:firstLine="560" w:firstLineChars="200"/>
      <w:jc w:val="both"/>
    </w:pPr>
    <w:rPr>
      <w:rFonts w:ascii="宋体" w:hAnsi="Courier New" w:eastAsiaTheme="minorEastAsia" w:cstheme="minorBidi"/>
      <w:kern w:val="2"/>
      <w:sz w:val="28"/>
      <w:szCs w:val="22"/>
    </w:rPr>
  </w:style>
  <w:style w:type="character" w:customStyle="1" w:styleId="118">
    <w:name w:val="my正文 Char"/>
    <w:link w:val="119"/>
    <w:qFormat/>
    <w:uiPriority w:val="0"/>
    <w:rPr>
      <w:sz w:val="24"/>
      <w:szCs w:val="24"/>
    </w:rPr>
  </w:style>
  <w:style w:type="paragraph" w:customStyle="1" w:styleId="119">
    <w:name w:val="my正文"/>
    <w:basedOn w:val="1"/>
    <w:link w:val="118"/>
    <w:qFormat/>
    <w:uiPriority w:val="0"/>
    <w:pPr>
      <w:widowControl w:val="0"/>
      <w:spacing w:line="360" w:lineRule="auto"/>
      <w:ind w:firstLine="480" w:firstLineChars="200"/>
      <w:jc w:val="both"/>
    </w:pPr>
    <w:rPr>
      <w:rFonts w:asciiTheme="minorHAnsi" w:hAnsiTheme="minorHAnsi" w:eastAsiaTheme="minorEastAsia" w:cstheme="minorBidi"/>
      <w:kern w:val="2"/>
      <w:sz w:val="24"/>
      <w:szCs w:val="24"/>
    </w:rPr>
  </w:style>
  <w:style w:type="character" w:customStyle="1" w:styleId="120">
    <w:name w:val="content1"/>
    <w:basedOn w:val="60"/>
    <w:qFormat/>
    <w:uiPriority w:val="0"/>
  </w:style>
  <w:style w:type="character" w:customStyle="1" w:styleId="121">
    <w:name w:val="unnamed21"/>
    <w:qFormat/>
    <w:uiPriority w:val="0"/>
    <w:rPr>
      <w:sz w:val="21"/>
    </w:rPr>
  </w:style>
  <w:style w:type="character" w:customStyle="1" w:styleId="122">
    <w:name w:val="apple-converted-space"/>
    <w:basedOn w:val="60"/>
    <w:qFormat/>
    <w:uiPriority w:val="0"/>
  </w:style>
  <w:style w:type="character" w:customStyle="1" w:styleId="123">
    <w:name w:val="正文缩进 Char2"/>
    <w:link w:val="124"/>
    <w:qFormat/>
    <w:uiPriority w:val="0"/>
    <w:rPr>
      <w:szCs w:val="24"/>
    </w:rPr>
  </w:style>
  <w:style w:type="paragraph" w:customStyle="1" w:styleId="124">
    <w:name w:val="正文缩进1"/>
    <w:basedOn w:val="1"/>
    <w:link w:val="123"/>
    <w:qFormat/>
    <w:uiPriority w:val="0"/>
    <w:pPr>
      <w:widowControl w:val="0"/>
      <w:ind w:firstLine="420"/>
      <w:jc w:val="both"/>
    </w:pPr>
    <w:rPr>
      <w:rFonts w:asciiTheme="minorHAnsi" w:hAnsiTheme="minorHAnsi" w:eastAsiaTheme="minorEastAsia" w:cstheme="minorBidi"/>
      <w:kern w:val="2"/>
      <w:sz w:val="21"/>
      <w:szCs w:val="24"/>
    </w:rPr>
  </w:style>
  <w:style w:type="character" w:customStyle="1" w:styleId="125">
    <w:name w:val="Char Char141"/>
    <w:qFormat/>
    <w:uiPriority w:val="0"/>
    <w:rPr>
      <w:rFonts w:ascii="Arial" w:hAnsi="Arial"/>
      <w:b/>
      <w:kern w:val="2"/>
      <w:sz w:val="32"/>
    </w:rPr>
  </w:style>
  <w:style w:type="character" w:customStyle="1" w:styleId="126">
    <w:name w:val="text1"/>
    <w:qFormat/>
    <w:uiPriority w:val="0"/>
    <w:rPr>
      <w:sz w:val="23"/>
      <w:szCs w:val="23"/>
    </w:rPr>
  </w:style>
  <w:style w:type="character" w:customStyle="1" w:styleId="127">
    <w:name w:val="wp_keywordlink_affiliate"/>
    <w:basedOn w:val="60"/>
    <w:qFormat/>
    <w:uiPriority w:val="0"/>
  </w:style>
  <w:style w:type="character" w:customStyle="1" w:styleId="128">
    <w:name w:val="纯文本 Char1"/>
    <w:qFormat/>
    <w:uiPriority w:val="0"/>
    <w:rPr>
      <w:rFonts w:ascii="宋体" w:hAnsi="Courier New"/>
      <w:kern w:val="2"/>
      <w:sz w:val="21"/>
    </w:rPr>
  </w:style>
  <w:style w:type="character" w:customStyle="1" w:styleId="129">
    <w:name w:val="正文文本缩进 Char1"/>
    <w:qFormat/>
    <w:uiPriority w:val="0"/>
    <w:rPr>
      <w:sz w:val="21"/>
    </w:rPr>
  </w:style>
  <w:style w:type="character" w:customStyle="1" w:styleId="130">
    <w:name w:val="Char Char161"/>
    <w:qFormat/>
    <w:uiPriority w:val="0"/>
    <w:rPr>
      <w:rFonts w:ascii="Times New Roman" w:hAnsi="Times New Roman" w:eastAsia="宋体"/>
      <w:sz w:val="18"/>
    </w:rPr>
  </w:style>
  <w:style w:type="character" w:customStyle="1" w:styleId="131">
    <w:name w:val="表格非标题文字 Char"/>
    <w:link w:val="132"/>
    <w:qFormat/>
    <w:uiPriority w:val="0"/>
    <w:rPr>
      <w:rFonts w:ascii="Arial" w:hAnsi="Arial"/>
      <w:sz w:val="18"/>
      <w:szCs w:val="21"/>
    </w:rPr>
  </w:style>
  <w:style w:type="paragraph" w:customStyle="1" w:styleId="132">
    <w:name w:val="表格非标题文字"/>
    <w:link w:val="131"/>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33">
    <w:name w:val="f16"/>
    <w:basedOn w:val="60"/>
    <w:qFormat/>
    <w:uiPriority w:val="0"/>
  </w:style>
  <w:style w:type="character" w:customStyle="1" w:styleId="134">
    <w:name w:val="纯文本 Char2"/>
    <w:qFormat/>
    <w:uiPriority w:val="0"/>
    <w:rPr>
      <w:rFonts w:ascii="宋体" w:hAnsi="Courier New"/>
      <w:kern w:val="2"/>
      <w:sz w:val="21"/>
    </w:rPr>
  </w:style>
  <w:style w:type="character" w:customStyle="1" w:styleId="135">
    <w:name w:val="正文首行缩进 2 Char"/>
    <w:basedOn w:val="136"/>
    <w:qFormat/>
    <w:uiPriority w:val="0"/>
    <w:rPr>
      <w:rFonts w:eastAsia="宋体"/>
      <w:kern w:val="2"/>
      <w:sz w:val="21"/>
      <w:lang w:val="en-US" w:eastAsia="zh-CN"/>
    </w:rPr>
  </w:style>
  <w:style w:type="character" w:customStyle="1" w:styleId="136">
    <w:name w:val="正文文本缩进 Char Char"/>
    <w:qFormat/>
    <w:uiPriority w:val="0"/>
    <w:rPr>
      <w:rFonts w:eastAsia="宋体"/>
      <w:kern w:val="2"/>
      <w:sz w:val="21"/>
      <w:lang w:val="en-US" w:eastAsia="zh-CN"/>
    </w:rPr>
  </w:style>
  <w:style w:type="character" w:customStyle="1" w:styleId="137">
    <w:name w:val="标准正文 Char Char"/>
    <w:link w:val="138"/>
    <w:qFormat/>
    <w:uiPriority w:val="0"/>
    <w:rPr>
      <w:szCs w:val="24"/>
    </w:rPr>
  </w:style>
  <w:style w:type="paragraph" w:customStyle="1" w:styleId="138">
    <w:name w:val="标准正文"/>
    <w:basedOn w:val="1"/>
    <w:link w:val="137"/>
    <w:qFormat/>
    <w:uiPriority w:val="0"/>
    <w:pPr>
      <w:widowControl w:val="0"/>
      <w:tabs>
        <w:tab w:val="left" w:pos="720"/>
      </w:tabs>
      <w:spacing w:line="360" w:lineRule="auto"/>
      <w:ind w:firstLine="200" w:firstLineChars="200"/>
      <w:jc w:val="both"/>
    </w:pPr>
    <w:rPr>
      <w:rFonts w:asciiTheme="minorHAnsi" w:hAnsiTheme="minorHAnsi" w:eastAsiaTheme="minorEastAsia" w:cstheme="minorBidi"/>
      <w:kern w:val="2"/>
      <w:sz w:val="21"/>
      <w:szCs w:val="24"/>
    </w:rPr>
  </w:style>
  <w:style w:type="character" w:customStyle="1" w:styleId="139">
    <w:name w:val="副标题 Char1"/>
    <w:qFormat/>
    <w:uiPriority w:val="0"/>
    <w:rPr>
      <w:rFonts w:ascii="Cambria" w:hAnsi="Cambria" w:cs="Times New Roman"/>
      <w:b/>
      <w:bCs/>
      <w:kern w:val="28"/>
      <w:sz w:val="32"/>
      <w:szCs w:val="32"/>
    </w:rPr>
  </w:style>
  <w:style w:type="character" w:customStyle="1" w:styleId="140">
    <w:name w:val="标题 3 Char Char"/>
    <w:qFormat/>
    <w:uiPriority w:val="0"/>
    <w:rPr>
      <w:rFonts w:ascii="黑体" w:hAnsi="宋体" w:eastAsia="宋体"/>
      <w:b/>
      <w:kern w:val="2"/>
      <w:sz w:val="21"/>
      <w:lang w:val="en-US" w:eastAsia="zh-CN"/>
    </w:rPr>
  </w:style>
  <w:style w:type="character" w:customStyle="1" w:styleId="141">
    <w:name w:val="样式 标题 1标题 1 1 + 宋体 Char Char"/>
    <w:link w:val="142"/>
    <w:qFormat/>
    <w:uiPriority w:val="0"/>
    <w:rPr>
      <w:rFonts w:ascii="宋体" w:hAnsi="宋体" w:eastAsia="黑体"/>
      <w:b/>
      <w:kern w:val="44"/>
      <w:sz w:val="32"/>
    </w:rPr>
  </w:style>
  <w:style w:type="paragraph" w:customStyle="1" w:styleId="142">
    <w:name w:val="样式 标题 1标题 1 1 + 宋体"/>
    <w:basedOn w:val="3"/>
    <w:link w:val="141"/>
    <w:qFormat/>
    <w:uiPriority w:val="0"/>
    <w:pPr>
      <w:keepLines/>
      <w:widowControl w:val="0"/>
      <w:numPr>
        <w:numId w:val="0"/>
      </w:numPr>
      <w:spacing w:beforeLines="50" w:afterLines="50"/>
      <w:jc w:val="both"/>
    </w:pPr>
    <w:rPr>
      <w:rFonts w:ascii="宋体" w:hAnsi="宋体" w:cstheme="minorBidi"/>
      <w:b/>
      <w:kern w:val="44"/>
      <w:sz w:val="32"/>
      <w:szCs w:val="22"/>
    </w:rPr>
  </w:style>
  <w:style w:type="character" w:customStyle="1" w:styleId="143">
    <w:name w:val="引用 Char"/>
    <w:qFormat/>
    <w:uiPriority w:val="29"/>
    <w:rPr>
      <w:i/>
      <w:iCs/>
      <w:color w:val="000000"/>
    </w:rPr>
  </w:style>
  <w:style w:type="paragraph" w:styleId="144">
    <w:name w:val="Quote"/>
    <w:basedOn w:val="1"/>
    <w:next w:val="1"/>
    <w:link w:val="145"/>
    <w:qFormat/>
    <w:uiPriority w:val="29"/>
    <w:pPr>
      <w:widowControl w:val="0"/>
      <w:jc w:val="both"/>
    </w:pPr>
    <w:rPr>
      <w:rFonts w:asciiTheme="minorHAnsi" w:hAnsiTheme="minorHAnsi" w:eastAsiaTheme="minorEastAsia" w:cstheme="minorBidi"/>
      <w:i/>
      <w:iCs/>
      <w:color w:val="000000"/>
      <w:kern w:val="2"/>
      <w:sz w:val="21"/>
      <w:szCs w:val="22"/>
    </w:rPr>
  </w:style>
  <w:style w:type="character" w:customStyle="1" w:styleId="145">
    <w:name w:val="引用 字符"/>
    <w:basedOn w:val="60"/>
    <w:link w:val="144"/>
    <w:qFormat/>
    <w:uiPriority w:val="29"/>
    <w:rPr>
      <w:i/>
      <w:iCs/>
      <w:color w:val="000000"/>
    </w:rPr>
  </w:style>
  <w:style w:type="character" w:customStyle="1" w:styleId="146">
    <w:name w:val="正 Char Char"/>
    <w:link w:val="147"/>
    <w:qFormat/>
    <w:uiPriority w:val="0"/>
    <w:rPr>
      <w:rFonts w:ascii="宋体" w:hAnsi="宋体"/>
      <w:sz w:val="24"/>
    </w:rPr>
  </w:style>
  <w:style w:type="paragraph" w:customStyle="1" w:styleId="147">
    <w:name w:val="正"/>
    <w:basedOn w:val="1"/>
    <w:link w:val="146"/>
    <w:qFormat/>
    <w:uiPriority w:val="0"/>
    <w:pPr>
      <w:widowControl w:val="0"/>
      <w:ind w:firstLine="530" w:firstLineChars="200"/>
      <w:jc w:val="both"/>
    </w:pPr>
    <w:rPr>
      <w:rFonts w:ascii="宋体" w:hAnsi="宋体" w:eastAsiaTheme="minorEastAsia" w:cstheme="minorBidi"/>
      <w:kern w:val="2"/>
      <w:sz w:val="24"/>
      <w:szCs w:val="22"/>
    </w:rPr>
  </w:style>
  <w:style w:type="character" w:customStyle="1" w:styleId="148">
    <w:name w:val="批注主题 Char"/>
    <w:qFormat/>
    <w:uiPriority w:val="99"/>
    <w:rPr>
      <w:b/>
      <w:bCs/>
    </w:rPr>
  </w:style>
  <w:style w:type="character" w:customStyle="1" w:styleId="149">
    <w:name w:val="文档结构图 Char"/>
    <w:qFormat/>
    <w:uiPriority w:val="99"/>
    <w:rPr>
      <w:shd w:val="clear" w:color="auto" w:fill="000080"/>
    </w:rPr>
  </w:style>
  <w:style w:type="character" w:customStyle="1" w:styleId="150">
    <w:name w:val="标题 3 Char Char Char"/>
    <w:qFormat/>
    <w:uiPriority w:val="0"/>
    <w:rPr>
      <w:rFonts w:ascii="仿宋_GB2312" w:eastAsia="黑体"/>
      <w:kern w:val="2"/>
      <w:sz w:val="28"/>
      <w:lang w:val="en-US" w:eastAsia="zh-CN"/>
    </w:rPr>
  </w:style>
  <w:style w:type="character" w:customStyle="1" w:styleId="151">
    <w:name w:val="样式 首行缩进:  2 字符 Char1"/>
    <w:link w:val="152"/>
    <w:qFormat/>
    <w:uiPriority w:val="0"/>
    <w:rPr>
      <w:sz w:val="24"/>
    </w:rPr>
  </w:style>
  <w:style w:type="paragraph" w:customStyle="1" w:styleId="152">
    <w:name w:val="样式 首行缩进:  2 字符"/>
    <w:basedOn w:val="1"/>
    <w:link w:val="151"/>
    <w:qFormat/>
    <w:uiPriority w:val="0"/>
    <w:pPr>
      <w:widowControl w:val="0"/>
      <w:spacing w:line="480" w:lineRule="exact"/>
      <w:ind w:firstLine="480" w:firstLineChars="200"/>
      <w:jc w:val="both"/>
    </w:pPr>
    <w:rPr>
      <w:rFonts w:asciiTheme="minorHAnsi" w:hAnsiTheme="minorHAnsi" w:eastAsiaTheme="minorEastAsia" w:cstheme="minorBidi"/>
      <w:kern w:val="2"/>
      <w:sz w:val="24"/>
      <w:szCs w:val="22"/>
    </w:rPr>
  </w:style>
  <w:style w:type="character" w:customStyle="1" w:styleId="153">
    <w:name w:val="明显引用 Char1"/>
    <w:qFormat/>
    <w:uiPriority w:val="30"/>
    <w:rPr>
      <w:b/>
      <w:bCs/>
      <w:i/>
      <w:iCs/>
      <w:color w:val="4F81BD"/>
    </w:rPr>
  </w:style>
  <w:style w:type="character" w:customStyle="1" w:styleId="154">
    <w:name w:val="纯文本 Char"/>
    <w:qFormat/>
    <w:uiPriority w:val="0"/>
    <w:rPr>
      <w:rFonts w:ascii="宋体" w:hAnsi="Courier New"/>
    </w:rPr>
  </w:style>
  <w:style w:type="character" w:customStyle="1" w:styleId="155">
    <w:name w:val="标题 4 Char Char1"/>
    <w:qFormat/>
    <w:uiPriority w:val="0"/>
    <w:rPr>
      <w:rFonts w:ascii="Arial" w:hAnsi="Arial" w:eastAsia="宋体"/>
      <w:kern w:val="2"/>
      <w:sz w:val="24"/>
      <w:lang w:val="en-US" w:eastAsia="zh-CN"/>
    </w:rPr>
  </w:style>
  <w:style w:type="character" w:customStyle="1" w:styleId="156">
    <w:name w:val="正文文本 2 Char"/>
    <w:qFormat/>
    <w:uiPriority w:val="99"/>
    <w:rPr>
      <w:rFonts w:ascii="宋体" w:hAnsi="宋体"/>
    </w:rPr>
  </w:style>
  <w:style w:type="character" w:customStyle="1" w:styleId="157">
    <w:name w:val="ca-1"/>
    <w:basedOn w:val="60"/>
    <w:qFormat/>
    <w:uiPriority w:val="0"/>
  </w:style>
  <w:style w:type="character" w:customStyle="1" w:styleId="158">
    <w:name w:val="明显强调1"/>
    <w:qFormat/>
    <w:uiPriority w:val="0"/>
    <w:rPr>
      <w:b/>
      <w:bCs/>
      <w:i/>
      <w:iCs/>
      <w:color w:val="4F81BD"/>
    </w:rPr>
  </w:style>
  <w:style w:type="character" w:customStyle="1" w:styleId="159">
    <w:name w:val="HTML 预设格式 Char"/>
    <w:qFormat/>
    <w:uiPriority w:val="99"/>
    <w:rPr>
      <w:rFonts w:ascii="宋体" w:hAnsi="宋体"/>
      <w:sz w:val="24"/>
    </w:rPr>
  </w:style>
  <w:style w:type="character" w:customStyle="1" w:styleId="160">
    <w:name w:val="正文文本缩进 2 Char"/>
    <w:qFormat/>
    <w:uiPriority w:val="99"/>
    <w:rPr>
      <w:rFonts w:ascii="宋体" w:hAnsi="MS Sans Serif"/>
      <w:spacing w:val="12"/>
      <w:sz w:val="24"/>
    </w:rPr>
  </w:style>
  <w:style w:type="character" w:customStyle="1" w:styleId="161">
    <w:name w:val="书籍标题1"/>
    <w:qFormat/>
    <w:uiPriority w:val="0"/>
    <w:rPr>
      <w:b/>
      <w:bCs/>
      <w:smallCaps/>
      <w:spacing w:val="5"/>
    </w:rPr>
  </w:style>
  <w:style w:type="character" w:customStyle="1" w:styleId="162">
    <w:name w:val="正文文本 3 Char1"/>
    <w:qFormat/>
    <w:uiPriority w:val="0"/>
    <w:rPr>
      <w:sz w:val="16"/>
      <w:szCs w:val="16"/>
    </w:rPr>
  </w:style>
  <w:style w:type="character" w:customStyle="1" w:styleId="163">
    <w:name w:val="文档结构图 Char1"/>
    <w:qFormat/>
    <w:uiPriority w:val="0"/>
    <w:rPr>
      <w:rFonts w:ascii="宋体"/>
      <w:kern w:val="2"/>
      <w:sz w:val="18"/>
      <w:szCs w:val="18"/>
    </w:rPr>
  </w:style>
  <w:style w:type="character" w:customStyle="1" w:styleId="164">
    <w:name w:val="副标题 Char"/>
    <w:qFormat/>
    <w:uiPriority w:val="0"/>
    <w:rPr>
      <w:rFonts w:ascii="Cambria" w:hAnsi="Cambria"/>
      <w:b/>
      <w:bCs/>
      <w:kern w:val="28"/>
      <w:sz w:val="32"/>
      <w:szCs w:val="32"/>
    </w:rPr>
  </w:style>
  <w:style w:type="character" w:customStyle="1" w:styleId="165">
    <w:name w:val="正文 Char Char Char Char Char"/>
    <w:link w:val="166"/>
    <w:qFormat/>
    <w:uiPriority w:val="0"/>
    <w:rPr>
      <w:sz w:val="24"/>
    </w:rPr>
  </w:style>
  <w:style w:type="paragraph" w:customStyle="1" w:styleId="166">
    <w:name w:val="正文 Char Char Char"/>
    <w:link w:val="165"/>
    <w:qFormat/>
    <w:uiPriority w:val="0"/>
    <w:pPr>
      <w:spacing w:line="360" w:lineRule="auto"/>
      <w:ind w:firstLine="200" w:firstLineChars="200"/>
    </w:pPr>
    <w:rPr>
      <w:rFonts w:asciiTheme="minorHAnsi" w:hAnsiTheme="minorHAnsi" w:eastAsiaTheme="minorEastAsia" w:cstheme="minorBidi"/>
      <w:kern w:val="2"/>
      <w:sz w:val="24"/>
      <w:szCs w:val="22"/>
      <w:lang w:val="en-US" w:eastAsia="zh-CN" w:bidi="ar-SA"/>
    </w:rPr>
  </w:style>
  <w:style w:type="character" w:customStyle="1" w:styleId="167">
    <w:name w:val="正文文本 Char"/>
    <w:qFormat/>
    <w:uiPriority w:val="99"/>
    <w:rPr>
      <w:kern w:val="2"/>
      <w:sz w:val="30"/>
    </w:rPr>
  </w:style>
  <w:style w:type="character" w:customStyle="1" w:styleId="168">
    <w:name w:val="明显参考1"/>
    <w:qFormat/>
    <w:uiPriority w:val="0"/>
    <w:rPr>
      <w:b/>
      <w:bCs/>
      <w:smallCaps/>
      <w:color w:val="C0504D"/>
      <w:spacing w:val="5"/>
      <w:u w:val="single"/>
    </w:rPr>
  </w:style>
  <w:style w:type="character" w:customStyle="1" w:styleId="169">
    <w:name w:val="正文首行缩进 Char1"/>
    <w:basedOn w:val="167"/>
    <w:qFormat/>
    <w:uiPriority w:val="0"/>
    <w:rPr>
      <w:kern w:val="2"/>
      <w:sz w:val="30"/>
    </w:rPr>
  </w:style>
  <w:style w:type="character" w:customStyle="1" w:styleId="170">
    <w:name w:val="1级标题 Char Char"/>
    <w:link w:val="171"/>
    <w:qFormat/>
    <w:uiPriority w:val="0"/>
    <w:rPr>
      <w:b/>
      <w:sz w:val="28"/>
    </w:rPr>
  </w:style>
  <w:style w:type="paragraph" w:customStyle="1" w:styleId="171">
    <w:name w:val="1级标题"/>
    <w:basedOn w:val="5"/>
    <w:link w:val="170"/>
    <w:qFormat/>
    <w:uiPriority w:val="0"/>
    <w:pPr>
      <w:widowControl w:val="0"/>
      <w:tabs>
        <w:tab w:val="left" w:pos="1200"/>
      </w:tabs>
      <w:ind w:left="1200" w:hanging="420"/>
      <w:jc w:val="both"/>
      <w:outlineLvl w:val="1"/>
    </w:pPr>
    <w:rPr>
      <w:rFonts w:asciiTheme="minorHAnsi" w:hAnsiTheme="minorHAnsi" w:eastAsiaTheme="minorEastAsia" w:cstheme="minorBidi"/>
      <w:b/>
      <w:kern w:val="2"/>
      <w:sz w:val="28"/>
      <w:szCs w:val="22"/>
    </w:rPr>
  </w:style>
  <w:style w:type="character" w:customStyle="1" w:styleId="172">
    <w:name w:val="正文首行缩进 Char"/>
    <w:qFormat/>
    <w:uiPriority w:val="0"/>
    <w:rPr>
      <w:b/>
    </w:rPr>
  </w:style>
  <w:style w:type="character" w:customStyle="1" w:styleId="173">
    <w:name w:val="正文文本 3 Char"/>
    <w:qFormat/>
    <w:uiPriority w:val="0"/>
    <w:rPr>
      <w:rFonts w:ascii="宋体" w:hAnsi="宋体"/>
      <w:color w:val="0000FF"/>
    </w:rPr>
  </w:style>
  <w:style w:type="character" w:customStyle="1" w:styleId="174">
    <w:name w:val="页眉 Char"/>
    <w:qFormat/>
    <w:uiPriority w:val="99"/>
    <w:rPr>
      <w:sz w:val="18"/>
    </w:rPr>
  </w:style>
  <w:style w:type="character" w:customStyle="1" w:styleId="175">
    <w:name w:val="样式 正文 +"/>
    <w:qFormat/>
    <w:uiPriority w:val="0"/>
    <w:rPr>
      <w:rFonts w:ascii="Times New Roman" w:hAnsi="Times New Roman" w:eastAsia="宋体"/>
      <w:kern w:val="2"/>
      <w:sz w:val="24"/>
      <w:lang w:val="en-US" w:eastAsia="zh-CN"/>
    </w:rPr>
  </w:style>
  <w:style w:type="character" w:customStyle="1" w:styleId="176">
    <w:name w:val="引用 Char1"/>
    <w:qFormat/>
    <w:uiPriority w:val="29"/>
    <w:rPr>
      <w:i/>
      <w:iCs/>
      <w:color w:val="000000"/>
    </w:rPr>
  </w:style>
  <w:style w:type="character" w:customStyle="1" w:styleId="177">
    <w:name w:val="标题 Char"/>
    <w:qFormat/>
    <w:uiPriority w:val="0"/>
    <w:rPr>
      <w:rFonts w:ascii="Arial" w:hAnsi="Arial"/>
      <w:b/>
      <w:sz w:val="32"/>
    </w:rPr>
  </w:style>
  <w:style w:type="character" w:customStyle="1" w:styleId="178">
    <w:name w:val="正文文本缩进 3 Char"/>
    <w:qFormat/>
    <w:uiPriority w:val="99"/>
    <w:rPr>
      <w:rFonts w:ascii="宋体" w:hAnsi="MS Sans Serif"/>
      <w:color w:val="000000"/>
      <w:sz w:val="24"/>
    </w:rPr>
  </w:style>
  <w:style w:type="character" w:customStyle="1" w:styleId="179">
    <w:name w:val="样式 首行缩进:  2 字符 段前: 0.5 行 段后: 0.5 行 Char Char"/>
    <w:link w:val="180"/>
    <w:qFormat/>
    <w:uiPriority w:val="0"/>
    <w:rPr>
      <w:sz w:val="24"/>
    </w:rPr>
  </w:style>
  <w:style w:type="paragraph" w:customStyle="1" w:styleId="180">
    <w:name w:val="样式 首行缩进:  2 字符 段前: 0.5 行 段后: 0.5 行"/>
    <w:basedOn w:val="1"/>
    <w:link w:val="179"/>
    <w:qFormat/>
    <w:uiPriority w:val="0"/>
    <w:pPr>
      <w:widowControl w:val="0"/>
      <w:adjustRightInd w:val="0"/>
      <w:spacing w:beforeLines="50" w:afterLines="50" w:line="360" w:lineRule="auto"/>
      <w:ind w:firstLine="480" w:firstLineChars="200"/>
      <w:jc w:val="both"/>
    </w:pPr>
    <w:rPr>
      <w:rFonts w:asciiTheme="minorHAnsi" w:hAnsiTheme="minorHAnsi" w:eastAsiaTheme="minorEastAsia" w:cstheme="minorBidi"/>
      <w:kern w:val="2"/>
      <w:sz w:val="24"/>
      <w:szCs w:val="22"/>
    </w:rPr>
  </w:style>
  <w:style w:type="character" w:customStyle="1" w:styleId="181">
    <w:name w:val="正文文本缩进 Char"/>
    <w:qFormat/>
    <w:uiPriority w:val="99"/>
    <w:rPr>
      <w:rFonts w:ascii="宋体" w:hAnsi="MS Sans Serif"/>
      <w:spacing w:val="12"/>
      <w:sz w:val="24"/>
    </w:rPr>
  </w:style>
  <w:style w:type="character" w:customStyle="1" w:styleId="182">
    <w:name w:val="样式1 Char Char"/>
    <w:link w:val="183"/>
    <w:qFormat/>
    <w:uiPriority w:val="0"/>
    <w:rPr>
      <w:rFonts w:ascii="宋体" w:hAnsi="宋体"/>
      <w:b/>
      <w:sz w:val="24"/>
    </w:rPr>
  </w:style>
  <w:style w:type="paragraph" w:customStyle="1" w:styleId="183">
    <w:name w:val="样式1"/>
    <w:basedOn w:val="1"/>
    <w:link w:val="182"/>
    <w:qFormat/>
    <w:uiPriority w:val="0"/>
    <w:pPr>
      <w:widowControl w:val="0"/>
      <w:spacing w:before="120" w:after="120" w:line="300" w:lineRule="auto"/>
      <w:jc w:val="both"/>
    </w:pPr>
    <w:rPr>
      <w:rFonts w:ascii="宋体" w:hAnsi="宋体" w:eastAsiaTheme="minorEastAsia" w:cstheme="minorBidi"/>
      <w:b/>
      <w:kern w:val="2"/>
      <w:sz w:val="24"/>
      <w:szCs w:val="22"/>
    </w:rPr>
  </w:style>
  <w:style w:type="character" w:customStyle="1" w:styleId="184">
    <w:name w:val="日期 Char1"/>
    <w:qFormat/>
    <w:uiPriority w:val="0"/>
    <w:rPr>
      <w:kern w:val="2"/>
      <w:sz w:val="21"/>
      <w:szCs w:val="22"/>
    </w:rPr>
  </w:style>
  <w:style w:type="character" w:customStyle="1" w:styleId="185">
    <w:name w:val="正文首行缩进 2 Char1"/>
    <w:basedOn w:val="181"/>
    <w:qFormat/>
    <w:uiPriority w:val="0"/>
    <w:rPr>
      <w:rFonts w:ascii="宋体" w:hAnsi="MS Sans Serif"/>
      <w:spacing w:val="12"/>
      <w:sz w:val="24"/>
    </w:rPr>
  </w:style>
  <w:style w:type="character" w:customStyle="1" w:styleId="186">
    <w:name w:val="Para head"/>
    <w:qFormat/>
    <w:uiPriority w:val="0"/>
    <w:rPr>
      <w:rFonts w:ascii="Arial" w:hAnsi="Arial" w:eastAsia="Times New Roman"/>
      <w:sz w:val="20"/>
    </w:rPr>
  </w:style>
  <w:style w:type="character" w:customStyle="1" w:styleId="187">
    <w:name w:val="末级 Char Char Char Char"/>
    <w:qFormat/>
    <w:uiPriority w:val="0"/>
    <w:rPr>
      <w:rFonts w:eastAsia="宋体"/>
      <w:kern w:val="2"/>
      <w:sz w:val="24"/>
      <w:lang w:val="en-US" w:eastAsia="zh-CN"/>
    </w:rPr>
  </w:style>
  <w:style w:type="character" w:customStyle="1" w:styleId="188">
    <w:name w:val="textcontents"/>
    <w:qFormat/>
    <w:uiPriority w:val="0"/>
    <w:rPr>
      <w:rFonts w:cs="Times New Roman"/>
    </w:rPr>
  </w:style>
  <w:style w:type="character" w:customStyle="1" w:styleId="189">
    <w:name w:val="批注主题 Char1"/>
    <w:qFormat/>
    <w:uiPriority w:val="0"/>
    <w:rPr>
      <w:b/>
      <w:bCs/>
      <w:kern w:val="2"/>
      <w:sz w:val="21"/>
      <w:szCs w:val="22"/>
    </w:rPr>
  </w:style>
  <w:style w:type="character" w:customStyle="1" w:styleId="190">
    <w:name w:val="正文文本 Char Char"/>
    <w:qFormat/>
    <w:uiPriority w:val="0"/>
    <w:rPr>
      <w:rFonts w:eastAsia="宋体"/>
      <w:b/>
      <w:sz w:val="48"/>
      <w:lang w:val="en-US" w:eastAsia="zh-CN"/>
    </w:rPr>
  </w:style>
  <w:style w:type="character" w:customStyle="1" w:styleId="191">
    <w:name w:val="明显引用 Char"/>
    <w:qFormat/>
    <w:uiPriority w:val="0"/>
    <w:rPr>
      <w:b/>
      <w:bCs/>
      <w:i/>
      <w:iCs/>
      <w:color w:val="4F81BD"/>
    </w:rPr>
  </w:style>
  <w:style w:type="paragraph" w:styleId="192">
    <w:name w:val="Intense Quote"/>
    <w:basedOn w:val="1"/>
    <w:next w:val="1"/>
    <w:link w:val="193"/>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193">
    <w:name w:val="明显引用 字符"/>
    <w:basedOn w:val="60"/>
    <w:link w:val="192"/>
    <w:qFormat/>
    <w:uiPriority w:val="0"/>
    <w:rPr>
      <w:b/>
      <w:bCs/>
      <w:i/>
      <w:iCs/>
      <w:color w:val="4F81BD"/>
    </w:rPr>
  </w:style>
  <w:style w:type="character" w:customStyle="1" w:styleId="194">
    <w:name w:val="标题5 Char Char"/>
    <w:link w:val="195"/>
    <w:qFormat/>
    <w:uiPriority w:val="0"/>
    <w:rPr>
      <w:rFonts w:ascii="Arial" w:hAnsi="Arial"/>
      <w:b/>
      <w:bCs/>
      <w:sz w:val="24"/>
      <w:szCs w:val="32"/>
    </w:rPr>
  </w:style>
  <w:style w:type="paragraph" w:customStyle="1" w:styleId="195">
    <w:name w:val="标题5"/>
    <w:basedOn w:val="6"/>
    <w:link w:val="194"/>
    <w:qFormat/>
    <w:uiPriority w:val="0"/>
    <w:pPr>
      <w:widowControl w:val="0"/>
      <w:numPr>
        <w:ilvl w:val="0"/>
        <w:numId w:val="0"/>
      </w:numPr>
      <w:spacing w:line="413" w:lineRule="auto"/>
      <w:jc w:val="both"/>
    </w:pPr>
    <w:rPr>
      <w:rFonts w:ascii="Arial" w:hAnsi="Arial" w:eastAsiaTheme="minorEastAsia" w:cstheme="minorBidi"/>
      <w:bCs/>
      <w:kern w:val="2"/>
      <w:szCs w:val="32"/>
    </w:rPr>
  </w:style>
  <w:style w:type="character" w:customStyle="1" w:styleId="196">
    <w:name w:val="不明显强调1"/>
    <w:qFormat/>
    <w:uiPriority w:val="0"/>
    <w:rPr>
      <w:i/>
      <w:iCs/>
      <w:color w:val="808080"/>
    </w:rPr>
  </w:style>
  <w:style w:type="character" w:customStyle="1" w:styleId="197">
    <w:name w:val="正文文本 Char1"/>
    <w:qFormat/>
    <w:uiPriority w:val="0"/>
    <w:rPr>
      <w:kern w:val="2"/>
      <w:sz w:val="21"/>
      <w:szCs w:val="22"/>
    </w:rPr>
  </w:style>
  <w:style w:type="character" w:customStyle="1" w:styleId="198">
    <w:name w:val="标题 Char1"/>
    <w:qFormat/>
    <w:uiPriority w:val="0"/>
    <w:rPr>
      <w:rFonts w:ascii="Cambria" w:hAnsi="Cambria" w:cs="Times New Roman"/>
      <w:b/>
      <w:bCs/>
      <w:sz w:val="32"/>
      <w:szCs w:val="32"/>
    </w:rPr>
  </w:style>
  <w:style w:type="character" w:customStyle="1" w:styleId="199">
    <w:name w:val="日期 Char"/>
    <w:qFormat/>
    <w:uiPriority w:val="0"/>
    <w:rPr>
      <w:sz w:val="24"/>
    </w:rPr>
  </w:style>
  <w:style w:type="character" w:customStyle="1" w:styleId="200">
    <w:name w:val="N2 Char Char"/>
    <w:link w:val="201"/>
    <w:qFormat/>
    <w:uiPriority w:val="0"/>
    <w:rPr>
      <w:rFonts w:ascii="黑体" w:hAnsi="宋体" w:eastAsia="黑体"/>
      <w:sz w:val="28"/>
    </w:rPr>
  </w:style>
  <w:style w:type="paragraph" w:customStyle="1" w:styleId="201">
    <w:name w:val="N2"/>
    <w:basedOn w:val="1"/>
    <w:link w:val="200"/>
    <w:qFormat/>
    <w:uiPriority w:val="0"/>
    <w:pPr>
      <w:widowControl w:val="0"/>
      <w:jc w:val="both"/>
    </w:pPr>
    <w:rPr>
      <w:rFonts w:ascii="黑体" w:hAnsi="宋体" w:eastAsia="黑体" w:cstheme="minorBidi"/>
      <w:kern w:val="2"/>
      <w:sz w:val="28"/>
      <w:szCs w:val="22"/>
    </w:rPr>
  </w:style>
  <w:style w:type="character" w:customStyle="1" w:styleId="202">
    <w:name w:val="不明显参考1"/>
    <w:qFormat/>
    <w:uiPriority w:val="0"/>
    <w:rPr>
      <w:smallCaps/>
      <w:color w:val="C0504D"/>
      <w:u w:val="single"/>
    </w:rPr>
  </w:style>
  <w:style w:type="character" w:customStyle="1" w:styleId="203">
    <w:name w:val="HTML 预设格式 Char1"/>
    <w:qFormat/>
    <w:uiPriority w:val="0"/>
    <w:rPr>
      <w:rFonts w:ascii="Courier New" w:hAnsi="Courier New" w:cs="Courier New"/>
    </w:rPr>
  </w:style>
  <w:style w:type="character" w:customStyle="1" w:styleId="204">
    <w:name w:val="页脚 Char"/>
    <w:qFormat/>
    <w:uiPriority w:val="99"/>
    <w:rPr>
      <w:sz w:val="18"/>
    </w:rPr>
  </w:style>
  <w:style w:type="character" w:customStyle="1" w:styleId="205">
    <w:name w:val="Char Char14"/>
    <w:qFormat/>
    <w:uiPriority w:val="0"/>
    <w:rPr>
      <w:rFonts w:ascii="Arial" w:hAnsi="Arial"/>
      <w:b/>
      <w:kern w:val="2"/>
      <w:sz w:val="32"/>
    </w:rPr>
  </w:style>
  <w:style w:type="character" w:customStyle="1" w:styleId="206">
    <w:name w:val="批注框文本 Char"/>
    <w:qFormat/>
    <w:uiPriority w:val="99"/>
    <w:rPr>
      <w:sz w:val="18"/>
      <w:szCs w:val="18"/>
    </w:rPr>
  </w:style>
  <w:style w:type="character" w:customStyle="1" w:styleId="207">
    <w:name w:val="标题4 Char Char"/>
    <w:link w:val="208"/>
    <w:qFormat/>
    <w:uiPriority w:val="0"/>
    <w:rPr>
      <w:rFonts w:ascii="Arial" w:hAnsi="Arial"/>
      <w:b/>
      <w:bCs/>
      <w:sz w:val="24"/>
      <w:szCs w:val="32"/>
    </w:rPr>
  </w:style>
  <w:style w:type="paragraph" w:customStyle="1" w:styleId="208">
    <w:name w:val="标题4"/>
    <w:basedOn w:val="4"/>
    <w:next w:val="24"/>
    <w:link w:val="207"/>
    <w:qFormat/>
    <w:uiPriority w:val="0"/>
    <w:pPr>
      <w:widowControl w:val="0"/>
      <w:spacing w:before="260" w:after="260" w:line="413" w:lineRule="auto"/>
      <w:jc w:val="both"/>
    </w:pPr>
    <w:rPr>
      <w:rFonts w:ascii="Arial" w:hAnsi="Arial" w:eastAsiaTheme="minorEastAsia" w:cstheme="minorBidi"/>
      <w:color w:val="auto"/>
      <w:kern w:val="2"/>
      <w:sz w:val="24"/>
      <w:szCs w:val="32"/>
    </w:rPr>
  </w:style>
  <w:style w:type="character" w:customStyle="1" w:styleId="209">
    <w:name w:val="样式 样式 首行缩进:  2 字符 段前: 0.5 行 段后: 0.5 行 + 四号 Char Char"/>
    <w:link w:val="210"/>
    <w:qFormat/>
    <w:uiPriority w:val="0"/>
    <w:rPr>
      <w:sz w:val="28"/>
    </w:rPr>
  </w:style>
  <w:style w:type="paragraph" w:customStyle="1" w:styleId="210">
    <w:name w:val="样式 样式 首行缩进:  2 字符 段前: 0.5 行 段后: 0.5 行 + 四号"/>
    <w:basedOn w:val="180"/>
    <w:link w:val="209"/>
    <w:qFormat/>
    <w:uiPriority w:val="0"/>
    <w:rPr>
      <w:sz w:val="28"/>
    </w:rPr>
  </w:style>
  <w:style w:type="character" w:customStyle="1" w:styleId="211">
    <w:name w:val="尾注文本 Char"/>
    <w:qFormat/>
    <w:uiPriority w:val="0"/>
    <w:rPr>
      <w:rFonts w:ascii="Times New Roman" w:hAnsi="Times New Roman" w:eastAsia="宋体" w:cs="Times New Roman"/>
      <w:kern w:val="0"/>
      <w:sz w:val="20"/>
      <w:szCs w:val="20"/>
    </w:rPr>
  </w:style>
  <w:style w:type="character" w:customStyle="1" w:styleId="212">
    <w:name w:val="样式 首行缩进:  2 字符 Char Char"/>
    <w:qFormat/>
    <w:uiPriority w:val="0"/>
    <w:rPr>
      <w:rFonts w:ascii="仿宋_GB2312" w:eastAsia="宋体"/>
      <w:kern w:val="2"/>
      <w:sz w:val="24"/>
      <w:lang w:val="en-US" w:eastAsia="zh-CN"/>
    </w:rPr>
  </w:style>
  <w:style w:type="character" w:customStyle="1" w:styleId="213">
    <w:name w:val="末级 Char Char"/>
    <w:qFormat/>
    <w:uiPriority w:val="0"/>
    <w:rPr>
      <w:rFonts w:eastAsia="宋体"/>
      <w:kern w:val="2"/>
      <w:sz w:val="24"/>
      <w:lang w:val="en-US" w:eastAsia="zh-CN"/>
    </w:rPr>
  </w:style>
  <w:style w:type="character" w:customStyle="1" w:styleId="214">
    <w:name w:val="图标中对齐 Char Char"/>
    <w:basedOn w:val="215"/>
    <w:link w:val="217"/>
    <w:qFormat/>
    <w:uiPriority w:val="0"/>
    <w:rPr>
      <w:spacing w:val="-10"/>
      <w:sz w:val="24"/>
    </w:rPr>
  </w:style>
  <w:style w:type="character" w:customStyle="1" w:styleId="215">
    <w:name w:val="图表左对齐 Char Char"/>
    <w:link w:val="216"/>
    <w:qFormat/>
    <w:uiPriority w:val="0"/>
    <w:rPr>
      <w:spacing w:val="-10"/>
      <w:sz w:val="24"/>
    </w:rPr>
  </w:style>
  <w:style w:type="paragraph" w:customStyle="1" w:styleId="216">
    <w:name w:val="图表左对齐"/>
    <w:basedOn w:val="1"/>
    <w:link w:val="215"/>
    <w:qFormat/>
    <w:uiPriority w:val="0"/>
    <w:pPr>
      <w:widowControl w:val="0"/>
      <w:spacing w:line="360" w:lineRule="exact"/>
    </w:pPr>
    <w:rPr>
      <w:rFonts w:asciiTheme="minorHAnsi" w:hAnsiTheme="minorHAnsi" w:eastAsiaTheme="minorEastAsia" w:cstheme="minorBidi"/>
      <w:spacing w:val="-10"/>
      <w:kern w:val="2"/>
      <w:sz w:val="24"/>
      <w:szCs w:val="22"/>
    </w:rPr>
  </w:style>
  <w:style w:type="paragraph" w:customStyle="1" w:styleId="217">
    <w:name w:val="图标中对齐"/>
    <w:basedOn w:val="216"/>
    <w:link w:val="214"/>
    <w:qFormat/>
    <w:uiPriority w:val="0"/>
    <w:pPr>
      <w:jc w:val="center"/>
    </w:pPr>
  </w:style>
  <w:style w:type="character" w:customStyle="1" w:styleId="218">
    <w:name w:val="批注文字 Char"/>
    <w:qFormat/>
    <w:uiPriority w:val="99"/>
    <w:rPr>
      <w:sz w:val="24"/>
    </w:rPr>
  </w:style>
  <w:style w:type="character" w:customStyle="1" w:styleId="219">
    <w:name w:val="Char Char16"/>
    <w:qFormat/>
    <w:uiPriority w:val="0"/>
    <w:rPr>
      <w:rFonts w:ascii="Times New Roman" w:hAnsi="Times New Roman" w:eastAsia="宋体"/>
      <w:sz w:val="18"/>
    </w:rPr>
  </w:style>
  <w:style w:type="character" w:customStyle="1" w:styleId="220">
    <w:name w:val="批注框文本 Char1"/>
    <w:qFormat/>
    <w:uiPriority w:val="0"/>
    <w:rPr>
      <w:kern w:val="2"/>
      <w:sz w:val="18"/>
      <w:szCs w:val="18"/>
    </w:rPr>
  </w:style>
  <w:style w:type="character" w:customStyle="1" w:styleId="221">
    <w:name w:val="high151"/>
    <w:qFormat/>
    <w:uiPriority w:val="0"/>
    <w:rPr>
      <w:sz w:val="18"/>
    </w:rPr>
  </w:style>
  <w:style w:type="character" w:customStyle="1" w:styleId="222">
    <w:name w:val="脚注文本 Char"/>
    <w:qFormat/>
    <w:uiPriority w:val="0"/>
    <w:rPr>
      <w:sz w:val="18"/>
    </w:rPr>
  </w:style>
  <w:style w:type="character" w:customStyle="1" w:styleId="223">
    <w:name w:val="批注文字 Char Char"/>
    <w:qFormat/>
    <w:uiPriority w:val="0"/>
    <w:rPr>
      <w:rFonts w:ascii="宋体" w:hAnsi="Times New Roman" w:eastAsia="宋体" w:cs="Times New Roman"/>
      <w:sz w:val="28"/>
      <w:szCs w:val="20"/>
    </w:rPr>
  </w:style>
  <w:style w:type="character" w:customStyle="1" w:styleId="224">
    <w:name w:val="param-name"/>
    <w:qFormat/>
    <w:uiPriority w:val="0"/>
  </w:style>
  <w:style w:type="character" w:customStyle="1" w:styleId="225">
    <w:name w:val="GW-标题2 Char"/>
    <w:link w:val="226"/>
    <w:qFormat/>
    <w:uiPriority w:val="0"/>
    <w:rPr>
      <w:rFonts w:ascii="Calibri" w:hAnsi="Calibri" w:eastAsia="华文中宋"/>
      <w:b/>
      <w:bCs/>
      <w:kern w:val="44"/>
      <w:sz w:val="28"/>
      <w:szCs w:val="44"/>
    </w:rPr>
  </w:style>
  <w:style w:type="paragraph" w:customStyle="1" w:styleId="226">
    <w:name w:val="GW-标题2"/>
    <w:basedOn w:val="227"/>
    <w:next w:val="1"/>
    <w:link w:val="225"/>
    <w:qFormat/>
    <w:uiPriority w:val="0"/>
    <w:pPr>
      <w:pageBreakBefore w:val="0"/>
      <w:tabs>
        <w:tab w:val="left" w:pos="432"/>
      </w:tabs>
      <w:spacing w:beforeLines="50" w:afterLines="50"/>
      <w:outlineLvl w:val="1"/>
    </w:pPr>
    <w:rPr>
      <w:rFonts w:cstheme="minorBidi"/>
      <w:sz w:val="28"/>
    </w:rPr>
  </w:style>
  <w:style w:type="paragraph" w:customStyle="1" w:styleId="227">
    <w:name w:val="GW-标题1"/>
    <w:basedOn w:val="3"/>
    <w:next w:val="1"/>
    <w:qFormat/>
    <w:uiPriority w:val="0"/>
    <w:pPr>
      <w:keepLines/>
      <w:pageBreakBefore/>
      <w:widowControl w:val="0"/>
      <w:numPr>
        <w:numId w:val="0"/>
      </w:numPr>
      <w:spacing w:beforeLines="100" w:afterLines="100" w:line="360" w:lineRule="auto"/>
      <w:jc w:val="both"/>
    </w:pPr>
    <w:rPr>
      <w:rFonts w:ascii="Calibri" w:hAnsi="Calibri" w:eastAsia="华文中宋"/>
      <w:b/>
      <w:bCs/>
      <w:kern w:val="44"/>
      <w:sz w:val="32"/>
      <w:szCs w:val="44"/>
    </w:rPr>
  </w:style>
  <w:style w:type="character" w:customStyle="1" w:styleId="228">
    <w:name w:val="p141"/>
    <w:qFormat/>
    <w:uiPriority w:val="0"/>
    <w:rPr>
      <w:sz w:val="21"/>
      <w:szCs w:val="21"/>
    </w:rPr>
  </w:style>
  <w:style w:type="character" w:customStyle="1" w:styleId="229">
    <w:name w:val="Char Char10"/>
    <w:qFormat/>
    <w:uiPriority w:val="0"/>
    <w:rPr>
      <w:rFonts w:eastAsia="宋体"/>
      <w:kern w:val="2"/>
      <w:sz w:val="18"/>
      <w:szCs w:val="18"/>
      <w:lang w:val="en-US" w:eastAsia="zh-CN" w:bidi="ar-SA"/>
    </w:rPr>
  </w:style>
  <w:style w:type="character" w:customStyle="1" w:styleId="230">
    <w:name w:val="apple-style-span"/>
    <w:basedOn w:val="60"/>
    <w:qFormat/>
    <w:uiPriority w:val="0"/>
  </w:style>
  <w:style w:type="paragraph" w:customStyle="1" w:styleId="231">
    <w:name w:val="正文内容"/>
    <w:basedOn w:val="1"/>
    <w:qFormat/>
    <w:uiPriority w:val="0"/>
    <w:pPr>
      <w:widowControl w:val="0"/>
      <w:jc w:val="both"/>
    </w:pPr>
    <w:rPr>
      <w:rFonts w:ascii="Arial" w:hAnsi="Arial"/>
      <w:spacing w:val="-12"/>
      <w:kern w:val="2"/>
      <w:sz w:val="21"/>
    </w:rPr>
  </w:style>
  <w:style w:type="paragraph" w:customStyle="1" w:styleId="232">
    <w:name w:val="样式 仿宋_GB2312 小四 行距: 1.5 倍行距"/>
    <w:basedOn w:val="1"/>
    <w:qFormat/>
    <w:uiPriority w:val="0"/>
    <w:pPr>
      <w:widowControl w:val="0"/>
      <w:spacing w:line="360" w:lineRule="auto"/>
      <w:ind w:firstLine="480" w:firstLineChars="200"/>
      <w:jc w:val="both"/>
    </w:pPr>
    <w:rPr>
      <w:rFonts w:ascii="仿宋_GB2312" w:hAnsi="宋体" w:eastAsia="仿宋_GB2312"/>
      <w:kern w:val="2"/>
      <w:sz w:val="28"/>
    </w:rPr>
  </w:style>
  <w:style w:type="paragraph" w:customStyle="1" w:styleId="233">
    <w:name w:val="Char Char Char Char1"/>
    <w:basedOn w:val="1"/>
    <w:next w:val="1"/>
    <w:qFormat/>
    <w:uiPriority w:val="0"/>
    <w:pPr>
      <w:widowControl w:val="0"/>
      <w:jc w:val="both"/>
    </w:pPr>
    <w:rPr>
      <w:kern w:val="2"/>
      <w:sz w:val="21"/>
    </w:rPr>
  </w:style>
  <w:style w:type="paragraph" w:customStyle="1" w:styleId="234">
    <w:name w:val="默认段落字体 Para Char Char Char Char Char Char Char"/>
    <w:basedOn w:val="1"/>
    <w:qFormat/>
    <w:uiPriority w:val="0"/>
    <w:pPr>
      <w:widowControl w:val="0"/>
      <w:spacing w:line="360" w:lineRule="auto"/>
      <w:ind w:firstLine="200" w:firstLineChars="200"/>
      <w:jc w:val="both"/>
    </w:pPr>
    <w:rPr>
      <w:rFonts w:ascii="宋体" w:hAnsi="宋体"/>
      <w:kern w:val="2"/>
      <w:sz w:val="24"/>
    </w:rPr>
  </w:style>
  <w:style w:type="paragraph" w:customStyle="1" w:styleId="235">
    <w:name w:val="GW-标题5"/>
    <w:basedOn w:val="236"/>
    <w:next w:val="1"/>
    <w:qFormat/>
    <w:uiPriority w:val="0"/>
    <w:pPr>
      <w:tabs>
        <w:tab w:val="left" w:pos="432"/>
      </w:tabs>
      <w:outlineLvl w:val="4"/>
    </w:pPr>
  </w:style>
  <w:style w:type="paragraph" w:customStyle="1" w:styleId="236">
    <w:name w:val="GW-标题4"/>
    <w:basedOn w:val="237"/>
    <w:next w:val="1"/>
    <w:qFormat/>
    <w:uiPriority w:val="0"/>
    <w:pPr>
      <w:tabs>
        <w:tab w:val="left" w:pos="432"/>
      </w:tabs>
      <w:spacing w:before="156" w:after="156"/>
      <w:outlineLvl w:val="3"/>
    </w:pPr>
  </w:style>
  <w:style w:type="paragraph" w:customStyle="1" w:styleId="237">
    <w:name w:val="GW-标题3"/>
    <w:basedOn w:val="226"/>
    <w:next w:val="1"/>
    <w:qFormat/>
    <w:uiPriority w:val="0"/>
    <w:pPr>
      <w:jc w:val="left"/>
      <w:outlineLvl w:val="2"/>
    </w:pPr>
    <w:rPr>
      <w:rFonts w:ascii="仿宋_GB2312"/>
      <w:sz w:val="24"/>
      <w:szCs w:val="24"/>
    </w:rPr>
  </w:style>
  <w:style w:type="paragraph" w:customStyle="1" w:styleId="238">
    <w:name w:val="xl69"/>
    <w:basedOn w:val="1"/>
    <w:qFormat/>
    <w:uiPriority w:val="0"/>
    <w:pPr>
      <w:pBdr>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39">
    <w:name w:val="空半行"/>
    <w:basedOn w:val="1"/>
    <w:qFormat/>
    <w:uiPriority w:val="0"/>
    <w:pPr>
      <w:widowControl w:val="0"/>
      <w:adjustRightInd w:val="0"/>
      <w:spacing w:line="120" w:lineRule="exact"/>
      <w:jc w:val="both"/>
      <w:textAlignment w:val="baseline"/>
    </w:pPr>
    <w:rPr>
      <w:rFonts w:eastAsia="仿宋_GB2312"/>
      <w:color w:val="FFFFFF"/>
      <w:sz w:val="30"/>
    </w:rPr>
  </w:style>
  <w:style w:type="paragraph" w:customStyle="1" w:styleId="240">
    <w:name w:val="xl7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18"/>
      <w:szCs w:val="18"/>
    </w:rPr>
  </w:style>
  <w:style w:type="paragraph" w:customStyle="1" w:styleId="241">
    <w:name w:val="文本框"/>
    <w:basedOn w:val="1"/>
    <w:qFormat/>
    <w:uiPriority w:val="0"/>
    <w:pPr>
      <w:widowControl w:val="0"/>
      <w:snapToGrid w:val="0"/>
      <w:jc w:val="center"/>
    </w:pPr>
    <w:rPr>
      <w:rFonts w:ascii="仿宋_GB2312" w:eastAsia="仿宋_GB2312"/>
      <w:kern w:val="2"/>
      <w:sz w:val="24"/>
    </w:rPr>
  </w:style>
  <w:style w:type="paragraph" w:customStyle="1" w:styleId="242">
    <w:name w:val="Char Char1"/>
    <w:basedOn w:val="1"/>
    <w:qFormat/>
    <w:uiPriority w:val="0"/>
    <w:pPr>
      <w:widowControl w:val="0"/>
      <w:spacing w:beforeLines="50" w:afterLines="50"/>
      <w:jc w:val="both"/>
    </w:pPr>
    <w:rPr>
      <w:rFonts w:ascii="Tahoma" w:hAnsi="Tahoma"/>
      <w:kern w:val="2"/>
      <w:sz w:val="24"/>
    </w:rPr>
  </w:style>
  <w:style w:type="paragraph" w:customStyle="1" w:styleId="243">
    <w:name w:val="列出段落3"/>
    <w:basedOn w:val="1"/>
    <w:qFormat/>
    <w:uiPriority w:val="99"/>
    <w:pPr>
      <w:widowControl w:val="0"/>
      <w:ind w:firstLine="420" w:firstLineChars="200"/>
      <w:jc w:val="both"/>
    </w:pPr>
    <w:rPr>
      <w:rFonts w:ascii="Calibri" w:hAnsi="Calibri"/>
      <w:kern w:val="2"/>
      <w:sz w:val="21"/>
      <w:szCs w:val="22"/>
    </w:rPr>
  </w:style>
  <w:style w:type="paragraph" w:customStyle="1" w:styleId="244">
    <w:name w:val="xl67"/>
    <w:basedOn w:val="1"/>
    <w:qFormat/>
    <w:uiPriority w:val="0"/>
    <w:pPr>
      <w:spacing w:before="100" w:beforeAutospacing="1" w:after="100" w:afterAutospacing="1"/>
    </w:pPr>
    <w:rPr>
      <w:rFonts w:ascii="宋体" w:hAnsi="宋体" w:cs="宋体"/>
      <w:sz w:val="18"/>
      <w:szCs w:val="18"/>
    </w:rPr>
  </w:style>
  <w:style w:type="paragraph" w:customStyle="1" w:styleId="245">
    <w:name w:val="_Style 443"/>
    <w:qFormat/>
    <w:uiPriority w:val="99"/>
    <w:rPr>
      <w:rFonts w:ascii="Times New Roman" w:hAnsi="Times New Roman" w:eastAsia="宋体" w:cs="Times New Roman"/>
      <w:lang w:val="en-US" w:eastAsia="zh-CN" w:bidi="ar-SA"/>
    </w:rPr>
  </w:style>
  <w:style w:type="paragraph" w:customStyle="1" w:styleId="246">
    <w:name w:val="样式 首行缩进:  0.99 厘米"/>
    <w:basedOn w:val="1"/>
    <w:qFormat/>
    <w:uiPriority w:val="0"/>
    <w:pPr>
      <w:widowControl w:val="0"/>
      <w:ind w:firstLine="560"/>
      <w:jc w:val="both"/>
    </w:pPr>
    <w:rPr>
      <w:rFonts w:cs="宋体"/>
      <w:kern w:val="2"/>
      <w:sz w:val="28"/>
    </w:rPr>
  </w:style>
  <w:style w:type="paragraph" w:customStyle="1" w:styleId="247">
    <w:name w:val="reader-word-layer"/>
    <w:basedOn w:val="1"/>
    <w:qFormat/>
    <w:uiPriority w:val="0"/>
    <w:pPr>
      <w:widowControl w:val="0"/>
      <w:spacing w:before="100" w:beforeAutospacing="1" w:after="100" w:afterAutospacing="1"/>
    </w:pPr>
    <w:rPr>
      <w:rFonts w:ascii="宋体" w:hAnsi="宋体" w:cs="宋体"/>
      <w:kern w:val="2"/>
      <w:sz w:val="24"/>
      <w:szCs w:val="24"/>
    </w:rPr>
  </w:style>
  <w:style w:type="paragraph" w:customStyle="1" w:styleId="248">
    <w:name w:val="样式 图表 + 五号"/>
    <w:basedOn w:val="1"/>
    <w:qFormat/>
    <w:uiPriority w:val="0"/>
    <w:pPr>
      <w:widowControl w:val="0"/>
      <w:spacing w:line="300" w:lineRule="exact"/>
      <w:ind w:left="-70" w:leftChars="-30" w:hanging="2" w:hangingChars="1"/>
      <w:jc w:val="both"/>
    </w:pPr>
    <w:rPr>
      <w:spacing w:val="-10"/>
      <w:kern w:val="2"/>
      <w:sz w:val="21"/>
    </w:rPr>
  </w:style>
  <w:style w:type="paragraph" w:customStyle="1" w:styleId="249">
    <w:name w:val="xl65"/>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50">
    <w:name w:val="xl3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2"/>
    </w:rPr>
  </w:style>
  <w:style w:type="paragraph" w:customStyle="1" w:styleId="25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52">
    <w:name w:val="正文1"/>
    <w:basedOn w:val="1"/>
    <w:qFormat/>
    <w:uiPriority w:val="0"/>
    <w:pPr>
      <w:widowControl w:val="0"/>
      <w:spacing w:line="360" w:lineRule="auto"/>
      <w:ind w:firstLine="200" w:firstLineChars="200"/>
      <w:jc w:val="both"/>
    </w:pPr>
    <w:rPr>
      <w:rFonts w:ascii="宋体"/>
      <w:kern w:val="2"/>
      <w:sz w:val="21"/>
    </w:rPr>
  </w:style>
  <w:style w:type="paragraph" w:customStyle="1" w:styleId="253">
    <w:name w:val="xl48"/>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sz w:val="22"/>
    </w:rPr>
  </w:style>
  <w:style w:type="paragraph" w:customStyle="1" w:styleId="254">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255">
    <w:name w:val="末级"/>
    <w:basedOn w:val="1"/>
    <w:qFormat/>
    <w:uiPriority w:val="0"/>
    <w:pPr>
      <w:widowControl w:val="0"/>
      <w:tabs>
        <w:tab w:val="left" w:pos="4605"/>
      </w:tabs>
      <w:spacing w:line="360" w:lineRule="auto"/>
      <w:ind w:left="1484" w:leftChars="500" w:hanging="284"/>
      <w:jc w:val="both"/>
    </w:pPr>
    <w:rPr>
      <w:kern w:val="2"/>
      <w:sz w:val="24"/>
    </w:rPr>
  </w:style>
  <w:style w:type="paragraph" w:customStyle="1" w:styleId="256">
    <w:name w:val="Body Text 21"/>
    <w:basedOn w:val="1"/>
    <w:qFormat/>
    <w:uiPriority w:val="0"/>
    <w:pPr>
      <w:widowControl w:val="0"/>
      <w:adjustRightInd w:val="0"/>
      <w:spacing w:line="360" w:lineRule="auto"/>
      <w:ind w:right="1841" w:firstLine="420"/>
      <w:textAlignment w:val="baseline"/>
    </w:pPr>
    <w:rPr>
      <w:kern w:val="2"/>
      <w:sz w:val="24"/>
    </w:rPr>
  </w:style>
  <w:style w:type="paragraph" w:customStyle="1" w:styleId="257">
    <w:name w:val="表格"/>
    <w:basedOn w:val="1"/>
    <w:qFormat/>
    <w:uiPriority w:val="0"/>
    <w:pPr>
      <w:widowControl w:val="0"/>
      <w:adjustRightInd w:val="0"/>
      <w:snapToGrid w:val="0"/>
      <w:jc w:val="center"/>
    </w:pPr>
    <w:rPr>
      <w:rFonts w:ascii="宋体" w:hAnsi="宋体"/>
      <w:kern w:val="2"/>
      <w:sz w:val="21"/>
    </w:rPr>
  </w:style>
  <w:style w:type="paragraph" w:customStyle="1" w:styleId="258">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59">
    <w:name w:val="xl49"/>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both"/>
    </w:pPr>
    <w:rPr>
      <w:rFonts w:ascii="宋体" w:hAnsi="宋体"/>
      <w:sz w:val="22"/>
    </w:rPr>
  </w:style>
  <w:style w:type="paragraph" w:customStyle="1" w:styleId="260">
    <w:name w:val="表头"/>
    <w:basedOn w:val="1"/>
    <w:qFormat/>
    <w:uiPriority w:val="0"/>
    <w:pPr>
      <w:widowControl w:val="0"/>
      <w:spacing w:line="320" w:lineRule="exact"/>
      <w:jc w:val="center"/>
    </w:pPr>
    <w:rPr>
      <w:b/>
      <w:kern w:val="24"/>
      <w:sz w:val="24"/>
    </w:rPr>
  </w:style>
  <w:style w:type="paragraph" w:customStyle="1" w:styleId="261">
    <w:name w:val="2"/>
    <w:basedOn w:val="1"/>
    <w:next w:val="5"/>
    <w:qFormat/>
    <w:uiPriority w:val="0"/>
    <w:pPr>
      <w:widowControl w:val="0"/>
      <w:ind w:firstLine="420"/>
      <w:jc w:val="both"/>
    </w:pPr>
    <w:rPr>
      <w:kern w:val="2"/>
      <w:sz w:val="24"/>
    </w:rPr>
  </w:style>
  <w:style w:type="paragraph" w:customStyle="1" w:styleId="262">
    <w:name w:val="修订1"/>
    <w:semiHidden/>
    <w:qFormat/>
    <w:uiPriority w:val="99"/>
    <w:rPr>
      <w:rFonts w:ascii="Times New Roman" w:hAnsi="Times New Roman" w:eastAsia="宋体" w:cs="Times New Roman"/>
      <w:lang w:val="en-US" w:eastAsia="zh-CN" w:bidi="ar-SA"/>
    </w:rPr>
  </w:style>
  <w:style w:type="paragraph" w:customStyle="1" w:styleId="263">
    <w:name w:val="报告正文"/>
    <w:basedOn w:val="1"/>
    <w:qFormat/>
    <w:uiPriority w:val="0"/>
    <w:pPr>
      <w:widowControl w:val="0"/>
      <w:ind w:firstLine="200" w:firstLineChars="200"/>
      <w:jc w:val="both"/>
    </w:pPr>
    <w:rPr>
      <w:rFonts w:eastAsia="华文中宋"/>
      <w:kern w:val="2"/>
      <w:sz w:val="28"/>
      <w:szCs w:val="22"/>
    </w:rPr>
  </w:style>
  <w:style w:type="paragraph" w:customStyle="1" w:styleId="264">
    <w:name w:val="正文文本缩进 21"/>
    <w:basedOn w:val="1"/>
    <w:qFormat/>
    <w:uiPriority w:val="0"/>
    <w:pPr>
      <w:widowControl w:val="0"/>
      <w:adjustRightInd w:val="0"/>
      <w:spacing w:line="360" w:lineRule="auto"/>
      <w:ind w:right="1001" w:firstLine="525"/>
      <w:textAlignment w:val="baseline"/>
    </w:pPr>
    <w:rPr>
      <w:kern w:val="2"/>
      <w:sz w:val="24"/>
    </w:rPr>
  </w:style>
  <w:style w:type="paragraph" w:customStyle="1" w:styleId="26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2"/>
    </w:rPr>
  </w:style>
  <w:style w:type="paragraph" w:customStyle="1" w:styleId="266">
    <w:name w:val="格式2"/>
    <w:basedOn w:val="4"/>
    <w:qFormat/>
    <w:uiPriority w:val="0"/>
    <w:pPr>
      <w:widowControl w:val="0"/>
      <w:autoSpaceDE w:val="0"/>
      <w:autoSpaceDN w:val="0"/>
      <w:adjustRightInd w:val="0"/>
      <w:spacing w:before="260" w:after="260" w:line="416" w:lineRule="atLeast"/>
      <w:ind w:left="420" w:hanging="420"/>
      <w:jc w:val="both"/>
      <w:textAlignment w:val="baseline"/>
    </w:pPr>
    <w:rPr>
      <w:rFonts w:ascii="黑体" w:hAnsi="Times New Roman" w:eastAsia="黑体"/>
      <w:b w:val="0"/>
      <w:bCs w:val="0"/>
      <w:sz w:val="30"/>
      <w:szCs w:val="20"/>
    </w:rPr>
  </w:style>
  <w:style w:type="paragraph" w:customStyle="1" w:styleId="267">
    <w:name w:val="三级标题"/>
    <w:basedOn w:val="180"/>
    <w:qFormat/>
    <w:uiPriority w:val="0"/>
    <w:pPr>
      <w:tabs>
        <w:tab w:val="left" w:pos="1051"/>
      </w:tabs>
      <w:spacing w:beforeLines="0" w:afterLines="0" w:line="240" w:lineRule="auto"/>
      <w:ind w:firstLine="0" w:firstLineChars="0"/>
      <w:outlineLvl w:val="3"/>
    </w:pPr>
    <w:rPr>
      <w:b/>
      <w:sz w:val="28"/>
    </w:rPr>
  </w:style>
  <w:style w:type="paragraph" w:customStyle="1" w:styleId="268">
    <w:name w:val="标题2"/>
    <w:basedOn w:val="4"/>
    <w:qFormat/>
    <w:uiPriority w:val="0"/>
    <w:pPr>
      <w:keepLines w:val="0"/>
      <w:widowControl w:val="0"/>
      <w:spacing w:before="156" w:afterLines="50" w:line="300" w:lineRule="auto"/>
      <w:ind w:left="420" w:hanging="420"/>
    </w:pPr>
    <w:rPr>
      <w:bCs w:val="0"/>
      <w:snapToGrid w:val="0"/>
      <w:sz w:val="30"/>
      <w:szCs w:val="20"/>
    </w:rPr>
  </w:style>
  <w:style w:type="paragraph" w:customStyle="1" w:styleId="269">
    <w:name w:val="表格名"/>
    <w:basedOn w:val="1"/>
    <w:qFormat/>
    <w:uiPriority w:val="0"/>
    <w:pPr>
      <w:widowControl w:val="0"/>
      <w:adjustRightInd w:val="0"/>
      <w:snapToGrid w:val="0"/>
      <w:spacing w:beforeLines="50"/>
      <w:jc w:val="center"/>
    </w:pPr>
    <w:rPr>
      <w:rFonts w:eastAsia="黑体"/>
      <w:kern w:val="2"/>
      <w:sz w:val="24"/>
    </w:rPr>
  </w:style>
  <w:style w:type="paragraph" w:customStyle="1" w:styleId="270">
    <w:name w:val="scc"/>
    <w:basedOn w:val="1"/>
    <w:qFormat/>
    <w:uiPriority w:val="0"/>
    <w:pPr>
      <w:widowControl w:val="0"/>
      <w:adjustRightInd w:val="0"/>
      <w:spacing w:line="400" w:lineRule="atLeast"/>
      <w:jc w:val="center"/>
      <w:textAlignment w:val="baseline"/>
    </w:pPr>
    <w:rPr>
      <w:rFonts w:eastAsia="楷体_GB2312"/>
      <w:b/>
      <w:sz w:val="24"/>
    </w:rPr>
  </w:style>
  <w:style w:type="paragraph" w:customStyle="1" w:styleId="271">
    <w:name w:val="xl95"/>
    <w:basedOn w:val="1"/>
    <w:qFormat/>
    <w:uiPriority w:val="0"/>
    <w:pPr>
      <w:pBdr>
        <w:top w:val="single" w:color="auto" w:sz="4" w:space="0"/>
        <w:left w:val="single" w:color="auto" w:sz="4" w:space="0"/>
        <w:bottom w:val="single" w:color="auto" w:sz="4" w:space="0"/>
      </w:pBdr>
      <w:shd w:val="clear" w:color="000000" w:fill="CCCCFF"/>
      <w:spacing w:before="100" w:beforeAutospacing="1" w:after="100" w:afterAutospacing="1"/>
      <w:jc w:val="center"/>
    </w:pPr>
    <w:rPr>
      <w:rFonts w:ascii="华文中宋" w:hAnsi="华文中宋" w:eastAsia="华文中宋" w:cs="宋体"/>
      <w:b/>
      <w:bCs/>
    </w:rPr>
  </w:style>
  <w:style w:type="paragraph" w:customStyle="1" w:styleId="272">
    <w:name w:val="xl80"/>
    <w:basedOn w:val="1"/>
    <w:qFormat/>
    <w:uiPriority w:val="0"/>
    <w:pPr>
      <w:pBdr>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73">
    <w:name w:val="样式2"/>
    <w:basedOn w:val="3"/>
    <w:qFormat/>
    <w:uiPriority w:val="0"/>
    <w:pPr>
      <w:keepLines/>
      <w:widowControl w:val="0"/>
      <w:numPr>
        <w:numId w:val="0"/>
      </w:numPr>
      <w:spacing w:before="340" w:after="330" w:line="576" w:lineRule="auto"/>
    </w:pPr>
    <w:rPr>
      <w:rFonts w:ascii="Times New Roman" w:eastAsia="宋体"/>
      <w:b/>
      <w:kern w:val="44"/>
      <w:sz w:val="32"/>
    </w:rPr>
  </w:style>
  <w:style w:type="paragraph" w:customStyle="1" w:styleId="274">
    <w:name w:val="font6"/>
    <w:basedOn w:val="1"/>
    <w:qFormat/>
    <w:uiPriority w:val="0"/>
    <w:pPr>
      <w:spacing w:before="100" w:beforeAutospacing="1" w:after="100" w:afterAutospacing="1"/>
    </w:pPr>
    <w:rPr>
      <w:rFonts w:ascii="宋体" w:hAnsi="宋体"/>
      <w:sz w:val="22"/>
    </w:rPr>
  </w:style>
  <w:style w:type="paragraph" w:customStyle="1" w:styleId="275">
    <w:name w:val="xl2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sz w:val="22"/>
    </w:rPr>
  </w:style>
  <w:style w:type="paragraph" w:customStyle="1" w:styleId="276">
    <w:name w:val="Style"/>
    <w:qFormat/>
    <w:uiPriority w:val="0"/>
    <w:pPr>
      <w:widowControl w:val="0"/>
      <w:autoSpaceDE w:val="0"/>
      <w:autoSpaceDN w:val="0"/>
      <w:adjustRightInd w:val="0"/>
    </w:pPr>
    <w:rPr>
      <w:rFonts w:ascii="Times New Roman" w:hAnsi="Times New Roman" w:eastAsia="宋体" w:cs="Times New Roman"/>
      <w:sz w:val="24"/>
      <w:szCs w:val="24"/>
      <w:lang w:val="fr-BE" w:eastAsia="zh-CN" w:bidi="ar-SA"/>
    </w:rPr>
  </w:style>
  <w:style w:type="paragraph" w:customStyle="1" w:styleId="277">
    <w:name w:val="xl97"/>
    <w:basedOn w:val="1"/>
    <w:qFormat/>
    <w:uiPriority w:val="0"/>
    <w:pPr>
      <w:pBdr>
        <w:top w:val="single" w:color="auto" w:sz="4" w:space="0"/>
        <w:bottom w:val="single" w:color="auto" w:sz="4" w:space="0"/>
        <w:right w:val="single" w:color="auto" w:sz="4" w:space="0"/>
      </w:pBdr>
      <w:shd w:val="clear" w:color="000000" w:fill="CCCCFF"/>
      <w:spacing w:before="100" w:beforeAutospacing="1" w:after="100" w:afterAutospacing="1"/>
      <w:jc w:val="center"/>
    </w:pPr>
    <w:rPr>
      <w:rFonts w:ascii="华文中宋" w:hAnsi="华文中宋" w:eastAsia="华文中宋" w:cs="宋体"/>
      <w:b/>
      <w:bCs/>
    </w:rPr>
  </w:style>
  <w:style w:type="paragraph" w:customStyle="1" w:styleId="278">
    <w:name w:val="xl82"/>
    <w:basedOn w:val="1"/>
    <w:qFormat/>
    <w:uiPriority w:val="0"/>
    <w:pPr>
      <w:pBdr>
        <w:top w:val="single" w:color="auto" w:sz="4" w:space="0"/>
        <w:bottom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79">
    <w:name w:val="N1"/>
    <w:basedOn w:val="1"/>
    <w:qFormat/>
    <w:uiPriority w:val="0"/>
    <w:pPr>
      <w:widowControl w:val="0"/>
      <w:jc w:val="both"/>
    </w:pPr>
    <w:rPr>
      <w:rFonts w:ascii="黑体" w:hAnsi="宋体" w:eastAsia="黑体"/>
      <w:kern w:val="2"/>
      <w:sz w:val="28"/>
    </w:rPr>
  </w:style>
  <w:style w:type="paragraph" w:customStyle="1" w:styleId="280">
    <w:name w:val="Char"/>
    <w:basedOn w:val="1"/>
    <w:qFormat/>
    <w:uiPriority w:val="0"/>
    <w:pPr>
      <w:widowControl w:val="0"/>
      <w:spacing w:line="360" w:lineRule="auto"/>
      <w:ind w:firstLine="482"/>
      <w:jc w:val="both"/>
    </w:pPr>
    <w:rPr>
      <w:kern w:val="2"/>
      <w:sz w:val="24"/>
    </w:rPr>
  </w:style>
  <w:style w:type="paragraph" w:customStyle="1" w:styleId="28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2"/>
    </w:rPr>
  </w:style>
  <w:style w:type="paragraph" w:customStyle="1" w:styleId="282">
    <w:name w:val="xl90"/>
    <w:basedOn w:val="1"/>
    <w:qFormat/>
    <w:uiPriority w:val="0"/>
    <w:pPr>
      <w:spacing w:before="100" w:beforeAutospacing="1" w:after="100" w:afterAutospacing="1"/>
      <w:jc w:val="center"/>
      <w:textAlignment w:val="center"/>
    </w:pPr>
    <w:rPr>
      <w:rFonts w:ascii="宋体" w:hAnsi="宋体" w:cs="宋体"/>
      <w:b/>
      <w:bCs/>
      <w:sz w:val="24"/>
      <w:szCs w:val="24"/>
    </w:rPr>
  </w:style>
  <w:style w:type="paragraph" w:customStyle="1" w:styleId="283">
    <w:name w:val="Char Char Char Char Char Char Char Char Char Char Char Char Char Char Char Char Char Char Char"/>
    <w:basedOn w:val="1"/>
    <w:qFormat/>
    <w:uiPriority w:val="0"/>
    <w:pPr>
      <w:spacing w:after="160" w:line="240" w:lineRule="exact"/>
    </w:pPr>
    <w:rPr>
      <w:rFonts w:ascii="Verdana" w:hAnsi="Verdana"/>
      <w:lang w:eastAsia="en-US"/>
    </w:rPr>
  </w:style>
  <w:style w:type="paragraph" w:customStyle="1" w:styleId="284">
    <w:name w:val="Char Char Char Char Char Char Char Char Char Char"/>
    <w:basedOn w:val="1"/>
    <w:qFormat/>
    <w:uiPriority w:val="0"/>
    <w:pPr>
      <w:widowControl w:val="0"/>
      <w:spacing w:line="360" w:lineRule="auto"/>
      <w:ind w:firstLine="200" w:firstLineChars="200"/>
      <w:jc w:val="both"/>
    </w:pPr>
    <w:rPr>
      <w:rFonts w:ascii="宋体" w:hAnsi="宋体"/>
      <w:kern w:val="2"/>
      <w:sz w:val="24"/>
    </w:rPr>
  </w:style>
  <w:style w:type="paragraph" w:customStyle="1" w:styleId="285">
    <w:name w:val="a14"/>
    <w:basedOn w:val="1"/>
    <w:qFormat/>
    <w:uiPriority w:val="0"/>
    <w:pPr>
      <w:spacing w:before="100" w:beforeAutospacing="1" w:after="100" w:afterAutospacing="1" w:line="402" w:lineRule="atLeast"/>
    </w:pPr>
    <w:rPr>
      <w:rFonts w:ascii="宋体" w:hAnsi="宋体" w:cs="宋体"/>
      <w:sz w:val="23"/>
      <w:szCs w:val="23"/>
    </w:rPr>
  </w:style>
  <w:style w:type="paragraph" w:customStyle="1" w:styleId="286">
    <w:name w:val="Char1 Char Char Char Char Char Char1 Char Char Char"/>
    <w:basedOn w:val="1"/>
    <w:qFormat/>
    <w:uiPriority w:val="0"/>
    <w:pPr>
      <w:widowControl w:val="0"/>
      <w:spacing w:line="360" w:lineRule="auto"/>
      <w:ind w:firstLine="200" w:firstLineChars="200"/>
      <w:jc w:val="both"/>
    </w:pPr>
    <w:rPr>
      <w:rFonts w:ascii="宋体" w:hAnsi="宋体" w:eastAsia="仿宋_GB2312"/>
      <w:kern w:val="2"/>
      <w:sz w:val="24"/>
    </w:rPr>
  </w:style>
  <w:style w:type="paragraph" w:customStyle="1" w:styleId="287">
    <w:name w:val="合同三级标题"/>
    <w:basedOn w:val="6"/>
    <w:qFormat/>
    <w:uiPriority w:val="0"/>
    <w:pPr>
      <w:widowControl w:val="0"/>
      <w:numPr>
        <w:ilvl w:val="0"/>
        <w:numId w:val="0"/>
      </w:numPr>
      <w:tabs>
        <w:tab w:val="left" w:pos="284"/>
      </w:tabs>
      <w:autoSpaceDE w:val="0"/>
      <w:autoSpaceDN w:val="0"/>
      <w:adjustRightInd w:val="0"/>
      <w:spacing w:before="0" w:after="0" w:line="240" w:lineRule="auto"/>
      <w:jc w:val="left"/>
    </w:pPr>
    <w:rPr>
      <w:rFonts w:eastAsia="黑体"/>
      <w:b w:val="0"/>
      <w:bCs/>
      <w:position w:val="-1"/>
      <w:szCs w:val="30"/>
    </w:rPr>
  </w:style>
  <w:style w:type="paragraph" w:customStyle="1" w:styleId="288">
    <w:name w:val="第二行"/>
    <w:basedOn w:val="1"/>
    <w:qFormat/>
    <w:uiPriority w:val="0"/>
    <w:pPr>
      <w:widowControl w:val="0"/>
      <w:spacing w:beforeLines="100" w:line="360" w:lineRule="auto"/>
      <w:jc w:val="center"/>
    </w:pPr>
    <w:rPr>
      <w:rFonts w:ascii="宋体"/>
      <w:b/>
      <w:kern w:val="2"/>
      <w:sz w:val="36"/>
    </w:rPr>
  </w:style>
  <w:style w:type="paragraph" w:customStyle="1" w:styleId="289">
    <w:name w:val="第五行"/>
    <w:basedOn w:val="290"/>
    <w:qFormat/>
    <w:uiPriority w:val="0"/>
    <w:pPr>
      <w:ind w:left="-800" w:leftChars="-800"/>
    </w:pPr>
  </w:style>
  <w:style w:type="paragraph" w:customStyle="1" w:styleId="290">
    <w:name w:val="第四行"/>
    <w:basedOn w:val="1"/>
    <w:qFormat/>
    <w:uiPriority w:val="0"/>
    <w:pPr>
      <w:widowControl w:val="0"/>
      <w:spacing w:beforeLines="200" w:line="360" w:lineRule="auto"/>
      <w:ind w:left="-400" w:leftChars="-400"/>
      <w:jc w:val="center"/>
    </w:pPr>
    <w:rPr>
      <w:rFonts w:ascii="宋体"/>
      <w:b/>
      <w:kern w:val="2"/>
      <w:sz w:val="28"/>
    </w:rPr>
  </w:style>
  <w:style w:type="paragraph" w:customStyle="1" w:styleId="291">
    <w:name w:val="前言、引言标题"/>
    <w:next w:val="1"/>
    <w:semiHidden/>
    <w:qFormat/>
    <w:uiPriority w:val="0"/>
    <w:pPr>
      <w:numPr>
        <w:ilvl w:val="2"/>
        <w:numId w:val="2"/>
      </w:numPr>
      <w:shd w:val="clear" w:color="FFFFFF" w:fill="FFFFFF"/>
      <w:tabs>
        <w:tab w:val="left" w:pos="420"/>
        <w:tab w:val="clear" w:pos="1260"/>
      </w:tabs>
      <w:spacing w:before="640" w:after="560"/>
      <w:ind w:left="420"/>
      <w:jc w:val="center"/>
      <w:outlineLvl w:val="0"/>
    </w:pPr>
    <w:rPr>
      <w:rFonts w:ascii="黑体" w:hAnsi="Times New Roman" w:eastAsia="黑体" w:cs="Times New Roman"/>
      <w:sz w:val="32"/>
      <w:lang w:val="en-US" w:eastAsia="zh-CN" w:bidi="ar-SA"/>
    </w:rPr>
  </w:style>
  <w:style w:type="paragraph" w:customStyle="1" w:styleId="29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sz w:val="22"/>
    </w:rPr>
  </w:style>
  <w:style w:type="paragraph" w:customStyle="1" w:styleId="293">
    <w:name w:val="CM27"/>
    <w:basedOn w:val="1"/>
    <w:next w:val="1"/>
    <w:qFormat/>
    <w:uiPriority w:val="0"/>
    <w:pPr>
      <w:widowControl w:val="0"/>
      <w:autoSpaceDE w:val="0"/>
      <w:autoSpaceDN w:val="0"/>
      <w:adjustRightInd w:val="0"/>
      <w:spacing w:after="128"/>
    </w:pPr>
    <w:rPr>
      <w:rFonts w:ascii="宋体"/>
      <w:sz w:val="24"/>
    </w:rPr>
  </w:style>
  <w:style w:type="paragraph" w:customStyle="1" w:styleId="294">
    <w:name w:val="GW-标题6"/>
    <w:basedOn w:val="235"/>
    <w:next w:val="1"/>
    <w:qFormat/>
    <w:uiPriority w:val="0"/>
    <w:pPr>
      <w:outlineLvl w:val="5"/>
    </w:pPr>
  </w:style>
  <w:style w:type="paragraph" w:customStyle="1" w:styleId="295">
    <w:name w:val="正文2"/>
    <w:basedOn w:val="1"/>
    <w:qFormat/>
    <w:uiPriority w:val="0"/>
    <w:pPr>
      <w:widowControl w:val="0"/>
      <w:spacing w:line="360" w:lineRule="auto"/>
      <w:ind w:right="200" w:rightChars="200"/>
      <w:jc w:val="right"/>
    </w:pPr>
    <w:rPr>
      <w:rFonts w:ascii="宋体"/>
      <w:kern w:val="2"/>
      <w:sz w:val="21"/>
    </w:rPr>
  </w:style>
  <w:style w:type="paragraph" w:customStyle="1" w:styleId="296">
    <w:name w:val="样式 正文缩进 + 宋体 小四 行距: 1.5 倍行距"/>
    <w:basedOn w:val="5"/>
    <w:qFormat/>
    <w:uiPriority w:val="0"/>
    <w:pPr>
      <w:widowControl w:val="0"/>
      <w:spacing w:line="360" w:lineRule="auto"/>
      <w:ind w:firstLine="480" w:firstLineChars="200"/>
      <w:jc w:val="both"/>
    </w:pPr>
    <w:rPr>
      <w:rFonts w:ascii="宋体" w:hAnsi="宋体"/>
      <w:kern w:val="2"/>
      <w:sz w:val="24"/>
    </w:rPr>
  </w:style>
  <w:style w:type="paragraph" w:customStyle="1" w:styleId="297">
    <w:name w:val="菲页2"/>
    <w:basedOn w:val="6"/>
    <w:qFormat/>
    <w:uiPriority w:val="0"/>
    <w:rPr>
      <w:rFonts w:ascii="黑体" w:hAnsi="宋体" w:eastAsia="黑体"/>
      <w:b w:val="0"/>
      <w:sz w:val="44"/>
    </w:rPr>
  </w:style>
  <w:style w:type="paragraph" w:customStyle="1" w:styleId="298">
    <w:name w:val="样式 第五行 + 左侧:  -8 字符 段前: 2 行"/>
    <w:basedOn w:val="289"/>
    <w:qFormat/>
    <w:uiPriority w:val="0"/>
    <w:pPr>
      <w:ind w:left="-600" w:leftChars="-600"/>
    </w:pPr>
  </w:style>
  <w:style w:type="paragraph" w:customStyle="1" w:styleId="299">
    <w:name w:val="xl68"/>
    <w:basedOn w:val="1"/>
    <w:qFormat/>
    <w:uiPriority w:val="0"/>
    <w:pPr>
      <w:pBdr>
        <w:bottom w:val="single" w:color="auto" w:sz="4" w:space="0"/>
      </w:pBdr>
      <w:spacing w:before="100" w:beforeAutospacing="1" w:after="100" w:afterAutospacing="1"/>
    </w:pPr>
    <w:rPr>
      <w:rFonts w:ascii="宋体" w:hAnsi="宋体" w:cs="宋体"/>
      <w:sz w:val="18"/>
      <w:szCs w:val="18"/>
    </w:rPr>
  </w:style>
  <w:style w:type="paragraph" w:customStyle="1" w:styleId="300">
    <w:name w:val="末级 Char Char1"/>
    <w:basedOn w:val="1"/>
    <w:qFormat/>
    <w:uiPriority w:val="0"/>
    <w:pPr>
      <w:widowControl w:val="0"/>
      <w:tabs>
        <w:tab w:val="left" w:pos="851"/>
      </w:tabs>
      <w:spacing w:line="360" w:lineRule="auto"/>
      <w:ind w:left="500" w:leftChars="500"/>
      <w:jc w:val="both"/>
    </w:pPr>
    <w:rPr>
      <w:kern w:val="2"/>
      <w:sz w:val="24"/>
    </w:rPr>
  </w:style>
  <w:style w:type="paragraph" w:customStyle="1" w:styleId="301">
    <w:name w:val="xl75"/>
    <w:basedOn w:val="1"/>
    <w:qFormat/>
    <w:uiPriority w:val="0"/>
    <w:pPr>
      <w:spacing w:before="100" w:beforeAutospacing="1" w:after="100" w:afterAutospacing="1"/>
      <w:jc w:val="center"/>
    </w:pPr>
    <w:rPr>
      <w:rFonts w:ascii="宋体" w:hAnsi="宋体" w:cs="宋体"/>
      <w:sz w:val="18"/>
      <w:szCs w:val="18"/>
    </w:rPr>
  </w:style>
  <w:style w:type="paragraph" w:customStyle="1" w:styleId="302">
    <w:name w:val="样式 样式 标题 1 + 居中 段前: 0.5 行 段后: 0.5 行 + 段前: 0.5 行 段后: 0.5 行"/>
    <w:basedOn w:val="3"/>
    <w:qFormat/>
    <w:uiPriority w:val="0"/>
    <w:pPr>
      <w:keepNext w:val="0"/>
      <w:widowControl w:val="0"/>
      <w:numPr>
        <w:numId w:val="0"/>
      </w:numPr>
      <w:tabs>
        <w:tab w:val="left" w:pos="900"/>
      </w:tabs>
      <w:adjustRightInd w:val="0"/>
      <w:spacing w:beforeLines="50" w:afterLines="50"/>
      <w:ind w:left="900" w:hanging="420"/>
      <w:jc w:val="both"/>
    </w:pPr>
    <w:rPr>
      <w:rFonts w:ascii="Times New Roman"/>
      <w:b/>
      <w:kern w:val="44"/>
      <w:sz w:val="36"/>
    </w:rPr>
  </w:style>
  <w:style w:type="paragraph" w:customStyle="1" w:styleId="303">
    <w:name w:val="第三行"/>
    <w:basedOn w:val="1"/>
    <w:qFormat/>
    <w:uiPriority w:val="0"/>
    <w:pPr>
      <w:widowControl w:val="0"/>
      <w:spacing w:beforeLines="200" w:line="360" w:lineRule="auto"/>
      <w:jc w:val="center"/>
    </w:pPr>
    <w:rPr>
      <w:rFonts w:ascii="楷体_GB2312" w:eastAsia="楷体_GB2312"/>
      <w:b/>
      <w:kern w:val="2"/>
      <w:sz w:val="48"/>
    </w:rPr>
  </w:style>
  <w:style w:type="paragraph" w:customStyle="1" w:styleId="304">
    <w:name w:val="Body Text Indent 21"/>
    <w:basedOn w:val="1"/>
    <w:qFormat/>
    <w:uiPriority w:val="0"/>
    <w:pPr>
      <w:widowControl w:val="0"/>
      <w:adjustRightInd w:val="0"/>
      <w:spacing w:line="360" w:lineRule="auto"/>
      <w:ind w:right="1001" w:firstLine="525"/>
      <w:textAlignment w:val="baseline"/>
    </w:pPr>
    <w:rPr>
      <w:kern w:val="2"/>
      <w:sz w:val="24"/>
    </w:rPr>
  </w:style>
  <w:style w:type="paragraph" w:customStyle="1" w:styleId="305">
    <w:name w:val="xl101"/>
    <w:basedOn w:val="1"/>
    <w:qFormat/>
    <w:uiPriority w:val="0"/>
    <w:pPr>
      <w:pBdr>
        <w:top w:val="single" w:color="auto" w:sz="4" w:space="0"/>
        <w:bottom w:val="single" w:color="auto" w:sz="4" w:space="0"/>
      </w:pBdr>
      <w:shd w:val="clear" w:color="000000" w:fill="CCCCFF"/>
      <w:spacing w:before="100" w:beforeAutospacing="1" w:after="100" w:afterAutospacing="1"/>
      <w:jc w:val="center"/>
    </w:pPr>
    <w:rPr>
      <w:rFonts w:ascii="华文中宋" w:hAnsi="华文中宋" w:eastAsia="华文中宋" w:cs="宋体"/>
    </w:rPr>
  </w:style>
  <w:style w:type="paragraph" w:customStyle="1" w:styleId="306">
    <w:name w:val="Char Char Char Char Char Char Char Char Char Char1"/>
    <w:basedOn w:val="1"/>
    <w:qFormat/>
    <w:uiPriority w:val="0"/>
    <w:pPr>
      <w:widowControl w:val="0"/>
      <w:spacing w:line="360" w:lineRule="auto"/>
      <w:ind w:firstLine="200" w:firstLineChars="200"/>
      <w:jc w:val="both"/>
    </w:pPr>
    <w:rPr>
      <w:rFonts w:ascii="宋体" w:hAnsi="宋体"/>
      <w:kern w:val="2"/>
      <w:sz w:val="24"/>
    </w:rPr>
  </w:style>
  <w:style w:type="paragraph" w:customStyle="1" w:styleId="307">
    <w:name w:val="标准文本"/>
    <w:basedOn w:val="1"/>
    <w:qFormat/>
    <w:uiPriority w:val="0"/>
    <w:pPr>
      <w:widowControl w:val="0"/>
      <w:spacing w:line="400" w:lineRule="exact"/>
      <w:ind w:firstLine="480" w:firstLineChars="200"/>
      <w:jc w:val="both"/>
    </w:pPr>
    <w:rPr>
      <w:rFonts w:ascii="黑体" w:hAnsi="宋体"/>
      <w:kern w:val="2"/>
      <w:sz w:val="24"/>
    </w:rPr>
  </w:style>
  <w:style w:type="paragraph" w:customStyle="1" w:styleId="308">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sz w:val="22"/>
    </w:rPr>
  </w:style>
  <w:style w:type="paragraph" w:customStyle="1" w:styleId="309">
    <w:name w:val="修订11"/>
    <w:qFormat/>
    <w:uiPriority w:val="99"/>
    <w:rPr>
      <w:rFonts w:ascii="Times New Roman" w:hAnsi="Times New Roman" w:eastAsia="宋体" w:cs="Times New Roman"/>
      <w:kern w:val="2"/>
      <w:sz w:val="21"/>
      <w:lang w:val="en-US" w:eastAsia="zh-CN" w:bidi="ar-SA"/>
    </w:rPr>
  </w:style>
  <w:style w:type="paragraph" w:customStyle="1" w:styleId="310">
    <w:name w:val="xl6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rPr>
  </w:style>
  <w:style w:type="paragraph" w:customStyle="1" w:styleId="311">
    <w:name w:val="xl60"/>
    <w:basedOn w:val="1"/>
    <w:qFormat/>
    <w:uiPriority w:val="0"/>
    <w:pPr>
      <w:spacing w:before="100" w:beforeAutospacing="1" w:after="100" w:afterAutospacing="1"/>
      <w:jc w:val="center"/>
      <w:textAlignment w:val="center"/>
    </w:pPr>
    <w:rPr>
      <w:rFonts w:ascii="宋体" w:hAnsi="宋体"/>
      <w:b/>
      <w:sz w:val="32"/>
    </w:rPr>
  </w:style>
  <w:style w:type="paragraph" w:customStyle="1" w:styleId="31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13">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2"/>
    </w:rPr>
  </w:style>
  <w:style w:type="paragraph" w:customStyle="1" w:styleId="314">
    <w:name w:val="xl3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both"/>
    </w:pPr>
    <w:rPr>
      <w:rFonts w:ascii="宋体" w:hAnsi="宋体"/>
      <w:sz w:val="22"/>
    </w:rPr>
  </w:style>
  <w:style w:type="paragraph" w:customStyle="1" w:styleId="315">
    <w:name w:val="xl3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sz w:val="22"/>
    </w:rPr>
  </w:style>
  <w:style w:type="paragraph" w:customStyle="1" w:styleId="316">
    <w:name w:val="样式 规划标题2 + 左侧:  0 厘米 首行缩进:  0 厘米"/>
    <w:basedOn w:val="1"/>
    <w:qFormat/>
    <w:uiPriority w:val="0"/>
    <w:pPr>
      <w:keepNext/>
      <w:keepLines/>
      <w:numPr>
        <w:ilvl w:val="2"/>
        <w:numId w:val="3"/>
      </w:numPr>
      <w:snapToGrid w:val="0"/>
      <w:spacing w:before="120" w:after="120" w:line="480" w:lineRule="exact"/>
      <w:ind w:left="369" w:right="210" w:hanging="369"/>
      <w:outlineLvl w:val="1"/>
    </w:pPr>
    <w:rPr>
      <w:rFonts w:ascii="Arial" w:hAnsi="Arial" w:cs="宋体"/>
      <w:b/>
      <w:bCs/>
      <w:sz w:val="28"/>
    </w:rPr>
  </w:style>
  <w:style w:type="paragraph" w:customStyle="1" w:styleId="31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rPr>
  </w:style>
  <w:style w:type="paragraph" w:customStyle="1" w:styleId="318">
    <w:name w:val="xl78"/>
    <w:basedOn w:val="1"/>
    <w:qFormat/>
    <w:uiPriority w:val="0"/>
    <w:pPr>
      <w:pBdr>
        <w:top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19">
    <w:name w:val="Char Char Char Char Char Char Char"/>
    <w:basedOn w:val="1"/>
    <w:qFormat/>
    <w:uiPriority w:val="0"/>
    <w:pPr>
      <w:widowControl w:val="0"/>
      <w:jc w:val="both"/>
    </w:pPr>
    <w:rPr>
      <w:rFonts w:ascii="仿宋_GB2312" w:eastAsia="黑体"/>
      <w:b/>
      <w:kern w:val="2"/>
      <w:sz w:val="32"/>
    </w:rPr>
  </w:style>
  <w:style w:type="paragraph" w:customStyle="1" w:styleId="320">
    <w:name w:val="xl46"/>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both"/>
    </w:pPr>
    <w:rPr>
      <w:rFonts w:ascii="宋体" w:hAnsi="宋体"/>
      <w:b/>
      <w:sz w:val="22"/>
    </w:rPr>
  </w:style>
  <w:style w:type="paragraph" w:customStyle="1" w:styleId="321">
    <w:name w:val="Char Char Char1 Char1"/>
    <w:basedOn w:val="1"/>
    <w:qFormat/>
    <w:uiPriority w:val="0"/>
    <w:pPr>
      <w:widowControl w:val="0"/>
      <w:tabs>
        <w:tab w:val="left" w:pos="360"/>
      </w:tabs>
      <w:snapToGrid w:val="0"/>
      <w:spacing w:line="360" w:lineRule="auto"/>
      <w:jc w:val="both"/>
    </w:pPr>
    <w:rPr>
      <w:rFonts w:eastAsia="仿宋_GB2312" w:cs="宋体"/>
      <w:kern w:val="2"/>
      <w:sz w:val="24"/>
      <w:szCs w:val="24"/>
    </w:rPr>
  </w:style>
  <w:style w:type="paragraph" w:customStyle="1" w:styleId="322">
    <w:name w:val="样式 宋体 首行缩进:  2 字符 行距: 固定值 25 磅 右  -0.21 字符"/>
    <w:basedOn w:val="1"/>
    <w:qFormat/>
    <w:uiPriority w:val="0"/>
    <w:pPr>
      <w:widowControl w:val="0"/>
      <w:adjustRightInd w:val="0"/>
      <w:snapToGrid w:val="0"/>
      <w:spacing w:line="520" w:lineRule="exact"/>
      <w:ind w:right="-21" w:rightChars="-21" w:firstLine="520" w:firstLineChars="200"/>
    </w:pPr>
    <w:rPr>
      <w:rFonts w:ascii="宋体" w:hAnsi="宋体"/>
      <w:kern w:val="2"/>
      <w:sz w:val="26"/>
    </w:rPr>
  </w:style>
  <w:style w:type="paragraph" w:customStyle="1" w:styleId="323">
    <w:name w:val="样式 标题 3 + 行距: 单倍行距"/>
    <w:basedOn w:val="6"/>
    <w:qFormat/>
    <w:uiPriority w:val="0"/>
    <w:pPr>
      <w:widowControl w:val="0"/>
      <w:numPr>
        <w:ilvl w:val="0"/>
        <w:numId w:val="0"/>
      </w:numPr>
      <w:tabs>
        <w:tab w:val="left" w:pos="560"/>
        <w:tab w:val="left" w:pos="851"/>
      </w:tabs>
      <w:adjustRightInd w:val="0"/>
      <w:snapToGrid w:val="0"/>
      <w:spacing w:line="240" w:lineRule="auto"/>
      <w:ind w:left="1191" w:hanging="1191"/>
    </w:pPr>
    <w:rPr>
      <w:rFonts w:eastAsia="黑体"/>
      <w:b w:val="0"/>
      <w:kern w:val="2"/>
      <w:sz w:val="30"/>
    </w:rPr>
  </w:style>
  <w:style w:type="paragraph" w:customStyle="1" w:styleId="324">
    <w:name w:val="xl66"/>
    <w:basedOn w:val="1"/>
    <w:qFormat/>
    <w:uiPriority w:val="0"/>
    <w:pPr>
      <w:pBdr>
        <w:right w:val="single" w:color="auto" w:sz="4" w:space="0"/>
      </w:pBdr>
      <w:spacing w:before="100" w:beforeAutospacing="1" w:after="100" w:afterAutospacing="1"/>
    </w:pPr>
    <w:rPr>
      <w:rFonts w:ascii="宋体" w:hAnsi="宋体" w:cs="宋体"/>
      <w:sz w:val="18"/>
      <w:szCs w:val="18"/>
    </w:rPr>
  </w:style>
  <w:style w:type="paragraph" w:customStyle="1" w:styleId="32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26">
    <w:name w:val="发文落款"/>
    <w:basedOn w:val="327"/>
    <w:qFormat/>
    <w:uiPriority w:val="0"/>
    <w:pPr>
      <w:ind w:left="4094" w:right="607" w:firstLine="0"/>
      <w:jc w:val="center"/>
    </w:pPr>
  </w:style>
  <w:style w:type="paragraph" w:customStyle="1" w:styleId="3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29">
    <w:name w:val="Char Char Char1 Char"/>
    <w:basedOn w:val="1"/>
    <w:qFormat/>
    <w:uiPriority w:val="0"/>
    <w:pPr>
      <w:widowControl w:val="0"/>
      <w:tabs>
        <w:tab w:val="left" w:pos="360"/>
      </w:tabs>
      <w:snapToGrid w:val="0"/>
      <w:spacing w:line="360" w:lineRule="auto"/>
      <w:jc w:val="both"/>
    </w:pPr>
    <w:rPr>
      <w:rFonts w:eastAsia="仿宋_GB2312" w:cs="宋体"/>
      <w:kern w:val="2"/>
      <w:sz w:val="24"/>
      <w:szCs w:val="24"/>
    </w:rPr>
  </w:style>
  <w:style w:type="paragraph" w:customStyle="1" w:styleId="330">
    <w:name w:val="样式 样式 标题 2 + 段前: 0.5 行 段后: 0.5 行 + 两端对齐 段前: 0.5 行 段后: 0.5 行"/>
    <w:basedOn w:val="4"/>
    <w:next w:val="4"/>
    <w:qFormat/>
    <w:uiPriority w:val="0"/>
    <w:pPr>
      <w:widowControl w:val="0"/>
      <w:adjustRightInd w:val="0"/>
      <w:spacing w:beforeLines="50" w:after="163" w:line="413" w:lineRule="auto"/>
      <w:ind w:left="420" w:hanging="420"/>
    </w:pPr>
    <w:rPr>
      <w:rFonts w:ascii="Arial" w:hAnsi="Arial"/>
      <w:b w:val="0"/>
      <w:bCs w:val="0"/>
      <w:kern w:val="2"/>
      <w:sz w:val="32"/>
      <w:szCs w:val="20"/>
    </w:rPr>
  </w:style>
  <w:style w:type="paragraph" w:customStyle="1" w:styleId="331">
    <w:name w:val="3"/>
    <w:basedOn w:val="1"/>
    <w:qFormat/>
    <w:uiPriority w:val="0"/>
    <w:pPr>
      <w:widowControl w:val="0"/>
      <w:spacing w:line="264" w:lineRule="auto"/>
      <w:ind w:firstLine="560" w:firstLineChars="200"/>
      <w:jc w:val="both"/>
    </w:pPr>
    <w:rPr>
      <w:rFonts w:ascii="宋体" w:hAnsi="宋体"/>
      <w:kern w:val="2"/>
      <w:sz w:val="28"/>
    </w:rPr>
  </w:style>
  <w:style w:type="paragraph" w:customStyle="1" w:styleId="332">
    <w:name w:val="样式 样式 样式 第五行 + 左侧:  -8 字符 段前: 2 行 + 左侧:  -6 字符 段前: 2 行 + 左侧:  -4..."/>
    <w:basedOn w:val="333"/>
    <w:qFormat/>
    <w:uiPriority w:val="0"/>
  </w:style>
  <w:style w:type="paragraph" w:customStyle="1" w:styleId="333">
    <w:name w:val="样式 样式 第五行 + 左侧:  -8 字符 段前: 2 行 + 左侧:  -6 字符 段前: 2 行"/>
    <w:basedOn w:val="298"/>
    <w:qFormat/>
    <w:uiPriority w:val="0"/>
    <w:pPr>
      <w:ind w:left="-400" w:leftChars="-400"/>
    </w:pPr>
  </w:style>
  <w:style w:type="paragraph" w:customStyle="1" w:styleId="334">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335">
    <w:name w:val="样式 普通文字 + Times New Roman 加粗 首行缩进:  0.73 厘米 行距: 多倍行距 1.15 字行"/>
    <w:basedOn w:val="27"/>
    <w:qFormat/>
    <w:uiPriority w:val="0"/>
    <w:pPr>
      <w:adjustRightInd w:val="0"/>
      <w:snapToGrid w:val="0"/>
      <w:spacing w:line="460" w:lineRule="exact"/>
    </w:pPr>
    <w:rPr>
      <w:rFonts w:ascii="Times New Roman" w:hAnsi="Times New Roman"/>
      <w:color w:val="FF0000"/>
      <w:sz w:val="24"/>
    </w:rPr>
  </w:style>
  <w:style w:type="paragraph" w:customStyle="1" w:styleId="33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7">
    <w:name w:val="xl50"/>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sz w:val="22"/>
    </w:rPr>
  </w:style>
  <w:style w:type="paragraph" w:customStyle="1" w:styleId="338">
    <w:name w:val="head"/>
    <w:basedOn w:val="1"/>
    <w:next w:val="1"/>
    <w:qFormat/>
    <w:uiPriority w:val="0"/>
    <w:pPr>
      <w:keepNext/>
      <w:keepLines/>
      <w:spacing w:line="360" w:lineRule="auto"/>
      <w:ind w:left="907" w:hanging="907"/>
    </w:pPr>
    <w:rPr>
      <w:rFonts w:hAnsi="Arial"/>
      <w:b/>
      <w:sz w:val="24"/>
    </w:rPr>
  </w:style>
  <w:style w:type="paragraph" w:customStyle="1" w:styleId="339">
    <w:name w:val="抬头"/>
    <w:basedOn w:val="1"/>
    <w:qFormat/>
    <w:uiPriority w:val="0"/>
    <w:pPr>
      <w:widowControl w:val="0"/>
      <w:spacing w:line="360" w:lineRule="auto"/>
      <w:jc w:val="both"/>
    </w:pPr>
    <w:rPr>
      <w:rFonts w:ascii="宋体"/>
      <w:kern w:val="2"/>
      <w:sz w:val="21"/>
    </w:rPr>
  </w:style>
  <w:style w:type="paragraph" w:customStyle="1" w:styleId="340">
    <w:name w:val="xl47"/>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both"/>
    </w:pPr>
    <w:rPr>
      <w:sz w:val="22"/>
    </w:rPr>
  </w:style>
  <w:style w:type="paragraph" w:customStyle="1" w:styleId="341">
    <w:name w:val="flNote"/>
    <w:basedOn w:val="1"/>
    <w:qFormat/>
    <w:uiPriority w:val="0"/>
    <w:pPr>
      <w:widowControl w:val="0"/>
      <w:adjustRightInd w:val="0"/>
      <w:spacing w:before="320" w:after="160" w:line="360" w:lineRule="atLeast"/>
      <w:jc w:val="center"/>
      <w:textAlignment w:val="baseline"/>
    </w:pPr>
    <w:rPr>
      <w:rFonts w:ascii="Arial" w:eastAsia="黑体"/>
      <w:sz w:val="30"/>
    </w:rPr>
  </w:style>
  <w:style w:type="paragraph" w:customStyle="1" w:styleId="342">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b/>
      <w:sz w:val="22"/>
    </w:rPr>
  </w:style>
  <w:style w:type="paragraph" w:customStyle="1" w:styleId="343">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FF0000"/>
      <w:sz w:val="22"/>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华文中宋" w:hAnsi="华文中宋" w:eastAsia="华文中宋" w:cs="宋体"/>
    </w:rPr>
  </w:style>
  <w:style w:type="paragraph" w:customStyle="1" w:styleId="345">
    <w:name w:val="样式 标题 2标题 1.1 + 黑体 加粗"/>
    <w:basedOn w:val="4"/>
    <w:qFormat/>
    <w:uiPriority w:val="0"/>
    <w:pPr>
      <w:widowControl w:val="0"/>
      <w:tabs>
        <w:tab w:val="left" w:pos="454"/>
      </w:tabs>
      <w:adjustRightInd w:val="0"/>
      <w:snapToGrid w:val="0"/>
      <w:spacing w:beforeLines="50" w:after="50" w:line="240" w:lineRule="auto"/>
      <w:ind w:left="420" w:hanging="420"/>
    </w:pPr>
    <w:rPr>
      <w:rFonts w:ascii="黑体" w:hAnsi="黑体" w:eastAsia="黑体"/>
      <w:bCs w:val="0"/>
      <w:kern w:val="2"/>
      <w:sz w:val="32"/>
      <w:szCs w:val="20"/>
    </w:rPr>
  </w:style>
  <w:style w:type="paragraph" w:customStyle="1" w:styleId="34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sz w:val="22"/>
    </w:rPr>
  </w:style>
  <w:style w:type="paragraph" w:customStyle="1" w:styleId="347">
    <w:name w:val="2级标题"/>
    <w:basedOn w:val="171"/>
    <w:qFormat/>
    <w:uiPriority w:val="0"/>
    <w:pPr>
      <w:tabs>
        <w:tab w:val="left" w:pos="1620"/>
        <w:tab w:val="clear" w:pos="1200"/>
      </w:tabs>
      <w:ind w:left="1620"/>
      <w:outlineLvl w:val="2"/>
    </w:pPr>
  </w:style>
  <w:style w:type="paragraph" w:customStyle="1" w:styleId="348">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textAlignment w:val="center"/>
    </w:pPr>
    <w:rPr>
      <w:rFonts w:ascii="宋体" w:hAnsi="宋体" w:cs="宋体"/>
      <w:color w:val="FF0000"/>
    </w:rPr>
  </w:style>
  <w:style w:type="paragraph" w:customStyle="1" w:styleId="349">
    <w:name w:val="xl94"/>
    <w:basedOn w:val="1"/>
    <w:qFormat/>
    <w:uiPriority w:val="0"/>
    <w:pPr>
      <w:pBdr>
        <w:top w:val="single" w:color="auto" w:sz="4" w:space="0"/>
        <w:bottom w:val="single" w:color="auto" w:sz="4" w:space="0"/>
        <w:right w:val="single" w:color="auto" w:sz="4" w:space="0"/>
      </w:pBdr>
      <w:shd w:val="clear" w:color="000000" w:fill="CCCCFF"/>
      <w:spacing w:before="100" w:beforeAutospacing="1" w:after="100" w:afterAutospacing="1"/>
    </w:pPr>
    <w:rPr>
      <w:rFonts w:ascii="华文中宋" w:hAnsi="华文中宋" w:eastAsia="华文中宋" w:cs="宋体"/>
      <w:b/>
      <w:bCs/>
    </w:rPr>
  </w:style>
  <w:style w:type="paragraph" w:customStyle="1" w:styleId="350">
    <w:name w:val="xl34"/>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rPr>
  </w:style>
  <w:style w:type="paragraph" w:customStyle="1" w:styleId="35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rPr>
  </w:style>
  <w:style w:type="paragraph" w:customStyle="1" w:styleId="352">
    <w:name w:val="xl96"/>
    <w:basedOn w:val="1"/>
    <w:qFormat/>
    <w:uiPriority w:val="0"/>
    <w:pPr>
      <w:pBdr>
        <w:top w:val="single" w:color="auto" w:sz="4" w:space="0"/>
        <w:bottom w:val="single" w:color="auto" w:sz="4" w:space="0"/>
      </w:pBdr>
      <w:shd w:val="clear" w:color="000000" w:fill="CCCCFF"/>
      <w:spacing w:before="100" w:beforeAutospacing="1" w:after="100" w:afterAutospacing="1"/>
      <w:jc w:val="center"/>
    </w:pPr>
    <w:rPr>
      <w:rFonts w:ascii="华文中宋" w:hAnsi="华文中宋" w:eastAsia="华文中宋" w:cs="宋体"/>
      <w:b/>
      <w:bCs/>
    </w:rPr>
  </w:style>
  <w:style w:type="paragraph" w:customStyle="1" w:styleId="353">
    <w:name w:val="xl8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54">
    <w:name w:val="标题 41"/>
    <w:basedOn w:val="7"/>
    <w:next w:val="5"/>
    <w:qFormat/>
    <w:uiPriority w:val="0"/>
    <w:pPr>
      <w:keepNext w:val="0"/>
      <w:keepLines w:val="0"/>
      <w:widowControl w:val="0"/>
      <w:spacing w:before="240" w:after="240"/>
      <w:ind w:left="0" w:firstLine="0"/>
      <w:jc w:val="both"/>
      <w:textAlignment w:val="bottom"/>
      <w:outlineLvl w:val="1"/>
    </w:pPr>
    <w:rPr>
      <w:rFonts w:eastAsia="黑体"/>
      <w:b w:val="0"/>
      <w:kern w:val="2"/>
      <w:sz w:val="28"/>
    </w:rPr>
  </w:style>
  <w:style w:type="paragraph" w:customStyle="1" w:styleId="35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sz w:val="22"/>
    </w:rPr>
  </w:style>
  <w:style w:type="paragraph" w:customStyle="1" w:styleId="356">
    <w:name w:val="Table Paragraph"/>
    <w:basedOn w:val="1"/>
    <w:qFormat/>
    <w:uiPriority w:val="1"/>
    <w:pPr>
      <w:widowControl w:val="0"/>
      <w:autoSpaceDE w:val="0"/>
      <w:autoSpaceDN w:val="0"/>
    </w:pPr>
    <w:rPr>
      <w:rFonts w:ascii="微软雅黑" w:hAnsi="微软雅黑" w:eastAsia="微软雅黑" w:cs="微软雅黑"/>
      <w:sz w:val="22"/>
      <w:szCs w:val="22"/>
      <w:lang w:eastAsia="en-US" w:bidi="en-US"/>
    </w:rPr>
  </w:style>
  <w:style w:type="paragraph" w:customStyle="1" w:styleId="357">
    <w:name w:val="xl8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58">
    <w:name w:val="编号（1）"/>
    <w:basedOn w:val="1"/>
    <w:qFormat/>
    <w:uiPriority w:val="0"/>
    <w:pPr>
      <w:widowControl w:val="0"/>
      <w:tabs>
        <w:tab w:val="left" w:pos="420"/>
      </w:tabs>
      <w:spacing w:line="360" w:lineRule="auto"/>
      <w:ind w:left="450" w:leftChars="200" w:hanging="200" w:hangingChars="200"/>
      <w:jc w:val="both"/>
    </w:pPr>
    <w:rPr>
      <w:rFonts w:ascii="宋体"/>
      <w:kern w:val="2"/>
      <w:sz w:val="21"/>
    </w:rPr>
  </w:style>
  <w:style w:type="paragraph" w:customStyle="1" w:styleId="359">
    <w:name w:val="Char1 Char Char1 Char"/>
    <w:basedOn w:val="1"/>
    <w:qFormat/>
    <w:uiPriority w:val="0"/>
    <w:pPr>
      <w:widowControl w:val="0"/>
      <w:jc w:val="both"/>
    </w:pPr>
    <w:rPr>
      <w:rFonts w:ascii="仿宋_GB2312" w:eastAsia="仿宋_GB2312"/>
      <w:b/>
      <w:kern w:val="2"/>
      <w:sz w:val="32"/>
    </w:rPr>
  </w:style>
  <w:style w:type="paragraph" w:customStyle="1" w:styleId="360">
    <w:name w:val="样式 第四行 + 左侧:  -4 字符 段前: 2 行"/>
    <w:basedOn w:val="290"/>
    <w:qFormat/>
    <w:uiPriority w:val="0"/>
    <w:pPr>
      <w:ind w:left="-300" w:leftChars="-300"/>
    </w:pPr>
  </w:style>
  <w:style w:type="paragraph" w:customStyle="1" w:styleId="361">
    <w:name w:val="font9"/>
    <w:basedOn w:val="1"/>
    <w:qFormat/>
    <w:uiPriority w:val="0"/>
    <w:pPr>
      <w:spacing w:before="100" w:beforeAutospacing="1" w:after="100" w:afterAutospacing="1"/>
    </w:pPr>
    <w:rPr>
      <w:sz w:val="22"/>
    </w:rPr>
  </w:style>
  <w:style w:type="paragraph" w:customStyle="1" w:styleId="362">
    <w:name w:val="xl5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b/>
      <w:sz w:val="22"/>
    </w:rPr>
  </w:style>
  <w:style w:type="paragraph" w:customStyle="1" w:styleId="363">
    <w:name w:val="xl5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sz w:val="22"/>
    </w:rPr>
  </w:style>
  <w:style w:type="paragraph" w:customStyle="1" w:styleId="364">
    <w:name w:val="样式 左侧:  2 字符"/>
    <w:basedOn w:val="1"/>
    <w:qFormat/>
    <w:uiPriority w:val="0"/>
    <w:pPr>
      <w:widowControl w:val="0"/>
      <w:spacing w:line="520" w:lineRule="exact"/>
      <w:ind w:firstLine="200" w:firstLineChars="200"/>
      <w:jc w:val="both"/>
    </w:pPr>
    <w:rPr>
      <w:rFonts w:cs="宋体"/>
      <w:kern w:val="2"/>
      <w:sz w:val="28"/>
    </w:rPr>
  </w:style>
  <w:style w:type="paragraph" w:customStyle="1" w:styleId="365">
    <w:name w:val="´ó¸Ù(ÎÞËõ½ø)"/>
    <w:basedOn w:val="1"/>
    <w:qFormat/>
    <w:uiPriority w:val="0"/>
    <w:pPr>
      <w:overflowPunct w:val="0"/>
      <w:autoSpaceDE w:val="0"/>
      <w:autoSpaceDN w:val="0"/>
      <w:adjustRightInd w:val="0"/>
      <w:textAlignment w:val="baseline"/>
    </w:pPr>
    <w:rPr>
      <w:sz w:val="24"/>
    </w:rPr>
  </w:style>
  <w:style w:type="paragraph" w:customStyle="1" w:styleId="366">
    <w:name w:val="xl5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olor w:val="FF0000"/>
      <w:sz w:val="22"/>
    </w:rPr>
  </w:style>
  <w:style w:type="paragraph" w:customStyle="1" w:styleId="367">
    <w:name w:val="默认段落字体 Para Char Char Char Char"/>
    <w:basedOn w:val="1"/>
    <w:qFormat/>
    <w:uiPriority w:val="0"/>
    <w:pPr>
      <w:widowControl w:val="0"/>
      <w:jc w:val="both"/>
    </w:pPr>
    <w:rPr>
      <w:kern w:val="2"/>
      <w:sz w:val="21"/>
    </w:rPr>
  </w:style>
  <w:style w:type="paragraph" w:customStyle="1" w:styleId="368">
    <w:name w:val="样式 样式 第六行 + 左侧:  -2 字符 段前: 2 行 + 左侧:  -10 字符 段前: 2 行"/>
    <w:basedOn w:val="369"/>
    <w:qFormat/>
    <w:uiPriority w:val="0"/>
    <w:pPr>
      <w:ind w:left="-1100" w:leftChars="-1100"/>
    </w:pPr>
  </w:style>
  <w:style w:type="paragraph" w:customStyle="1" w:styleId="369">
    <w:name w:val="样式 第六行 + 左侧:  -2 字符 段前: 2 行"/>
    <w:basedOn w:val="370"/>
    <w:qFormat/>
    <w:uiPriority w:val="0"/>
    <w:pPr>
      <w:ind w:left="-1000" w:leftChars="-1000"/>
    </w:pPr>
  </w:style>
  <w:style w:type="paragraph" w:customStyle="1" w:styleId="370">
    <w:name w:val="第六行"/>
    <w:basedOn w:val="332"/>
    <w:qFormat/>
    <w:uiPriority w:val="0"/>
    <w:pPr>
      <w:ind w:left="-200" w:leftChars="-200"/>
    </w:pPr>
  </w:style>
  <w:style w:type="paragraph" w:customStyle="1" w:styleId="371">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sz w:val="22"/>
    </w:rPr>
  </w:style>
  <w:style w:type="paragraph" w:customStyle="1" w:styleId="372">
    <w:name w:val="xl27"/>
    <w:basedOn w:val="1"/>
    <w:qFormat/>
    <w:uiPriority w:val="0"/>
    <w:pPr>
      <w:spacing w:before="100" w:beforeAutospacing="1" w:after="100" w:afterAutospacing="1"/>
    </w:pPr>
    <w:rPr>
      <w:rFonts w:ascii="宋体" w:hAnsi="宋体"/>
      <w:sz w:val="22"/>
    </w:rPr>
  </w:style>
  <w:style w:type="paragraph" w:customStyle="1" w:styleId="373">
    <w:name w:val="横表名"/>
    <w:basedOn w:val="1"/>
    <w:qFormat/>
    <w:uiPriority w:val="0"/>
    <w:pPr>
      <w:widowControl w:val="0"/>
      <w:spacing w:beforeLines="50" w:line="360" w:lineRule="auto"/>
      <w:jc w:val="center"/>
    </w:pPr>
    <w:rPr>
      <w:rFonts w:ascii="宋体"/>
      <w:b/>
      <w:kern w:val="2"/>
      <w:sz w:val="21"/>
    </w:rPr>
  </w:style>
  <w:style w:type="paragraph" w:customStyle="1" w:styleId="374">
    <w:name w:val="GW-标题7"/>
    <w:basedOn w:val="294"/>
    <w:next w:val="1"/>
    <w:qFormat/>
    <w:uiPriority w:val="0"/>
    <w:pPr>
      <w:outlineLvl w:val="6"/>
    </w:pPr>
    <w:rPr>
      <w:sz w:val="21"/>
    </w:rPr>
  </w:style>
  <w:style w:type="paragraph" w:customStyle="1" w:styleId="375">
    <w:name w:val="样式 样式 样式 第六行 + 左侧:  -2 字符 段前: 2 行 + 左侧:  -10 字符 段前: 2 行 + 左侧:  -..."/>
    <w:basedOn w:val="368"/>
    <w:qFormat/>
    <w:uiPriority w:val="0"/>
    <w:pPr>
      <w:ind w:left="-1200" w:leftChars="-1200"/>
    </w:pPr>
  </w:style>
  <w:style w:type="paragraph" w:customStyle="1" w:styleId="376">
    <w:name w:val="样式 正文缩进正文（首行缩进两字）表正文正文非缩进特点四号特点标题ALT+Z正文文本缩进 Char正文文字缩进..."/>
    <w:basedOn w:val="5"/>
    <w:qFormat/>
    <w:uiPriority w:val="0"/>
    <w:pPr>
      <w:spacing w:before="60" w:after="60"/>
      <w:ind w:firstLine="0"/>
    </w:pPr>
    <w:rPr>
      <w:rFonts w:ascii="宋体" w:hAnsi="宋体" w:cs="宋体"/>
      <w:sz w:val="28"/>
    </w:rPr>
  </w:style>
  <w:style w:type="paragraph" w:customStyle="1" w:styleId="377">
    <w:name w:val="Char Char11"/>
    <w:basedOn w:val="1"/>
    <w:qFormat/>
    <w:uiPriority w:val="0"/>
    <w:pPr>
      <w:widowControl w:val="0"/>
      <w:spacing w:beforeLines="50" w:afterLines="50"/>
      <w:jc w:val="both"/>
    </w:pPr>
    <w:rPr>
      <w:rFonts w:ascii="Tahoma" w:hAnsi="Tahoma"/>
      <w:kern w:val="2"/>
      <w:sz w:val="24"/>
    </w:rPr>
  </w:style>
  <w:style w:type="paragraph" w:customStyle="1" w:styleId="378">
    <w:name w:val="font8"/>
    <w:basedOn w:val="1"/>
    <w:qFormat/>
    <w:uiPriority w:val="0"/>
    <w:pPr>
      <w:spacing w:before="100" w:beforeAutospacing="1" w:after="100" w:afterAutospacing="1"/>
    </w:pPr>
    <w:rPr>
      <w:rFonts w:ascii="宋体" w:hAnsi="宋体"/>
      <w:color w:val="000000"/>
      <w:sz w:val="22"/>
    </w:rPr>
  </w:style>
  <w:style w:type="paragraph" w:customStyle="1" w:styleId="379">
    <w:name w:val="font7"/>
    <w:basedOn w:val="1"/>
    <w:qFormat/>
    <w:uiPriority w:val="0"/>
    <w:pPr>
      <w:spacing w:before="100" w:beforeAutospacing="1" w:after="100" w:afterAutospacing="1"/>
    </w:pPr>
    <w:rPr>
      <w:rFonts w:eastAsia="Arial Unicode MS"/>
    </w:rPr>
  </w:style>
  <w:style w:type="paragraph" w:customStyle="1" w:styleId="380">
    <w:name w:val="表格文字图表文字"/>
    <w:basedOn w:val="1"/>
    <w:qFormat/>
    <w:uiPriority w:val="0"/>
    <w:pPr>
      <w:widowControl w:val="0"/>
      <w:snapToGrid w:val="0"/>
      <w:jc w:val="center"/>
    </w:pPr>
    <w:rPr>
      <w:kern w:val="2"/>
      <w:sz w:val="21"/>
    </w:rPr>
  </w:style>
  <w:style w:type="paragraph" w:customStyle="1" w:styleId="381">
    <w:name w:val="xl84"/>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82">
    <w:name w:val="Char1 Char Char Char1"/>
    <w:basedOn w:val="1"/>
    <w:qFormat/>
    <w:uiPriority w:val="0"/>
    <w:pPr>
      <w:widowControl w:val="0"/>
      <w:spacing w:line="360" w:lineRule="auto"/>
    </w:pPr>
    <w:rPr>
      <w:rFonts w:eastAsia="仿宋_GB2312"/>
      <w:b/>
      <w:kern w:val="2"/>
      <w:sz w:val="32"/>
    </w:rPr>
  </w:style>
  <w:style w:type="paragraph" w:customStyle="1" w:styleId="383">
    <w:name w:val="样式 标题 2 + Times New Roman 四号 非加粗 段前: 5 磅 段后: 0 磅 行距: 固定值 20..."/>
    <w:basedOn w:val="4"/>
    <w:qFormat/>
    <w:uiPriority w:val="0"/>
    <w:pPr>
      <w:widowControl w:val="0"/>
      <w:spacing w:before="100" w:line="400" w:lineRule="exact"/>
      <w:jc w:val="both"/>
    </w:pPr>
    <w:rPr>
      <w:rFonts w:ascii="Times New Roman" w:hAnsi="Times New Roman" w:eastAsia="黑体" w:cs="宋体"/>
      <w:b w:val="0"/>
      <w:bCs w:val="0"/>
      <w:color w:val="auto"/>
      <w:sz w:val="28"/>
      <w:szCs w:val="20"/>
    </w:rPr>
  </w:style>
  <w:style w:type="paragraph" w:customStyle="1" w:styleId="384">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sz w:val="22"/>
    </w:rPr>
  </w:style>
  <w:style w:type="paragraph" w:customStyle="1" w:styleId="385">
    <w:name w:val="xl89"/>
    <w:basedOn w:val="1"/>
    <w:qFormat/>
    <w:uiPriority w:val="0"/>
    <w:pPr>
      <w:spacing w:before="100" w:beforeAutospacing="1" w:after="100" w:afterAutospacing="1"/>
      <w:jc w:val="center"/>
      <w:textAlignment w:val="center"/>
    </w:pPr>
    <w:rPr>
      <w:rFonts w:ascii="黑体" w:hAnsi="宋体" w:eastAsia="黑体" w:cs="宋体"/>
      <w:b/>
      <w:bCs/>
      <w:sz w:val="44"/>
      <w:szCs w:val="44"/>
    </w:rPr>
  </w:style>
  <w:style w:type="paragraph" w:customStyle="1" w:styleId="386">
    <w:name w:val="样式 第五行 + 左侧:  -8 字符 段前: 2 行1"/>
    <w:basedOn w:val="289"/>
    <w:qFormat/>
    <w:uiPriority w:val="0"/>
    <w:pPr>
      <w:ind w:left="-300" w:leftChars="-300"/>
    </w:pPr>
  </w:style>
  <w:style w:type="paragraph" w:customStyle="1" w:styleId="387">
    <w:name w:val="公表文"/>
    <w:basedOn w:val="1"/>
    <w:qFormat/>
    <w:uiPriority w:val="0"/>
    <w:pPr>
      <w:widowControl w:val="0"/>
      <w:adjustRightInd w:val="0"/>
      <w:snapToGrid w:val="0"/>
      <w:spacing w:beforeLines="30" w:afterLines="30"/>
      <w:jc w:val="center"/>
    </w:pPr>
    <w:rPr>
      <w:rFonts w:ascii="宋体" w:hAnsi="宋体" w:eastAsia="楷体_GB2312"/>
      <w:kern w:val="2"/>
      <w:sz w:val="21"/>
    </w:rPr>
  </w:style>
  <w:style w:type="paragraph" w:customStyle="1" w:styleId="388">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2"/>
    </w:rPr>
  </w:style>
  <w:style w:type="paragraph" w:customStyle="1" w:styleId="389">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2"/>
    </w:rPr>
  </w:style>
  <w:style w:type="paragraph" w:customStyle="1" w:styleId="390">
    <w:name w:val="GW-标题9"/>
    <w:basedOn w:val="391"/>
    <w:qFormat/>
    <w:uiPriority w:val="0"/>
    <w:pPr>
      <w:tabs>
        <w:tab w:val="left" w:pos="432"/>
      </w:tabs>
    </w:pPr>
  </w:style>
  <w:style w:type="paragraph" w:customStyle="1" w:styleId="391">
    <w:name w:val="GW-标题8"/>
    <w:basedOn w:val="374"/>
    <w:qFormat/>
    <w:uiPriority w:val="0"/>
    <w:pPr>
      <w:ind w:left="420" w:hanging="420"/>
    </w:pPr>
    <w:rPr>
      <w:b w:val="0"/>
    </w:rPr>
  </w:style>
  <w:style w:type="paragraph" w:customStyle="1" w:styleId="392">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sz w:val="26"/>
    </w:rPr>
  </w:style>
  <w:style w:type="paragraph" w:customStyle="1" w:styleId="393">
    <w:name w:val="Char Char Char Char Char Char Char1"/>
    <w:basedOn w:val="1"/>
    <w:qFormat/>
    <w:uiPriority w:val="0"/>
    <w:pPr>
      <w:widowControl w:val="0"/>
      <w:jc w:val="both"/>
    </w:pPr>
    <w:rPr>
      <w:rFonts w:ascii="仿宋_GB2312" w:eastAsia="黑体"/>
      <w:b/>
      <w:kern w:val="2"/>
      <w:sz w:val="32"/>
    </w:rPr>
  </w:style>
  <w:style w:type="paragraph" w:customStyle="1" w:styleId="394">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sz w:val="22"/>
    </w:rPr>
  </w:style>
  <w:style w:type="paragraph" w:customStyle="1" w:styleId="395">
    <w:name w:val="表"/>
    <w:basedOn w:val="1"/>
    <w:qFormat/>
    <w:uiPriority w:val="0"/>
    <w:pPr>
      <w:widowControl w:val="0"/>
      <w:spacing w:line="440" w:lineRule="exact"/>
      <w:jc w:val="center"/>
    </w:pPr>
    <w:rPr>
      <w:rFonts w:ascii="仿宋_GB2312" w:eastAsia="仿宋_GB2312"/>
      <w:kern w:val="2"/>
      <w:sz w:val="21"/>
    </w:rPr>
  </w:style>
  <w:style w:type="paragraph" w:customStyle="1" w:styleId="39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97">
    <w:name w:val="样式 标题 2 + 居中1"/>
    <w:basedOn w:val="4"/>
    <w:qFormat/>
    <w:uiPriority w:val="0"/>
    <w:pPr>
      <w:widowControl w:val="0"/>
      <w:tabs>
        <w:tab w:val="left" w:pos="4725"/>
      </w:tabs>
      <w:spacing w:before="260" w:after="260" w:line="413" w:lineRule="auto"/>
      <w:ind w:left="4725" w:hanging="420"/>
    </w:pPr>
    <w:rPr>
      <w:rFonts w:ascii="Arial" w:hAnsi="Arial" w:eastAsia="黑体"/>
      <w:b w:val="0"/>
      <w:bCs w:val="0"/>
      <w:kern w:val="2"/>
      <w:sz w:val="32"/>
      <w:szCs w:val="20"/>
    </w:rPr>
  </w:style>
  <w:style w:type="paragraph" w:customStyle="1" w:styleId="398">
    <w:name w:val="Char11"/>
    <w:basedOn w:val="1"/>
    <w:qFormat/>
    <w:uiPriority w:val="0"/>
    <w:pPr>
      <w:spacing w:after="160" w:line="240" w:lineRule="exact"/>
    </w:pPr>
    <w:rPr>
      <w:rFonts w:ascii="Tahoma" w:hAnsi="Tahoma"/>
      <w:sz w:val="24"/>
      <w:szCs w:val="24"/>
      <w:lang w:eastAsia="en-US"/>
    </w:rPr>
  </w:style>
  <w:style w:type="paragraph" w:customStyle="1" w:styleId="399">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rPr>
  </w:style>
  <w:style w:type="paragraph" w:customStyle="1" w:styleId="400">
    <w:name w:val="xl71"/>
    <w:basedOn w:val="1"/>
    <w:qFormat/>
    <w:uiPriority w:val="0"/>
    <w:pPr>
      <w:pBdr>
        <w:top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401">
    <w:name w:val="第1行"/>
    <w:basedOn w:val="1"/>
    <w:qFormat/>
    <w:uiPriority w:val="0"/>
    <w:pPr>
      <w:widowControl w:val="0"/>
      <w:tabs>
        <w:tab w:val="left" w:pos="927"/>
      </w:tabs>
      <w:snapToGrid w:val="0"/>
      <w:spacing w:line="460" w:lineRule="exact"/>
      <w:ind w:firstLine="567"/>
      <w:jc w:val="both"/>
    </w:pPr>
    <w:rPr>
      <w:rFonts w:ascii="宋体" w:hAnsi="宋体"/>
      <w:kern w:val="2"/>
      <w:sz w:val="21"/>
    </w:rPr>
  </w:style>
  <w:style w:type="paragraph" w:customStyle="1" w:styleId="402">
    <w:name w:val="样式 标题 4 + 行距: 单倍行距1"/>
    <w:basedOn w:val="7"/>
    <w:qFormat/>
    <w:uiPriority w:val="0"/>
    <w:pPr>
      <w:widowControl w:val="0"/>
      <w:tabs>
        <w:tab w:val="left" w:pos="567"/>
        <w:tab w:val="left" w:pos="1080"/>
      </w:tabs>
      <w:adjustRightInd w:val="0"/>
      <w:snapToGrid w:val="0"/>
      <w:spacing w:before="280" w:after="290"/>
      <w:ind w:left="113" w:hanging="45"/>
      <w:jc w:val="both"/>
    </w:pPr>
    <w:rPr>
      <w:rFonts w:eastAsia="黑体"/>
      <w:b w:val="0"/>
      <w:kern w:val="2"/>
      <w:sz w:val="28"/>
    </w:rPr>
  </w:style>
  <w:style w:type="paragraph" w:customStyle="1" w:styleId="403">
    <w:name w:val="表格文字"/>
    <w:basedOn w:val="380"/>
    <w:qFormat/>
    <w:uiPriority w:val="0"/>
  </w:style>
  <w:style w:type="paragraph" w:customStyle="1" w:styleId="404">
    <w:name w:val="样式 标题 3h3Level 3 HeadH3Heading 3 - oldlevel_3PIM 3BOD 0s...1"/>
    <w:basedOn w:val="6"/>
    <w:qFormat/>
    <w:uiPriority w:val="0"/>
    <w:pPr>
      <w:numPr>
        <w:ilvl w:val="0"/>
        <w:numId w:val="0"/>
      </w:numPr>
      <w:tabs>
        <w:tab w:val="clear" w:pos="720"/>
      </w:tabs>
      <w:spacing w:before="100" w:beforeAutospacing="1" w:after="100" w:afterAutospacing="1" w:line="640" w:lineRule="exact"/>
      <w:ind w:left="675" w:right="210" w:rightChars="100" w:hanging="315"/>
      <w:jc w:val="left"/>
    </w:pPr>
    <w:rPr>
      <w:rFonts w:ascii="Calibri" w:hAnsi="Calibri"/>
      <w:bCs/>
      <w:kern w:val="2"/>
      <w:sz w:val="28"/>
    </w:rPr>
  </w:style>
  <w:style w:type="paragraph" w:customStyle="1" w:styleId="405">
    <w:name w:val="xl98"/>
    <w:basedOn w:val="1"/>
    <w:qFormat/>
    <w:uiPriority w:val="0"/>
    <w:pPr>
      <w:pBdr>
        <w:top w:val="single" w:color="auto" w:sz="4" w:space="0"/>
        <w:left w:val="single" w:color="auto" w:sz="4" w:space="0"/>
        <w:bottom w:val="single" w:color="auto" w:sz="4" w:space="0"/>
      </w:pBdr>
      <w:shd w:val="clear" w:color="000000" w:fill="CCCCFF"/>
      <w:spacing w:before="100" w:beforeAutospacing="1" w:after="100" w:afterAutospacing="1"/>
    </w:pPr>
    <w:rPr>
      <w:rFonts w:ascii="华文中宋" w:hAnsi="华文中宋" w:eastAsia="华文中宋" w:cs="宋体"/>
      <w:b/>
      <w:bCs/>
    </w:rPr>
  </w:style>
  <w:style w:type="paragraph" w:customStyle="1" w:styleId="406">
    <w:name w:val="编号-1"/>
    <w:basedOn w:val="1"/>
    <w:qFormat/>
    <w:uiPriority w:val="0"/>
    <w:pPr>
      <w:widowControl w:val="0"/>
      <w:adjustRightInd w:val="0"/>
      <w:snapToGrid w:val="0"/>
      <w:spacing w:line="520" w:lineRule="exact"/>
      <w:jc w:val="both"/>
    </w:pPr>
    <w:rPr>
      <w:rFonts w:eastAsia="黑体"/>
      <w:kern w:val="2"/>
      <w:sz w:val="24"/>
    </w:rPr>
  </w:style>
  <w:style w:type="paragraph" w:customStyle="1" w:styleId="407">
    <w:name w:val="xl3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sz w:val="22"/>
    </w:rPr>
  </w:style>
  <w:style w:type="paragraph" w:customStyle="1" w:styleId="408">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09">
    <w:name w:val="Char3 Char Char Char"/>
    <w:basedOn w:val="1"/>
    <w:qFormat/>
    <w:uiPriority w:val="0"/>
    <w:pPr>
      <w:spacing w:after="160" w:line="240" w:lineRule="exact"/>
    </w:pPr>
    <w:rPr>
      <w:rFonts w:ascii="Verdana" w:hAnsi="Verdana"/>
      <w:lang w:eastAsia="en-US"/>
    </w:rPr>
  </w:style>
  <w:style w:type="paragraph" w:customStyle="1" w:styleId="410">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411">
    <w:name w:val="Char1 Char Char1 Char1"/>
    <w:basedOn w:val="1"/>
    <w:qFormat/>
    <w:uiPriority w:val="0"/>
    <w:pPr>
      <w:widowControl w:val="0"/>
      <w:jc w:val="both"/>
    </w:pPr>
    <w:rPr>
      <w:rFonts w:ascii="仿宋_GB2312" w:eastAsia="仿宋_GB2312"/>
      <w:b/>
      <w:kern w:val="2"/>
      <w:sz w:val="32"/>
    </w:rPr>
  </w:style>
  <w:style w:type="paragraph" w:customStyle="1" w:styleId="412">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both"/>
    </w:pPr>
    <w:rPr>
      <w:rFonts w:ascii="宋体" w:hAnsi="宋体"/>
      <w:b/>
      <w:sz w:val="22"/>
    </w:rPr>
  </w:style>
  <w:style w:type="paragraph" w:customStyle="1" w:styleId="413">
    <w:name w:val="菲页(卷)"/>
    <w:basedOn w:val="3"/>
    <w:next w:val="408"/>
    <w:qFormat/>
    <w:uiPriority w:val="0"/>
    <w:pPr>
      <w:outlineLvl w:val="1"/>
    </w:pPr>
  </w:style>
  <w:style w:type="paragraph" w:customStyle="1" w:styleId="414">
    <w:name w:val="一级条标题"/>
    <w:basedOn w:val="1"/>
    <w:next w:val="1"/>
    <w:semiHidden/>
    <w:qFormat/>
    <w:uiPriority w:val="0"/>
    <w:pPr>
      <w:tabs>
        <w:tab w:val="left" w:pos="1260"/>
      </w:tabs>
      <w:ind w:left="1260" w:hanging="420"/>
      <w:jc w:val="both"/>
      <w:outlineLvl w:val="2"/>
    </w:pPr>
    <w:rPr>
      <w:rFonts w:ascii="黑体" w:eastAsia="黑体"/>
      <w:sz w:val="21"/>
    </w:rPr>
  </w:style>
  <w:style w:type="paragraph" w:customStyle="1" w:styleId="415">
    <w:name w:val="xl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2"/>
    </w:rPr>
  </w:style>
  <w:style w:type="paragraph" w:customStyle="1" w:styleId="416">
    <w:name w:val="样式 样式 样式 第四行 + 左侧:  -4 字符 段前: 2 行 + 左侧:  -3 字符 段前: 2 行 + 左侧:  -2..."/>
    <w:basedOn w:val="417"/>
    <w:qFormat/>
    <w:uiPriority w:val="0"/>
    <w:pPr>
      <w:ind w:left="0" w:leftChars="0"/>
    </w:pPr>
  </w:style>
  <w:style w:type="paragraph" w:customStyle="1" w:styleId="417">
    <w:name w:val="样式 样式 第四行 + 左侧:  -4 字符 段前: 2 行 + 左侧:  -3 字符 段前: 2 行"/>
    <w:basedOn w:val="360"/>
    <w:qFormat/>
    <w:uiPriority w:val="0"/>
    <w:pPr>
      <w:ind w:left="-200" w:leftChars="-200"/>
    </w:pPr>
  </w:style>
  <w:style w:type="paragraph" w:customStyle="1" w:styleId="418">
    <w:name w:val="第一行"/>
    <w:basedOn w:val="1"/>
    <w:qFormat/>
    <w:uiPriority w:val="0"/>
    <w:pPr>
      <w:widowControl w:val="0"/>
      <w:spacing w:beforeLines="100" w:line="360" w:lineRule="auto"/>
      <w:jc w:val="center"/>
    </w:pPr>
    <w:rPr>
      <w:rFonts w:ascii="宋体"/>
      <w:b/>
      <w:kern w:val="2"/>
      <w:sz w:val="32"/>
    </w:rPr>
  </w:style>
  <w:style w:type="paragraph" w:customStyle="1" w:styleId="419">
    <w:name w:val="表中"/>
    <w:basedOn w:val="1"/>
    <w:qFormat/>
    <w:uiPriority w:val="0"/>
    <w:pPr>
      <w:widowControl w:val="0"/>
      <w:tabs>
        <w:tab w:val="left" w:pos="480"/>
      </w:tabs>
      <w:autoSpaceDE w:val="0"/>
      <w:autoSpaceDN w:val="0"/>
      <w:adjustRightInd w:val="0"/>
      <w:spacing w:before="100" w:beforeAutospacing="1" w:after="100" w:afterAutospacing="1"/>
      <w:jc w:val="center"/>
    </w:pPr>
    <w:rPr>
      <w:sz w:val="21"/>
    </w:rPr>
  </w:style>
  <w:style w:type="paragraph" w:customStyle="1" w:styleId="420">
    <w:name w:val="适中"/>
    <w:basedOn w:val="4"/>
    <w:qFormat/>
    <w:uiPriority w:val="0"/>
    <w:pPr>
      <w:keepLines w:val="0"/>
      <w:numPr>
        <w:ilvl w:val="0"/>
        <w:numId w:val="4"/>
      </w:numPr>
      <w:tabs>
        <w:tab w:val="clear" w:pos="720"/>
      </w:tabs>
      <w:autoSpaceDE w:val="0"/>
      <w:autoSpaceDN w:val="0"/>
      <w:spacing w:before="120" w:after="60"/>
      <w:ind w:left="0" w:firstLine="0"/>
      <w:jc w:val="both"/>
      <w:outlineLvl w:val="9"/>
    </w:pPr>
    <w:rPr>
      <w:rFonts w:ascii="Times New Roman" w:hAnsi="Times New Roman"/>
      <w:bCs w:val="0"/>
      <w:color w:val="auto"/>
      <w:spacing w:val="10"/>
      <w:kern w:val="28"/>
      <w:sz w:val="24"/>
      <w:szCs w:val="20"/>
      <w:lang w:val="en-GB"/>
    </w:rPr>
  </w:style>
  <w:style w:type="paragraph" w:customStyle="1" w:styleId="421">
    <w:name w:val="xl72"/>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42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2"/>
    </w:rPr>
  </w:style>
  <w:style w:type="paragraph" w:customStyle="1" w:styleId="423">
    <w:name w:val="1"/>
    <w:basedOn w:val="1"/>
    <w:next w:val="1"/>
    <w:qFormat/>
    <w:uiPriority w:val="0"/>
    <w:pPr>
      <w:widowControl w:val="0"/>
      <w:adjustRightInd w:val="0"/>
      <w:snapToGrid w:val="0"/>
      <w:spacing w:beforeLines="50" w:afterLines="50"/>
      <w:ind w:firstLine="200" w:firstLineChars="200"/>
      <w:jc w:val="both"/>
    </w:pPr>
    <w:rPr>
      <w:rFonts w:ascii="Tahoma" w:hAnsi="Tahoma"/>
      <w:kern w:val="2"/>
      <w:sz w:val="21"/>
    </w:rPr>
  </w:style>
  <w:style w:type="paragraph" w:customStyle="1" w:styleId="424">
    <w:name w:val="论文正文"/>
    <w:basedOn w:val="1"/>
    <w:qFormat/>
    <w:uiPriority w:val="0"/>
    <w:pPr>
      <w:widowControl w:val="0"/>
      <w:spacing w:line="360" w:lineRule="auto"/>
      <w:ind w:firstLine="200" w:firstLineChars="200"/>
      <w:jc w:val="both"/>
    </w:pPr>
    <w:rPr>
      <w:rFonts w:eastAsia="华文中宋"/>
      <w:bCs/>
      <w:color w:val="000000"/>
      <w:kern w:val="2"/>
      <w:sz w:val="28"/>
      <w:szCs w:val="36"/>
    </w:rPr>
  </w:style>
  <w:style w:type="paragraph" w:customStyle="1" w:styleId="425">
    <w:name w:val="xl5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sz w:val="22"/>
    </w:rPr>
  </w:style>
  <w:style w:type="paragraph" w:customStyle="1" w:styleId="426">
    <w:name w:val="样式 居中 段前: 0.5 行 段后: 0.5 行"/>
    <w:basedOn w:val="1"/>
    <w:qFormat/>
    <w:uiPriority w:val="0"/>
    <w:pPr>
      <w:widowControl w:val="0"/>
      <w:adjustRightInd w:val="0"/>
      <w:spacing w:beforeLines="50" w:afterLines="50" w:line="360" w:lineRule="auto"/>
      <w:ind w:firstLine="200" w:firstLineChars="200"/>
      <w:jc w:val="center"/>
    </w:pPr>
    <w:rPr>
      <w:b/>
      <w:kern w:val="2"/>
      <w:sz w:val="24"/>
    </w:rPr>
  </w:style>
  <w:style w:type="paragraph" w:customStyle="1" w:styleId="427">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both"/>
    </w:pPr>
    <w:rPr>
      <w:sz w:val="22"/>
    </w:rPr>
  </w:style>
  <w:style w:type="paragraph" w:customStyle="1" w:styleId="428">
    <w:name w:val="样式 五号 居中 行距: 最小值 12 磅3"/>
    <w:basedOn w:val="1"/>
    <w:qFormat/>
    <w:uiPriority w:val="0"/>
    <w:pPr>
      <w:widowControl w:val="0"/>
      <w:adjustRightInd w:val="0"/>
      <w:spacing w:line="240" w:lineRule="atLeast"/>
      <w:jc w:val="center"/>
    </w:pPr>
    <w:rPr>
      <w:kern w:val="2"/>
      <w:sz w:val="21"/>
    </w:rPr>
  </w:style>
  <w:style w:type="paragraph" w:customStyle="1" w:styleId="429">
    <w:name w:val="xl64"/>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430">
    <w:name w:val="xl3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rPr>
  </w:style>
  <w:style w:type="paragraph" w:customStyle="1" w:styleId="431">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sz w:val="22"/>
    </w:rPr>
  </w:style>
  <w:style w:type="paragraph" w:customStyle="1" w:styleId="432">
    <w:name w:val="WPS Plain"/>
    <w:qFormat/>
    <w:uiPriority w:val="0"/>
    <w:rPr>
      <w:rFonts w:ascii="Times New Roman" w:hAnsi="Times New Roman" w:eastAsia="宋体" w:cs="Times New Roman"/>
      <w:lang w:val="en-US" w:eastAsia="zh-CN" w:bidi="ar-SA"/>
    </w:rPr>
  </w:style>
  <w:style w:type="paragraph" w:customStyle="1" w:styleId="433">
    <w:name w:val="TOC 标题1"/>
    <w:basedOn w:val="3"/>
    <w:next w:val="1"/>
    <w:qFormat/>
    <w:uiPriority w:val="39"/>
    <w:pPr>
      <w:keepLines/>
      <w:numPr>
        <w:numId w:val="0"/>
      </w:numPr>
      <w:spacing w:before="340" w:after="330" w:line="578" w:lineRule="auto"/>
      <w:jc w:val="left"/>
      <w:outlineLvl w:val="9"/>
    </w:pPr>
    <w:rPr>
      <w:rFonts w:ascii="Times New Roman" w:eastAsia="宋体"/>
      <w:b/>
      <w:bCs/>
      <w:kern w:val="44"/>
      <w:sz w:val="44"/>
      <w:szCs w:val="44"/>
    </w:rPr>
  </w:style>
  <w:style w:type="paragraph" w:customStyle="1" w:styleId="434">
    <w:name w:val="目录"/>
    <w:basedOn w:val="1"/>
    <w:qFormat/>
    <w:uiPriority w:val="0"/>
    <w:pPr>
      <w:jc w:val="center"/>
    </w:pPr>
    <w:rPr>
      <w:rFonts w:ascii="宋体"/>
      <w:b/>
      <w:sz w:val="36"/>
    </w:rPr>
  </w:style>
  <w:style w:type="paragraph" w:customStyle="1" w:styleId="435">
    <w:name w:val="msolistparagraph"/>
    <w:basedOn w:val="1"/>
    <w:qFormat/>
    <w:uiPriority w:val="0"/>
    <w:pPr>
      <w:spacing w:before="100" w:beforeAutospacing="1" w:after="100" w:afterAutospacing="1"/>
    </w:pPr>
    <w:rPr>
      <w:rFonts w:hint="eastAsia" w:ascii="Arial Unicode MS" w:hAnsi="Arial Unicode MS" w:eastAsia="Arial Unicode MS"/>
      <w:sz w:val="24"/>
    </w:rPr>
  </w:style>
  <w:style w:type="paragraph" w:customStyle="1" w:styleId="436">
    <w:name w:val="Bodytext"/>
    <w:basedOn w:val="1"/>
    <w:next w:val="22"/>
    <w:qFormat/>
    <w:uiPriority w:val="0"/>
    <w:pPr>
      <w:widowControl w:val="0"/>
      <w:autoSpaceDE w:val="0"/>
      <w:autoSpaceDN w:val="0"/>
      <w:adjustRightInd w:val="0"/>
      <w:ind w:firstLine="480"/>
      <w:jc w:val="both"/>
      <w:textAlignment w:val="bottom"/>
    </w:pPr>
    <w:rPr>
      <w:rFonts w:ascii="宋体"/>
      <w:sz w:val="24"/>
    </w:rPr>
  </w:style>
  <w:style w:type="paragraph" w:customStyle="1" w:styleId="437">
    <w:name w:val="font5"/>
    <w:basedOn w:val="1"/>
    <w:qFormat/>
    <w:uiPriority w:val="0"/>
    <w:pPr>
      <w:spacing w:before="100" w:beforeAutospacing="1" w:after="100" w:afterAutospacing="1"/>
    </w:pPr>
    <w:rPr>
      <w:rFonts w:ascii="宋体" w:hAnsi="宋体"/>
      <w:sz w:val="18"/>
    </w:rPr>
  </w:style>
  <w:style w:type="paragraph" w:customStyle="1" w:styleId="438">
    <w:name w:val="xl100"/>
    <w:basedOn w:val="1"/>
    <w:qFormat/>
    <w:uiPriority w:val="0"/>
    <w:pPr>
      <w:pBdr>
        <w:top w:val="single" w:color="auto" w:sz="4" w:space="0"/>
        <w:left w:val="single" w:color="auto" w:sz="4" w:space="0"/>
        <w:bottom w:val="single" w:color="auto" w:sz="4" w:space="0"/>
      </w:pBdr>
      <w:shd w:val="clear" w:color="000000" w:fill="CCCCFF"/>
      <w:spacing w:before="100" w:beforeAutospacing="1" w:after="100" w:afterAutospacing="1"/>
      <w:jc w:val="center"/>
    </w:pPr>
    <w:rPr>
      <w:rFonts w:ascii="华文中宋" w:hAnsi="华文中宋" w:eastAsia="华文中宋" w:cs="宋体"/>
    </w:rPr>
  </w:style>
  <w:style w:type="paragraph" w:customStyle="1" w:styleId="439">
    <w:name w:val="样式 标题 3 + 段前: 0.5 行 段后: 0.5 行"/>
    <w:basedOn w:val="6"/>
    <w:qFormat/>
    <w:uiPriority w:val="0"/>
    <w:pPr>
      <w:keepNext w:val="0"/>
      <w:keepLines w:val="0"/>
      <w:widowControl w:val="0"/>
      <w:numPr>
        <w:ilvl w:val="0"/>
        <w:numId w:val="0"/>
      </w:numPr>
      <w:tabs>
        <w:tab w:val="left" w:pos="1080"/>
      </w:tabs>
      <w:adjustRightInd w:val="0"/>
      <w:spacing w:before="0" w:after="0" w:line="360" w:lineRule="auto"/>
    </w:pPr>
    <w:rPr>
      <w:kern w:val="2"/>
      <w:sz w:val="30"/>
    </w:rPr>
  </w:style>
  <w:style w:type="paragraph" w:customStyle="1" w:styleId="440">
    <w:name w:val="font10"/>
    <w:basedOn w:val="1"/>
    <w:qFormat/>
    <w:uiPriority w:val="0"/>
    <w:pPr>
      <w:spacing w:before="100" w:beforeAutospacing="1" w:after="100" w:afterAutospacing="1"/>
    </w:pPr>
    <w:rPr>
      <w:color w:val="000000"/>
      <w:sz w:val="22"/>
    </w:rPr>
  </w:style>
  <w:style w:type="paragraph" w:customStyle="1" w:styleId="441">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42">
    <w:name w:val="表格文本"/>
    <w:basedOn w:val="307"/>
    <w:next w:val="307"/>
    <w:qFormat/>
    <w:uiPriority w:val="0"/>
    <w:pPr>
      <w:spacing w:line="240" w:lineRule="auto"/>
      <w:ind w:firstLine="0" w:firstLineChars="0"/>
    </w:pPr>
  </w:style>
  <w:style w:type="paragraph" w:customStyle="1" w:styleId="443">
    <w:name w:val="Table Heading"/>
    <w:basedOn w:val="1"/>
    <w:qFormat/>
    <w:uiPriority w:val="0"/>
    <w:pPr>
      <w:jc w:val="center"/>
    </w:pPr>
    <w:rPr>
      <w:rFonts w:ascii="Arial" w:hAnsi="Arial"/>
      <w:b/>
      <w:sz w:val="18"/>
    </w:rPr>
  </w:style>
  <w:style w:type="paragraph" w:customStyle="1" w:styleId="444">
    <w:name w:val="_正文段落"/>
    <w:basedOn w:val="1"/>
    <w:qFormat/>
    <w:uiPriority w:val="0"/>
    <w:pPr>
      <w:widowControl w:val="0"/>
      <w:suppressAutoHyphens/>
      <w:spacing w:line="360" w:lineRule="auto"/>
      <w:ind w:firstLine="480"/>
      <w:jc w:val="both"/>
    </w:pPr>
    <w:rPr>
      <w:rFonts w:ascii="宋体" w:hAnsi="宋体" w:cs="宋体"/>
      <w:kern w:val="1"/>
      <w:sz w:val="24"/>
      <w:szCs w:val="24"/>
    </w:rPr>
  </w:style>
  <w:style w:type="paragraph" w:customStyle="1" w:styleId="445">
    <w:name w:val="Char1 Char Char Char"/>
    <w:basedOn w:val="1"/>
    <w:qFormat/>
    <w:uiPriority w:val="0"/>
    <w:pPr>
      <w:widowControl w:val="0"/>
      <w:spacing w:line="360" w:lineRule="auto"/>
    </w:pPr>
    <w:rPr>
      <w:rFonts w:eastAsia="仿宋_GB2312"/>
      <w:b/>
      <w:kern w:val="2"/>
      <w:sz w:val="32"/>
    </w:rPr>
  </w:style>
  <w:style w:type="paragraph" w:customStyle="1" w:styleId="446">
    <w:name w:val="Char1"/>
    <w:basedOn w:val="1"/>
    <w:qFormat/>
    <w:uiPriority w:val="0"/>
    <w:pPr>
      <w:spacing w:after="160" w:line="240" w:lineRule="exact"/>
    </w:pPr>
    <w:rPr>
      <w:rFonts w:ascii="Verdana" w:hAnsi="Verdana" w:eastAsia="仿宋_GB2312"/>
      <w:sz w:val="24"/>
      <w:lang w:eastAsia="en-US"/>
    </w:rPr>
  </w:style>
  <w:style w:type="paragraph" w:customStyle="1" w:styleId="447">
    <w:name w:val="Table Body"/>
    <w:basedOn w:val="1"/>
    <w:qFormat/>
    <w:uiPriority w:val="0"/>
    <w:pPr>
      <w:jc w:val="center"/>
    </w:pPr>
    <w:rPr>
      <w:rFonts w:ascii="Arial" w:hAnsi="Arial"/>
      <w:snapToGrid w:val="0"/>
      <w:sz w:val="18"/>
    </w:rPr>
  </w:style>
  <w:style w:type="paragraph" w:customStyle="1" w:styleId="448">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449">
    <w:name w:val="font1"/>
    <w:basedOn w:val="1"/>
    <w:qFormat/>
    <w:uiPriority w:val="0"/>
    <w:pPr>
      <w:spacing w:before="100" w:beforeAutospacing="1" w:after="100" w:afterAutospacing="1"/>
    </w:pPr>
    <w:rPr>
      <w:rFonts w:hint="eastAsia" w:ascii="宋体" w:hAnsi="宋体"/>
      <w:sz w:val="24"/>
    </w:rPr>
  </w:style>
  <w:style w:type="paragraph" w:customStyle="1" w:styleId="450">
    <w:name w:val="CM95"/>
    <w:basedOn w:val="336"/>
    <w:next w:val="336"/>
    <w:qFormat/>
    <w:uiPriority w:val="0"/>
    <w:pPr>
      <w:spacing w:after="115"/>
    </w:pPr>
    <w:rPr>
      <w:rFonts w:hAnsi="Times New Roman"/>
      <w:color w:val="auto"/>
      <w:szCs w:val="24"/>
    </w:rPr>
  </w:style>
  <w:style w:type="paragraph" w:customStyle="1" w:styleId="451">
    <w:name w:val="xl102"/>
    <w:basedOn w:val="1"/>
    <w:qFormat/>
    <w:uiPriority w:val="0"/>
    <w:pPr>
      <w:pBdr>
        <w:top w:val="single" w:color="auto" w:sz="4" w:space="0"/>
        <w:bottom w:val="single" w:color="auto" w:sz="4" w:space="0"/>
        <w:right w:val="single" w:color="auto" w:sz="4" w:space="0"/>
      </w:pBdr>
      <w:shd w:val="clear" w:color="000000" w:fill="CCCCFF"/>
      <w:spacing w:before="100" w:beforeAutospacing="1" w:after="100" w:afterAutospacing="1"/>
      <w:jc w:val="center"/>
    </w:pPr>
    <w:rPr>
      <w:rFonts w:ascii="华文中宋" w:hAnsi="华文中宋" w:eastAsia="华文中宋" w:cs="宋体"/>
    </w:rPr>
  </w:style>
  <w:style w:type="paragraph" w:customStyle="1" w:styleId="452">
    <w:name w:val="菲页1"/>
    <w:basedOn w:val="4"/>
    <w:qFormat/>
    <w:uiPriority w:val="0"/>
    <w:rPr>
      <w:rFonts w:ascii="黑体"/>
      <w:b w:val="0"/>
      <w:sz w:val="52"/>
    </w:rPr>
  </w:style>
  <w:style w:type="paragraph" w:customStyle="1" w:styleId="453">
    <w:name w:val="Char Char Char Char"/>
    <w:basedOn w:val="1"/>
    <w:next w:val="1"/>
    <w:qFormat/>
    <w:uiPriority w:val="0"/>
    <w:pPr>
      <w:widowControl w:val="0"/>
      <w:jc w:val="both"/>
    </w:pPr>
    <w:rPr>
      <w:kern w:val="2"/>
      <w:sz w:val="21"/>
    </w:rPr>
  </w:style>
  <w:style w:type="paragraph" w:customStyle="1" w:styleId="454">
    <w:name w:val="样式 标题 2 + 仿宋_GB2312"/>
    <w:basedOn w:val="4"/>
    <w:qFormat/>
    <w:uiPriority w:val="0"/>
    <w:pPr>
      <w:widowControl w:val="0"/>
      <w:tabs>
        <w:tab w:val="left" w:pos="1320"/>
      </w:tabs>
      <w:spacing w:before="240" w:after="240" w:line="300" w:lineRule="auto"/>
      <w:ind w:left="1320" w:hanging="420"/>
    </w:pPr>
    <w:rPr>
      <w:rFonts w:ascii="仿宋_GB2312" w:hAnsi="仿宋_GB2312" w:eastAsia="仿宋_GB2312"/>
      <w:b w:val="0"/>
      <w:bCs w:val="0"/>
      <w:kern w:val="2"/>
      <w:sz w:val="32"/>
      <w:szCs w:val="20"/>
    </w:rPr>
  </w:style>
  <w:style w:type="paragraph" w:customStyle="1" w:styleId="455">
    <w:name w:val="xl5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both"/>
    </w:pPr>
    <w:rPr>
      <w:rFonts w:ascii="宋体" w:hAnsi="宋体"/>
      <w:sz w:val="22"/>
    </w:rPr>
  </w:style>
  <w:style w:type="paragraph" w:customStyle="1" w:styleId="456">
    <w:name w:val="横表格"/>
    <w:basedOn w:val="373"/>
    <w:qFormat/>
    <w:uiPriority w:val="0"/>
    <w:pPr>
      <w:spacing w:beforeLines="0" w:line="240" w:lineRule="auto"/>
    </w:pPr>
    <w:rPr>
      <w:b w:val="0"/>
    </w:rPr>
  </w:style>
  <w:style w:type="paragraph" w:customStyle="1" w:styleId="457">
    <w:name w:val="航道工可"/>
    <w:basedOn w:val="1"/>
    <w:qFormat/>
    <w:uiPriority w:val="0"/>
    <w:pPr>
      <w:widowControl w:val="0"/>
      <w:ind w:firstLine="200" w:firstLineChars="200"/>
      <w:jc w:val="both"/>
    </w:pPr>
    <w:rPr>
      <w:kern w:val="2"/>
      <w:sz w:val="28"/>
      <w:szCs w:val="24"/>
    </w:rPr>
  </w:style>
  <w:style w:type="paragraph" w:customStyle="1" w:styleId="45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459">
    <w:name w:val="样式 样式 样式 样式 第六行 + 左侧:  -2 字符 段前: 2 行 + 左侧:  -10 字符 段前: 2 行 + 左侧:..."/>
    <w:basedOn w:val="375"/>
    <w:qFormat/>
    <w:uiPriority w:val="0"/>
    <w:pPr>
      <w:ind w:left="-1000" w:leftChars="-1000"/>
    </w:pPr>
  </w:style>
  <w:style w:type="paragraph" w:customStyle="1" w:styleId="460">
    <w:name w:val="xl79"/>
    <w:basedOn w:val="1"/>
    <w:qFormat/>
    <w:uiPriority w:val="0"/>
    <w:pPr>
      <w:pBdr>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461">
    <w:name w:val="Char12"/>
    <w:basedOn w:val="1"/>
    <w:qFormat/>
    <w:uiPriority w:val="0"/>
    <w:pPr>
      <w:spacing w:after="160" w:line="240" w:lineRule="exact"/>
    </w:pPr>
    <w:rPr>
      <w:rFonts w:ascii="Tahoma" w:hAnsi="Tahoma"/>
      <w:sz w:val="24"/>
      <w:szCs w:val="24"/>
      <w:lang w:eastAsia="en-US"/>
    </w:rPr>
  </w:style>
  <w:style w:type="paragraph" w:customStyle="1" w:styleId="462">
    <w:name w:val="liminaire"/>
    <w:basedOn w:val="1"/>
    <w:qFormat/>
    <w:uiPriority w:val="0"/>
    <w:pPr>
      <w:spacing w:before="120" w:after="120"/>
      <w:jc w:val="both"/>
    </w:pPr>
    <w:rPr>
      <w:sz w:val="24"/>
      <w:lang w:val="en-GB"/>
    </w:rPr>
  </w:style>
  <w:style w:type="paragraph" w:customStyle="1" w:styleId="463">
    <w:name w:val="xl93"/>
    <w:basedOn w:val="1"/>
    <w:qFormat/>
    <w:uiPriority w:val="0"/>
    <w:pPr>
      <w:pBdr>
        <w:top w:val="single" w:color="auto" w:sz="4" w:space="0"/>
        <w:left w:val="single" w:color="auto" w:sz="4" w:space="0"/>
        <w:bottom w:val="single" w:color="auto" w:sz="4" w:space="0"/>
      </w:pBdr>
      <w:shd w:val="clear" w:color="000000" w:fill="CCCCFF"/>
      <w:spacing w:before="100" w:beforeAutospacing="1" w:after="100" w:afterAutospacing="1"/>
    </w:pPr>
    <w:rPr>
      <w:rFonts w:ascii="华文中宋" w:hAnsi="华文中宋" w:eastAsia="华文中宋" w:cs="宋体"/>
      <w:b/>
      <w:bCs/>
    </w:rPr>
  </w:style>
  <w:style w:type="paragraph" w:customStyle="1" w:styleId="464">
    <w:name w:val="目录文字"/>
    <w:basedOn w:val="1"/>
    <w:qFormat/>
    <w:uiPriority w:val="0"/>
    <w:pPr>
      <w:spacing w:line="480" w:lineRule="auto"/>
    </w:pPr>
    <w:rPr>
      <w:rFonts w:ascii="宋体" w:hAnsi="宋体"/>
      <w:sz w:val="24"/>
    </w:rPr>
  </w:style>
  <w:style w:type="paragraph" w:customStyle="1" w:styleId="465">
    <w:name w:val="xl5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sz w:val="22"/>
    </w:rPr>
  </w:style>
  <w:style w:type="paragraph" w:customStyle="1" w:styleId="466">
    <w:name w:val="xl1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宋体" w:hAnsi="宋体" w:cs="宋体"/>
      <w:b/>
      <w:bCs/>
    </w:rPr>
  </w:style>
  <w:style w:type="paragraph" w:customStyle="1" w:styleId="467">
    <w:name w:val="xl99"/>
    <w:basedOn w:val="1"/>
    <w:qFormat/>
    <w:uiPriority w:val="0"/>
    <w:pPr>
      <w:pBdr>
        <w:top w:val="single" w:color="auto" w:sz="4" w:space="0"/>
        <w:bottom w:val="single" w:color="auto" w:sz="4" w:space="0"/>
        <w:right w:val="single" w:color="auto" w:sz="4" w:space="0"/>
      </w:pBdr>
      <w:shd w:val="clear" w:color="000000" w:fill="CCCCFF"/>
      <w:spacing w:before="100" w:beforeAutospacing="1" w:after="100" w:afterAutospacing="1"/>
    </w:pPr>
    <w:rPr>
      <w:rFonts w:ascii="华文中宋" w:hAnsi="华文中宋" w:eastAsia="华文中宋" w:cs="宋体"/>
      <w:b/>
      <w:bCs/>
    </w:rPr>
  </w:style>
  <w:style w:type="paragraph" w:customStyle="1" w:styleId="468">
    <w:name w:val="Char Char Char Char2"/>
    <w:basedOn w:val="1"/>
    <w:next w:val="1"/>
    <w:qFormat/>
    <w:uiPriority w:val="0"/>
    <w:pPr>
      <w:widowControl w:val="0"/>
      <w:jc w:val="both"/>
    </w:pPr>
    <w:rPr>
      <w:kern w:val="2"/>
      <w:sz w:val="21"/>
    </w:rPr>
  </w:style>
  <w:style w:type="paragraph" w:customStyle="1" w:styleId="469">
    <w:name w:val="样式 标题 2 + 居中"/>
    <w:basedOn w:val="4"/>
    <w:qFormat/>
    <w:uiPriority w:val="0"/>
    <w:pPr>
      <w:widowControl w:val="0"/>
      <w:tabs>
        <w:tab w:val="left" w:pos="720"/>
      </w:tabs>
      <w:spacing w:before="260" w:after="260" w:line="300" w:lineRule="auto"/>
      <w:ind w:left="720" w:hanging="720"/>
    </w:pPr>
    <w:rPr>
      <w:rFonts w:ascii="Arial" w:hAnsi="Arial" w:eastAsia="黑体"/>
      <w:b w:val="0"/>
      <w:bCs w:val="0"/>
      <w:kern w:val="2"/>
      <w:sz w:val="32"/>
      <w:szCs w:val="20"/>
    </w:rPr>
  </w:style>
  <w:style w:type="table" w:customStyle="1" w:styleId="470">
    <w:name w:val="网格型1"/>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浅色列表1"/>
    <w:basedOn w:val="57"/>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472">
    <w:name w:val="样式 宋体 小四"/>
    <w:qFormat/>
    <w:uiPriority w:val="0"/>
    <w:rPr>
      <w:rFonts w:ascii="宋体" w:hAnsi="宋体"/>
      <w:b/>
      <w:bCs/>
      <w:sz w:val="30"/>
    </w:rPr>
  </w:style>
  <w:style w:type="paragraph" w:customStyle="1" w:styleId="473">
    <w:name w:val="WPSOffice手动目录 1"/>
    <w:qFormat/>
    <w:uiPriority w:val="0"/>
    <w:rPr>
      <w:rFonts w:asciiTheme="minorHAnsi" w:hAnsiTheme="minorHAnsi" w:eastAsiaTheme="minorEastAsia" w:cstheme="minorBidi"/>
      <w:lang w:val="en-US" w:eastAsia="zh-CN" w:bidi="ar-SA"/>
    </w:rPr>
  </w:style>
  <w:style w:type="paragraph" w:customStyle="1" w:styleId="47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7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76">
    <w:name w:val="修订2"/>
    <w:hidden/>
    <w:unhideWhenUsed/>
    <w:qFormat/>
    <w:uiPriority w:val="99"/>
    <w:rPr>
      <w:rFonts w:ascii="Times New Roman" w:hAnsi="Times New Roman" w:eastAsia="宋体" w:cs="Times New Roman"/>
      <w:lang w:val="en-US" w:eastAsia="zh-CN" w:bidi="ar-SA"/>
    </w:rPr>
  </w:style>
  <w:style w:type="paragraph" w:customStyle="1" w:styleId="477">
    <w:name w:val="修订3"/>
    <w:hidden/>
    <w:unhideWhenUsed/>
    <w:qFormat/>
    <w:uiPriority w:val="99"/>
    <w:rPr>
      <w:rFonts w:ascii="Times New Roman" w:hAnsi="Times New Roman" w:eastAsia="宋体" w:cs="Times New Roman"/>
      <w:lang w:val="en-US" w:eastAsia="zh-CN" w:bidi="ar-SA"/>
    </w:rPr>
  </w:style>
  <w:style w:type="paragraph" w:customStyle="1" w:styleId="478">
    <w:name w:val="Revision"/>
    <w:hidden/>
    <w:unhideWhenUsed/>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9167</Words>
  <Characters>52255</Characters>
  <Lines>435</Lines>
  <Paragraphs>122</Paragraphs>
  <TotalTime>9</TotalTime>
  <ScaleCrop>false</ScaleCrop>
  <LinksUpToDate>false</LinksUpToDate>
  <CharactersWithSpaces>61300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2022-02-23T08:39:00Z</dcterms:created>
  <dc:creator>1158813769@qq.com</dc:creator>
  <cp:lastModifiedBy>Coco</cp:lastModifiedBy>
  <dcterms:modified xsi:type="dcterms:W3CDTF">2023-09-18T02:54:31Z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2F96EC7B7B124E8FA9BCF346CA074E30_13</vt:lpwstr>
  </property>
</Properties>
</file>