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9A19">
      <w:pPr>
        <w:wordWrap w:val="0"/>
        <w:jc w:val="right"/>
        <w:rPr>
          <w:rFonts w:ascii="宋体" w:hAnsi="宋体"/>
          <w:b/>
          <w:color w:val="000000" w:themeColor="text1"/>
          <w:sz w:val="36"/>
          <w:szCs w:val="21"/>
          <w:highlight w:val="none"/>
          <w14:textFill>
            <w14:solidFill>
              <w14:schemeClr w14:val="tx1"/>
            </w14:solidFill>
          </w14:textFill>
        </w:rPr>
      </w:pPr>
    </w:p>
    <w:p w14:paraId="78DC34C4">
      <w:pPr>
        <w:ind w:left="-850" w:leftChars="-405" w:right="-680" w:rightChars="-324"/>
        <w:jc w:val="center"/>
        <w:rPr>
          <w:rFonts w:ascii="宋体" w:hAnsi="宋体"/>
          <w:b/>
          <w:color w:val="000000" w:themeColor="text1"/>
          <w:sz w:val="72"/>
          <w:szCs w:val="72"/>
          <w:highlight w:val="none"/>
          <w14:textFill>
            <w14:solidFill>
              <w14:schemeClr w14:val="tx1"/>
            </w14:solidFill>
          </w14:textFill>
        </w:rPr>
      </w:pPr>
      <w:bookmarkStart w:id="0" w:name="_Hlk53486556"/>
      <w:r>
        <w:rPr>
          <w:rFonts w:hint="eastAsia" w:ascii="宋体" w:hAnsi="宋体"/>
          <w:b/>
          <w:color w:val="000000" w:themeColor="text1"/>
          <w:sz w:val="48"/>
          <w:szCs w:val="28"/>
          <w:highlight w:val="none"/>
          <w14:textFill>
            <w14:solidFill>
              <w14:schemeClr w14:val="tx1"/>
            </w14:solidFill>
          </w14:textFill>
        </w:rPr>
        <w:t>2025年奥吉大厦装修及仓储场地翻新项目</w:t>
      </w:r>
    </w:p>
    <w:bookmarkEnd w:id="0"/>
    <w:p w14:paraId="081D105C">
      <w:pPr>
        <w:jc w:val="center"/>
        <w:rPr>
          <w:rFonts w:ascii="宋体" w:hAnsi="宋体"/>
          <w:b/>
          <w:sz w:val="32"/>
          <w:szCs w:val="32"/>
          <w:highlight w:val="none"/>
        </w:rPr>
      </w:pPr>
      <w:r>
        <w:rPr>
          <w:rFonts w:hint="eastAsia" w:ascii="宋体" w:hAnsi="宋体"/>
          <w:b/>
          <w:color w:val="000000" w:themeColor="text1"/>
          <w:sz w:val="32"/>
          <w:szCs w:val="32"/>
          <w:highlight w:val="none"/>
          <w14:textFill>
            <w14:solidFill>
              <w14:schemeClr w14:val="tx1"/>
            </w14:solidFill>
          </w14:textFill>
        </w:rPr>
        <w:t>项目编号：</w:t>
      </w:r>
      <w:r>
        <w:rPr>
          <w:rFonts w:hint="eastAsia" w:ascii="宋体" w:hAnsi="宋体"/>
          <w:b/>
          <w:sz w:val="32"/>
          <w:szCs w:val="32"/>
          <w:highlight w:val="none"/>
        </w:rPr>
        <w:t>招案2025-1678</w:t>
      </w:r>
    </w:p>
    <w:p w14:paraId="5E09579C">
      <w:pPr>
        <w:jc w:val="right"/>
        <w:rPr>
          <w:rFonts w:ascii="宋体" w:hAnsi="宋体"/>
          <w:b/>
          <w:color w:val="000000" w:themeColor="text1"/>
          <w:sz w:val="32"/>
          <w:highlight w:val="none"/>
          <w14:textFill>
            <w14:solidFill>
              <w14:schemeClr w14:val="tx1"/>
            </w14:solidFill>
          </w14:textFill>
        </w:rPr>
      </w:pPr>
    </w:p>
    <w:p w14:paraId="2772F2BC">
      <w:pPr>
        <w:rPr>
          <w:rFonts w:ascii="宋体" w:hAnsi="宋体"/>
          <w:b/>
          <w:color w:val="000000" w:themeColor="text1"/>
          <w:sz w:val="44"/>
          <w:highlight w:val="none"/>
          <w14:textFill>
            <w14:solidFill>
              <w14:schemeClr w14:val="tx1"/>
            </w14:solidFill>
          </w14:textFill>
        </w:rPr>
      </w:pPr>
    </w:p>
    <w:p w14:paraId="7FD6E1D2">
      <w:pPr>
        <w:rPr>
          <w:rFonts w:ascii="宋体" w:hAnsi="宋体"/>
          <w:b/>
          <w:color w:val="000000" w:themeColor="text1"/>
          <w:sz w:val="44"/>
          <w:highlight w:val="none"/>
          <w14:textFill>
            <w14:solidFill>
              <w14:schemeClr w14:val="tx1"/>
            </w14:solidFill>
          </w14:textFill>
        </w:rPr>
      </w:pPr>
    </w:p>
    <w:p w14:paraId="71A23916">
      <w:pPr>
        <w:jc w:val="center"/>
        <w:rPr>
          <w:rFonts w:ascii="宋体" w:hAnsi="宋体"/>
          <w:b/>
          <w:color w:val="000000" w:themeColor="text1"/>
          <w:sz w:val="44"/>
          <w:highlight w:val="none"/>
          <w14:textFill>
            <w14:solidFill>
              <w14:schemeClr w14:val="tx1"/>
            </w14:solidFill>
          </w14:textFill>
        </w:rPr>
      </w:pPr>
    </w:p>
    <w:p w14:paraId="5663B795">
      <w:pPr>
        <w:jc w:val="center"/>
        <w:rPr>
          <w:rFonts w:ascii="宋体" w:hAnsi="宋体"/>
          <w:b/>
          <w:color w:val="000000" w:themeColor="text1"/>
          <w:sz w:val="44"/>
          <w:highlight w:val="none"/>
          <w14:textFill>
            <w14:solidFill>
              <w14:schemeClr w14:val="tx1"/>
            </w14:solidFill>
          </w14:textFill>
        </w:rPr>
      </w:pPr>
    </w:p>
    <w:p w14:paraId="2D3D8A8C">
      <w:pPr>
        <w:jc w:val="center"/>
        <w:rPr>
          <w:rFonts w:ascii="宋体" w:hAnsi="宋体"/>
          <w:b/>
          <w:color w:val="000000" w:themeColor="text1"/>
          <w:sz w:val="44"/>
          <w:highlight w:val="none"/>
          <w14:textFill>
            <w14:solidFill>
              <w14:schemeClr w14:val="tx1"/>
            </w14:solidFill>
          </w14:textFill>
        </w:rPr>
      </w:pPr>
    </w:p>
    <w:p w14:paraId="7774EE4F">
      <w:pPr>
        <w:jc w:val="center"/>
        <w:rPr>
          <w:rFonts w:ascii="宋体" w:hAnsi="宋体"/>
          <w:b/>
          <w:color w:val="000000" w:themeColor="text1"/>
          <w:sz w:val="44"/>
          <w:highlight w:val="none"/>
          <w14:textFill>
            <w14:solidFill>
              <w14:schemeClr w14:val="tx1"/>
            </w14:solidFill>
          </w14:textFill>
        </w:rPr>
      </w:pPr>
    </w:p>
    <w:p w14:paraId="5BE74D80">
      <w:pPr>
        <w:jc w:val="center"/>
        <w:rPr>
          <w:rFonts w:ascii="宋体" w:hAnsi="宋体"/>
          <w:b/>
          <w:color w:val="000000" w:themeColor="text1"/>
          <w:sz w:val="72"/>
          <w:szCs w:val="18"/>
          <w:highlight w:val="none"/>
          <w14:textFill>
            <w14:solidFill>
              <w14:schemeClr w14:val="tx1"/>
            </w14:solidFill>
          </w14:textFill>
        </w:rPr>
      </w:pPr>
      <w:r>
        <w:rPr>
          <w:rFonts w:hint="eastAsia" w:ascii="宋体" w:hAnsi="宋体"/>
          <w:b/>
          <w:color w:val="000000" w:themeColor="text1"/>
          <w:sz w:val="72"/>
          <w:szCs w:val="18"/>
          <w:highlight w:val="none"/>
          <w14:textFill>
            <w14:solidFill>
              <w14:schemeClr w14:val="tx1"/>
            </w14:solidFill>
          </w14:textFill>
        </w:rPr>
        <w:t>竞争性谈判文件</w:t>
      </w:r>
    </w:p>
    <w:p w14:paraId="53950AA1">
      <w:pPr>
        <w:jc w:val="center"/>
        <w:rPr>
          <w:rFonts w:ascii="宋体" w:hAnsi="宋体"/>
          <w:b/>
          <w:color w:val="000000" w:themeColor="text1"/>
          <w:sz w:val="18"/>
          <w:szCs w:val="18"/>
          <w:highlight w:val="none"/>
          <w14:textFill>
            <w14:solidFill>
              <w14:schemeClr w14:val="tx1"/>
            </w14:solidFill>
          </w14:textFill>
        </w:rPr>
      </w:pPr>
    </w:p>
    <w:p w14:paraId="17C5A83E">
      <w:pPr>
        <w:jc w:val="center"/>
        <w:rPr>
          <w:rFonts w:ascii="宋体" w:hAnsi="宋体"/>
          <w:b/>
          <w:color w:val="000000" w:themeColor="text1"/>
          <w:sz w:val="32"/>
          <w:highlight w:val="none"/>
          <w14:textFill>
            <w14:solidFill>
              <w14:schemeClr w14:val="tx1"/>
            </w14:solidFill>
          </w14:textFill>
        </w:rPr>
      </w:pPr>
    </w:p>
    <w:p w14:paraId="185744CA">
      <w:pPr>
        <w:jc w:val="center"/>
        <w:rPr>
          <w:rFonts w:ascii="宋体" w:hAnsi="宋体"/>
          <w:b/>
          <w:color w:val="000000" w:themeColor="text1"/>
          <w:sz w:val="32"/>
          <w:highlight w:val="none"/>
          <w14:textFill>
            <w14:solidFill>
              <w14:schemeClr w14:val="tx1"/>
            </w14:solidFill>
          </w14:textFill>
        </w:rPr>
      </w:pPr>
    </w:p>
    <w:p w14:paraId="20877334">
      <w:pPr>
        <w:jc w:val="center"/>
        <w:rPr>
          <w:rFonts w:ascii="宋体" w:hAnsi="宋体"/>
          <w:b/>
          <w:color w:val="000000" w:themeColor="text1"/>
          <w:sz w:val="32"/>
          <w:highlight w:val="none"/>
          <w14:textFill>
            <w14:solidFill>
              <w14:schemeClr w14:val="tx1"/>
            </w14:solidFill>
          </w14:textFill>
        </w:rPr>
      </w:pPr>
    </w:p>
    <w:p w14:paraId="66595FFB">
      <w:pPr>
        <w:jc w:val="center"/>
        <w:rPr>
          <w:rFonts w:ascii="宋体" w:hAnsi="宋体"/>
          <w:b/>
          <w:color w:val="000000" w:themeColor="text1"/>
          <w:sz w:val="32"/>
          <w:highlight w:val="none"/>
          <w14:textFill>
            <w14:solidFill>
              <w14:schemeClr w14:val="tx1"/>
            </w14:solidFill>
          </w14:textFill>
        </w:rPr>
      </w:pPr>
    </w:p>
    <w:p w14:paraId="3691795B">
      <w:pPr>
        <w:jc w:val="center"/>
        <w:rPr>
          <w:rFonts w:ascii="宋体" w:hAnsi="宋体"/>
          <w:b/>
          <w:color w:val="000000" w:themeColor="text1"/>
          <w:sz w:val="32"/>
          <w:highlight w:val="none"/>
          <w14:textFill>
            <w14:solidFill>
              <w14:schemeClr w14:val="tx1"/>
            </w14:solidFill>
          </w14:textFill>
        </w:rPr>
      </w:pPr>
    </w:p>
    <w:p w14:paraId="14D41FA1">
      <w:pPr>
        <w:jc w:val="center"/>
        <w:rPr>
          <w:rFonts w:ascii="宋体" w:hAnsi="宋体"/>
          <w:b/>
          <w:color w:val="000000" w:themeColor="text1"/>
          <w:sz w:val="32"/>
          <w:highlight w:val="none"/>
          <w14:textFill>
            <w14:solidFill>
              <w14:schemeClr w14:val="tx1"/>
            </w14:solidFill>
          </w14:textFill>
        </w:rPr>
      </w:pPr>
    </w:p>
    <w:p w14:paraId="28CE1372">
      <w:pPr>
        <w:rPr>
          <w:rFonts w:ascii="宋体" w:hAnsi="宋体"/>
          <w:b/>
          <w:color w:val="000000" w:themeColor="text1"/>
          <w:sz w:val="32"/>
          <w:highlight w:val="none"/>
          <w14:textFill>
            <w14:solidFill>
              <w14:schemeClr w14:val="tx1"/>
            </w14:solidFill>
          </w14:textFill>
        </w:rPr>
      </w:pPr>
    </w:p>
    <w:p w14:paraId="3CF47EF2">
      <w:pPr>
        <w:spacing w:line="360" w:lineRule="exact"/>
        <w:ind w:firstLine="3253" w:firstLineChars="900"/>
        <w:rPr>
          <w:rFonts w:ascii="宋体" w:hAnsi="宋体"/>
          <w:b/>
          <w:color w:val="000000" w:themeColor="text1"/>
          <w:sz w:val="36"/>
          <w:highlight w:val="none"/>
          <w14:textFill>
            <w14:solidFill>
              <w14:schemeClr w14:val="tx1"/>
            </w14:solidFill>
          </w14:textFill>
        </w:rPr>
      </w:pPr>
    </w:p>
    <w:p w14:paraId="0AB6ECE6">
      <w:pPr>
        <w:rPr>
          <w:rFonts w:ascii="宋体" w:hAnsi="宋体"/>
          <w:b/>
          <w:color w:val="000000" w:themeColor="text1"/>
          <w:sz w:val="32"/>
          <w:highlight w:val="none"/>
          <w14:textFill>
            <w14:solidFill>
              <w14:schemeClr w14:val="tx1"/>
            </w14:solidFill>
          </w14:textFill>
        </w:rPr>
      </w:pPr>
    </w:p>
    <w:p w14:paraId="78CA45E7">
      <w:pPr>
        <w:spacing w:line="360" w:lineRule="auto"/>
        <w:ind w:firstLine="904" w:firstLineChars="250"/>
        <w:rPr>
          <w:rFonts w:ascii="宋体" w:hAnsi="宋体" w:cs="宋体"/>
          <w:b/>
          <w:sz w:val="36"/>
          <w:szCs w:val="36"/>
          <w:highlight w:val="none"/>
        </w:rPr>
      </w:pPr>
      <w:r>
        <w:rPr>
          <w:rFonts w:hint="eastAsia" w:ascii="宋体" w:hAnsi="宋体" w:cs="宋体"/>
          <w:b/>
          <w:sz w:val="36"/>
          <w:szCs w:val="36"/>
          <w:highlight w:val="none"/>
        </w:rPr>
        <w:t>采   购   人：上海奥吉实业有限公司</w:t>
      </w:r>
    </w:p>
    <w:p w14:paraId="02E8ACF4">
      <w:pPr>
        <w:spacing w:line="360" w:lineRule="auto"/>
        <w:ind w:firstLine="904" w:firstLineChars="250"/>
        <w:rPr>
          <w:rFonts w:ascii="宋体" w:hAnsi="宋体" w:cs="宋体"/>
          <w:b/>
          <w:sz w:val="36"/>
          <w:szCs w:val="36"/>
          <w:highlight w:val="none"/>
        </w:rPr>
      </w:pPr>
      <w:r>
        <w:rPr>
          <w:rFonts w:hint="eastAsia" w:ascii="宋体" w:hAnsi="宋体" w:cs="宋体"/>
          <w:b/>
          <w:sz w:val="36"/>
          <w:szCs w:val="36"/>
          <w:highlight w:val="none"/>
        </w:rPr>
        <w:t>采购代理机构：上海中世建设咨询有限公司</w:t>
      </w:r>
    </w:p>
    <w:p w14:paraId="333FADD6">
      <w:pPr>
        <w:spacing w:line="360" w:lineRule="auto"/>
        <w:jc w:val="center"/>
        <w:rPr>
          <w:rFonts w:ascii="宋体" w:hAnsi="宋体" w:cs="宋体"/>
          <w:b/>
          <w:sz w:val="36"/>
          <w:szCs w:val="36"/>
          <w:highlight w:val="none"/>
        </w:rPr>
      </w:pPr>
      <w:r>
        <w:rPr>
          <w:rFonts w:ascii="宋体" w:hAnsi="宋体" w:cs="宋体"/>
          <w:b/>
          <w:sz w:val="36"/>
          <w:szCs w:val="36"/>
          <w:highlight w:val="none"/>
        </w:rPr>
        <w:t>20</w:t>
      </w:r>
      <w:r>
        <w:rPr>
          <w:rFonts w:hint="eastAsia" w:ascii="宋体" w:hAnsi="宋体" w:cs="宋体"/>
          <w:b/>
          <w:sz w:val="36"/>
          <w:szCs w:val="36"/>
          <w:highlight w:val="none"/>
        </w:rPr>
        <w:t>25年</w:t>
      </w:r>
      <w:r>
        <w:rPr>
          <w:rFonts w:hint="eastAsia" w:ascii="宋体" w:hAnsi="宋体" w:cs="宋体"/>
          <w:b/>
          <w:sz w:val="36"/>
          <w:szCs w:val="36"/>
          <w:highlight w:val="none"/>
          <w:lang w:val="en-US" w:eastAsia="zh-CN"/>
        </w:rPr>
        <w:t>7</w:t>
      </w:r>
      <w:r>
        <w:rPr>
          <w:rFonts w:hint="eastAsia" w:ascii="宋体" w:hAnsi="宋体" w:cs="宋体"/>
          <w:b/>
          <w:sz w:val="36"/>
          <w:szCs w:val="36"/>
          <w:highlight w:val="none"/>
        </w:rPr>
        <w:t>月</w:t>
      </w:r>
    </w:p>
    <w:p w14:paraId="66D86D44">
      <w:pPr>
        <w:snapToGrid w:val="0"/>
        <w:spacing w:line="480" w:lineRule="auto"/>
        <w:rPr>
          <w:rFonts w:ascii="宋体" w:hAnsi="宋体"/>
          <w:color w:val="000000" w:themeColor="text1"/>
          <w:sz w:val="30"/>
          <w:szCs w:val="30"/>
          <w:highlight w:val="none"/>
          <w14:textFill>
            <w14:solidFill>
              <w14:schemeClr w14:val="tx1"/>
            </w14:solidFill>
          </w14:textFill>
        </w:rPr>
      </w:pPr>
    </w:p>
    <w:p w14:paraId="17E4A8F1">
      <w:pPr>
        <w:spacing w:line="560" w:lineRule="exact"/>
        <w:jc w:val="center"/>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目</w:t>
      </w:r>
      <w:r>
        <w:rPr>
          <w:rFonts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highlight w:val="none"/>
          <w14:textFill>
            <w14:solidFill>
              <w14:schemeClr w14:val="tx1"/>
            </w14:solidFill>
          </w14:textFill>
        </w:rPr>
        <w:t>录</w:t>
      </w:r>
    </w:p>
    <w:p w14:paraId="3A31D3DB">
      <w:pPr>
        <w:widowControl/>
        <w:autoSpaceDE w:val="0"/>
        <w:autoSpaceDN w:val="0"/>
        <w:spacing w:line="360" w:lineRule="auto"/>
        <w:ind w:firstLine="420" w:firstLineChars="150"/>
        <w:textAlignment w:val="bottom"/>
        <w:outlineLvl w:val="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供应商须知前附表</w:t>
      </w:r>
    </w:p>
    <w:p w14:paraId="24995C24">
      <w:pPr>
        <w:widowControl/>
        <w:autoSpaceDE w:val="0"/>
        <w:autoSpaceDN w:val="0"/>
        <w:spacing w:line="360" w:lineRule="auto"/>
        <w:ind w:firstLine="42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第一部分 竞争性谈判邀请书</w:t>
      </w:r>
    </w:p>
    <w:p w14:paraId="2A7093EA">
      <w:pPr>
        <w:widowControl/>
        <w:autoSpaceDE w:val="0"/>
        <w:autoSpaceDN w:val="0"/>
        <w:spacing w:line="360" w:lineRule="auto"/>
        <w:ind w:firstLine="42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第二部分 供应商须知</w:t>
      </w:r>
    </w:p>
    <w:p w14:paraId="3BE752BF">
      <w:pPr>
        <w:widowControl/>
        <w:autoSpaceDE w:val="0"/>
        <w:autoSpaceDN w:val="0"/>
        <w:spacing w:line="360" w:lineRule="auto"/>
        <w:ind w:firstLine="42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第三部分 评审办法</w:t>
      </w:r>
    </w:p>
    <w:p w14:paraId="345E41F4">
      <w:pPr>
        <w:widowControl/>
        <w:autoSpaceDE w:val="0"/>
        <w:autoSpaceDN w:val="0"/>
        <w:spacing w:line="360" w:lineRule="auto"/>
        <w:ind w:firstLine="42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第四部分 技术要求</w:t>
      </w:r>
    </w:p>
    <w:p w14:paraId="1F14FBF1">
      <w:pPr>
        <w:widowControl/>
        <w:autoSpaceDE w:val="0"/>
        <w:autoSpaceDN w:val="0"/>
        <w:spacing w:line="360" w:lineRule="auto"/>
        <w:ind w:firstLine="42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第五部分 合同条款</w:t>
      </w:r>
    </w:p>
    <w:p w14:paraId="03121F47">
      <w:pPr>
        <w:widowControl/>
        <w:autoSpaceDE w:val="0"/>
        <w:autoSpaceDN w:val="0"/>
        <w:spacing w:line="360" w:lineRule="auto"/>
        <w:ind w:firstLine="42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第六部分 附件格式</w:t>
      </w:r>
    </w:p>
    <w:p w14:paraId="69468849">
      <w:pPr>
        <w:widowControl/>
        <w:autoSpaceDE w:val="0"/>
        <w:autoSpaceDN w:val="0"/>
        <w:spacing w:line="360" w:lineRule="auto"/>
        <w:ind w:firstLine="420" w:firstLineChars="150"/>
        <w:textAlignment w:val="bottom"/>
        <w:outlineLvl w:val="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第七部分 工程量清单</w:t>
      </w:r>
    </w:p>
    <w:p w14:paraId="08AA03A0">
      <w:pPr>
        <w:widowControl/>
        <w:autoSpaceDE w:val="0"/>
        <w:autoSpaceDN w:val="0"/>
        <w:spacing w:line="360" w:lineRule="auto"/>
        <w:ind w:firstLine="420" w:firstLineChars="150"/>
        <w:textAlignment w:val="bottom"/>
        <w:outlineLvl w:val="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第八部分 图纸（另附）</w:t>
      </w:r>
    </w:p>
    <w:p w14:paraId="51E739C7">
      <w:pPr>
        <w:spacing w:line="520" w:lineRule="atLeast"/>
        <w:rPr>
          <w:rFonts w:ascii="宋体" w:hAnsi="宋体"/>
          <w:b/>
          <w:color w:val="000000" w:themeColor="text1"/>
          <w:sz w:val="30"/>
          <w:szCs w:val="30"/>
          <w:highlight w:val="none"/>
          <w14:textFill>
            <w14:solidFill>
              <w14:schemeClr w14:val="tx1"/>
            </w14:solidFill>
          </w14:textFill>
        </w:rPr>
      </w:pPr>
    </w:p>
    <w:p w14:paraId="2EA06F4B">
      <w:pPr>
        <w:spacing w:line="520" w:lineRule="atLeast"/>
        <w:rPr>
          <w:rFonts w:ascii="宋体" w:hAnsi="宋体"/>
          <w:b/>
          <w:color w:val="000000" w:themeColor="text1"/>
          <w:sz w:val="30"/>
          <w:szCs w:val="30"/>
          <w:highlight w:val="none"/>
          <w14:textFill>
            <w14:solidFill>
              <w14:schemeClr w14:val="tx1"/>
            </w14:solidFill>
          </w14:textFill>
        </w:rPr>
      </w:pPr>
    </w:p>
    <w:p w14:paraId="5BDA6E94">
      <w:pPr>
        <w:spacing w:line="520" w:lineRule="atLeast"/>
        <w:rPr>
          <w:rFonts w:ascii="宋体" w:hAnsi="宋体"/>
          <w:b/>
          <w:color w:val="000000" w:themeColor="text1"/>
          <w:sz w:val="30"/>
          <w:szCs w:val="30"/>
          <w:highlight w:val="none"/>
          <w14:textFill>
            <w14:solidFill>
              <w14:schemeClr w14:val="tx1"/>
            </w14:solidFill>
          </w14:textFill>
        </w:rPr>
      </w:pPr>
    </w:p>
    <w:p w14:paraId="65D117E7">
      <w:pPr>
        <w:pStyle w:val="45"/>
        <w:spacing w:line="360" w:lineRule="auto"/>
        <w:jc w:val="center"/>
        <w:rPr>
          <w:color w:val="000000" w:themeColor="text1"/>
          <w:sz w:val="28"/>
          <w:highlight w:val="none"/>
          <w14:textFill>
            <w14:solidFill>
              <w14:schemeClr w14:val="tx1"/>
            </w14:solidFill>
          </w14:textFill>
        </w:rPr>
      </w:pPr>
    </w:p>
    <w:p w14:paraId="30EB9C8F">
      <w:pPr>
        <w:pStyle w:val="45"/>
        <w:spacing w:line="360" w:lineRule="auto"/>
        <w:jc w:val="center"/>
        <w:rPr>
          <w:b/>
          <w:color w:val="000000" w:themeColor="text1"/>
          <w:sz w:val="5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7" w:right="1474" w:bottom="1247" w:left="1474" w:header="851" w:footer="992" w:gutter="0"/>
          <w:pgNumType w:start="1"/>
          <w:cols w:space="720" w:num="1"/>
          <w:docGrid w:type="lines" w:linePitch="286" w:charSpace="0"/>
        </w:sectPr>
      </w:pPr>
    </w:p>
    <w:p w14:paraId="02574A33">
      <w:pPr>
        <w:spacing w:line="360" w:lineRule="auto"/>
        <w:jc w:val="center"/>
        <w:outlineLvl w:val="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供应商须知前附表</w:t>
      </w:r>
    </w:p>
    <w:tbl>
      <w:tblPr>
        <w:tblStyle w:val="8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0"/>
        <w:gridCol w:w="6120"/>
      </w:tblGrid>
      <w:tr w14:paraId="75B6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0" w:type="dxa"/>
            <w:vAlign w:val="center"/>
          </w:tcPr>
          <w:p w14:paraId="69C63ECC">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340" w:type="dxa"/>
            <w:vAlign w:val="center"/>
          </w:tcPr>
          <w:p w14:paraId="756401C2">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w:t>
            </w:r>
          </w:p>
        </w:tc>
        <w:tc>
          <w:tcPr>
            <w:tcW w:w="6120" w:type="dxa"/>
            <w:vAlign w:val="center"/>
          </w:tcPr>
          <w:p w14:paraId="18A464AB">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说明与要求</w:t>
            </w:r>
          </w:p>
        </w:tc>
      </w:tr>
      <w:tr w14:paraId="4FB6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vAlign w:val="center"/>
          </w:tcPr>
          <w:p w14:paraId="7BC6E48F">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340" w:type="dxa"/>
            <w:vAlign w:val="center"/>
          </w:tcPr>
          <w:p w14:paraId="183B4C58">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6120" w:type="dxa"/>
            <w:vAlign w:val="center"/>
          </w:tcPr>
          <w:p w14:paraId="35EC9254">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2025年奥吉大厦装修及仓储场地翻新项目</w:t>
            </w:r>
          </w:p>
        </w:tc>
      </w:tr>
      <w:tr w14:paraId="4E1F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vAlign w:val="center"/>
          </w:tcPr>
          <w:p w14:paraId="23FA03D5">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340" w:type="dxa"/>
            <w:vAlign w:val="center"/>
          </w:tcPr>
          <w:p w14:paraId="4971BBEC">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p>
        </w:tc>
        <w:tc>
          <w:tcPr>
            <w:tcW w:w="6120" w:type="dxa"/>
            <w:vAlign w:val="center"/>
          </w:tcPr>
          <w:p w14:paraId="4D0B85F7">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招案2025-1678</w:t>
            </w:r>
          </w:p>
        </w:tc>
      </w:tr>
      <w:tr w14:paraId="08E2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0" w:type="dxa"/>
            <w:vAlign w:val="center"/>
          </w:tcPr>
          <w:p w14:paraId="0C25D9DD">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340" w:type="dxa"/>
            <w:vAlign w:val="center"/>
          </w:tcPr>
          <w:p w14:paraId="2323B29A">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p>
        </w:tc>
        <w:tc>
          <w:tcPr>
            <w:tcW w:w="6120" w:type="dxa"/>
            <w:vAlign w:val="center"/>
          </w:tcPr>
          <w:p w14:paraId="2B878414">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奥吉大厦外墙整体翻新工程、空调外墙排水更新工程、1-6层主楼及副楼部分卫生间、给排水翻新工程等。奥吉公司仓储场地及配套设施进行维修翻新，包括场地维修（面积约4000平方米）、仓库围墙刷新、车位线补新、</w:t>
            </w:r>
            <w:r>
              <w:rPr>
                <w:rFonts w:hint="eastAsia" w:ascii="宋体" w:hAnsi="宋体" w:cs="宋体"/>
                <w:sz w:val="24"/>
                <w:szCs w:val="24"/>
                <w:highlight w:val="none"/>
              </w:rPr>
              <w:t>保洁及垃圾清运等工作</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所有项目均由施工方包工包料。</w:t>
            </w:r>
            <w:r>
              <w:rPr>
                <w:rFonts w:hint="eastAsia" w:ascii="宋体" w:hAnsi="宋体" w:cs="宋体"/>
                <w:color w:val="000000" w:themeColor="text1"/>
                <w:sz w:val="24"/>
                <w:szCs w:val="24"/>
                <w:highlight w:val="none"/>
                <w14:textFill>
                  <w14:solidFill>
                    <w14:schemeClr w14:val="tx1"/>
                  </w14:solidFill>
                </w14:textFill>
              </w:rPr>
              <w:t>（具体内容详见谈判文件—第七部分工程量清单）</w:t>
            </w:r>
          </w:p>
        </w:tc>
      </w:tr>
      <w:tr w14:paraId="3835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tcBorders>
              <w:top w:val="single" w:color="auto" w:sz="4" w:space="0"/>
              <w:left w:val="single" w:color="auto" w:sz="4" w:space="0"/>
              <w:bottom w:val="single" w:color="auto" w:sz="4" w:space="0"/>
              <w:right w:val="single" w:color="auto" w:sz="4" w:space="0"/>
            </w:tcBorders>
            <w:vAlign w:val="center"/>
          </w:tcPr>
          <w:p w14:paraId="0C4C2E55">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2340" w:type="dxa"/>
            <w:tcBorders>
              <w:top w:val="single" w:color="auto" w:sz="4" w:space="0"/>
              <w:left w:val="single" w:color="auto" w:sz="4" w:space="0"/>
              <w:bottom w:val="single" w:color="auto" w:sz="4" w:space="0"/>
              <w:right w:val="single" w:color="auto" w:sz="4" w:space="0"/>
            </w:tcBorders>
            <w:vAlign w:val="center"/>
          </w:tcPr>
          <w:p w14:paraId="619A3B55">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w:t>
            </w:r>
          </w:p>
        </w:tc>
        <w:tc>
          <w:tcPr>
            <w:tcW w:w="6120" w:type="dxa"/>
            <w:tcBorders>
              <w:top w:val="single" w:color="auto" w:sz="4" w:space="0"/>
              <w:left w:val="single" w:color="auto" w:sz="4" w:space="0"/>
              <w:bottom w:val="single" w:color="auto" w:sz="4" w:space="0"/>
              <w:right w:val="single" w:color="auto" w:sz="4" w:space="0"/>
            </w:tcBorders>
            <w:vAlign w:val="center"/>
          </w:tcPr>
          <w:p w14:paraId="74E31E84">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 购 人：上海奥吉实业有限公司</w:t>
            </w:r>
          </w:p>
          <w:p w14:paraId="4816AAB5">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址：上海市浦东新区奥纳路18号</w:t>
            </w:r>
          </w:p>
          <w:p w14:paraId="289FCC3B">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人：陈绍军</w:t>
            </w:r>
          </w:p>
          <w:p w14:paraId="156AAB2F">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话：021-58666360</w:t>
            </w:r>
          </w:p>
        </w:tc>
      </w:tr>
      <w:tr w14:paraId="038C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vAlign w:val="center"/>
          </w:tcPr>
          <w:p w14:paraId="20190862">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2340" w:type="dxa"/>
            <w:vAlign w:val="center"/>
          </w:tcPr>
          <w:p w14:paraId="7B63502B">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最高限价</w:t>
            </w:r>
          </w:p>
        </w:tc>
        <w:tc>
          <w:tcPr>
            <w:tcW w:w="6120" w:type="dxa"/>
            <w:vAlign w:val="center"/>
          </w:tcPr>
          <w:p w14:paraId="37D8644B">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本项目总</w:t>
            </w:r>
            <w:bookmarkStart w:id="1" w:name="OLE_LINK4"/>
            <w:r>
              <w:rPr>
                <w:rFonts w:hint="eastAsia" w:ascii="宋体" w:hAnsi="宋体" w:cs="宋体"/>
                <w:color w:val="000000" w:themeColor="text1"/>
                <w:sz w:val="24"/>
                <w:szCs w:val="24"/>
                <w:highlight w:val="none"/>
                <w14:textFill>
                  <w14:solidFill>
                    <w14:schemeClr w14:val="tx1"/>
                  </w14:solidFill>
                </w14:textFill>
              </w:rPr>
              <w:t>最高限价为</w:t>
            </w:r>
            <w:r>
              <w:rPr>
                <w:rFonts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lang w:val="en-US" w:eastAsia="zh-CN"/>
                <w14:textFill>
                  <w14:solidFill>
                    <w14:schemeClr w14:val="tx1"/>
                  </w14:solidFill>
                </w14:textFill>
              </w:rPr>
              <w:t>363.542451</w:t>
            </w:r>
            <w:r>
              <w:rPr>
                <w:rFonts w:hint="eastAsia" w:ascii="宋体" w:hAnsi="宋体" w:cs="宋体"/>
                <w:color w:val="000000" w:themeColor="text1"/>
                <w:sz w:val="24"/>
                <w:szCs w:val="24"/>
                <w:highlight w:val="none"/>
                <w14:textFill>
                  <w14:solidFill>
                    <w14:schemeClr w14:val="tx1"/>
                  </w14:solidFill>
                </w14:textFill>
              </w:rPr>
              <w:t>万元（其中大厦装修</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最高限价：</w:t>
            </w:r>
            <w:r>
              <w:rPr>
                <w:rFonts w:hint="eastAsia" w:ascii="宋体" w:hAnsi="宋体" w:cs="宋体"/>
                <w:color w:val="000000" w:themeColor="text1"/>
                <w:sz w:val="24"/>
                <w:szCs w:val="24"/>
                <w:highlight w:val="none"/>
                <w:lang w:val="en-US" w:eastAsia="zh-CN"/>
                <w14:textFill>
                  <w14:solidFill>
                    <w14:schemeClr w14:val="tx1"/>
                  </w14:solidFill>
                </w14:textFill>
              </w:rPr>
              <w:t>129.81646</w:t>
            </w:r>
            <w:r>
              <w:rPr>
                <w:rFonts w:hint="eastAsia" w:ascii="宋体" w:hAnsi="宋体" w:cs="宋体"/>
                <w:color w:val="000000" w:themeColor="text1"/>
                <w:sz w:val="24"/>
                <w:szCs w:val="24"/>
                <w:highlight w:val="none"/>
                <w14:textFill>
                  <w14:solidFill>
                    <w14:schemeClr w14:val="tx1"/>
                  </w14:solidFill>
                </w14:textFill>
              </w:rPr>
              <w:t>万元，仓储场地翻新</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最高限价：23</w:t>
            </w:r>
            <w:r>
              <w:rPr>
                <w:rFonts w:hint="eastAsia" w:ascii="宋体" w:hAnsi="宋体" w:cs="宋体"/>
                <w:color w:val="000000" w:themeColor="text1"/>
                <w:sz w:val="24"/>
                <w:szCs w:val="24"/>
                <w:highlight w:val="none"/>
                <w:lang w:val="en-US" w:eastAsia="zh-CN"/>
                <w14:textFill>
                  <w14:solidFill>
                    <w14:schemeClr w14:val="tx1"/>
                  </w14:solidFill>
                </w14:textFill>
              </w:rPr>
              <w:t>3.725991</w:t>
            </w:r>
            <w:r>
              <w:rPr>
                <w:rFonts w:hint="eastAsia" w:ascii="宋体" w:hAnsi="宋体" w:cs="宋体"/>
                <w:color w:val="000000" w:themeColor="text1"/>
                <w:sz w:val="24"/>
                <w:szCs w:val="24"/>
                <w:highlight w:val="none"/>
                <w14:textFill>
                  <w14:solidFill>
                    <w14:schemeClr w14:val="tx1"/>
                  </w14:solidFill>
                </w14:textFill>
              </w:rPr>
              <w:t>万元）。</w:t>
            </w:r>
            <w:bookmarkEnd w:id="1"/>
            <w:r>
              <w:rPr>
                <w:rFonts w:hint="eastAsia" w:ascii="宋体" w:hAnsi="宋体" w:cs="宋体"/>
                <w:color w:val="000000" w:themeColor="text1"/>
                <w:sz w:val="24"/>
                <w:szCs w:val="24"/>
                <w:highlight w:val="none"/>
                <w14:textFill>
                  <w14:solidFill>
                    <w14:schemeClr w14:val="tx1"/>
                  </w14:solidFill>
                </w14:textFill>
              </w:rPr>
              <w:t>报价不得超过本项目总最高限价和每个部分的最高限价，超过的报价将作无效处理。</w:t>
            </w:r>
          </w:p>
        </w:tc>
      </w:tr>
      <w:tr w14:paraId="0DA2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vAlign w:val="center"/>
          </w:tcPr>
          <w:p w14:paraId="3DCE7C61">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2340" w:type="dxa"/>
            <w:vAlign w:val="center"/>
          </w:tcPr>
          <w:p w14:paraId="35866DCE">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工程承包方式</w:t>
            </w:r>
          </w:p>
        </w:tc>
        <w:tc>
          <w:tcPr>
            <w:tcW w:w="6120" w:type="dxa"/>
            <w:vAlign w:val="center"/>
          </w:tcPr>
          <w:p w14:paraId="012F4624">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施工总承包</w:t>
            </w:r>
          </w:p>
        </w:tc>
      </w:tr>
      <w:tr w14:paraId="15C6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00" w:type="dxa"/>
            <w:vAlign w:val="center"/>
          </w:tcPr>
          <w:p w14:paraId="01CC0CF9">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2340" w:type="dxa"/>
            <w:vAlign w:val="center"/>
          </w:tcPr>
          <w:p w14:paraId="0C1A573F">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施工工期</w:t>
            </w:r>
          </w:p>
        </w:tc>
        <w:tc>
          <w:tcPr>
            <w:tcW w:w="6120" w:type="dxa"/>
            <w:vAlign w:val="center"/>
          </w:tcPr>
          <w:p w14:paraId="6991B47F">
            <w:pPr>
              <w:spacing w:line="400" w:lineRule="exac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105日历天（计划开工日期：以采购人通知为准）</w:t>
            </w:r>
          </w:p>
        </w:tc>
      </w:tr>
      <w:tr w14:paraId="6EF3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0" w:type="dxa"/>
            <w:vAlign w:val="center"/>
          </w:tcPr>
          <w:p w14:paraId="787E9807">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2340" w:type="dxa"/>
            <w:vAlign w:val="center"/>
          </w:tcPr>
          <w:p w14:paraId="2B9B4E43">
            <w:pPr>
              <w:spacing w:before="200" w:after="200"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质量要求</w:t>
            </w:r>
          </w:p>
        </w:tc>
        <w:tc>
          <w:tcPr>
            <w:tcW w:w="6120" w:type="dxa"/>
            <w:vAlign w:val="center"/>
          </w:tcPr>
          <w:p w14:paraId="001634CA">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一次性验收合格率1</w:t>
            </w:r>
            <w:r>
              <w:rPr>
                <w:rFonts w:ascii="宋体" w:hAns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 xml:space="preserve"> </w:t>
            </w:r>
          </w:p>
        </w:tc>
      </w:tr>
      <w:tr w14:paraId="6686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 w:type="dxa"/>
            <w:vAlign w:val="center"/>
          </w:tcPr>
          <w:p w14:paraId="75D9D3A9">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2340" w:type="dxa"/>
            <w:vAlign w:val="center"/>
          </w:tcPr>
          <w:p w14:paraId="4099F414">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供应商资格要求</w:t>
            </w:r>
          </w:p>
        </w:tc>
        <w:tc>
          <w:tcPr>
            <w:tcW w:w="6120" w:type="dxa"/>
            <w:vAlign w:val="center"/>
          </w:tcPr>
          <w:p w14:paraId="6D357C81">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1）中华人民共和国境内注册的法人或其他组织；</w:t>
            </w:r>
          </w:p>
          <w:p w14:paraId="37F64784">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2）参加本次采购活动前三年内，在经营活动中没有重大违法记录；</w:t>
            </w:r>
          </w:p>
          <w:p w14:paraId="7E226718">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3）具有建筑工程施工总承包三级及以上资质；</w:t>
            </w:r>
          </w:p>
          <w:p w14:paraId="08DA0340">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4）拟派项目经理具有建筑工程专业注册建造师二级及以上执业资格；</w:t>
            </w:r>
          </w:p>
          <w:p w14:paraId="2EBB67B9">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5）本项目不允许转包及违法分包。</w:t>
            </w:r>
          </w:p>
        </w:tc>
      </w:tr>
      <w:tr w14:paraId="5F62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0" w:type="dxa"/>
            <w:vAlign w:val="center"/>
          </w:tcPr>
          <w:p w14:paraId="42D8074D">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2340" w:type="dxa"/>
            <w:vAlign w:val="center"/>
          </w:tcPr>
          <w:p w14:paraId="749CE0DF">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rPr>
              <w:t>报价形式</w:t>
            </w:r>
          </w:p>
        </w:tc>
        <w:tc>
          <w:tcPr>
            <w:tcW w:w="6120" w:type="dxa"/>
            <w:vAlign w:val="center"/>
          </w:tcPr>
          <w:p w14:paraId="416BCB4A">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rPr>
              <w:t>综合单价固定、措施费（含安全文明施工）闭口包干，工程量按实结算</w:t>
            </w:r>
          </w:p>
        </w:tc>
      </w:tr>
      <w:tr w14:paraId="32DE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0" w:type="dxa"/>
            <w:vAlign w:val="center"/>
          </w:tcPr>
          <w:p w14:paraId="3B5FAEE6">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2340" w:type="dxa"/>
            <w:vAlign w:val="center"/>
          </w:tcPr>
          <w:p w14:paraId="60C58C90">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采购资金的支付方式、时间、条件</w:t>
            </w:r>
          </w:p>
        </w:tc>
        <w:tc>
          <w:tcPr>
            <w:tcW w:w="6120" w:type="dxa"/>
            <w:vAlign w:val="center"/>
          </w:tcPr>
          <w:p w14:paraId="785B15B6">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1、合同签订</w:t>
            </w:r>
            <w:r>
              <w:rPr>
                <w:rFonts w:hint="eastAsia" w:ascii="宋体" w:hAnsi="宋体" w:cs="宋体"/>
                <w:color w:val="000000" w:themeColor="text1"/>
                <w:sz w:val="24"/>
                <w:szCs w:val="24"/>
                <w:highlight w:val="none"/>
                <w:lang w:val="en-US" w:eastAsia="zh-CN"/>
                <w14:textFill>
                  <w14:solidFill>
                    <w14:schemeClr w14:val="tx1"/>
                  </w14:solidFill>
                </w14:textFill>
              </w:rPr>
              <w:t>并收到对应款项发票</w:t>
            </w:r>
            <w:r>
              <w:rPr>
                <w:rFonts w:hint="eastAsia" w:ascii="宋体" w:hAnsi="宋体"/>
                <w:color w:val="000000"/>
                <w:sz w:val="24"/>
                <w:szCs w:val="24"/>
                <w:highlight w:val="none"/>
                <w:lang w:val="en-US" w:eastAsia="zh-CN"/>
              </w:rPr>
              <w:t>且</w:t>
            </w:r>
            <w:r>
              <w:rPr>
                <w:rFonts w:ascii="宋体" w:hAnsi="宋体"/>
                <w:color w:val="000000"/>
                <w:sz w:val="24"/>
                <w:szCs w:val="24"/>
                <w:highlight w:val="none"/>
              </w:rPr>
              <w:t>收到承包人开具的金额为本合同总价款10%的合同履约</w:t>
            </w:r>
            <w:r>
              <w:rPr>
                <w:rFonts w:hint="eastAsia" w:ascii="宋体" w:hAnsi="宋体"/>
                <w:color w:val="000000"/>
                <w:sz w:val="24"/>
                <w:szCs w:val="24"/>
                <w:highlight w:val="none"/>
              </w:rPr>
              <w:t>担保</w:t>
            </w:r>
            <w:r>
              <w:rPr>
                <w:rFonts w:hint="eastAsia" w:ascii="宋体" w:hAnsi="宋体" w:cs="宋体"/>
                <w:color w:val="000000" w:themeColor="text1"/>
                <w:sz w:val="24"/>
                <w:szCs w:val="24"/>
                <w:highlight w:val="none"/>
                <w14:textFill>
                  <w14:solidFill>
                    <w14:schemeClr w14:val="tx1"/>
                  </w14:solidFill>
                </w14:textFill>
              </w:rPr>
              <w:t>后</w:t>
            </w:r>
            <w:r>
              <w:rPr>
                <w:rFonts w:hint="eastAsia" w:ascii="宋体" w:hAnsi="宋体" w:cs="宋体"/>
                <w:color w:val="000000" w:themeColor="text1"/>
                <w:sz w:val="24"/>
                <w:szCs w:val="24"/>
                <w:highlight w:val="none"/>
                <w:lang w:val="en-US" w:eastAsia="zh-CN"/>
                <w14:textFill>
                  <w14:solidFill>
                    <w14:schemeClr w14:val="tx1"/>
                  </w14:solidFill>
                </w14:textFill>
              </w:rPr>
              <w:t>30个工作日内</w:t>
            </w:r>
            <w:r>
              <w:rPr>
                <w:rFonts w:hint="eastAsia" w:ascii="宋体" w:hAnsi="宋体" w:cs="宋体"/>
                <w:color w:val="000000" w:themeColor="text1"/>
                <w:sz w:val="24"/>
                <w:szCs w:val="24"/>
                <w:highlight w:val="none"/>
                <w14:textFill>
                  <w14:solidFill>
                    <w14:schemeClr w14:val="tx1"/>
                  </w14:solidFill>
                </w14:textFill>
              </w:rPr>
              <w:t>支付合同金额的30%作为预付款；</w:t>
            </w:r>
          </w:p>
          <w:p w14:paraId="2B82AEA8">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2、工程竣工验收合格</w:t>
            </w:r>
            <w:r>
              <w:rPr>
                <w:rFonts w:hint="eastAsia" w:ascii="宋体" w:hAnsi="宋体" w:cs="宋体"/>
                <w:color w:val="000000" w:themeColor="text1"/>
                <w:sz w:val="24"/>
                <w:szCs w:val="24"/>
                <w:highlight w:val="none"/>
                <w:lang w:val="en-US" w:eastAsia="zh-CN"/>
                <w14:textFill>
                  <w14:solidFill>
                    <w14:schemeClr w14:val="tx1"/>
                  </w14:solidFill>
                </w14:textFill>
              </w:rPr>
              <w:t>并收到对应款项发票后30个工作日内</w:t>
            </w:r>
            <w:r>
              <w:rPr>
                <w:rFonts w:hint="eastAsia" w:ascii="宋体" w:hAnsi="宋体" w:cs="宋体"/>
                <w:color w:val="000000" w:themeColor="text1"/>
                <w:sz w:val="24"/>
                <w:szCs w:val="24"/>
                <w:highlight w:val="none"/>
                <w14:textFill>
                  <w14:solidFill>
                    <w14:schemeClr w14:val="tx1"/>
                  </w14:solidFill>
                </w14:textFill>
              </w:rPr>
              <w:t>支付合同金额的</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0%；</w:t>
            </w:r>
          </w:p>
          <w:p w14:paraId="0F392B9B">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3、竣工结算审价完成，配合完成项目资料的归档</w:t>
            </w:r>
            <w:r>
              <w:rPr>
                <w:rFonts w:hint="eastAsia" w:ascii="宋体" w:hAnsi="宋体" w:cs="宋体"/>
                <w:color w:val="000000" w:themeColor="text1"/>
                <w:sz w:val="24"/>
                <w:szCs w:val="24"/>
                <w:highlight w:val="none"/>
                <w:lang w:val="en-US" w:eastAsia="zh-CN"/>
                <w14:textFill>
                  <w14:solidFill>
                    <w14:schemeClr w14:val="tx1"/>
                  </w14:solidFill>
                </w14:textFill>
              </w:rPr>
              <w:t>并收到对应款项发票后60个工作日内</w:t>
            </w:r>
            <w:r>
              <w:rPr>
                <w:rFonts w:hint="eastAsia" w:ascii="宋体" w:hAnsi="宋体" w:cs="宋体"/>
                <w:color w:val="000000" w:themeColor="text1"/>
                <w:sz w:val="24"/>
                <w:szCs w:val="24"/>
                <w:highlight w:val="none"/>
                <w14:textFill>
                  <w14:solidFill>
                    <w14:schemeClr w14:val="tx1"/>
                  </w14:solidFill>
                </w14:textFill>
              </w:rPr>
              <w:t>，采购人支付至审定金额的</w:t>
            </w:r>
            <w:r>
              <w:rPr>
                <w:rFonts w:hint="eastAsia" w:ascii="宋体" w:hAnsi="宋体" w:cs="宋体"/>
                <w:color w:val="000000" w:themeColor="text1"/>
                <w:sz w:val="24"/>
                <w:szCs w:val="24"/>
                <w:highlight w:val="none"/>
                <w:lang w:val="en-US" w:eastAsia="zh-CN"/>
                <w14:textFill>
                  <w14:solidFill>
                    <w14:schemeClr w14:val="tx1"/>
                  </w14:solidFill>
                </w14:textFill>
              </w:rPr>
              <w:t>97</w:t>
            </w:r>
            <w:r>
              <w:rPr>
                <w:rFonts w:hint="eastAsia" w:ascii="宋体" w:hAnsi="宋体" w:cs="宋体"/>
                <w:color w:val="000000" w:themeColor="text1"/>
                <w:sz w:val="24"/>
                <w:szCs w:val="24"/>
                <w:highlight w:val="none"/>
                <w14:textFill>
                  <w14:solidFill>
                    <w14:schemeClr w14:val="tx1"/>
                  </w14:solidFill>
                </w14:textFill>
              </w:rPr>
              <w:t>%。</w:t>
            </w:r>
          </w:p>
          <w:p w14:paraId="31B8F378">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4、两年缺陷责任期满后，承包人提供办妥质量回访单，14天内</w:t>
            </w:r>
            <w:r>
              <w:rPr>
                <w:rFonts w:hint="eastAsia" w:ascii="宋体" w:hAnsi="宋体" w:cs="宋体"/>
                <w:color w:val="000000" w:themeColor="text1"/>
                <w:sz w:val="24"/>
                <w:szCs w:val="24"/>
                <w:highlight w:val="none"/>
                <w:lang w:val="en-US" w:eastAsia="zh-CN"/>
                <w14:textFill>
                  <w14:solidFill>
                    <w14:schemeClr w14:val="tx1"/>
                  </w14:solidFill>
                </w14:textFill>
              </w:rPr>
              <w:t>支付</w:t>
            </w:r>
            <w:r>
              <w:rPr>
                <w:rFonts w:hint="eastAsia" w:ascii="宋体" w:hAnsi="宋体" w:cs="宋体"/>
                <w:color w:val="000000" w:themeColor="text1"/>
                <w:sz w:val="24"/>
                <w:szCs w:val="24"/>
                <w:highlight w:val="none"/>
                <w14:textFill>
                  <w14:solidFill>
                    <w14:schemeClr w14:val="tx1"/>
                  </w14:solidFill>
                </w14:textFill>
              </w:rPr>
              <w:t>审定金额3%的质量保证金。</w:t>
            </w:r>
          </w:p>
        </w:tc>
      </w:tr>
      <w:tr w14:paraId="3E96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0" w:type="dxa"/>
            <w:vAlign w:val="center"/>
          </w:tcPr>
          <w:p w14:paraId="1D301BD8">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2340" w:type="dxa"/>
            <w:vAlign w:val="center"/>
          </w:tcPr>
          <w:p w14:paraId="59A8EF41">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采购概述</w:t>
            </w:r>
          </w:p>
        </w:tc>
        <w:tc>
          <w:tcPr>
            <w:tcW w:w="6120" w:type="dxa"/>
            <w:vAlign w:val="center"/>
          </w:tcPr>
          <w:p w14:paraId="40EF7CE3">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w:t>
            </w:r>
            <w:r>
              <w:rPr>
                <w:rFonts w:ascii="宋体" w:hAnsi="宋体" w:cs="宋体"/>
                <w:color w:val="000000" w:themeColor="text1"/>
                <w:sz w:val="24"/>
                <w:szCs w:val="24"/>
                <w:highlight w:val="none"/>
                <w14:textFill>
                  <w14:solidFill>
                    <w14:schemeClr w14:val="tx1"/>
                  </w14:solidFill>
                </w14:textFill>
              </w:rPr>
              <w:t>有关法律、法规和规章的规定，本采购项目已具备</w:t>
            </w:r>
            <w:r>
              <w:rPr>
                <w:rFonts w:hint="eastAsia" w:ascii="宋体" w:hAnsi="宋体" w:cs="宋体"/>
                <w:color w:val="000000" w:themeColor="text1"/>
                <w:sz w:val="24"/>
                <w:szCs w:val="24"/>
                <w:highlight w:val="none"/>
                <w14:textFill>
                  <w14:solidFill>
                    <w14:schemeClr w14:val="tx1"/>
                  </w14:solidFill>
                </w14:textFill>
              </w:rPr>
              <w:t>采购</w:t>
            </w:r>
            <w:r>
              <w:rPr>
                <w:rFonts w:ascii="宋体" w:hAnsi="宋体" w:cs="宋体"/>
                <w:color w:val="000000" w:themeColor="text1"/>
                <w:sz w:val="24"/>
                <w:szCs w:val="24"/>
                <w:highlight w:val="none"/>
                <w14:textFill>
                  <w14:solidFill>
                    <w14:schemeClr w14:val="tx1"/>
                  </w14:solidFill>
                </w14:textFill>
              </w:rPr>
              <w:t>条件</w:t>
            </w:r>
            <w:r>
              <w:rPr>
                <w:rFonts w:hint="eastAsia" w:ascii="宋体" w:hAnsi="宋体" w:cs="宋体"/>
                <w:color w:val="000000" w:themeColor="text1"/>
                <w:sz w:val="24"/>
                <w:szCs w:val="24"/>
                <w:highlight w:val="none"/>
                <w14:textFill>
                  <w14:solidFill>
                    <w14:schemeClr w14:val="tx1"/>
                  </w14:solidFill>
                </w14:textFill>
              </w:rPr>
              <w:t>，现进行采购。</w:t>
            </w:r>
          </w:p>
        </w:tc>
      </w:tr>
      <w:tr w14:paraId="28C9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Align w:val="center"/>
          </w:tcPr>
          <w:p w14:paraId="1421B7E6">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2340" w:type="dxa"/>
            <w:vAlign w:val="center"/>
          </w:tcPr>
          <w:p w14:paraId="6C989E89">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p>
        </w:tc>
        <w:tc>
          <w:tcPr>
            <w:tcW w:w="6120" w:type="dxa"/>
            <w:vAlign w:val="center"/>
          </w:tcPr>
          <w:p w14:paraId="28229B90">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采购代理机构：上海中世建设咨询有限公司</w:t>
            </w:r>
          </w:p>
          <w:p w14:paraId="52B6A5C6">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地址：上海市普陀区曹杨路528弄35号（中世办公楼）联系人：杨俊、史静思、周美彤</w:t>
            </w:r>
          </w:p>
          <w:p w14:paraId="44027B31">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电话：021-52555818</w:t>
            </w:r>
          </w:p>
          <w:p w14:paraId="2E3CCD9C">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传真：021-52555815</w:t>
            </w:r>
          </w:p>
          <w:p w14:paraId="685F3D90">
            <w:pPr>
              <w:adjustRightInd w:val="0"/>
              <w:snapToGrid w:val="0"/>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邮箱：zhoumeitong@cwcc.net.cn</w:t>
            </w:r>
          </w:p>
        </w:tc>
      </w:tr>
      <w:tr w14:paraId="2F05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0" w:type="dxa"/>
            <w:shd w:val="clear" w:color="auto" w:fill="auto"/>
            <w:vAlign w:val="center"/>
          </w:tcPr>
          <w:p w14:paraId="6904BBF5">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2340" w:type="dxa"/>
            <w:vAlign w:val="center"/>
          </w:tcPr>
          <w:p w14:paraId="75AB9498">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是否接受</w:t>
            </w:r>
          </w:p>
          <w:p w14:paraId="52708F51">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联合体</w:t>
            </w:r>
            <w:r>
              <w:rPr>
                <w:rFonts w:hint="eastAsia" w:ascii="宋体" w:hAnsi="宋体" w:cs="宋体"/>
                <w:color w:val="000000" w:themeColor="text1"/>
                <w:sz w:val="24"/>
                <w:szCs w:val="24"/>
                <w:highlight w:val="none"/>
                <w14:textFill>
                  <w14:solidFill>
                    <w14:schemeClr w14:val="tx1"/>
                  </w14:solidFill>
                </w14:textFill>
              </w:rPr>
              <w:t>报价</w:t>
            </w:r>
          </w:p>
        </w:tc>
        <w:tc>
          <w:tcPr>
            <w:tcW w:w="6120" w:type="dxa"/>
            <w:vAlign w:val="center"/>
          </w:tcPr>
          <w:p w14:paraId="4336F942">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p>
        </w:tc>
      </w:tr>
      <w:tr w14:paraId="71D1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shd w:val="clear" w:color="auto" w:fill="auto"/>
            <w:vAlign w:val="center"/>
          </w:tcPr>
          <w:p w14:paraId="73170924">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2340" w:type="dxa"/>
            <w:vAlign w:val="center"/>
          </w:tcPr>
          <w:p w14:paraId="55C6A542">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公告发布媒体</w:t>
            </w:r>
          </w:p>
        </w:tc>
        <w:tc>
          <w:tcPr>
            <w:tcW w:w="6120" w:type="dxa"/>
            <w:vAlign w:val="center"/>
          </w:tcPr>
          <w:p w14:paraId="40BEC67E">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14:paraId="1101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shd w:val="clear" w:color="auto" w:fill="auto"/>
            <w:vAlign w:val="center"/>
          </w:tcPr>
          <w:p w14:paraId="1475D16D">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2340" w:type="dxa"/>
            <w:vAlign w:val="center"/>
          </w:tcPr>
          <w:p w14:paraId="61070930">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谈判文件获取</w:t>
            </w:r>
          </w:p>
          <w:p w14:paraId="3D83D6CD">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时间、地点</w:t>
            </w:r>
          </w:p>
        </w:tc>
        <w:tc>
          <w:tcPr>
            <w:tcW w:w="6120" w:type="dxa"/>
            <w:vAlign w:val="center"/>
          </w:tcPr>
          <w:p w14:paraId="05D448D3">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w:t>
            </w:r>
            <w:bookmarkStart w:id="2" w:name="m12eaa702e4481a925d3fa04824_wb_138d"/>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14:textFill>
                  <w14:solidFill>
                    <w14:schemeClr w14:val="tx1"/>
                  </w14:solidFill>
                </w14:textFill>
              </w:rPr>
              <w:t>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ascii="宋体" w:hAnsi="宋体" w:cs="宋体"/>
                <w:color w:val="000000" w:themeColor="text1"/>
                <w:sz w:val="24"/>
                <w:szCs w:val="24"/>
                <w:highlight w:val="none"/>
                <w14:textFill>
                  <w14:solidFill>
                    <w14:schemeClr w14:val="tx1"/>
                  </w14:solidFill>
                </w14:textFill>
              </w:rPr>
              <w:t>日</w:t>
            </w:r>
            <w:bookmarkEnd w:id="2"/>
            <w:r>
              <w:rPr>
                <w:rFonts w:hint="eastAsia" w:ascii="宋体" w:hAnsi="宋体" w:cs="宋体"/>
                <w:color w:val="000000" w:themeColor="text1"/>
                <w:sz w:val="24"/>
                <w:szCs w:val="24"/>
                <w:highlight w:val="none"/>
                <w14:textFill>
                  <w14:solidFill>
                    <w14:schemeClr w14:val="tx1"/>
                  </w14:solidFill>
                </w14:textFill>
              </w:rPr>
              <w:t>起至</w:t>
            </w:r>
            <w:bookmarkStart w:id="3" w:name="m179be3552840b5a2ba58d50aff_wb_139d"/>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ascii="宋体" w:hAnsi="宋体" w:cs="宋体"/>
                <w:color w:val="000000" w:themeColor="text1"/>
                <w:sz w:val="24"/>
                <w:szCs w:val="24"/>
                <w:highlight w:val="none"/>
                <w14:textFill>
                  <w14:solidFill>
                    <w14:schemeClr w14:val="tx1"/>
                  </w14:solidFill>
                </w14:textFill>
              </w:rPr>
              <w:t>日</w:t>
            </w:r>
            <w:bookmarkEnd w:id="3"/>
            <w:r>
              <w:rPr>
                <w:rFonts w:hint="eastAsia" w:ascii="宋体" w:hAnsi="宋体" w:cs="宋体"/>
                <w:color w:val="000000" w:themeColor="text1"/>
                <w:sz w:val="24"/>
                <w:szCs w:val="24"/>
                <w:highlight w:val="none"/>
                <w14:textFill>
                  <w14:solidFill>
                    <w14:schemeClr w14:val="tx1"/>
                  </w14:solidFill>
                </w14:textFill>
              </w:rPr>
              <w:t>，每天上午9时至11时，下午13时至1</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时（北京时间，节假日除外）</w:t>
            </w:r>
          </w:p>
          <w:p w14:paraId="3BFA6BAB">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地点：“中世建咨”微信公众号</w:t>
            </w:r>
          </w:p>
        </w:tc>
      </w:tr>
      <w:tr w14:paraId="2447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00" w:type="dxa"/>
            <w:shd w:val="clear" w:color="auto" w:fill="auto"/>
            <w:vAlign w:val="center"/>
          </w:tcPr>
          <w:p w14:paraId="7A31F8E2">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2340" w:type="dxa"/>
            <w:vAlign w:val="center"/>
          </w:tcPr>
          <w:p w14:paraId="6A25EF1C">
            <w:pPr>
              <w:spacing w:before="200" w:after="200"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现场踏勘</w:t>
            </w:r>
          </w:p>
        </w:tc>
        <w:tc>
          <w:tcPr>
            <w:tcW w:w="6120" w:type="dxa"/>
            <w:vAlign w:val="center"/>
          </w:tcPr>
          <w:p w14:paraId="4C52EC7F">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自行踏勘</w:t>
            </w:r>
          </w:p>
        </w:tc>
      </w:tr>
      <w:tr w14:paraId="5FEB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0" w:type="dxa"/>
            <w:shd w:val="clear" w:color="auto" w:fill="auto"/>
            <w:vAlign w:val="center"/>
          </w:tcPr>
          <w:p w14:paraId="6D4A518C">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2340" w:type="dxa"/>
            <w:vAlign w:val="center"/>
          </w:tcPr>
          <w:p w14:paraId="57275328">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答疑截止时间及领取谈判补充文件</w:t>
            </w:r>
          </w:p>
          <w:p w14:paraId="1AAE0392">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时间及地点</w:t>
            </w:r>
          </w:p>
        </w:tc>
        <w:tc>
          <w:tcPr>
            <w:tcW w:w="6120" w:type="dxa"/>
            <w:vAlign w:val="center"/>
          </w:tcPr>
          <w:p w14:paraId="20CBA9F2">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答疑截止时间：2</w:t>
            </w:r>
            <w:r>
              <w:rPr>
                <w:rFonts w:ascii="宋体" w:hAnsi="宋体" w:cs="宋体"/>
                <w:color w:val="000000" w:themeColor="text1"/>
                <w:sz w:val="24"/>
                <w:szCs w:val="24"/>
                <w:highlight w:val="none"/>
                <w14:textFill>
                  <w14:solidFill>
                    <w14:schemeClr w14:val="tx1"/>
                  </w14:solidFill>
                </w14:textFill>
              </w:rPr>
              <w:t>02</w:t>
            </w:r>
            <w:r>
              <w:rPr>
                <w:rFonts w:hint="eastAsia" w:ascii="宋体" w:hAnsi="宋体" w:cs="宋体"/>
                <w:color w:val="000000" w:themeColor="text1"/>
                <w:sz w:val="24"/>
                <w:szCs w:val="24"/>
                <w:highlight w:val="none"/>
                <w14:textFill>
                  <w14:solidFill>
                    <w14:schemeClr w14:val="tx1"/>
                  </w14:solidFill>
                </w14:textFill>
              </w:rPr>
              <w:t>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cs="宋体"/>
                <w:color w:val="000000" w:themeColor="text1"/>
                <w:sz w:val="24"/>
                <w:szCs w:val="24"/>
                <w:highlight w:val="none"/>
                <w14:textFill>
                  <w14:solidFill>
                    <w14:schemeClr w14:val="tx1"/>
                  </w14:solidFill>
                </w14:textFill>
              </w:rPr>
              <w:t>日12：0</w:t>
            </w:r>
            <w:r>
              <w:rPr>
                <w:rFonts w:ascii="宋体" w:hAns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（北京时间）</w:t>
            </w:r>
          </w:p>
          <w:p w14:paraId="40435B57">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领取谈判补充文件时间：另行安排（如有）</w:t>
            </w:r>
          </w:p>
          <w:p w14:paraId="7313FBCF">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地点：上海市曹杨路528弄35号（中世办公楼）会议室（具体详见二楼大屏幕）</w:t>
            </w:r>
          </w:p>
          <w:p w14:paraId="60B020EB">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（如有，将以书面形式统一发放所有供应商）</w:t>
            </w:r>
          </w:p>
        </w:tc>
      </w:tr>
      <w:tr w14:paraId="0AC1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shd w:val="clear" w:color="auto" w:fill="auto"/>
            <w:vAlign w:val="center"/>
          </w:tcPr>
          <w:p w14:paraId="7336110A">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2340" w:type="dxa"/>
            <w:vAlign w:val="center"/>
          </w:tcPr>
          <w:p w14:paraId="7C38AEC8">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报价有效期</w:t>
            </w:r>
          </w:p>
        </w:tc>
        <w:tc>
          <w:tcPr>
            <w:tcW w:w="6120" w:type="dxa"/>
            <w:vAlign w:val="center"/>
          </w:tcPr>
          <w:p w14:paraId="25961C21">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报价截止之日起90日历日</w:t>
            </w:r>
          </w:p>
        </w:tc>
      </w:tr>
      <w:tr w14:paraId="27E0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shd w:val="clear" w:color="auto" w:fill="auto"/>
            <w:vAlign w:val="center"/>
          </w:tcPr>
          <w:p w14:paraId="08AE3386">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2340" w:type="dxa"/>
            <w:vAlign w:val="center"/>
          </w:tcPr>
          <w:p w14:paraId="4D56EBF9">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响应文件递交截止</w:t>
            </w:r>
          </w:p>
          <w:p w14:paraId="4D9F9D20">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时间、地点</w:t>
            </w:r>
          </w:p>
        </w:tc>
        <w:tc>
          <w:tcPr>
            <w:tcW w:w="6120" w:type="dxa"/>
            <w:vAlign w:val="center"/>
          </w:tcPr>
          <w:p w14:paraId="3B24764E">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时间：2025年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cs="宋体"/>
                <w:color w:val="000000" w:themeColor="text1"/>
                <w:sz w:val="24"/>
                <w:szCs w:val="24"/>
                <w:highlight w:val="none"/>
                <w14:textFill>
                  <w14:solidFill>
                    <w14:schemeClr w14:val="tx1"/>
                  </w14:solidFill>
                </w14:textFill>
              </w:rPr>
              <w:t>午1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:00（北京时间）</w:t>
            </w:r>
          </w:p>
          <w:p w14:paraId="00DB50BA">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在截止时间后送达的响应文件将拒收</w:t>
            </w:r>
          </w:p>
          <w:p w14:paraId="7AE7C0E8">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地点：现场递交：上海市普陀区曹杨路528弄35号（中世办公楼）会议室（具体详见二楼大屏幕）</w:t>
            </w:r>
          </w:p>
        </w:tc>
      </w:tr>
      <w:tr w14:paraId="491A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shd w:val="clear" w:color="auto" w:fill="auto"/>
            <w:vAlign w:val="center"/>
          </w:tcPr>
          <w:p w14:paraId="6D1EC595">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2340" w:type="dxa"/>
            <w:vAlign w:val="center"/>
          </w:tcPr>
          <w:p w14:paraId="508ED42C">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谈判会</w:t>
            </w:r>
          </w:p>
          <w:p w14:paraId="126E7D52">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时间、地点</w:t>
            </w:r>
          </w:p>
        </w:tc>
        <w:tc>
          <w:tcPr>
            <w:tcW w:w="6120" w:type="dxa"/>
            <w:vAlign w:val="center"/>
          </w:tcPr>
          <w:p w14:paraId="7EED5D15">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时间：2025年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cs="宋体"/>
                <w:color w:val="000000" w:themeColor="text1"/>
                <w:sz w:val="24"/>
                <w:szCs w:val="24"/>
                <w:highlight w:val="none"/>
                <w14:textFill>
                  <w14:solidFill>
                    <w14:schemeClr w14:val="tx1"/>
                  </w14:solidFill>
                </w14:textFill>
              </w:rPr>
              <w:t>午1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:00（北京时间）</w:t>
            </w:r>
          </w:p>
          <w:p w14:paraId="767A339B">
            <w:pPr>
              <w:pStyle w:val="81"/>
              <w:adjustRightInd w:val="0"/>
              <w:snapToGrid w:val="0"/>
              <w:spacing w:before="0" w:beforeAutospacing="0" w:after="0" w:afterAutospacing="0" w:line="400" w:lineRule="exact"/>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地点：上海市普陀区曹杨路528弄35号（中世办公楼）会议室（具体详见二楼大屏幕）</w:t>
            </w:r>
          </w:p>
        </w:tc>
      </w:tr>
      <w:tr w14:paraId="79FB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shd w:val="clear" w:color="auto" w:fill="auto"/>
            <w:vAlign w:val="center"/>
          </w:tcPr>
          <w:p w14:paraId="209E85DD">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2340" w:type="dxa"/>
            <w:vAlign w:val="center"/>
          </w:tcPr>
          <w:p w14:paraId="7C821FFC">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响应文件份数</w:t>
            </w:r>
          </w:p>
        </w:tc>
        <w:tc>
          <w:tcPr>
            <w:tcW w:w="6120" w:type="dxa"/>
            <w:vAlign w:val="center"/>
          </w:tcPr>
          <w:p w14:paraId="2712094C">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正本1份、副本3份、响应文件电子文档1份（包含盖章签字后的PDF电子版响应文件及可编辑的word版，电子文档与纸质响应文件须保持一致，当发生不一致时，以纸质响应文件正本为准。）</w:t>
            </w:r>
          </w:p>
        </w:tc>
      </w:tr>
      <w:tr w14:paraId="40B6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shd w:val="clear" w:color="auto" w:fill="auto"/>
            <w:vAlign w:val="center"/>
          </w:tcPr>
          <w:p w14:paraId="409489C7">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2340" w:type="dxa"/>
            <w:vAlign w:val="center"/>
          </w:tcPr>
          <w:p w14:paraId="1D766E23">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评审方法</w:t>
            </w:r>
          </w:p>
        </w:tc>
        <w:tc>
          <w:tcPr>
            <w:tcW w:w="6120" w:type="dxa"/>
            <w:vAlign w:val="center"/>
          </w:tcPr>
          <w:p w14:paraId="636BFC32">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综合评分法</w:t>
            </w:r>
          </w:p>
        </w:tc>
      </w:tr>
      <w:tr w14:paraId="6EC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shd w:val="clear" w:color="auto" w:fill="auto"/>
            <w:vAlign w:val="center"/>
          </w:tcPr>
          <w:p w14:paraId="1A1DEE46">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2340" w:type="dxa"/>
            <w:vAlign w:val="center"/>
          </w:tcPr>
          <w:p w14:paraId="094AB2E6">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成交服务费支付</w:t>
            </w:r>
          </w:p>
        </w:tc>
        <w:tc>
          <w:tcPr>
            <w:tcW w:w="6120" w:type="dxa"/>
            <w:vAlign w:val="center"/>
          </w:tcPr>
          <w:p w14:paraId="0F028553">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本项目成交服务费由采购人支付</w:t>
            </w:r>
          </w:p>
        </w:tc>
      </w:tr>
      <w:tr w14:paraId="423C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00" w:type="dxa"/>
            <w:shd w:val="clear" w:color="auto" w:fill="auto"/>
            <w:vAlign w:val="center"/>
          </w:tcPr>
          <w:p w14:paraId="0F1FB09A">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2340" w:type="dxa"/>
            <w:vAlign w:val="center"/>
          </w:tcPr>
          <w:p w14:paraId="4DC6C5A8">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响应文件为无效文件的情况</w:t>
            </w:r>
          </w:p>
        </w:tc>
        <w:tc>
          <w:tcPr>
            <w:tcW w:w="6120" w:type="dxa"/>
            <w:vAlign w:val="center"/>
          </w:tcPr>
          <w:p w14:paraId="6BF9333D">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逾期送达的或者未送达指定地点的；</w:t>
            </w:r>
          </w:p>
          <w:p w14:paraId="522FAE35">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未按谈判文件要求密封的；</w:t>
            </w:r>
          </w:p>
          <w:p w14:paraId="4B02B73C">
            <w:pPr>
              <w:spacing w:line="4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未按规定获取谈判文件的；</w:t>
            </w:r>
          </w:p>
        </w:tc>
      </w:tr>
      <w:tr w14:paraId="30BD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0" w:type="dxa"/>
            <w:shd w:val="clear" w:color="auto" w:fill="auto"/>
            <w:vAlign w:val="center"/>
          </w:tcPr>
          <w:p w14:paraId="40D9867B">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2340" w:type="dxa"/>
            <w:vAlign w:val="center"/>
          </w:tcPr>
          <w:p w14:paraId="7408ED3B">
            <w:pPr>
              <w:spacing w:line="4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6120" w:type="dxa"/>
            <w:vAlign w:val="center"/>
          </w:tcPr>
          <w:p w14:paraId="1581D464">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截止时间后，采购代理机构将在信用中国（www.creditchina.gov.cn）和中国政府采购网（www.ccgp.gov.cn）对参与谈判的供应商进行信息查询，确认供应商截至报价截止时间前三年内，是否被列入失信被执行人、重大税收违法案件当事人名单、政府采购严重违法失信行为记录名单等。</w:t>
            </w:r>
          </w:p>
        </w:tc>
      </w:tr>
    </w:tbl>
    <w:p w14:paraId="7A73A2D0">
      <w:pPr>
        <w:spacing w:line="360" w:lineRule="auto"/>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p>
    <w:p w14:paraId="4139FE1F">
      <w:pPr>
        <w:pStyle w:val="45"/>
        <w:spacing w:line="360" w:lineRule="auto"/>
        <w:jc w:val="center"/>
        <w:rPr>
          <w:b/>
          <w:color w:val="000000" w:themeColor="text1"/>
          <w:sz w:val="52"/>
          <w:highlight w:val="none"/>
          <w14:textFill>
            <w14:solidFill>
              <w14:schemeClr w14:val="tx1"/>
            </w14:solidFill>
          </w14:textFill>
        </w:rPr>
      </w:pPr>
    </w:p>
    <w:p w14:paraId="68D6CF24">
      <w:pPr>
        <w:pStyle w:val="45"/>
        <w:spacing w:line="360" w:lineRule="auto"/>
        <w:jc w:val="center"/>
        <w:rPr>
          <w:b/>
          <w:color w:val="000000" w:themeColor="text1"/>
          <w:sz w:val="52"/>
          <w:highlight w:val="none"/>
          <w14:textFill>
            <w14:solidFill>
              <w14:schemeClr w14:val="tx1"/>
            </w14:solidFill>
          </w14:textFill>
        </w:rPr>
      </w:pPr>
    </w:p>
    <w:p w14:paraId="13D576CA">
      <w:pPr>
        <w:pStyle w:val="45"/>
        <w:spacing w:line="360" w:lineRule="auto"/>
        <w:jc w:val="center"/>
        <w:rPr>
          <w:b/>
          <w:color w:val="000000" w:themeColor="text1"/>
          <w:sz w:val="52"/>
          <w:highlight w:val="none"/>
          <w14:textFill>
            <w14:solidFill>
              <w14:schemeClr w14:val="tx1"/>
            </w14:solidFill>
          </w14:textFill>
        </w:rPr>
      </w:pPr>
    </w:p>
    <w:p w14:paraId="7F3AEDA2">
      <w:pPr>
        <w:pStyle w:val="45"/>
        <w:spacing w:line="360" w:lineRule="auto"/>
        <w:ind w:firstLine="3393" w:firstLineChars="650"/>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第一部分</w:t>
      </w:r>
    </w:p>
    <w:p w14:paraId="12BB6048">
      <w:pPr>
        <w:pStyle w:val="45"/>
        <w:spacing w:line="360" w:lineRule="auto"/>
        <w:jc w:val="center"/>
        <w:rPr>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竞争性谈判邀请书</w:t>
      </w:r>
    </w:p>
    <w:p w14:paraId="7EA6B396">
      <w:pPr>
        <w:pStyle w:val="45"/>
        <w:spacing w:line="360" w:lineRule="auto"/>
        <w:jc w:val="center"/>
        <w:rPr>
          <w:b/>
          <w:color w:val="000000" w:themeColor="text1"/>
          <w:highlight w:val="none"/>
          <w14:textFill>
            <w14:solidFill>
              <w14:schemeClr w14:val="tx1"/>
            </w14:solidFill>
          </w14:textFill>
        </w:rPr>
        <w:sectPr>
          <w:headerReference r:id="rId9" w:type="default"/>
          <w:footerReference r:id="rId10" w:type="default"/>
          <w:pgSz w:w="11906" w:h="16838"/>
          <w:pgMar w:top="1247" w:right="1474" w:bottom="1247" w:left="1474" w:header="851" w:footer="992" w:gutter="0"/>
          <w:pgNumType w:start="1"/>
          <w:cols w:space="720" w:num="1"/>
          <w:docGrid w:type="lines" w:linePitch="286" w:charSpace="0"/>
        </w:sectPr>
      </w:pPr>
    </w:p>
    <w:p w14:paraId="1C284B48">
      <w:pPr>
        <w:pStyle w:val="45"/>
        <w:spacing w:before="0" w:beforeAutospacing="0" w:after="0" w:afterAutospacing="0" w:line="400" w:lineRule="exact"/>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第一部分 </w:t>
      </w:r>
      <w:bookmarkStart w:id="4" w:name="_Hlk53667435"/>
      <w:r>
        <w:rPr>
          <w:rFonts w:hint="eastAsia"/>
          <w:b/>
          <w:color w:val="000000" w:themeColor="text1"/>
          <w:highlight w:val="none"/>
          <w14:textFill>
            <w14:solidFill>
              <w14:schemeClr w14:val="tx1"/>
            </w14:solidFill>
          </w14:textFill>
        </w:rPr>
        <w:t>竞争性谈判邀请书</w:t>
      </w:r>
    </w:p>
    <w:bookmarkEnd w:id="4"/>
    <w:p w14:paraId="11DE434F">
      <w:pPr>
        <w:pStyle w:val="45"/>
        <w:spacing w:before="0" w:beforeAutospacing="0" w:after="0" w:afterAutospacing="0" w:line="440" w:lineRule="exact"/>
        <w:jc w:val="center"/>
        <w:rPr>
          <w:rFonts w:cs="宋体"/>
          <w:color w:val="auto"/>
          <w:szCs w:val="24"/>
          <w:highlight w:val="none"/>
        </w:rPr>
      </w:pPr>
      <w:r>
        <w:rPr>
          <w:rFonts w:hint="eastAsia" w:cs="宋体"/>
          <w:color w:val="auto"/>
          <w:szCs w:val="24"/>
          <w:highlight w:val="none"/>
        </w:rPr>
        <w:t>2025年奥吉大厦装修及仓储场地翻新项目竞争性谈判邀请书</w:t>
      </w:r>
    </w:p>
    <w:p w14:paraId="16C8FAA7">
      <w:pPr>
        <w:spacing w:line="440" w:lineRule="exact"/>
        <w:jc w:val="center"/>
        <w:rPr>
          <w:rFonts w:ascii="宋体" w:hAnsi="宋体" w:cs="宋体"/>
          <w:sz w:val="24"/>
          <w:szCs w:val="24"/>
          <w:highlight w:val="none"/>
        </w:rPr>
      </w:pPr>
      <w:r>
        <w:rPr>
          <w:rFonts w:hint="eastAsia" w:ascii="宋体" w:hAnsi="宋体" w:cs="宋体"/>
          <w:sz w:val="24"/>
          <w:szCs w:val="24"/>
          <w:highlight w:val="none"/>
        </w:rPr>
        <w:t>（项目编号：招案2025-1678）</w:t>
      </w:r>
    </w:p>
    <w:p w14:paraId="3744A10D">
      <w:pPr>
        <w:pStyle w:val="886"/>
        <w:spacing w:line="440" w:lineRule="exact"/>
        <w:ind w:firstLine="480"/>
        <w:rPr>
          <w:rFonts w:ascii="宋体" w:hAnsi="宋体"/>
          <w:szCs w:val="24"/>
          <w:highlight w:val="none"/>
        </w:rPr>
      </w:pPr>
      <w:r>
        <w:rPr>
          <w:rFonts w:hint="eastAsia" w:ascii="宋体" w:hAnsi="宋体"/>
          <w:szCs w:val="24"/>
          <w:highlight w:val="none"/>
        </w:rPr>
        <w:t>项目所在地区：上海市</w:t>
      </w:r>
    </w:p>
    <w:p w14:paraId="5EE33508">
      <w:pPr>
        <w:spacing w:line="360" w:lineRule="auto"/>
        <w:jc w:val="left"/>
        <w:outlineLvl w:val="1"/>
        <w:rPr>
          <w:rFonts w:ascii="宋体" w:hAnsi="宋体" w:cs="宋体"/>
          <w:sz w:val="24"/>
          <w:szCs w:val="24"/>
          <w:highlight w:val="none"/>
        </w:rPr>
      </w:pPr>
      <w:r>
        <w:rPr>
          <w:rFonts w:ascii="宋体" w:hAnsi="宋体" w:cs="宋体"/>
          <w:sz w:val="24"/>
          <w:szCs w:val="24"/>
          <w:highlight w:val="none"/>
        </w:rPr>
        <w:t>一、</w:t>
      </w:r>
      <w:r>
        <w:rPr>
          <w:rFonts w:hint="eastAsia" w:ascii="宋体" w:hAnsi="宋体" w:cs="宋体"/>
          <w:sz w:val="24"/>
          <w:szCs w:val="24"/>
          <w:highlight w:val="none"/>
        </w:rPr>
        <w:t>采购条件</w:t>
      </w:r>
    </w:p>
    <w:p w14:paraId="4D764E6B">
      <w:pPr>
        <w:tabs>
          <w:tab w:val="left" w:pos="3820"/>
        </w:tabs>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本2025年奥吉大厦装修及仓储场地翻新项目</w:t>
      </w:r>
      <w:r>
        <w:rPr>
          <w:rFonts w:hint="eastAsia" w:ascii="宋体" w:hAnsi="宋体" w:cs="宋体"/>
          <w:sz w:val="24"/>
          <w:szCs w:val="24"/>
          <w:highlight w:val="none"/>
        </w:rPr>
        <w:t>已由项目审批机关批准，项目报建编号为</w:t>
      </w:r>
      <w:r>
        <w:rPr>
          <w:rFonts w:hint="eastAsia" w:ascii="宋体" w:hAnsi="宋体" w:cs="宋体"/>
          <w:sz w:val="24"/>
          <w:szCs w:val="24"/>
          <w:highlight w:val="none"/>
          <w:u w:val="single"/>
        </w:rPr>
        <w:t>：25ZMPD0032，</w:t>
      </w:r>
      <w:r>
        <w:rPr>
          <w:rFonts w:hint="eastAsia" w:ascii="宋体" w:hAnsi="宋体" w:cs="宋体"/>
          <w:sz w:val="24"/>
          <w:szCs w:val="24"/>
          <w:highlight w:val="none"/>
        </w:rPr>
        <w:t>项目资金为国有企业资金100%；采购人为</w:t>
      </w:r>
      <w:r>
        <w:rPr>
          <w:rFonts w:hint="eastAsia" w:ascii="宋体" w:hAnsi="宋体" w:cs="宋体"/>
          <w:bCs/>
          <w:sz w:val="24"/>
          <w:szCs w:val="24"/>
          <w:highlight w:val="none"/>
        </w:rPr>
        <w:t>上海奥吉实业有限公司</w:t>
      </w:r>
      <w:r>
        <w:rPr>
          <w:rFonts w:hint="eastAsia" w:ascii="宋体" w:hAnsi="宋体" w:cs="宋体"/>
          <w:sz w:val="24"/>
          <w:szCs w:val="24"/>
          <w:highlight w:val="none"/>
        </w:rPr>
        <w:t>。本项目已具备采购条件，现采购方式为竞争性谈判。</w:t>
      </w:r>
    </w:p>
    <w:p w14:paraId="4EAB48E5">
      <w:pPr>
        <w:spacing w:line="360" w:lineRule="auto"/>
        <w:jc w:val="left"/>
        <w:outlineLvl w:val="1"/>
        <w:rPr>
          <w:rFonts w:ascii="宋体" w:hAnsi="宋体" w:cs="宋体"/>
          <w:sz w:val="24"/>
          <w:szCs w:val="24"/>
          <w:highlight w:val="none"/>
        </w:rPr>
      </w:pPr>
      <w:r>
        <w:rPr>
          <w:rFonts w:ascii="宋体" w:hAnsi="宋体" w:cs="宋体"/>
          <w:sz w:val="24"/>
          <w:szCs w:val="24"/>
          <w:highlight w:val="none"/>
        </w:rPr>
        <w:t>二、</w:t>
      </w:r>
      <w:r>
        <w:rPr>
          <w:rFonts w:hint="eastAsia" w:ascii="宋体" w:hAnsi="宋体" w:cs="宋体"/>
          <w:sz w:val="24"/>
          <w:szCs w:val="24"/>
          <w:highlight w:val="none"/>
        </w:rPr>
        <w:t xml:space="preserve">项目概况 </w:t>
      </w:r>
    </w:p>
    <w:p w14:paraId="1C1853DB">
      <w:pPr>
        <w:tabs>
          <w:tab w:val="left" w:pos="3820"/>
        </w:tabs>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1、规模：</w:t>
      </w:r>
      <w:r>
        <w:rPr>
          <w:rFonts w:hint="eastAsia" w:ascii="宋体" w:hAnsi="宋体" w:cs="宋体"/>
          <w:color w:val="000000" w:themeColor="text1"/>
          <w:sz w:val="24"/>
          <w:szCs w:val="24"/>
          <w:highlight w:val="none"/>
          <w14:textFill>
            <w14:solidFill>
              <w14:schemeClr w14:val="tx1"/>
            </w14:solidFill>
          </w14:textFill>
        </w:rPr>
        <w:t>本项目总最高限价为</w:t>
      </w:r>
      <w:r>
        <w:rPr>
          <w:rFonts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lang w:val="en-US" w:eastAsia="zh-CN"/>
          <w14:textFill>
            <w14:solidFill>
              <w14:schemeClr w14:val="tx1"/>
            </w14:solidFill>
          </w14:textFill>
        </w:rPr>
        <w:t>363.542451</w:t>
      </w:r>
      <w:r>
        <w:rPr>
          <w:rFonts w:hint="eastAsia" w:ascii="宋体" w:hAnsi="宋体" w:cs="宋体"/>
          <w:color w:val="000000" w:themeColor="text1"/>
          <w:sz w:val="24"/>
          <w:szCs w:val="24"/>
          <w:highlight w:val="none"/>
          <w14:textFill>
            <w14:solidFill>
              <w14:schemeClr w14:val="tx1"/>
            </w14:solidFill>
          </w14:textFill>
        </w:rPr>
        <w:t>万元（其中大厦装修</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最高限价：</w:t>
      </w:r>
      <w:r>
        <w:rPr>
          <w:rFonts w:hint="eastAsia" w:ascii="宋体" w:hAnsi="宋体" w:cs="宋体"/>
          <w:color w:val="000000" w:themeColor="text1"/>
          <w:sz w:val="24"/>
          <w:szCs w:val="24"/>
          <w:highlight w:val="none"/>
          <w:lang w:val="en-US" w:eastAsia="zh-CN"/>
          <w14:textFill>
            <w14:solidFill>
              <w14:schemeClr w14:val="tx1"/>
            </w14:solidFill>
          </w14:textFill>
        </w:rPr>
        <w:t>129.81646</w:t>
      </w:r>
      <w:r>
        <w:rPr>
          <w:rFonts w:hint="eastAsia" w:ascii="宋体" w:hAnsi="宋体" w:cs="宋体"/>
          <w:color w:val="000000" w:themeColor="text1"/>
          <w:sz w:val="24"/>
          <w:szCs w:val="24"/>
          <w:highlight w:val="none"/>
          <w14:textFill>
            <w14:solidFill>
              <w14:schemeClr w14:val="tx1"/>
            </w14:solidFill>
          </w14:textFill>
        </w:rPr>
        <w:t>万元，仓储场地翻新</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最高限价：23</w:t>
      </w:r>
      <w:r>
        <w:rPr>
          <w:rFonts w:hint="eastAsia" w:ascii="宋体" w:hAnsi="宋体" w:cs="宋体"/>
          <w:color w:val="000000" w:themeColor="text1"/>
          <w:sz w:val="24"/>
          <w:szCs w:val="24"/>
          <w:highlight w:val="none"/>
          <w:lang w:val="en-US" w:eastAsia="zh-CN"/>
          <w14:textFill>
            <w14:solidFill>
              <w14:schemeClr w14:val="tx1"/>
            </w14:solidFill>
          </w14:textFill>
        </w:rPr>
        <w:t>3.725991</w:t>
      </w:r>
      <w:r>
        <w:rPr>
          <w:rFonts w:hint="eastAsia" w:ascii="宋体" w:hAnsi="宋体" w:cs="宋体"/>
          <w:color w:val="000000" w:themeColor="text1"/>
          <w:sz w:val="24"/>
          <w:szCs w:val="24"/>
          <w:highlight w:val="none"/>
          <w14:textFill>
            <w14:solidFill>
              <w14:schemeClr w14:val="tx1"/>
            </w14:solidFill>
          </w14:textFill>
        </w:rPr>
        <w:t>万元）。报价不得超过本项目总最高限价和每个部分的最高限价，超过的报价将作无效处理。</w:t>
      </w:r>
    </w:p>
    <w:p w14:paraId="779A0F2D">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2、采购内容：</w:t>
      </w:r>
      <w:r>
        <w:rPr>
          <w:rFonts w:hint="eastAsia" w:ascii="宋体" w:hAnsi="宋体" w:cs="宋体"/>
          <w:color w:val="000000" w:themeColor="text1"/>
          <w:sz w:val="24"/>
          <w:szCs w:val="24"/>
          <w:highlight w:val="none"/>
          <w14:textFill>
            <w14:solidFill>
              <w14:schemeClr w14:val="tx1"/>
            </w14:solidFill>
          </w14:textFill>
        </w:rPr>
        <w:t>奥吉大厦外墙整体翻新工程、空调外墙排水更新工程、1-6层主楼及副楼部分卫生间、给排水翻新工程等。奥吉公司仓储场地及配套设施进行维修翻新，包括场地维修（面积约4000平方米）、仓库围墙刷新、车位线补新、</w:t>
      </w:r>
      <w:r>
        <w:rPr>
          <w:rFonts w:hint="eastAsia" w:ascii="宋体" w:hAnsi="宋体" w:cs="宋体"/>
          <w:sz w:val="24"/>
          <w:szCs w:val="24"/>
          <w:highlight w:val="none"/>
        </w:rPr>
        <w:t>保洁及垃圾清运等工作</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sz w:val="24"/>
          <w:szCs w:val="24"/>
          <w:highlight w:val="none"/>
        </w:rPr>
        <w:t>所有项目均由施工方包工包料。</w:t>
      </w:r>
      <w:r>
        <w:rPr>
          <w:rFonts w:hint="eastAsia" w:ascii="宋体" w:hAnsi="宋体" w:cs="宋体"/>
          <w:color w:val="000000" w:themeColor="text1"/>
          <w:sz w:val="24"/>
          <w:szCs w:val="24"/>
          <w:highlight w:val="none"/>
          <w14:textFill>
            <w14:solidFill>
              <w14:schemeClr w14:val="tx1"/>
            </w14:solidFill>
          </w14:textFill>
        </w:rPr>
        <w:t>（具体内容详见谈判文件—第七部分工程量清单）</w:t>
      </w:r>
    </w:p>
    <w:p w14:paraId="6562CD0E">
      <w:pPr>
        <w:tabs>
          <w:tab w:val="left" w:pos="382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3、施工工期：105日历天（计划开工日期：以采购人通知为准）</w:t>
      </w:r>
    </w:p>
    <w:p w14:paraId="7F6AFB1C">
      <w:pPr>
        <w:tabs>
          <w:tab w:val="left" w:pos="382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4、工程承包方式：施工总承包</w:t>
      </w:r>
    </w:p>
    <w:p w14:paraId="3232FA46">
      <w:pPr>
        <w:tabs>
          <w:tab w:val="left" w:pos="3820"/>
        </w:tabs>
        <w:spacing w:line="360" w:lineRule="auto"/>
        <w:ind w:firstLine="480" w:firstLineChars="200"/>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5、质量要求：一次性验收合格率1</w:t>
      </w:r>
      <w:r>
        <w:rPr>
          <w:rFonts w:ascii="宋体" w:hAnsi="宋体" w:cs="宋体"/>
          <w:color w:val="000000" w:themeColor="text1"/>
          <w:sz w:val="24"/>
          <w:szCs w:val="24"/>
          <w:highlight w:val="none"/>
          <w14:textFill>
            <w14:solidFill>
              <w14:schemeClr w14:val="tx1"/>
            </w14:solidFill>
          </w14:textFill>
        </w:rPr>
        <w:t>00%</w:t>
      </w:r>
    </w:p>
    <w:p w14:paraId="57648CFC">
      <w:pPr>
        <w:spacing w:line="360" w:lineRule="auto"/>
        <w:jc w:val="left"/>
        <w:outlineLvl w:val="1"/>
        <w:rPr>
          <w:rFonts w:ascii="宋体" w:hAnsi="宋体" w:cs="宋体"/>
          <w:sz w:val="24"/>
          <w:szCs w:val="24"/>
          <w:highlight w:val="none"/>
        </w:rPr>
      </w:pPr>
      <w:r>
        <w:rPr>
          <w:rFonts w:ascii="宋体" w:hAnsi="宋体" w:cs="宋体"/>
          <w:sz w:val="24"/>
          <w:szCs w:val="24"/>
          <w:highlight w:val="none"/>
        </w:rPr>
        <w:t>三、</w:t>
      </w:r>
      <w:r>
        <w:rPr>
          <w:rFonts w:hint="eastAsia" w:ascii="宋体" w:hAnsi="宋体" w:cs="宋体"/>
          <w:sz w:val="24"/>
          <w:szCs w:val="24"/>
          <w:highlight w:val="none"/>
        </w:rPr>
        <w:t>报价人资格要求</w:t>
      </w:r>
      <w:bookmarkStart w:id="1057" w:name="_GoBack"/>
      <w:bookmarkEnd w:id="1057"/>
    </w:p>
    <w:p w14:paraId="4781914A">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hint="eastAsia" w:ascii="宋体" w:hAnsi="宋体" w:cs="宋体"/>
          <w:bCs/>
          <w:sz w:val="24"/>
          <w:szCs w:val="24"/>
          <w:highlight w:val="none"/>
        </w:rPr>
        <w:t>2025年奥吉大厦装修及仓储场地翻新项目</w:t>
      </w:r>
      <w:r>
        <w:rPr>
          <w:rFonts w:hint="eastAsia" w:ascii="宋体" w:hAnsi="宋体"/>
          <w:sz w:val="24"/>
          <w:szCs w:val="24"/>
          <w:highlight w:val="none"/>
        </w:rPr>
        <w:t>）的报价人资格能力要求：</w:t>
      </w:r>
    </w:p>
    <w:p w14:paraId="50AF9362">
      <w:pPr>
        <w:spacing w:line="360" w:lineRule="auto"/>
        <w:rPr>
          <w:rFonts w:ascii="宋体" w:hAnsi="宋体"/>
          <w:sz w:val="24"/>
          <w:szCs w:val="24"/>
          <w:highlight w:val="none"/>
        </w:rPr>
      </w:pPr>
      <w:r>
        <w:rPr>
          <w:rFonts w:hint="eastAsia" w:ascii="宋体" w:hAnsi="宋体"/>
          <w:sz w:val="24"/>
          <w:szCs w:val="24"/>
          <w:highlight w:val="none"/>
        </w:rPr>
        <w:t>1）中华人民共和国境内注册的法人或其他组织；</w:t>
      </w:r>
    </w:p>
    <w:p w14:paraId="7AB5E5B9">
      <w:pPr>
        <w:spacing w:line="360" w:lineRule="auto"/>
        <w:rPr>
          <w:rFonts w:ascii="宋体" w:hAnsi="宋体"/>
          <w:sz w:val="24"/>
          <w:szCs w:val="24"/>
          <w:highlight w:val="none"/>
        </w:rPr>
      </w:pPr>
      <w:r>
        <w:rPr>
          <w:rFonts w:hint="eastAsia" w:ascii="宋体" w:hAnsi="宋体"/>
          <w:sz w:val="24"/>
          <w:szCs w:val="24"/>
          <w:highlight w:val="none"/>
        </w:rPr>
        <w:t>2）参加本次采购活动前三年内，在经营活动中没有重大违法记录；</w:t>
      </w:r>
    </w:p>
    <w:p w14:paraId="24FF8C39">
      <w:pPr>
        <w:spacing w:line="360" w:lineRule="auto"/>
        <w:rPr>
          <w:rFonts w:ascii="宋体" w:hAnsi="宋体"/>
          <w:sz w:val="24"/>
          <w:szCs w:val="24"/>
          <w:highlight w:val="none"/>
        </w:rPr>
      </w:pPr>
      <w:r>
        <w:rPr>
          <w:rFonts w:hint="eastAsia" w:ascii="宋体" w:hAnsi="宋体"/>
          <w:sz w:val="24"/>
          <w:szCs w:val="24"/>
          <w:highlight w:val="none"/>
        </w:rPr>
        <w:t>3）具有建筑工程施工总承包三级及以上资质；</w:t>
      </w:r>
    </w:p>
    <w:p w14:paraId="3F54E763">
      <w:pPr>
        <w:spacing w:line="360" w:lineRule="auto"/>
        <w:rPr>
          <w:rFonts w:ascii="宋体" w:hAnsi="宋体"/>
          <w:sz w:val="24"/>
          <w:szCs w:val="24"/>
          <w:highlight w:val="none"/>
        </w:rPr>
      </w:pPr>
      <w:r>
        <w:rPr>
          <w:rFonts w:hint="eastAsia" w:ascii="宋体" w:hAnsi="宋体"/>
          <w:sz w:val="24"/>
          <w:szCs w:val="24"/>
          <w:highlight w:val="none"/>
        </w:rPr>
        <w:t>4）拟派项目经理具有建筑工程专业注册建造师二级及以上执业资格；</w:t>
      </w:r>
    </w:p>
    <w:p w14:paraId="7A4B2E89">
      <w:pPr>
        <w:spacing w:line="360" w:lineRule="auto"/>
        <w:rPr>
          <w:rFonts w:ascii="宋体" w:hAnsi="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5）本项目不允许转包及违法分包；</w:t>
      </w:r>
    </w:p>
    <w:p w14:paraId="011848B0">
      <w:pPr>
        <w:spacing w:line="360" w:lineRule="auto"/>
        <w:rPr>
          <w:rFonts w:ascii="宋体" w:hAnsi="宋体"/>
          <w:sz w:val="24"/>
          <w:szCs w:val="24"/>
          <w:highlight w:val="none"/>
        </w:rPr>
      </w:pPr>
      <w:r>
        <w:rPr>
          <w:rFonts w:hint="eastAsia" w:ascii="宋体" w:hAnsi="宋体"/>
          <w:sz w:val="24"/>
          <w:szCs w:val="24"/>
          <w:highlight w:val="none"/>
        </w:rPr>
        <w:t>本项目</w:t>
      </w:r>
      <w:r>
        <w:rPr>
          <w:rFonts w:hint="eastAsia" w:ascii="宋体" w:hAnsi="宋体"/>
          <w:i/>
          <w:iCs/>
          <w:sz w:val="24"/>
          <w:szCs w:val="24"/>
          <w:highlight w:val="none"/>
        </w:rPr>
        <w:t>不允许</w:t>
      </w:r>
      <w:r>
        <w:rPr>
          <w:rFonts w:hint="eastAsia" w:ascii="宋体" w:hAnsi="宋体"/>
          <w:sz w:val="24"/>
          <w:szCs w:val="24"/>
          <w:highlight w:val="none"/>
        </w:rPr>
        <w:t>联合体报价。</w:t>
      </w:r>
    </w:p>
    <w:p w14:paraId="1BA92E14">
      <w:pPr>
        <w:spacing w:line="360" w:lineRule="auto"/>
        <w:jc w:val="left"/>
        <w:outlineLvl w:val="1"/>
        <w:rPr>
          <w:rFonts w:ascii="宋体" w:hAnsi="宋体" w:cs="宋体"/>
          <w:sz w:val="24"/>
          <w:szCs w:val="24"/>
          <w:highlight w:val="none"/>
        </w:rPr>
      </w:pPr>
      <w:r>
        <w:rPr>
          <w:rFonts w:ascii="宋体" w:hAnsi="宋体" w:cs="宋体"/>
          <w:sz w:val="24"/>
          <w:szCs w:val="24"/>
          <w:highlight w:val="none"/>
        </w:rPr>
        <w:t>四、</w:t>
      </w:r>
      <w:r>
        <w:rPr>
          <w:rFonts w:hint="eastAsia" w:ascii="宋体" w:hAnsi="宋体" w:cs="宋体"/>
          <w:sz w:val="24"/>
          <w:szCs w:val="24"/>
          <w:highlight w:val="none"/>
        </w:rPr>
        <w:t xml:space="preserve">采购文件的获取 </w:t>
      </w:r>
    </w:p>
    <w:p w14:paraId="445985B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获取时间：从2025年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日16时00分到2025年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日16时00分</w:t>
      </w:r>
    </w:p>
    <w:p w14:paraId="396AF9B5">
      <w:pPr>
        <w:spacing w:line="360" w:lineRule="auto"/>
        <w:ind w:left="479" w:leftChars="228"/>
        <w:jc w:val="left"/>
        <w:textAlignment w:val="baseline"/>
        <w:rPr>
          <w:rFonts w:ascii="宋体" w:hAnsi="宋体" w:cs="宋体"/>
          <w:color w:val="0000FF"/>
          <w:sz w:val="24"/>
          <w:szCs w:val="24"/>
          <w:highlight w:val="none"/>
        </w:rPr>
      </w:pPr>
      <w:r>
        <w:rPr>
          <w:rFonts w:hint="eastAsia" w:ascii="宋体" w:hAnsi="宋体"/>
          <w:sz w:val="24"/>
          <w:szCs w:val="24"/>
          <w:highlight w:val="none"/>
        </w:rPr>
        <w:t>获取方式：</w:t>
      </w:r>
      <w:r>
        <w:rPr>
          <w:rFonts w:hint="eastAsia" w:ascii="宋体" w:hAnsi="宋体" w:cs="宋体"/>
          <w:sz w:val="24"/>
          <w:szCs w:val="24"/>
          <w:highlight w:val="none"/>
        </w:rPr>
        <w:t>竞争性谈判文件从2025年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日到2025年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每天上午9时至11时，下午13时至16时（北京时间，节假日除外）线上获取。1、文件领取需提交的资料：(1)法定代表人证明文件及法定代表人身份证或法定代表人授权委托书及被授权人身份证（加盖公章）。2、文件领取步骤：供应商关注“中世建咨”微信公众号，主界面右下角点击“领取文件”，按提示领取并下载采购文件。</w:t>
      </w:r>
    </w:p>
    <w:p w14:paraId="57FA7676">
      <w:pPr>
        <w:spacing w:line="360" w:lineRule="auto"/>
        <w:ind w:left="479" w:leftChars="228"/>
        <w:jc w:val="left"/>
        <w:textAlignment w:val="baseline"/>
        <w:rPr>
          <w:rFonts w:ascii="宋体" w:hAnsi="宋体" w:cs="宋体"/>
          <w:sz w:val="24"/>
          <w:szCs w:val="24"/>
          <w:highlight w:val="none"/>
        </w:rPr>
      </w:pPr>
      <w:r>
        <w:rPr>
          <w:rFonts w:ascii="宋体" w:hAnsi="宋体" w:cs="宋体"/>
          <w:sz w:val="24"/>
          <w:szCs w:val="24"/>
          <w:highlight w:val="none"/>
        </w:rPr>
        <w:t>五、</w:t>
      </w:r>
      <w:r>
        <w:rPr>
          <w:rFonts w:hint="eastAsia" w:ascii="宋体" w:hAnsi="宋体" w:cs="宋体"/>
          <w:sz w:val="24"/>
          <w:szCs w:val="24"/>
          <w:highlight w:val="none"/>
        </w:rPr>
        <w:t>响应文件的递交</w:t>
      </w:r>
    </w:p>
    <w:p w14:paraId="3E9F6150">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递交截止时间：</w:t>
      </w:r>
      <w:r>
        <w:rPr>
          <w:rFonts w:hint="eastAsia" w:ascii="宋体" w:hAnsi="宋体"/>
          <w:sz w:val="24"/>
          <w:szCs w:val="24"/>
          <w:highlight w:val="none"/>
        </w:rPr>
        <w:t>2025年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日1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:00</w:t>
      </w:r>
    </w:p>
    <w:p w14:paraId="036508BE">
      <w:pPr>
        <w:spacing w:line="360" w:lineRule="auto"/>
        <w:ind w:firstLine="480" w:firstLineChars="200"/>
        <w:jc w:val="left"/>
        <w:rPr>
          <w:rFonts w:ascii="宋体" w:hAnsi="宋体" w:cs="Calibri"/>
          <w:sz w:val="24"/>
          <w:szCs w:val="24"/>
          <w:highlight w:val="none"/>
        </w:rPr>
      </w:pPr>
      <w:r>
        <w:rPr>
          <w:rFonts w:hint="eastAsia" w:ascii="宋体" w:hAnsi="宋体" w:cs="宋体"/>
          <w:sz w:val="24"/>
          <w:szCs w:val="24"/>
          <w:highlight w:val="none"/>
        </w:rPr>
        <w:t>递交方式：</w:t>
      </w:r>
      <w:r>
        <w:rPr>
          <w:rFonts w:ascii="宋体" w:hAnsi="宋体" w:cs="Calibri"/>
          <w:sz w:val="24"/>
          <w:szCs w:val="24"/>
          <w:highlight w:val="none"/>
        </w:rPr>
        <w:t>上海市普陀区曹杨路528弄35号（中世办公楼）会议室（详见二楼大屏幕）</w:t>
      </w:r>
      <w:r>
        <w:rPr>
          <w:rFonts w:hint="eastAsia" w:ascii="宋体" w:hAnsi="宋体" w:cs="Calibri"/>
          <w:sz w:val="24"/>
          <w:szCs w:val="24"/>
          <w:highlight w:val="none"/>
        </w:rPr>
        <w:t>，纸质</w:t>
      </w:r>
      <w:r>
        <w:rPr>
          <w:rFonts w:ascii="宋体" w:hAnsi="宋体" w:cs="Calibri"/>
          <w:sz w:val="24"/>
          <w:szCs w:val="24"/>
          <w:highlight w:val="none"/>
        </w:rPr>
        <w:t>文件</w:t>
      </w:r>
      <w:r>
        <w:rPr>
          <w:rFonts w:hint="eastAsia" w:ascii="宋体" w:hAnsi="宋体" w:cs="Calibri"/>
          <w:sz w:val="24"/>
          <w:szCs w:val="24"/>
          <w:highlight w:val="none"/>
        </w:rPr>
        <w:t>现场</w:t>
      </w:r>
      <w:r>
        <w:rPr>
          <w:rFonts w:ascii="宋体" w:hAnsi="宋体" w:cs="Calibri"/>
          <w:sz w:val="24"/>
          <w:szCs w:val="24"/>
          <w:highlight w:val="none"/>
        </w:rPr>
        <w:t>递交</w:t>
      </w:r>
      <w:r>
        <w:rPr>
          <w:rFonts w:hint="eastAsia" w:ascii="宋体" w:hAnsi="宋体" w:cs="Calibri"/>
          <w:sz w:val="24"/>
          <w:szCs w:val="24"/>
          <w:highlight w:val="none"/>
        </w:rPr>
        <w:t>。</w:t>
      </w:r>
    </w:p>
    <w:p w14:paraId="560D09DC">
      <w:pPr>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六</w:t>
      </w:r>
      <w:r>
        <w:rPr>
          <w:rFonts w:hint="eastAsia" w:ascii="宋体" w:hAnsi="宋体" w:cs="宋体"/>
          <w:kern w:val="0"/>
          <w:sz w:val="24"/>
          <w:szCs w:val="24"/>
          <w:highlight w:val="none"/>
        </w:rPr>
        <w:t>、开标时间及地点</w:t>
      </w:r>
    </w:p>
    <w:p w14:paraId="4D401689">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开标时间：</w:t>
      </w:r>
      <w:r>
        <w:rPr>
          <w:rFonts w:hint="eastAsia" w:ascii="宋体" w:hAnsi="宋体"/>
          <w:bCs/>
          <w:sz w:val="24"/>
          <w:szCs w:val="24"/>
          <w:highlight w:val="none"/>
        </w:rPr>
        <w:t>20245年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t>日1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:00</w:t>
      </w:r>
    </w:p>
    <w:p w14:paraId="2EAD68E7">
      <w:pPr>
        <w:spacing w:line="360" w:lineRule="auto"/>
        <w:ind w:firstLine="480" w:firstLineChars="200"/>
        <w:jc w:val="left"/>
        <w:rPr>
          <w:rFonts w:ascii="宋体" w:hAnsi="宋体" w:cs="Calibri"/>
          <w:sz w:val="24"/>
          <w:szCs w:val="24"/>
          <w:highlight w:val="none"/>
        </w:rPr>
      </w:pPr>
      <w:r>
        <w:rPr>
          <w:rFonts w:hint="eastAsia" w:ascii="宋体" w:hAnsi="宋体" w:cs="宋体"/>
          <w:kern w:val="0"/>
          <w:sz w:val="24"/>
          <w:szCs w:val="24"/>
          <w:highlight w:val="none"/>
        </w:rPr>
        <w:t>开标地点：</w:t>
      </w:r>
      <w:r>
        <w:rPr>
          <w:rFonts w:ascii="宋体" w:hAnsi="宋体" w:cs="Calibri"/>
          <w:sz w:val="24"/>
          <w:szCs w:val="24"/>
          <w:highlight w:val="none"/>
        </w:rPr>
        <w:t>上海市普陀区曹杨路528弄35号（中世办公楼）会议室（详见二楼大屏幕）</w:t>
      </w:r>
    </w:p>
    <w:p w14:paraId="075DC6F7">
      <w:pPr>
        <w:spacing w:line="360" w:lineRule="auto"/>
        <w:ind w:firstLine="480" w:firstLineChars="200"/>
        <w:jc w:val="left"/>
        <w:rPr>
          <w:rFonts w:ascii="宋体" w:hAnsi="宋体" w:cs="宋体"/>
          <w:sz w:val="24"/>
          <w:szCs w:val="24"/>
          <w:highlight w:val="none"/>
        </w:rPr>
      </w:pPr>
      <w:r>
        <w:rPr>
          <w:rFonts w:ascii="宋体" w:hAnsi="宋体" w:cs="宋体"/>
          <w:kern w:val="0"/>
          <w:sz w:val="24"/>
          <w:szCs w:val="24"/>
          <w:highlight w:val="none"/>
        </w:rPr>
        <w:t>七</w:t>
      </w:r>
      <w:r>
        <w:rPr>
          <w:rFonts w:hint="eastAsia" w:ascii="宋体" w:hAnsi="宋体" w:cs="宋体"/>
          <w:kern w:val="0"/>
          <w:sz w:val="24"/>
          <w:szCs w:val="24"/>
          <w:highlight w:val="none"/>
        </w:rPr>
        <w:t>、</w:t>
      </w:r>
      <w:r>
        <w:rPr>
          <w:rFonts w:hint="eastAsia" w:ascii="宋体" w:hAnsi="宋体" w:cs="宋体"/>
          <w:sz w:val="24"/>
          <w:szCs w:val="24"/>
          <w:highlight w:val="none"/>
        </w:rPr>
        <w:t>异议受理人：采购人</w:t>
      </w:r>
    </w:p>
    <w:p w14:paraId="14BF72D1">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八、采购人及采购代理机构联系方式</w:t>
      </w:r>
    </w:p>
    <w:p w14:paraId="0FA470D4">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采购人：上海奥吉实业有限公司</w:t>
      </w:r>
    </w:p>
    <w:p w14:paraId="328931A2">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地  址：上海市浦东新区奥纳路18号</w:t>
      </w:r>
    </w:p>
    <w:p w14:paraId="5441EBAB">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联系人：陈绍军</w:t>
      </w:r>
    </w:p>
    <w:p w14:paraId="7FFAD476">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电  话：021-58666360</w:t>
      </w:r>
    </w:p>
    <w:p w14:paraId="58FFB2BB">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采购代理机构：上海中世建设咨询有限公司</w:t>
      </w:r>
    </w:p>
    <w:p w14:paraId="64789BFA">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地    址：上海市普陀区曹杨路528弄35号（中世办公楼）</w:t>
      </w:r>
    </w:p>
    <w:p w14:paraId="0204C32E">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联 系 人：杨俊、史静思、周美彤</w:t>
      </w:r>
    </w:p>
    <w:p w14:paraId="0BC06AC5">
      <w:pPr>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电    话：021-52555818</w:t>
      </w:r>
    </w:p>
    <w:p w14:paraId="7FB67C1A">
      <w:pPr>
        <w:spacing w:line="360" w:lineRule="auto"/>
        <w:ind w:firstLine="480" w:firstLineChars="200"/>
        <w:jc w:val="left"/>
        <w:rPr>
          <w:rFonts w:ascii="宋体" w:hAnsi="宋体"/>
          <w:b/>
          <w:color w:val="000000" w:themeColor="text1"/>
          <w:kern w:val="0"/>
          <w:sz w:val="52"/>
          <w:highlight w:val="none"/>
          <w14:textFill>
            <w14:solidFill>
              <w14:schemeClr w14:val="tx1"/>
            </w14:solidFill>
          </w14:textFill>
        </w:rPr>
      </w:pPr>
      <w:r>
        <w:rPr>
          <w:rFonts w:hint="eastAsia" w:ascii="宋体" w:hAnsi="宋体" w:cs="宋体"/>
          <w:kern w:val="0"/>
          <w:sz w:val="24"/>
          <w:szCs w:val="24"/>
          <w:highlight w:val="none"/>
        </w:rPr>
        <w:t>电子邮件：zhoumeitong@cwcc.net.cn</w:t>
      </w:r>
      <w:r>
        <w:rPr>
          <w:rFonts w:ascii="宋体" w:hAnsi="宋体"/>
          <w:b/>
          <w:color w:val="000000" w:themeColor="text1"/>
          <w:kern w:val="0"/>
          <w:sz w:val="52"/>
          <w:highlight w:val="none"/>
          <w14:textFill>
            <w14:solidFill>
              <w14:schemeClr w14:val="tx1"/>
            </w14:solidFill>
          </w14:textFill>
        </w:rPr>
        <w:br w:type="page"/>
      </w:r>
    </w:p>
    <w:p w14:paraId="15E36A41">
      <w:pPr>
        <w:spacing w:line="360" w:lineRule="auto"/>
        <w:jc w:val="center"/>
        <w:rPr>
          <w:rFonts w:ascii="宋体" w:hAnsi="宋体"/>
          <w:b/>
          <w:color w:val="000000" w:themeColor="text1"/>
          <w:kern w:val="0"/>
          <w:sz w:val="52"/>
          <w:highlight w:val="none"/>
          <w14:textFill>
            <w14:solidFill>
              <w14:schemeClr w14:val="tx1"/>
            </w14:solidFill>
          </w14:textFill>
        </w:rPr>
      </w:pPr>
    </w:p>
    <w:p w14:paraId="681F196A">
      <w:pPr>
        <w:spacing w:line="360" w:lineRule="auto"/>
        <w:jc w:val="center"/>
        <w:rPr>
          <w:rFonts w:ascii="宋体" w:hAnsi="宋体"/>
          <w:b/>
          <w:color w:val="000000" w:themeColor="text1"/>
          <w:kern w:val="0"/>
          <w:sz w:val="52"/>
          <w:highlight w:val="none"/>
          <w14:textFill>
            <w14:solidFill>
              <w14:schemeClr w14:val="tx1"/>
            </w14:solidFill>
          </w14:textFill>
        </w:rPr>
      </w:pPr>
    </w:p>
    <w:p w14:paraId="0C1ED88B">
      <w:pPr>
        <w:spacing w:line="360" w:lineRule="auto"/>
        <w:jc w:val="center"/>
        <w:rPr>
          <w:rFonts w:ascii="宋体" w:hAnsi="宋体"/>
          <w:b/>
          <w:color w:val="000000" w:themeColor="text1"/>
          <w:kern w:val="0"/>
          <w:sz w:val="52"/>
          <w:highlight w:val="none"/>
          <w14:textFill>
            <w14:solidFill>
              <w14:schemeClr w14:val="tx1"/>
            </w14:solidFill>
          </w14:textFill>
        </w:rPr>
      </w:pPr>
    </w:p>
    <w:p w14:paraId="16660897">
      <w:pPr>
        <w:spacing w:line="360" w:lineRule="auto"/>
        <w:jc w:val="center"/>
        <w:rPr>
          <w:rFonts w:ascii="宋体" w:hAnsi="宋体"/>
          <w:b/>
          <w:color w:val="000000" w:themeColor="text1"/>
          <w:kern w:val="0"/>
          <w:sz w:val="52"/>
          <w:highlight w:val="none"/>
          <w14:textFill>
            <w14:solidFill>
              <w14:schemeClr w14:val="tx1"/>
            </w14:solidFill>
          </w14:textFill>
        </w:rPr>
      </w:pPr>
    </w:p>
    <w:p w14:paraId="63645641">
      <w:pPr>
        <w:spacing w:line="360" w:lineRule="auto"/>
        <w:jc w:val="center"/>
        <w:rPr>
          <w:rFonts w:ascii="宋体" w:hAnsi="宋体"/>
          <w:b/>
          <w:color w:val="000000" w:themeColor="text1"/>
          <w:kern w:val="0"/>
          <w:sz w:val="52"/>
          <w:highlight w:val="none"/>
          <w14:textFill>
            <w14:solidFill>
              <w14:schemeClr w14:val="tx1"/>
            </w14:solidFill>
          </w14:textFill>
        </w:rPr>
      </w:pPr>
    </w:p>
    <w:p w14:paraId="1B4DEDCE">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kern w:val="0"/>
          <w:sz w:val="52"/>
          <w:highlight w:val="none"/>
          <w14:textFill>
            <w14:solidFill>
              <w14:schemeClr w14:val="tx1"/>
            </w14:solidFill>
          </w14:textFill>
        </w:rPr>
        <w:t>第二部分</w:t>
      </w:r>
    </w:p>
    <w:p w14:paraId="3DF0A188">
      <w:pPr>
        <w:pStyle w:val="81"/>
        <w:adjustRightInd w:val="0"/>
        <w:snapToGrid w:val="0"/>
        <w:spacing w:before="0" w:beforeAutospacing="0" w:after="0" w:afterAutospacing="0" w:line="360" w:lineRule="auto"/>
        <w:jc w:val="center"/>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供应商须知</w:t>
      </w:r>
      <w:r>
        <w:rPr>
          <w:rFonts w:hint="eastAsia"/>
          <w:b/>
          <w:color w:val="000000" w:themeColor="text1"/>
          <w:sz w:val="52"/>
          <w:highlight w:val="none"/>
          <w14:textFill>
            <w14:solidFill>
              <w14:schemeClr w14:val="tx1"/>
            </w14:solidFill>
          </w14:textFill>
        </w:rPr>
        <w:br w:type="page"/>
      </w:r>
    </w:p>
    <w:p w14:paraId="4178376B">
      <w:pPr>
        <w:pStyle w:val="81"/>
        <w:adjustRightInd w:val="0"/>
        <w:snapToGrid w:val="0"/>
        <w:spacing w:before="0" w:beforeAutospacing="0" w:after="0" w:afterAutospacing="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  供应商须知</w:t>
      </w:r>
    </w:p>
    <w:p w14:paraId="3BF2D8C4">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一、前言</w:t>
      </w:r>
    </w:p>
    <w:p w14:paraId="6E72A952">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本工程采用竞争性谈判方式，择优选择施工单位。</w:t>
      </w:r>
    </w:p>
    <w:p w14:paraId="3FD6B1FD">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二、总则</w:t>
      </w:r>
    </w:p>
    <w:p w14:paraId="2A7712D9">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工程概要</w:t>
      </w:r>
    </w:p>
    <w:p w14:paraId="351AE3CD">
      <w:pPr>
        <w:spacing w:line="360" w:lineRule="auto"/>
        <w:ind w:left="718" w:leftChars="342" w:firstLine="120" w:firstLineChars="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详见前附表。</w:t>
      </w:r>
    </w:p>
    <w:p w14:paraId="63A2088F">
      <w:pPr>
        <w:numPr>
          <w:ilvl w:val="0"/>
          <w:numId w:val="4"/>
        </w:numPr>
        <w:adjustRightInd w:val="0"/>
        <w:spacing w:line="360" w:lineRule="auto"/>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本工程承包范围、内容</w:t>
      </w:r>
    </w:p>
    <w:p w14:paraId="5A2F5507">
      <w:pPr>
        <w:numPr>
          <w:ilvl w:val="1"/>
          <w:numId w:val="11"/>
        </w:numPr>
        <w:tabs>
          <w:tab w:val="left" w:pos="1440"/>
          <w:tab w:val="clear" w:pos="1320"/>
        </w:tabs>
        <w:adjustRightInd w:val="0"/>
        <w:snapToGrid w:val="0"/>
        <w:spacing w:line="360" w:lineRule="auto"/>
        <w:ind w:left="1440" w:hanging="6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供应商须根据谈判文件及工程规范所示进行本项目的施工。具体要求及工作范围详见技术规范、工程量清单及材料表；</w:t>
      </w:r>
    </w:p>
    <w:p w14:paraId="64DDC9C7">
      <w:pPr>
        <w:numPr>
          <w:ilvl w:val="1"/>
          <w:numId w:val="11"/>
        </w:numPr>
        <w:tabs>
          <w:tab w:val="left" w:pos="1440"/>
          <w:tab w:val="clear" w:pos="1320"/>
        </w:tabs>
        <w:adjustRightInd w:val="0"/>
        <w:snapToGrid w:val="0"/>
        <w:spacing w:line="360" w:lineRule="auto"/>
        <w:ind w:left="1440" w:hanging="6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凡在施工图纸、工程量清单及产品品牌/型号图中出现的内容，不论供应商在提交响应文件时有否考虑及报价，均为供应商的施工内容；</w:t>
      </w:r>
    </w:p>
    <w:p w14:paraId="2B92C823">
      <w:pPr>
        <w:numPr>
          <w:ilvl w:val="1"/>
          <w:numId w:val="11"/>
        </w:numPr>
        <w:tabs>
          <w:tab w:val="left" w:pos="1440"/>
          <w:tab w:val="clear" w:pos="1320"/>
        </w:tabs>
        <w:adjustRightInd w:val="0"/>
        <w:snapToGrid w:val="0"/>
        <w:spacing w:line="360" w:lineRule="auto"/>
        <w:ind w:left="1440" w:hanging="6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供应商负责管理协调、保安、清洁、材料运输；</w:t>
      </w:r>
    </w:p>
    <w:p w14:paraId="6996B700">
      <w:pPr>
        <w:numPr>
          <w:ilvl w:val="1"/>
          <w:numId w:val="11"/>
        </w:numPr>
        <w:tabs>
          <w:tab w:val="left" w:pos="1440"/>
          <w:tab w:val="clear" w:pos="1320"/>
        </w:tabs>
        <w:adjustRightInd w:val="0"/>
        <w:snapToGrid w:val="0"/>
        <w:spacing w:line="360" w:lineRule="auto"/>
        <w:ind w:left="1440" w:hanging="6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供应商须严格按照</w:t>
      </w:r>
      <w:r>
        <w:rPr>
          <w:rFonts w:hint="eastAsia" w:ascii="宋体" w:hAnsi="宋体"/>
          <w:color w:val="000000" w:themeColor="text1"/>
          <w:kern w:val="0"/>
          <w:sz w:val="24"/>
          <w:highlight w:val="none"/>
          <w:lang w:val="en-US" w:eastAsia="zh-CN"/>
          <w14:textFill>
            <w14:solidFill>
              <w14:schemeClr w14:val="tx1"/>
            </w14:solidFill>
          </w14:textFill>
        </w:rPr>
        <w:t>经</w:t>
      </w:r>
      <w:r>
        <w:rPr>
          <w:rFonts w:hint="eastAsia" w:ascii="宋体" w:hAnsi="宋体"/>
          <w:color w:val="000000" w:themeColor="text1"/>
          <w:kern w:val="0"/>
          <w:sz w:val="24"/>
          <w:highlight w:val="none"/>
          <w14:textFill>
            <w14:solidFill>
              <w14:schemeClr w14:val="tx1"/>
            </w14:solidFill>
          </w14:textFill>
        </w:rPr>
        <w:t>施工监理</w:t>
      </w:r>
      <w:r>
        <w:rPr>
          <w:rFonts w:hint="eastAsia" w:ascii="宋体" w:hAnsi="宋体"/>
          <w:color w:val="000000" w:themeColor="text1"/>
          <w:kern w:val="0"/>
          <w:sz w:val="24"/>
          <w:highlight w:val="none"/>
          <w:lang w:val="en-US" w:eastAsia="zh-CN"/>
          <w14:textFill>
            <w14:solidFill>
              <w14:schemeClr w14:val="tx1"/>
            </w14:solidFill>
          </w14:textFill>
        </w:rPr>
        <w:t>和</w:t>
      </w:r>
      <w:r>
        <w:rPr>
          <w:rFonts w:hint="eastAsia" w:ascii="宋体" w:hAnsi="宋体"/>
          <w:color w:val="000000" w:themeColor="text1"/>
          <w:kern w:val="0"/>
          <w:sz w:val="24"/>
          <w:highlight w:val="none"/>
          <w14:textFill>
            <w14:solidFill>
              <w14:schemeClr w14:val="tx1"/>
            </w14:solidFill>
          </w14:textFill>
        </w:rPr>
        <w:t>采购人代表书面确认所定的技术要求及工程范围的技术要求执行，如施工监理</w:t>
      </w:r>
      <w:r>
        <w:rPr>
          <w:rFonts w:hint="eastAsia" w:ascii="宋体" w:hAnsi="宋体"/>
          <w:color w:val="000000" w:themeColor="text1"/>
          <w:kern w:val="0"/>
          <w:sz w:val="24"/>
          <w:highlight w:val="none"/>
          <w:lang w:val="en-US" w:eastAsia="zh-CN"/>
          <w14:textFill>
            <w14:solidFill>
              <w14:schemeClr w14:val="tx1"/>
            </w14:solidFill>
          </w14:textFill>
        </w:rPr>
        <w:t>和</w:t>
      </w:r>
      <w:r>
        <w:rPr>
          <w:rFonts w:hint="eastAsia" w:ascii="宋体" w:hAnsi="宋体"/>
          <w:color w:val="000000" w:themeColor="text1"/>
          <w:kern w:val="0"/>
          <w:sz w:val="24"/>
          <w:highlight w:val="none"/>
          <w14:textFill>
            <w14:solidFill>
              <w14:schemeClr w14:val="tx1"/>
            </w14:solidFill>
          </w14:textFill>
        </w:rPr>
        <w:t>采购人代表书面确认所定的技术要求与工程规范的要求产生矛盾或新旧工程规范不一致时，以较高要求及现行最新工程规范为准；</w:t>
      </w:r>
    </w:p>
    <w:p w14:paraId="55F76F83">
      <w:pPr>
        <w:numPr>
          <w:ilvl w:val="1"/>
          <w:numId w:val="11"/>
        </w:numPr>
        <w:tabs>
          <w:tab w:val="left" w:pos="1440"/>
          <w:tab w:val="clear" w:pos="1320"/>
        </w:tabs>
        <w:adjustRightInd w:val="0"/>
        <w:snapToGrid w:val="0"/>
        <w:spacing w:line="360" w:lineRule="auto"/>
        <w:ind w:left="1440" w:hanging="6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必须满足设计与工程规范要求以及为取得政府主管部门批准所需的任何检测及一切要求；</w:t>
      </w:r>
    </w:p>
    <w:p w14:paraId="107DDFBE">
      <w:pPr>
        <w:numPr>
          <w:ilvl w:val="1"/>
          <w:numId w:val="11"/>
        </w:numPr>
        <w:tabs>
          <w:tab w:val="left" w:pos="1440"/>
          <w:tab w:val="clear" w:pos="1320"/>
        </w:tabs>
        <w:adjustRightInd w:val="0"/>
        <w:snapToGrid w:val="0"/>
        <w:spacing w:line="360" w:lineRule="auto"/>
        <w:ind w:left="1440" w:hanging="60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所有为取得政府主管部门批准所需的报监、质检及其他手续；</w:t>
      </w:r>
    </w:p>
    <w:p w14:paraId="47FD25C2">
      <w:pPr>
        <w:numPr>
          <w:ilvl w:val="1"/>
          <w:numId w:val="11"/>
        </w:numPr>
        <w:tabs>
          <w:tab w:val="left" w:pos="1440"/>
          <w:tab w:val="left" w:pos="1920"/>
          <w:tab w:val="clear" w:pos="1320"/>
        </w:tabs>
        <w:adjustRightInd w:val="0"/>
        <w:snapToGrid w:val="0"/>
        <w:spacing w:line="360" w:lineRule="auto"/>
        <w:ind w:left="1440" w:hanging="60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在谈判文件内所说明及谈判期间所增减及供应商所确认的工程内容。</w:t>
      </w:r>
    </w:p>
    <w:p w14:paraId="559E63FC">
      <w:pPr>
        <w:spacing w:line="360" w:lineRule="auto"/>
        <w:ind w:firstLine="360" w:firstLine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合同价格</w:t>
      </w:r>
    </w:p>
    <w:p w14:paraId="386E9297">
      <w:pPr>
        <w:spacing w:line="360" w:lineRule="auto"/>
        <w:ind w:left="424" w:leftChars="202" w:firstLine="480" w:firstLineChars="200"/>
        <w:rPr>
          <w:rFonts w:ascii="宋体" w:hAnsi="宋体"/>
          <w:kern w:val="0"/>
          <w:sz w:val="24"/>
          <w:highlight w:val="none"/>
        </w:rPr>
      </w:pPr>
      <w:r>
        <w:rPr>
          <w:rFonts w:hint="eastAsia" w:ascii="宋体" w:hAnsi="宋体"/>
          <w:color w:val="000000" w:themeColor="text1"/>
          <w:kern w:val="0"/>
          <w:sz w:val="24"/>
          <w:highlight w:val="none"/>
          <w14:textFill>
            <w14:solidFill>
              <w14:schemeClr w14:val="tx1"/>
            </w14:solidFill>
          </w14:textFill>
        </w:rPr>
        <w:t>本工程依据谈判文件提供的工程量清单，按</w:t>
      </w:r>
      <w:sdt>
        <w:sdtPr>
          <w:rPr>
            <w:rFonts w:hint="eastAsia" w:ascii="宋体" w:hAnsi="宋体"/>
            <w:color w:val="000000" w:themeColor="text1"/>
            <w:kern w:val="0"/>
            <w:sz w:val="24"/>
            <w:highlight w:val="none"/>
            <w14:textFill>
              <w14:solidFill>
                <w14:schemeClr w14:val="tx1"/>
              </w14:solidFill>
            </w14:textFill>
          </w:rPr>
          <w:alias w:val="计价依据"/>
          <w:tag w:val="mf1e1db83d543209d40bad775c1_xl_226d"/>
          <w:id w:val="-1079355955"/>
          <w:lock w:val="sdtLocked"/>
          <w:placeholder>
            <w:docPart w:val="7AC1CB34C237433EB294DF8D5BE8CD02"/>
          </w:placeholder>
          <w:dropDownList>
            <w:listItem w:displayText="《建设工程工程量清单计价规范（GB-50500-2013）》" w:value="《建设工程工程量清单计价规范（GB-50500-2013）》"/>
            <w:listItem w:displayText="相关专业定额及建设、财政主管部门相关费率、价格政策文件" w:value="相关专业定额及建设、财政主管部门相关费率、价格政策文件"/>
          </w:dropDownList>
        </w:sdtPr>
        <w:sdtEndPr>
          <w:rPr>
            <w:rFonts w:hint="eastAsia" w:ascii="宋体" w:hAnsi="宋体"/>
            <w:color w:val="000000" w:themeColor="text1"/>
            <w:kern w:val="0"/>
            <w:sz w:val="24"/>
            <w:highlight w:val="none"/>
            <w14:textFill>
              <w14:solidFill>
                <w14:schemeClr w14:val="tx1"/>
              </w14:solidFill>
            </w14:textFill>
          </w:rPr>
        </w:sdtEndPr>
        <w:sdtContent>
          <w:r>
            <w:rPr>
              <w:rFonts w:hint="eastAsia" w:ascii="宋体" w:hAnsi="宋体"/>
              <w:color w:val="000000" w:themeColor="text1"/>
              <w:kern w:val="0"/>
              <w:sz w:val="24"/>
              <w:highlight w:val="none"/>
              <w14:textFill>
                <w14:solidFill>
                  <w14:schemeClr w14:val="tx1"/>
                </w14:solidFill>
              </w14:textFill>
            </w:rPr>
            <w:t>《建设工程工程量清单计价规范（GB-50500-2013）》</w:t>
          </w:r>
        </w:sdtContent>
      </w:sdt>
      <w:r>
        <w:rPr>
          <w:rFonts w:hint="eastAsia" w:ascii="宋体" w:hAnsi="宋体"/>
          <w:color w:val="000000" w:themeColor="text1"/>
          <w:kern w:val="0"/>
          <w:sz w:val="24"/>
          <w:highlight w:val="none"/>
          <w14:textFill>
            <w14:solidFill>
              <w14:schemeClr w14:val="tx1"/>
            </w14:solidFill>
          </w14:textFill>
        </w:rPr>
        <w:t>报价</w:t>
      </w:r>
      <w:r>
        <w:rPr>
          <w:rFonts w:hint="eastAsia" w:ascii="宋体" w:hAnsi="宋体"/>
          <w:bCs/>
          <w:sz w:val="24"/>
          <w:highlight w:val="none"/>
        </w:rPr>
        <w:t>及上海市建设工程工程量计价应用规则和《关于调整本市建设工程规费项目设置等相关事项的通知》（沪建标定联〔</w:t>
      </w:r>
      <w:r>
        <w:rPr>
          <w:rFonts w:ascii="宋体" w:hAnsi="宋体"/>
          <w:bCs/>
          <w:sz w:val="24"/>
          <w:highlight w:val="none"/>
        </w:rPr>
        <w:t>2023</w:t>
      </w:r>
      <w:r>
        <w:rPr>
          <w:rFonts w:hint="eastAsia" w:ascii="宋体" w:hAnsi="宋体"/>
          <w:bCs/>
          <w:sz w:val="24"/>
          <w:highlight w:val="none"/>
        </w:rPr>
        <w:t>〕</w:t>
      </w:r>
      <w:r>
        <w:rPr>
          <w:rFonts w:ascii="宋体" w:hAnsi="宋体"/>
          <w:bCs/>
          <w:sz w:val="24"/>
          <w:highlight w:val="none"/>
        </w:rPr>
        <w:t>120</w:t>
      </w:r>
      <w:r>
        <w:rPr>
          <w:rFonts w:hint="eastAsia" w:ascii="宋体" w:hAnsi="宋体"/>
          <w:bCs/>
          <w:sz w:val="24"/>
          <w:highlight w:val="none"/>
        </w:rPr>
        <w:t>号）报价</w:t>
      </w:r>
      <w:r>
        <w:rPr>
          <w:rFonts w:hint="eastAsia" w:ascii="宋体" w:hAnsi="宋体"/>
          <w:color w:val="000000" w:themeColor="text1"/>
          <w:kern w:val="0"/>
          <w:sz w:val="24"/>
          <w:highlight w:val="none"/>
          <w14:textFill>
            <w14:solidFill>
              <w14:schemeClr w14:val="tx1"/>
            </w14:solidFill>
          </w14:textFill>
        </w:rPr>
        <w:t>，除本谈判文件明确规定外，本工程合同属暂定数量</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单价闭口包干性质（包工、包料、包工期、包质量、包安全、包测试、包工资及约定风险范围之内的人材机市场差价、企业管理费、利润、分阶段分区施工费、和必须的加班费、费率或汇率的变动、专利费、包装空运、国外及本地存仓、运输、因材料或设备迟到工地的窝工费等）。单价金额除按谈判文件的规定外，不得以任何方式调整或变更，任何计算单价金额</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（如算术上或数量上）的错误皆由供应商承担并应视</w:t>
      </w:r>
      <w:r>
        <w:rPr>
          <w:rFonts w:hint="eastAsia" w:ascii="宋体" w:hAnsi="宋体"/>
          <w:kern w:val="0"/>
          <w:sz w:val="24"/>
          <w:highlight w:val="none"/>
        </w:rPr>
        <w:t>为已被双方接受。</w:t>
      </w:r>
    </w:p>
    <w:p w14:paraId="04FA6EBF">
      <w:pPr>
        <w:spacing w:line="360" w:lineRule="auto"/>
        <w:ind w:left="424" w:leftChars="202" w:firstLine="482" w:firstLineChars="200"/>
        <w:rPr>
          <w:rFonts w:ascii="宋体" w:hAnsi="宋体"/>
          <w:b/>
          <w:kern w:val="0"/>
          <w:sz w:val="24"/>
          <w:highlight w:val="none"/>
        </w:rPr>
      </w:pPr>
      <w:r>
        <w:rPr>
          <w:rFonts w:hint="eastAsia" w:ascii="宋体" w:hAnsi="宋体" w:cs="宋体"/>
          <w:b/>
          <w:kern w:val="0"/>
          <w:sz w:val="24"/>
          <w:highlight w:val="none"/>
        </w:rPr>
        <w:t>本工程合同属暂定数量,固定单价。若工程量、工程内容发生变化需经采购人批准，否则不予认可，最终本工程竣工结算价不得超过本工程谈判文件的预算金额</w:t>
      </w:r>
      <w:r>
        <w:rPr>
          <w:rFonts w:hint="eastAsia" w:ascii="宋体" w:hAnsi="宋体"/>
          <w:b/>
          <w:kern w:val="0"/>
          <w:sz w:val="24"/>
          <w:highlight w:val="none"/>
        </w:rPr>
        <w:t>。</w:t>
      </w:r>
    </w:p>
    <w:p w14:paraId="1677383B">
      <w:pPr>
        <w:spacing w:line="360" w:lineRule="auto"/>
        <w:ind w:firstLine="360" w:firstLine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工程质量要求</w:t>
      </w:r>
    </w:p>
    <w:p w14:paraId="76B4F4AA">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见前附表，成交人因自身原因质量达不到自报约定工程质量等级标准的，视为成交人违约，成交人应承担违约责任，返工费自理，并处以合同金额2%的质量处罚。</w:t>
      </w:r>
    </w:p>
    <w:p w14:paraId="171B17AB">
      <w:pPr>
        <w:spacing w:line="360" w:lineRule="auto"/>
        <w:ind w:firstLine="360" w:firstLine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工期要求</w:t>
      </w:r>
    </w:p>
    <w:p w14:paraId="622BD3E2">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见前附表，实际工期自采购人批准的开工令之日起计。工程竣工，成交人应向采购人提交竣工报告，由采购人组织验收，如验收不合格，需返工并重新申请验收，如验收合格，则成交人提交竣工报告的当天即为竣工日期。</w:t>
      </w:r>
    </w:p>
    <w:p w14:paraId="0567C2FB">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成交供应商因自身原因逾期完工的，视为成交供应商违约，每逾期一天处罚1</w:t>
      </w:r>
      <w:r>
        <w:rPr>
          <w:rFonts w:ascii="宋体" w:hAnsi="宋体"/>
          <w:color w:val="000000" w:themeColor="text1"/>
          <w:kern w:val="0"/>
          <w:sz w:val="24"/>
          <w:highlight w:val="none"/>
          <w14:textFill>
            <w14:solidFill>
              <w14:schemeClr w14:val="tx1"/>
            </w14:solidFill>
          </w14:textFill>
        </w:rPr>
        <w:t>000</w:t>
      </w:r>
      <w:r>
        <w:rPr>
          <w:rFonts w:hint="eastAsia" w:ascii="宋体" w:hAnsi="宋体"/>
          <w:color w:val="000000" w:themeColor="text1"/>
          <w:kern w:val="0"/>
          <w:sz w:val="24"/>
          <w:highlight w:val="none"/>
          <w14:textFill>
            <w14:solidFill>
              <w14:schemeClr w14:val="tx1"/>
            </w14:solidFill>
          </w14:textFill>
        </w:rPr>
        <w:t>元，</w:t>
      </w:r>
      <w:r>
        <w:rPr>
          <w:rFonts w:hint="eastAsia" w:ascii="宋体" w:hAnsi="宋体" w:cs="宋体"/>
          <w:bCs/>
          <w:kern w:val="0"/>
          <w:sz w:val="24"/>
          <w:highlight w:val="none"/>
        </w:rPr>
        <w:t>上限为合同价格20%</w:t>
      </w:r>
      <w:r>
        <w:rPr>
          <w:rFonts w:hint="eastAsia" w:ascii="宋体" w:hAnsi="宋体"/>
          <w:color w:val="000000" w:themeColor="text1"/>
          <w:kern w:val="0"/>
          <w:sz w:val="24"/>
          <w:highlight w:val="none"/>
          <w14:textFill>
            <w14:solidFill>
              <w14:schemeClr w14:val="tx1"/>
            </w14:solidFill>
          </w14:textFill>
        </w:rPr>
        <w:t>。</w:t>
      </w:r>
    </w:p>
    <w:p w14:paraId="78AFD213">
      <w:pPr>
        <w:spacing w:line="360" w:lineRule="auto"/>
        <w:ind w:left="840" w:hanging="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与政府及市政配套部门的协调、配合</w:t>
      </w:r>
    </w:p>
    <w:p w14:paraId="0C1B1A44">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工程中如有涉及政府及相关配套部门的协调均由供应商负责，由于协调不适当造成的一切损失均由供应商承担，采购人仅负责给予配合。</w:t>
      </w:r>
    </w:p>
    <w:p w14:paraId="06CB63D2">
      <w:pPr>
        <w:spacing w:line="360" w:lineRule="auto"/>
        <w:ind w:left="840" w:hanging="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工程达标</w:t>
      </w:r>
    </w:p>
    <w:p w14:paraId="43C11CD8">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进行本工程施工的管理人员包括项目经理须严格遵守各项施工规范，并不得以任何方式在其他项目上进行兼职。若发现有兼职现象，采购人有权要求立即更换另合适管理人员。人员一经确定，未经采购人书面同意不得随意更换。</w:t>
      </w:r>
    </w:p>
    <w:p w14:paraId="627C7517">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kern w:val="0"/>
          <w:sz w:val="24"/>
          <w:highlight w:val="none"/>
        </w:rPr>
        <w:t>本工程施工质量标准及验收标准按国家及行业现行最新规定执行</w:t>
      </w:r>
      <w:r>
        <w:rPr>
          <w:rFonts w:hint="eastAsia" w:ascii="宋体" w:hAnsi="宋体"/>
          <w:color w:val="000000" w:themeColor="text1"/>
          <w:kern w:val="0"/>
          <w:sz w:val="24"/>
          <w:highlight w:val="none"/>
          <w14:textFill>
            <w14:solidFill>
              <w14:schemeClr w14:val="tx1"/>
            </w14:solidFill>
          </w14:textFill>
        </w:rPr>
        <w:t>。</w:t>
      </w:r>
    </w:p>
    <w:p w14:paraId="5BA4DF67">
      <w:pPr>
        <w:spacing w:line="360" w:lineRule="auto"/>
        <w:ind w:left="735" w:leftChars="350"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工程竣工时，工程质量应当达到合同约定的质量标准，质量的评定以国家或行业的质量检验评定标准为依据。成交供应商因自身原因质量达不到自报约定工程质量等级标准的，视为成交供应商违约，成交供应商应承担违约责任，返工费自理，并处以合同金额2%的质量处罚。</w:t>
      </w:r>
    </w:p>
    <w:p w14:paraId="5F1B4968">
      <w:pPr>
        <w:spacing w:line="360" w:lineRule="auto"/>
        <w:ind w:left="415" w:hanging="55"/>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 具体要求</w:t>
      </w:r>
    </w:p>
    <w:p w14:paraId="34DC1690">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8.1  本次谈判主要是选择符合本项目资格要求的合格承包单位；成交人进场施工前，相关施工人员需根据采购人要求提供相关身份证明资料备案登记。</w:t>
      </w:r>
    </w:p>
    <w:p w14:paraId="602D7B53">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施工现场的所有施工设备由成交人负责提供。</w:t>
      </w:r>
    </w:p>
    <w:p w14:paraId="7A5A6ED9">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 xml:space="preserve">  采购人仅提供现场施工场地，施工人员必须遵守规章制度，自行安排解决住宿，费用自理；不得在楼内吸烟，使用指定卫生间。</w:t>
      </w:r>
    </w:p>
    <w:p w14:paraId="7A5B612E">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 xml:space="preserve">  施工期间作息制度需听从采购人安排，未经采购人同意不得在施工区域以外随意走动。</w:t>
      </w:r>
    </w:p>
    <w:p w14:paraId="670B666A">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 xml:space="preserve">.5 </w:t>
      </w:r>
      <w:r>
        <w:rPr>
          <w:rFonts w:hint="eastAsia" w:ascii="宋体" w:hAnsi="宋体"/>
          <w:color w:val="000000" w:themeColor="text1"/>
          <w:kern w:val="0"/>
          <w:sz w:val="24"/>
          <w:highlight w:val="none"/>
          <w14:textFill>
            <w14:solidFill>
              <w14:schemeClr w14:val="tx1"/>
            </w14:solidFill>
          </w14:textFill>
        </w:rPr>
        <w:t xml:space="preserve"> 成交人应严格执行国家与地方政府关于安全文明施工、环境保护的相关政策，并承担文明施工措施的费用。</w:t>
      </w:r>
    </w:p>
    <w:p w14:paraId="48E0A5D6">
      <w:pPr>
        <w:pStyle w:val="317"/>
        <w:spacing w:line="360" w:lineRule="auto"/>
        <w:ind w:firstLine="720" w:firstLineChars="300"/>
        <w:rPr>
          <w:rFonts w:ascii="宋体" w:hAnsi="宋体" w:eastAsia="宋体"/>
          <w:sz w:val="24"/>
          <w:highlight w:val="none"/>
        </w:rPr>
      </w:pPr>
      <w:r>
        <w:rPr>
          <w:rFonts w:hint="eastAsia" w:ascii="宋体" w:hAnsi="宋体" w:eastAsia="宋体"/>
          <w:snapToGrid w:val="0"/>
          <w:kern w:val="0"/>
          <w:sz w:val="24"/>
          <w:highlight w:val="none"/>
        </w:rPr>
        <w:t xml:space="preserve">8.6  </w:t>
      </w:r>
      <w:r>
        <w:rPr>
          <w:rFonts w:hint="eastAsia" w:ascii="宋体" w:hAnsi="宋体" w:eastAsia="宋体"/>
          <w:sz w:val="24"/>
          <w:highlight w:val="none"/>
        </w:rPr>
        <w:t>动火施工要求：</w:t>
      </w:r>
    </w:p>
    <w:p w14:paraId="6D46D84F">
      <w:pPr>
        <w:tabs>
          <w:tab w:val="left" w:pos="1920"/>
        </w:tabs>
        <w:snapToGrid w:val="0"/>
        <w:spacing w:line="360" w:lineRule="auto"/>
        <w:ind w:left="1155" w:leftChars="5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动火割接等施工必须提前二个工作日向奥吉实业有限公司提交动火施工许可申请，经审批的动火许可证当天有效。</w:t>
      </w:r>
    </w:p>
    <w:p w14:paraId="51E5392C">
      <w:pPr>
        <w:tabs>
          <w:tab w:val="left" w:pos="1920"/>
        </w:tabs>
        <w:snapToGrid w:val="0"/>
        <w:spacing w:line="360" w:lineRule="auto"/>
        <w:ind w:left="1155" w:leftChars="5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动火施工人员必须持有效证件上岗施工；施工现场配备足够的灭火器；现场必须配备监护人员。</w:t>
      </w:r>
    </w:p>
    <w:p w14:paraId="1EAC26B6">
      <w:pPr>
        <w:pStyle w:val="317"/>
        <w:spacing w:line="360" w:lineRule="auto"/>
        <w:ind w:firstLine="720" w:firstLineChars="300"/>
        <w:rPr>
          <w:rFonts w:ascii="宋体" w:hAnsi="宋体" w:eastAsia="宋体"/>
          <w:snapToGrid w:val="0"/>
          <w:kern w:val="0"/>
          <w:sz w:val="24"/>
          <w:highlight w:val="none"/>
        </w:rPr>
      </w:pPr>
      <w:r>
        <w:rPr>
          <w:rFonts w:hint="eastAsia" w:ascii="宋体" w:hAnsi="宋体" w:eastAsia="宋体"/>
          <w:snapToGrid w:val="0"/>
          <w:kern w:val="0"/>
          <w:sz w:val="24"/>
          <w:highlight w:val="none"/>
        </w:rPr>
        <w:t>8.</w:t>
      </w:r>
      <w:r>
        <w:rPr>
          <w:rFonts w:ascii="宋体" w:hAnsi="宋体" w:eastAsia="宋体"/>
          <w:snapToGrid w:val="0"/>
          <w:kern w:val="0"/>
          <w:sz w:val="24"/>
          <w:highlight w:val="none"/>
        </w:rPr>
        <w:t>7</w:t>
      </w:r>
      <w:r>
        <w:rPr>
          <w:rFonts w:hint="eastAsia" w:ascii="宋体" w:hAnsi="宋体" w:eastAsia="宋体"/>
          <w:snapToGrid w:val="0"/>
          <w:kern w:val="0"/>
          <w:sz w:val="24"/>
          <w:highlight w:val="none"/>
        </w:rPr>
        <w:t xml:space="preserve">  本次谈判具体报价形式及要求详见工程量清单。</w:t>
      </w:r>
    </w:p>
    <w:p w14:paraId="4D55D77A">
      <w:pPr>
        <w:pStyle w:val="317"/>
        <w:spacing w:line="360" w:lineRule="auto"/>
        <w:ind w:firstLine="720" w:firstLineChars="300"/>
        <w:rPr>
          <w:rFonts w:ascii="宋体" w:hAnsi="宋体" w:eastAsia="宋体"/>
          <w:snapToGrid w:val="0"/>
          <w:kern w:val="0"/>
          <w:sz w:val="24"/>
          <w:highlight w:val="none"/>
        </w:rPr>
      </w:pPr>
      <w:r>
        <w:rPr>
          <w:rFonts w:hint="eastAsia" w:ascii="宋体" w:hAnsi="宋体" w:eastAsia="宋体"/>
          <w:snapToGrid w:val="0"/>
          <w:kern w:val="0"/>
          <w:sz w:val="24"/>
          <w:highlight w:val="none"/>
        </w:rPr>
        <w:t>8.</w:t>
      </w:r>
      <w:r>
        <w:rPr>
          <w:rFonts w:ascii="宋体" w:hAnsi="宋体" w:eastAsia="宋体"/>
          <w:snapToGrid w:val="0"/>
          <w:kern w:val="0"/>
          <w:sz w:val="24"/>
          <w:highlight w:val="none"/>
        </w:rPr>
        <w:t>8</w:t>
      </w:r>
      <w:r>
        <w:rPr>
          <w:rFonts w:hint="eastAsia" w:ascii="宋体" w:hAnsi="宋体" w:eastAsia="宋体"/>
          <w:snapToGrid w:val="0"/>
          <w:kern w:val="0"/>
          <w:sz w:val="24"/>
          <w:highlight w:val="none"/>
        </w:rPr>
        <w:t xml:space="preserve">  供应商须负责本工程验收通过。</w:t>
      </w:r>
    </w:p>
    <w:p w14:paraId="17412C0A">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8.9  合同中如涉及需要特种、专业设备生产、制造、安装、维修许可证的施工内容，成交人应确保相关供应商具有有效的资格证书或相关许可证书，以保证采购人今后的使用安全。</w:t>
      </w:r>
    </w:p>
    <w:p w14:paraId="014403AD">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8.10 档案资料</w:t>
      </w:r>
    </w:p>
    <w:p w14:paraId="49DEA357">
      <w:pPr>
        <w:tabs>
          <w:tab w:val="left" w:pos="1920"/>
        </w:tabs>
        <w:snapToGrid w:val="0"/>
        <w:spacing w:line="360" w:lineRule="auto"/>
        <w:ind w:left="1335" w:leftChars="350" w:hanging="600" w:hangingChars="2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本工程竣工验收后30天内，成交人向采购人提交二套完整的、符合要求的工程技术档案资料。</w:t>
      </w:r>
    </w:p>
    <w:p w14:paraId="3A434CA2">
      <w:pPr>
        <w:spacing w:line="360" w:lineRule="auto"/>
        <w:ind w:left="1560" w:hanging="1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9. 资质要求</w:t>
      </w:r>
    </w:p>
    <w:p w14:paraId="42DFA3E4">
      <w:pPr>
        <w:pStyle w:val="317"/>
        <w:spacing w:line="360" w:lineRule="auto"/>
        <w:ind w:firstLine="720" w:firstLineChars="300"/>
        <w:rPr>
          <w:rFonts w:ascii="宋体" w:hAnsi="宋体" w:eastAsia="宋体"/>
          <w:snapToGrid w:val="0"/>
          <w:kern w:val="0"/>
          <w:sz w:val="24"/>
          <w:highlight w:val="none"/>
        </w:rPr>
      </w:pPr>
      <w:r>
        <w:rPr>
          <w:rFonts w:hint="eastAsia" w:ascii="宋体" w:hAnsi="宋体" w:eastAsia="宋体"/>
          <w:snapToGrid w:val="0"/>
          <w:kern w:val="0"/>
          <w:sz w:val="24"/>
          <w:highlight w:val="none"/>
        </w:rPr>
        <w:t>9.1  施工资质：见前附表</w:t>
      </w:r>
    </w:p>
    <w:p w14:paraId="189F2EC8">
      <w:pPr>
        <w:pStyle w:val="317"/>
        <w:spacing w:line="360" w:lineRule="auto"/>
        <w:ind w:firstLine="720" w:firstLineChars="300"/>
        <w:rPr>
          <w:rFonts w:ascii="宋体" w:hAnsi="宋体" w:eastAsia="宋体"/>
          <w:snapToGrid w:val="0"/>
          <w:kern w:val="0"/>
          <w:sz w:val="24"/>
          <w:highlight w:val="none"/>
        </w:rPr>
      </w:pPr>
      <w:r>
        <w:rPr>
          <w:rFonts w:hint="eastAsia" w:ascii="宋体" w:hAnsi="宋体" w:eastAsia="宋体"/>
          <w:snapToGrid w:val="0"/>
          <w:kern w:val="0"/>
          <w:sz w:val="24"/>
          <w:highlight w:val="none"/>
        </w:rPr>
        <w:t>9.2  项目经理要求：见前附表</w:t>
      </w:r>
    </w:p>
    <w:p w14:paraId="2DD2770A">
      <w:pPr>
        <w:spacing w:line="360" w:lineRule="auto"/>
        <w:ind w:firstLine="240" w:firstLineChars="1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 报价要求</w:t>
      </w:r>
    </w:p>
    <w:p w14:paraId="7E2D7FF0">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10.1 根据谈判文件提供的清单，按《建设工程工程量清单计价规范（GB-50500-2013）》、沪建市管[2019]19号文《关于调整本市建设工程计价依据增值税税率的通知》及《关于调整本市建设工程规费项目设置等相关事项的通知》（沪建标定联〔2023〕120号）并提供响应文件；</w:t>
      </w:r>
    </w:p>
    <w:p w14:paraId="32921B11">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10.2  执行上海市建设主管部门颁发的有关工程造价的与20</w:t>
      </w:r>
      <w:r>
        <w:rPr>
          <w:rFonts w:ascii="宋体" w:hAnsi="宋体"/>
          <w:color w:val="000000" w:themeColor="text1"/>
          <w:kern w:val="0"/>
          <w:sz w:val="24"/>
          <w:highlight w:val="none"/>
          <w14:textFill>
            <w14:solidFill>
              <w14:schemeClr w14:val="tx1"/>
            </w14:solidFill>
          </w14:textFill>
        </w:rPr>
        <w:t>16</w:t>
      </w:r>
      <w:r>
        <w:rPr>
          <w:rFonts w:hint="eastAsia" w:ascii="宋体" w:hAnsi="宋体"/>
          <w:color w:val="000000" w:themeColor="text1"/>
          <w:kern w:val="0"/>
          <w:sz w:val="24"/>
          <w:highlight w:val="none"/>
          <w14:textFill>
            <w14:solidFill>
              <w14:schemeClr w14:val="tx1"/>
            </w14:solidFill>
          </w14:textFill>
        </w:rPr>
        <w:t>定额相配套的其他现行文件和规定；供应商应按谈判文件提供的工程量计算工程项目的单价和合价。供应商任何一项没有填写单价和合价的项目将不予支付，并认为此项费用已包括在工程量清单的其他单价和合价中。供应商须严格按采购人提供的工程量清单报价，除谈判文件另行规定外，工作量有任何改动将作为不实质性响应竞争性谈判文件。本工程综合单价固定，不因损耗、辅材、人工、机械、管理费、利润等的任何因素变化而作调整。</w:t>
      </w:r>
    </w:p>
    <w:p w14:paraId="2A251ED6">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10.3  根据工程量清单所示，提供满足</w:t>
      </w:r>
      <w:r>
        <w:rPr>
          <w:rFonts w:hint="eastAsia" w:ascii="宋体" w:hAnsi="宋体"/>
          <w:color w:val="000000" w:themeColor="text1"/>
          <w:kern w:val="0"/>
          <w:sz w:val="24"/>
          <w:highlight w:val="none"/>
          <w:lang w:val="en-US" w:eastAsia="zh-CN"/>
          <w14:textFill>
            <w14:solidFill>
              <w14:schemeClr w14:val="tx1"/>
            </w14:solidFill>
          </w14:textFill>
        </w:rPr>
        <w:t>施工</w:t>
      </w:r>
      <w:r>
        <w:rPr>
          <w:rFonts w:hint="eastAsia" w:ascii="宋体" w:hAnsi="宋体"/>
          <w:color w:val="000000" w:themeColor="text1"/>
          <w:kern w:val="0"/>
          <w:sz w:val="24"/>
          <w:highlight w:val="none"/>
          <w14:textFill>
            <w14:solidFill>
              <w14:schemeClr w14:val="tx1"/>
            </w14:solidFill>
          </w14:textFill>
        </w:rPr>
        <w:t>要求及质量验收要求的品牌的设备/材料价格；</w:t>
      </w:r>
    </w:p>
    <w:p w14:paraId="6D1CD267">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10.4  列明施工管理费和利润率%；人工单价等；</w:t>
      </w:r>
    </w:p>
    <w:p w14:paraId="4C61A8BC">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10.5  本工程措施项目费报价闭口包干，不做调整（除谈判文件和本合同约定外）。供应商应根据各自经验情况、工程场地条件、供应商须知所要求的工作内容和合同所示的所有责任、义务、风险（除合同规定外）以及技术规范和政府主管部门发布的规定，并结合供应商在本工程所采用的施工组织设计进行报价。凡谈判文件中未提示的供应商认为本工程将发生的措施均应列入措施项目中报价并开列明细（除施工合同和本谈判文件约定外）；</w:t>
      </w:r>
    </w:p>
    <w:p w14:paraId="59930D9C">
      <w:pPr>
        <w:spacing w:line="360" w:lineRule="auto"/>
        <w:ind w:left="1349" w:leftChars="528" w:hanging="240" w:hangingChars="1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 xml:space="preserve">  其他要求详见本谈判文件工程量清单报价原则。</w:t>
      </w:r>
    </w:p>
    <w:p w14:paraId="797E074A">
      <w:pPr>
        <w:spacing w:line="360" w:lineRule="auto"/>
        <w:ind w:left="1531" w:leftChars="150" w:hanging="1216" w:hangingChars="507"/>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11、结算原则</w:t>
      </w:r>
    </w:p>
    <w:p w14:paraId="72EA981E">
      <w:pPr>
        <w:spacing w:line="360" w:lineRule="auto"/>
        <w:ind w:left="1470" w:leftChars="7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若工程量、工程内容发生变化需经采购人书面批准，否则不予认可。涉及到有关工作内容的增减，应遵循下列原则：</w:t>
      </w:r>
    </w:p>
    <w:p w14:paraId="2CDAA904">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11.1工程量计算规则按《建设工程工程量清单计价规范（GB-50500-2013）》及其上海市建设工程工程量计价应用规则和《关于调整本市建设工程规费项目设置等相关事项的通知》（沪建标定联〔2023〕120号）计算规范执行；自2023年10月1日起，本市建设工程费用组成中取消规费项目单列，将施工现场作业人员的人工单价中增加养老保险、医疗保险（含生育保险）、失业保险、工伤保险和住房公积金等；企业管理费中增加管理人员的养老保险、医疗保险（含生育保险）、失业保险、工伤保险和住房公积金等；</w:t>
      </w:r>
    </w:p>
    <w:p w14:paraId="5B92CA81">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11.2合同中已有适用于变更工程的价格，按合同已有价格变更价款；</w:t>
      </w:r>
    </w:p>
    <w:p w14:paraId="296F9EB7">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11.3合同中已有类似于变更工程的价格，可以参照类似价格变更价款；</w:t>
      </w:r>
    </w:p>
    <w:p w14:paraId="3A28A2E1">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11.4合同中没有适用或类似于变更工程的价格，由成交单位提出适当的变更价格，经采购人书面确认后执行</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最终以采购人在竣工结算时委托的第三方审计审价为准</w:t>
      </w:r>
      <w:r>
        <w:rPr>
          <w:rFonts w:hint="eastAsia" w:ascii="宋体" w:hAnsi="宋体"/>
          <w:color w:val="000000" w:themeColor="text1"/>
          <w:kern w:val="0"/>
          <w:sz w:val="24"/>
          <w:highlight w:val="none"/>
          <w14:textFill>
            <w14:solidFill>
              <w14:schemeClr w14:val="tx1"/>
            </w14:solidFill>
          </w14:textFill>
        </w:rPr>
        <w:t>。变更价格的组价原则：</w:t>
      </w:r>
    </w:p>
    <w:p w14:paraId="43FD67C2">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11.4.1人工、材料、机械的消耗量可参照《上海市建筑和装饰工程预算定额（SH01-31-2016）》、《上海市安装工程预算定额（SH02-31-2016）》、《上海市房屋建筑工程养护维修预算定额第一册房屋修缮工程（SH00-41（01）-2016）》等；不能参照以上定额的，可参照现行适用的其他相关定额； </w:t>
      </w:r>
    </w:p>
    <w:p w14:paraId="6B824508">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11.4.2人工、材料、机械单价，合同中有相同或类似的单价参照合同单价，无类似单价则参照施工期间的上海市住房和城乡建设管理委员会网站当月发布的市场信息价中相应的价格的平均价执行，并报采购单位核批，如果“上海市住房和城乡建设管理委员会网站每月发布的市场信息价（除税价）”中没有的材料价格甲乙双方根据市场价协商确定。如双方不能达成一致的，则由工程造价管理部门裁定。</w:t>
      </w:r>
    </w:p>
    <w:p w14:paraId="7F9F2FA6">
      <w:pPr>
        <w:spacing w:line="360" w:lineRule="auto"/>
        <w:ind w:left="1481" w:leftChars="350" w:hanging="746" w:hangingChars="31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11.4.3企业管理费、利润、增值税按合同规定（即供应商报价时的费率标准）。</w:t>
      </w:r>
    </w:p>
    <w:p w14:paraId="572295CC">
      <w:pPr>
        <w:spacing w:line="360" w:lineRule="auto"/>
        <w:ind w:left="1531" w:leftChars="150" w:hanging="1216" w:hangingChars="507"/>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 xml:space="preserve"> 工程款支付</w:t>
      </w:r>
    </w:p>
    <w:p w14:paraId="05492210">
      <w:pPr>
        <w:spacing w:line="360" w:lineRule="auto"/>
        <w:ind w:left="630" w:left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本工程的价款支付与结算按采购人与成交人签订的施工合同及补充协议（如有）执行（详见第三章“施工合同”）。</w:t>
      </w:r>
    </w:p>
    <w:p w14:paraId="18F3FB4D">
      <w:pPr>
        <w:spacing w:line="360" w:lineRule="auto"/>
        <w:ind w:left="1434" w:leftChars="42" w:hanging="1346" w:hangingChars="56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三、谈判文件</w:t>
      </w:r>
    </w:p>
    <w:p w14:paraId="62FC8686">
      <w:pPr>
        <w:spacing w:line="360" w:lineRule="auto"/>
        <w:ind w:left="1531" w:leftChars="150" w:hanging="1216" w:hangingChars="507"/>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1. </w:t>
      </w:r>
      <w:r>
        <w:rPr>
          <w:rFonts w:hint="eastAsia" w:ascii="宋体" w:hAnsi="宋体"/>
          <w:color w:val="000000" w:themeColor="text1"/>
          <w:kern w:val="0"/>
          <w:sz w:val="24"/>
          <w:highlight w:val="none"/>
          <w14:textFill>
            <w14:solidFill>
              <w14:schemeClr w14:val="tx1"/>
            </w14:solidFill>
          </w14:textFill>
        </w:rPr>
        <w:t>本项目所发出的谈判文件由以下几个部分组成：</w:t>
      </w:r>
    </w:p>
    <w:p w14:paraId="0CC19C72">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供应商须知</w:t>
      </w:r>
      <w:r>
        <w:rPr>
          <w:rFonts w:ascii="宋体" w:hAnsi="宋体"/>
          <w:color w:val="000000" w:themeColor="text1"/>
          <w:kern w:val="0"/>
          <w:sz w:val="24"/>
          <w:highlight w:val="none"/>
          <w14:textFill>
            <w14:solidFill>
              <w14:schemeClr w14:val="tx1"/>
            </w14:solidFill>
          </w14:textFill>
        </w:rPr>
        <w:t>前附表</w:t>
      </w:r>
    </w:p>
    <w:p w14:paraId="7A9B8C1D">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竞争性谈判邀请书；</w:t>
      </w:r>
    </w:p>
    <w:p w14:paraId="3C5B3869">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供应商须知；</w:t>
      </w:r>
    </w:p>
    <w:p w14:paraId="128FE200">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评审办法</w:t>
      </w:r>
    </w:p>
    <w:p w14:paraId="34DDC2E9">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技术要求；</w:t>
      </w:r>
    </w:p>
    <w:p w14:paraId="3A8B453A">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合同条款；</w:t>
      </w:r>
    </w:p>
    <w:p w14:paraId="0BEBA115">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附件格式；</w:t>
      </w:r>
    </w:p>
    <w:p w14:paraId="698F6264">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工程量清单</w:t>
      </w:r>
    </w:p>
    <w:p w14:paraId="03DE76EF">
      <w:pPr>
        <w:numPr>
          <w:ilvl w:val="0"/>
          <w:numId w:val="17"/>
        </w:numPr>
        <w:tabs>
          <w:tab w:val="left" w:pos="735"/>
          <w:tab w:val="left" w:pos="1995"/>
          <w:tab w:val="clear" w:pos="1620"/>
        </w:tabs>
        <w:adjustRightInd w:val="0"/>
        <w:spacing w:line="360" w:lineRule="auto"/>
        <w:ind w:left="735"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图纸（另附）</w:t>
      </w:r>
    </w:p>
    <w:p w14:paraId="3CBE8646">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 谈判文件的解释</w:t>
      </w:r>
    </w:p>
    <w:p w14:paraId="7431ED24">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（1）构成本谈判文件的各个组成文件应互为解释，互为说明；除有特别规定外，本谈判文件仅适用于谈判阶段的规定，按竞争性谈判邀请书、前附表、评标办法、供应商须知、附件格式的先后顺序解释。</w:t>
      </w:r>
    </w:p>
    <w:p w14:paraId="3A636362">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（2）同一组成文件中就同一事项的规定或约定不一致的，以编排顺序在后者为准；同一组成文件不同版本之间有不一致的，以形成时间在后者为准。</w:t>
      </w:r>
    </w:p>
    <w:p w14:paraId="11E87042">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（3）根据上述规定仍不能形成结论的，由采购人负责解释。</w:t>
      </w:r>
    </w:p>
    <w:p w14:paraId="1D275CA9">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3．除非有特殊要求，谈判文件不单独提供工程所在地点的自然环境、气候条件、公用设施等情况，供应商被视为熟悉上述与履行合同有关的一切情况。</w:t>
      </w:r>
    </w:p>
    <w:p w14:paraId="0A1A7A38">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供应商应认真阅读谈判文件中所有的事项、格式、条款和规范等要求。如果没有按照谈判文件要求提交全部资料，或者响应文件没有对谈判文件作出实质性响应，该响应文件有可能被拒绝或评定为无效报价，其风险应由供应商自行承担。</w:t>
      </w:r>
    </w:p>
    <w:p w14:paraId="34CF5A03">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 谈判文件的澄清与修改</w:t>
      </w:r>
    </w:p>
    <w:p w14:paraId="11BCEA40">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5.1供应商在提交响应文件前须事先检查谈判文件的内容，核对页数。一旦发现存有意义模糊或相互间矛盾之处应在前附表规定的时间内以书面形式通知采购人或采购代理机构。采购人、采购代理机构在提交首次响应文件截止时间5日前，将以召开答疑会或者以网上下载的形式予以答复，答复中包括所问问题，但不包括问题的来源。不足5日的，将顺延提交首次响应文件截止时间。 </w:t>
      </w:r>
    </w:p>
    <w:p w14:paraId="177365D4">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5.2 在提交首次响应文件截止时间前的任何时候，无论出于何种原因，采购人可主动或在解答供应商提出的问题时对谈判文件进行修改。对谈判文件的修改、增补、删除、解释等文件将构成今后具有法律约束的合同文件的一部分。对于任何非书面的解释、修改、补充或由采购人非授权人员或单位所作出的指令亦同样无效。</w:t>
      </w:r>
    </w:p>
    <w:p w14:paraId="411641EB">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为使供应商编写响应文件时有充分时间对谈判文件的修改部分进行研究，采购人可以酌情延长提交首次响应文件截止时间。</w:t>
      </w:r>
    </w:p>
    <w:p w14:paraId="0DEBAE4A">
      <w:pPr>
        <w:spacing w:line="360" w:lineRule="auto"/>
        <w:ind w:firstLine="352" w:firstLineChars="147"/>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四、供应商报价</w:t>
      </w:r>
    </w:p>
    <w:p w14:paraId="2589FF29">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1. </w:t>
      </w:r>
      <w:r>
        <w:rPr>
          <w:rFonts w:hint="eastAsia" w:ascii="宋体" w:hAnsi="宋体"/>
          <w:color w:val="000000" w:themeColor="text1"/>
          <w:kern w:val="0"/>
          <w:sz w:val="24"/>
          <w:highlight w:val="none"/>
          <w14:textFill>
            <w14:solidFill>
              <w14:schemeClr w14:val="tx1"/>
            </w14:solidFill>
          </w14:textFill>
        </w:rPr>
        <w:t>报价填写须知</w:t>
      </w:r>
    </w:p>
    <w:p w14:paraId="3A0E9D2A">
      <w:pPr>
        <w:spacing w:line="360" w:lineRule="auto"/>
        <w:ind w:left="675" w:leftChars="150" w:hanging="360" w:hangingChars="15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1.1 </w:t>
      </w:r>
      <w:r>
        <w:rPr>
          <w:rFonts w:hint="eastAsia" w:ascii="宋体" w:hAnsi="宋体"/>
          <w:color w:val="000000" w:themeColor="text1"/>
          <w:kern w:val="0"/>
          <w:sz w:val="24"/>
          <w:highlight w:val="none"/>
          <w14:textFill>
            <w14:solidFill>
              <w14:schemeClr w14:val="tx1"/>
            </w14:solidFill>
          </w14:textFill>
        </w:rPr>
        <w:t>供应商报价</w:t>
      </w:r>
    </w:p>
    <w:p w14:paraId="5DB022DB">
      <w:pPr>
        <w:spacing w:line="360" w:lineRule="auto"/>
        <w:ind w:left="630" w:left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响应文件须按本谈判文件附件格式要求填写，并按格式要求进行签章。响应文件内的响应总价必须与工程量清单的总价及响应报价汇总表内的总价相符。</w:t>
      </w:r>
    </w:p>
    <w:p w14:paraId="49361A27">
      <w:pPr>
        <w:spacing w:line="360" w:lineRule="auto"/>
        <w:ind w:left="630" w:leftChars="3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采用人民币为计价单位，并且将不会因汇率或价格的浮动而调整，响应文件上的金额必须与报价汇总表总计一致，任何在工程量清单列项中未报价项目，将被视为已包括在其余项目内。有关报价计算方法如下：</w:t>
      </w:r>
    </w:p>
    <w:p w14:paraId="3B9627E7">
      <w:pPr>
        <w:numPr>
          <w:ilvl w:val="0"/>
          <w:numId w:val="14"/>
        </w:numPr>
        <w:tabs>
          <w:tab w:val="left" w:pos="1560"/>
          <w:tab w:val="clear" w:pos="1920"/>
        </w:tabs>
        <w:adjustRightInd w:val="0"/>
        <w:spacing w:line="360" w:lineRule="auto"/>
        <w:ind w:left="709" w:firstLine="141" w:firstLineChars="59"/>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本项目实行按谈判文件图纸及工程规范计价的采购活动，采购人提供图纸和谈判文件，除根据谈判文件条文明确规定外，响应文件报价综合单价为包干性质；</w:t>
      </w:r>
    </w:p>
    <w:p w14:paraId="0A85ABAD">
      <w:pPr>
        <w:numPr>
          <w:ilvl w:val="0"/>
          <w:numId w:val="14"/>
        </w:numPr>
        <w:tabs>
          <w:tab w:val="left" w:pos="1560"/>
          <w:tab w:val="clear" w:pos="1920"/>
        </w:tabs>
        <w:adjustRightInd w:val="0"/>
        <w:spacing w:line="360" w:lineRule="auto"/>
        <w:ind w:left="709" w:firstLine="141" w:firstLineChars="59"/>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供应商须自行考虑现场条件、人工、材料及设备价格波动之风险，材料或人工差价等一次包定。除谈判文件明确规定外，承包金额不会因人工、材料及设备价格波动、汇率的变化等因素而调整；</w:t>
      </w:r>
    </w:p>
    <w:p w14:paraId="4517CEC2">
      <w:pPr>
        <w:spacing w:line="360" w:lineRule="auto"/>
        <w:ind w:left="709" w:firstLine="141" w:firstLineChars="59"/>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已递交响应文件的供应商不能因在工程量清单中对数量的加减、结转、汇总中存在差错而作出修改或更正。</w:t>
      </w:r>
    </w:p>
    <w:p w14:paraId="3D63CA2F">
      <w:pPr>
        <w:spacing w:line="360" w:lineRule="auto"/>
        <w:ind w:firstLine="425"/>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2. </w:t>
      </w:r>
      <w:r>
        <w:rPr>
          <w:rFonts w:hint="eastAsia" w:ascii="宋体" w:hAnsi="宋体"/>
          <w:color w:val="000000" w:themeColor="text1"/>
          <w:kern w:val="0"/>
          <w:sz w:val="24"/>
          <w:highlight w:val="none"/>
          <w14:textFill>
            <w14:solidFill>
              <w14:schemeClr w14:val="tx1"/>
            </w14:solidFill>
          </w14:textFill>
        </w:rPr>
        <w:t>其他须注意事项</w:t>
      </w:r>
    </w:p>
    <w:p w14:paraId="38504185">
      <w:pPr>
        <w:spacing w:line="360" w:lineRule="auto"/>
        <w:ind w:left="1320" w:hanging="6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供应商必须是经政府相关主管部门审查合格，认为有能力及资质承担本工程的施工单位。</w:t>
      </w:r>
    </w:p>
    <w:p w14:paraId="79EE59FD">
      <w:pPr>
        <w:spacing w:line="360" w:lineRule="auto"/>
        <w:ind w:left="1320" w:hanging="6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谈判文件中任何错误若供应商未要求进行更正，其导致响应文件错误的责任，采购人不会承担。</w:t>
      </w:r>
    </w:p>
    <w:p w14:paraId="47FF3479">
      <w:pPr>
        <w:spacing w:line="360" w:lineRule="auto"/>
        <w:ind w:left="1320" w:hanging="6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谈判文件不能作未经授权的改动，否则其响应文件将不获接纳。若有此等改动，须在提交响应文件截止前由法定代表人或其授权委托人签字或盖章方为有效。</w:t>
      </w:r>
    </w:p>
    <w:p w14:paraId="248CDFA6">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2.4评审小组对响应文件进行审核，如有漏报、计算错误或其它错误，须按如下原则进行调整：</w:t>
      </w:r>
    </w:p>
    <w:p w14:paraId="4B6CA70A">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（1）开标一览表内容与报价明细表金额及响应文件其他部分内容不一致的，以开标一览表内容为准；</w:t>
      </w:r>
    </w:p>
    <w:p w14:paraId="22510C44">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hint="eastAsia" w:ascii="宋体" w:hAnsi="宋体" w:cs="宋体"/>
          <w:kern w:val="0"/>
          <w:sz w:val="24"/>
          <w:highlight w:val="none"/>
        </w:rPr>
        <w:t>用数字表示的数额与用文字表示的数额不一致时，以文字数额为准</w:t>
      </w:r>
      <w:r>
        <w:rPr>
          <w:rFonts w:hint="eastAsia" w:ascii="宋体" w:hAnsi="宋体"/>
          <w:color w:val="000000" w:themeColor="text1"/>
          <w:kern w:val="0"/>
          <w:sz w:val="24"/>
          <w:highlight w:val="none"/>
          <w14:textFill>
            <w14:solidFill>
              <w14:schemeClr w14:val="tx1"/>
            </w14:solidFill>
          </w14:textFill>
        </w:rPr>
        <w:t>；</w:t>
      </w:r>
    </w:p>
    <w:p w14:paraId="1A505A2E">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s="宋体"/>
          <w:kern w:val="0"/>
          <w:sz w:val="24"/>
          <w:highlight w:val="none"/>
        </w:rPr>
        <w:t>单价与工程量的乘积与总价之间不一致时，以单价为准。若单价有明显的小数点错位，应以总价为准，并修改单价</w:t>
      </w:r>
      <w:r>
        <w:rPr>
          <w:rFonts w:hint="eastAsia" w:ascii="宋体" w:hAnsi="宋体"/>
          <w:color w:val="000000" w:themeColor="text1"/>
          <w:kern w:val="0"/>
          <w:sz w:val="24"/>
          <w:highlight w:val="none"/>
          <w14:textFill>
            <w14:solidFill>
              <w14:schemeClr w14:val="tx1"/>
            </w14:solidFill>
          </w14:textFill>
        </w:rPr>
        <w:t>；</w:t>
      </w:r>
    </w:p>
    <w:p w14:paraId="123D22DD">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rFonts w:hint="eastAsia" w:ascii="宋体" w:hAnsi="宋体" w:cs="宋体"/>
          <w:kern w:val="0"/>
          <w:sz w:val="24"/>
          <w:highlight w:val="none"/>
        </w:rPr>
        <w:t>对不同文字文本谈判文件的解释发生异议的，以中文文本为准</w:t>
      </w:r>
      <w:r>
        <w:rPr>
          <w:rFonts w:hint="eastAsia" w:ascii="宋体" w:hAnsi="宋体"/>
          <w:color w:val="000000" w:themeColor="text1"/>
          <w:kern w:val="0"/>
          <w:sz w:val="24"/>
          <w:highlight w:val="none"/>
          <w14:textFill>
            <w14:solidFill>
              <w14:schemeClr w14:val="tx1"/>
            </w14:solidFill>
          </w14:textFill>
        </w:rPr>
        <w:t>。</w:t>
      </w:r>
    </w:p>
    <w:p w14:paraId="4E6F235E">
      <w:pPr>
        <w:spacing w:line="360" w:lineRule="auto"/>
        <w:ind w:left="1380" w:leftChars="257" w:hanging="840" w:hangingChars="35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5</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若评审时发现有严重错误，认为可使供应商蒙受严重损失，便会将该错误通知供应商，要求他确定是否维持原响应文件。若供应商要求更正，其响应文件将丧失考虑的机会。</w:t>
      </w:r>
    </w:p>
    <w:p w14:paraId="18ACB800">
      <w:pPr>
        <w:spacing w:line="360" w:lineRule="auto"/>
        <w:ind w:left="1292" w:leftChars="300" w:hanging="662" w:hangingChars="27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2.6 </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若对谈判文件发现有任何的错误或对有关报价存有疑问，可以书面向供应商提出询问。该项询问并不表示为要求改变响应文件报价的反要约，该项询问亦并不减少供应商的任何责任。</w:t>
      </w:r>
    </w:p>
    <w:p w14:paraId="351B8C3A">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2.7 </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供应商在编制其谈判文件，或在随后的会议及</w:t>
      </w:r>
      <w:r>
        <w:rPr>
          <w:rFonts w:hint="eastAsia" w:ascii="宋体" w:hAnsi="宋体" w:cs="宋体"/>
          <w:color w:val="000000" w:themeColor="text1"/>
          <w:spacing w:val="-10"/>
          <w:sz w:val="24"/>
          <w:highlight w:val="none"/>
          <w14:textFill>
            <w14:solidFill>
              <w14:schemeClr w14:val="tx1"/>
            </w14:solidFill>
          </w14:textFill>
        </w:rPr>
        <w:t>谈判</w:t>
      </w:r>
      <w:r>
        <w:rPr>
          <w:rFonts w:hint="eastAsia" w:ascii="宋体" w:hAnsi="宋体"/>
          <w:color w:val="000000" w:themeColor="text1"/>
          <w:kern w:val="0"/>
          <w:sz w:val="24"/>
          <w:highlight w:val="none"/>
          <w14:textFill>
            <w14:solidFill>
              <w14:schemeClr w14:val="tx1"/>
            </w14:solidFill>
          </w14:textFill>
        </w:rPr>
        <w:t>中发生的任何费用，采购人均不承担。</w:t>
      </w:r>
    </w:p>
    <w:p w14:paraId="7CDF57B2">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2.8</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任何无视上述条文作出的索赔将不获考虑。</w:t>
      </w:r>
    </w:p>
    <w:p w14:paraId="1F344492">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五、响应文件</w:t>
      </w:r>
    </w:p>
    <w:p w14:paraId="33376716">
      <w:pPr>
        <w:spacing w:line="360" w:lineRule="auto"/>
        <w:ind w:firstLine="425"/>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 响应文件的组成与内容</w:t>
      </w:r>
    </w:p>
    <w:p w14:paraId="6F7A8CDC">
      <w:pPr>
        <w:snapToGrid w:val="0"/>
        <w:spacing w:line="360" w:lineRule="auto"/>
        <w:ind w:left="82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工程要求供应商递送的响应文件必须进行密封并在密封包装外加盖公章。响应文件封面及密封包装外需注明本工程项目名称、项目编号及供应商名称，并按谈判文件前附表上规定的时间及地点递交。响应文件包括以下几个组成内容（仅供参考）：</w:t>
      </w:r>
    </w:p>
    <w:p w14:paraId="4B7AB3E8">
      <w:pPr>
        <w:numPr>
          <w:ilvl w:val="3"/>
          <w:numId w:val="4"/>
        </w:numPr>
        <w:tabs>
          <w:tab w:val="left" w:pos="840"/>
          <w:tab w:val="clear" w:pos="2535"/>
        </w:tabs>
        <w:adjustRightInd w:val="0"/>
        <w:snapToGrid w:val="0"/>
        <w:spacing w:line="360" w:lineRule="auto"/>
        <w:ind w:left="840"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商务标合订本</w:t>
      </w:r>
    </w:p>
    <w:p w14:paraId="3D5498FB">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响应函</w:t>
      </w:r>
    </w:p>
    <w:p w14:paraId="717DBCE2">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响应承诺书</w:t>
      </w:r>
    </w:p>
    <w:p w14:paraId="7FC412EC">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法定代表人资格证明文件（或委托书）及身份证复印件</w:t>
      </w:r>
    </w:p>
    <w:p w14:paraId="2016EC6F">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建设工程施工报价标书情况汇总表</w:t>
      </w:r>
    </w:p>
    <w:p w14:paraId="2A792C2D">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报价文件</w:t>
      </w:r>
      <w:r>
        <w:rPr>
          <w:rFonts w:hint="eastAsia" w:ascii="宋体" w:hAnsi="宋体" w:cs="宋体"/>
          <w:kern w:val="0"/>
          <w:sz w:val="24"/>
          <w:highlight w:val="none"/>
        </w:rPr>
        <w:t>（已标价的工程量清单）</w:t>
      </w:r>
    </w:p>
    <w:p w14:paraId="05A089A0">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主要材料（设备）品牌、型号一览表（参格式附件5）</w:t>
      </w:r>
    </w:p>
    <w:p w14:paraId="0E22E7BA">
      <w:pPr>
        <w:numPr>
          <w:ilvl w:val="0"/>
          <w:numId w:val="20"/>
        </w:numPr>
        <w:adjustRightInd w:val="0"/>
        <w:snapToGrid w:val="0"/>
        <w:spacing w:line="360" w:lineRule="auto"/>
        <w:ind w:left="1134" w:firstLine="0"/>
        <w:textAlignment w:val="baseline"/>
        <w:rPr>
          <w:rFonts w:ascii="宋体" w:hAnsi="宋体" w:cs="宋体"/>
          <w:kern w:val="0"/>
          <w:sz w:val="24"/>
          <w:highlight w:val="none"/>
        </w:rPr>
      </w:pPr>
      <w:r>
        <w:rPr>
          <w:rFonts w:hint="eastAsia" w:ascii="宋体" w:hAnsi="宋体" w:cs="宋体"/>
          <w:kern w:val="0"/>
          <w:sz w:val="24"/>
          <w:highlight w:val="none"/>
        </w:rPr>
        <w:t>参加政府采购活动前3年内在经营活动中没有重大违法记录的书面声明</w:t>
      </w:r>
    </w:p>
    <w:p w14:paraId="633236B1">
      <w:pPr>
        <w:numPr>
          <w:ilvl w:val="0"/>
          <w:numId w:val="20"/>
        </w:numPr>
        <w:adjustRightInd w:val="0"/>
        <w:snapToGrid w:val="0"/>
        <w:spacing w:line="360" w:lineRule="auto"/>
        <w:ind w:left="1134" w:firstLine="0"/>
        <w:textAlignment w:val="baseline"/>
        <w:rPr>
          <w:rFonts w:ascii="宋体" w:hAnsi="宋体" w:cs="宋体"/>
          <w:kern w:val="0"/>
          <w:sz w:val="24"/>
          <w:highlight w:val="none"/>
        </w:rPr>
      </w:pPr>
      <w:r>
        <w:rPr>
          <w:rFonts w:hint="eastAsia" w:ascii="宋体" w:hAnsi="宋体" w:cs="宋体"/>
          <w:kern w:val="0"/>
          <w:sz w:val="24"/>
          <w:highlight w:val="none"/>
        </w:rPr>
        <w:t>报价人书面声明</w:t>
      </w:r>
    </w:p>
    <w:p w14:paraId="789D73F2">
      <w:pPr>
        <w:numPr>
          <w:ilvl w:val="0"/>
          <w:numId w:val="20"/>
        </w:numPr>
        <w:adjustRightInd w:val="0"/>
        <w:snapToGrid w:val="0"/>
        <w:spacing w:line="360" w:lineRule="auto"/>
        <w:ind w:hanging="141"/>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其他</w:t>
      </w:r>
    </w:p>
    <w:p w14:paraId="4B75FADB">
      <w:pPr>
        <w:numPr>
          <w:ilvl w:val="1"/>
          <w:numId w:val="9"/>
        </w:numPr>
        <w:tabs>
          <w:tab w:val="left" w:pos="1680"/>
          <w:tab w:val="clear" w:pos="2820"/>
        </w:tabs>
        <w:adjustRightInd w:val="0"/>
        <w:snapToGrid w:val="0"/>
        <w:spacing w:line="360" w:lineRule="auto"/>
        <w:ind w:left="1680" w:hanging="96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技术标合订本</w:t>
      </w:r>
    </w:p>
    <w:p w14:paraId="08258BCA">
      <w:pPr>
        <w:numPr>
          <w:ilvl w:val="0"/>
          <w:numId w:val="12"/>
        </w:numPr>
        <w:tabs>
          <w:tab w:val="left" w:pos="2205"/>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证明供应商有资格在上海市从事本类型工程施工的营业执照副本、</w:t>
      </w:r>
    </w:p>
    <w:p w14:paraId="23706AE6">
      <w:pPr>
        <w:tabs>
          <w:tab w:val="left" w:pos="2658"/>
        </w:tabs>
        <w:adjustRightInd w:val="0"/>
        <w:snapToGrid w:val="0"/>
        <w:spacing w:line="360" w:lineRule="auto"/>
        <w:ind w:left="709"/>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资质证书、具有相关专业建造师证书。</w:t>
      </w:r>
    </w:p>
    <w:p w14:paraId="2AC1BAF8">
      <w:pPr>
        <w:numPr>
          <w:ilvl w:val="0"/>
          <w:numId w:val="12"/>
        </w:numPr>
        <w:tabs>
          <w:tab w:val="left" w:pos="2205"/>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初步进度计划表。</w:t>
      </w:r>
    </w:p>
    <w:p w14:paraId="652E8586">
      <w:pPr>
        <w:numPr>
          <w:ilvl w:val="0"/>
          <w:numId w:val="12"/>
        </w:numPr>
        <w:tabs>
          <w:tab w:val="left" w:pos="2100"/>
          <w:tab w:val="left" w:pos="2415"/>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阐明施工工艺及技术措施的施工组织计划书。技术措施包括设计图</w:t>
      </w:r>
    </w:p>
    <w:p w14:paraId="44C53FD2">
      <w:pPr>
        <w:tabs>
          <w:tab w:val="left" w:pos="2100"/>
          <w:tab w:val="left" w:pos="2415"/>
          <w:tab w:val="left" w:pos="2658"/>
        </w:tabs>
        <w:adjustRightInd w:val="0"/>
        <w:snapToGrid w:val="0"/>
        <w:spacing w:line="360" w:lineRule="auto"/>
        <w:ind w:left="709"/>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上没有的，但为了完成设计图内说明的工程内容而根据现场的现状所有必须采取的措施。</w:t>
      </w:r>
    </w:p>
    <w:p w14:paraId="2AED44DD">
      <w:pPr>
        <w:numPr>
          <w:ilvl w:val="0"/>
          <w:numId w:val="12"/>
        </w:numPr>
        <w:tabs>
          <w:tab w:val="left" w:pos="1680"/>
          <w:tab w:val="clear" w:pos="1666"/>
        </w:tabs>
        <w:adjustRightInd w:val="0"/>
        <w:snapToGrid w:val="0"/>
        <w:spacing w:line="360" w:lineRule="auto"/>
        <w:ind w:left="640" w:firstLine="0"/>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供应商企业简介，如过去已完工程及现时正在进行的类似工程项目名称、规模、工程总价、地点、工期及质量情况。各供应商根据自身情况提供相关材料，如合同等。</w:t>
      </w:r>
    </w:p>
    <w:p w14:paraId="6B77A202">
      <w:pPr>
        <w:numPr>
          <w:ilvl w:val="0"/>
          <w:numId w:val="12"/>
        </w:numPr>
        <w:tabs>
          <w:tab w:val="left" w:pos="2205"/>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供应商相关专业工程人员资质证书。负责本工程施工的组织架构表，</w:t>
      </w:r>
    </w:p>
    <w:p w14:paraId="678F0AC1">
      <w:pPr>
        <w:tabs>
          <w:tab w:val="left" w:pos="2205"/>
          <w:tab w:val="left" w:pos="2658"/>
        </w:tabs>
        <w:adjustRightInd w:val="0"/>
        <w:snapToGrid w:val="0"/>
        <w:spacing w:line="360" w:lineRule="auto"/>
        <w:ind w:left="709"/>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包括常驻领导、施工负责人及质量管理专职人员名单，及其技术职称及履历，拟派项目经理及主要施工管理人员业绩。此等人员一经采购人接纳</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没有足够理由及预先通知，不得更换。主要施工人员如项目经理、各工程的专业工程师、质检员、安全员等均不可在其他工程或本工程中兼职。</w:t>
      </w:r>
    </w:p>
    <w:p w14:paraId="759C7AD5">
      <w:pPr>
        <w:numPr>
          <w:ilvl w:val="0"/>
          <w:numId w:val="12"/>
        </w:numPr>
        <w:tabs>
          <w:tab w:val="left" w:pos="2205"/>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施工现场平面布置图及布置方案。方案应包括，但不仅限于以下内</w:t>
      </w:r>
    </w:p>
    <w:p w14:paraId="0F212CBA">
      <w:pPr>
        <w:tabs>
          <w:tab w:val="left" w:pos="2205"/>
          <w:tab w:val="left" w:pos="2658"/>
        </w:tabs>
        <w:adjustRightInd w:val="0"/>
        <w:snapToGrid w:val="0"/>
        <w:spacing w:line="360" w:lineRule="auto"/>
        <w:ind w:left="709"/>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容：</w:t>
      </w:r>
    </w:p>
    <w:p w14:paraId="06BD8C0E">
      <w:pPr>
        <w:tabs>
          <w:tab w:val="left" w:pos="2205"/>
        </w:tabs>
        <w:snapToGrid w:val="0"/>
        <w:spacing w:line="360" w:lineRule="auto"/>
        <w:ind w:firstLine="1200" w:firstLineChars="5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a.</w:t>
      </w:r>
      <w:r>
        <w:rPr>
          <w:rFonts w:hint="eastAsia" w:ascii="宋体" w:hAnsi="宋体"/>
          <w:color w:val="000000" w:themeColor="text1"/>
          <w:kern w:val="0"/>
          <w:sz w:val="24"/>
          <w:highlight w:val="none"/>
          <w14:textFill>
            <w14:solidFill>
              <w14:schemeClr w14:val="tx1"/>
            </w14:solidFill>
          </w14:textFill>
        </w:rPr>
        <w:t>拟进行的施工阶段，施工次序，临时设施和工地的进出口布置等。</w:t>
      </w:r>
    </w:p>
    <w:p w14:paraId="30B29635">
      <w:pPr>
        <w:tabs>
          <w:tab w:val="left" w:pos="2205"/>
        </w:tabs>
        <w:snapToGrid w:val="0"/>
        <w:spacing w:line="360" w:lineRule="auto"/>
        <w:ind w:left="1176" w:leftChars="56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b.</w:t>
      </w:r>
      <w:r>
        <w:rPr>
          <w:rFonts w:hint="eastAsia" w:ascii="宋体" w:hAnsi="宋体"/>
          <w:color w:val="000000" w:themeColor="text1"/>
          <w:kern w:val="0"/>
          <w:sz w:val="24"/>
          <w:highlight w:val="none"/>
          <w14:textFill>
            <w14:solidFill>
              <w14:schemeClr w14:val="tx1"/>
            </w14:solidFill>
          </w14:textFill>
        </w:rPr>
        <w:t>工地内场地布置，特别应满足建筑垃圾和废弃物的堆运、施工现场作业区域的需要。</w:t>
      </w:r>
    </w:p>
    <w:p w14:paraId="4E392DAB">
      <w:pPr>
        <w:tabs>
          <w:tab w:val="left" w:pos="2205"/>
        </w:tabs>
        <w:snapToGrid w:val="0"/>
        <w:spacing w:line="360" w:lineRule="auto"/>
        <w:ind w:firstLine="1200" w:firstLineChars="5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c.</w:t>
      </w:r>
      <w:r>
        <w:rPr>
          <w:rFonts w:hint="eastAsia" w:ascii="宋体" w:hAnsi="宋体"/>
          <w:color w:val="000000" w:themeColor="text1"/>
          <w:kern w:val="0"/>
          <w:sz w:val="24"/>
          <w:highlight w:val="none"/>
          <w14:textFill>
            <w14:solidFill>
              <w14:schemeClr w14:val="tx1"/>
            </w14:solidFill>
          </w14:textFill>
        </w:rPr>
        <w:t>工地安全设施的维护。</w:t>
      </w:r>
    </w:p>
    <w:p w14:paraId="0299DEBA">
      <w:pPr>
        <w:numPr>
          <w:ilvl w:val="0"/>
          <w:numId w:val="12"/>
        </w:numPr>
        <w:tabs>
          <w:tab w:val="left" w:pos="2205"/>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施工现场成品保护的详细方案。</w:t>
      </w:r>
    </w:p>
    <w:p w14:paraId="640244BC">
      <w:pPr>
        <w:numPr>
          <w:ilvl w:val="0"/>
          <w:numId w:val="12"/>
        </w:numPr>
        <w:tabs>
          <w:tab w:val="left" w:pos="1701"/>
          <w:tab w:val="left" w:pos="2658"/>
        </w:tabs>
        <w:adjustRightInd w:val="0"/>
        <w:snapToGrid w:val="0"/>
        <w:spacing w:line="360" w:lineRule="auto"/>
        <w:ind w:left="2205" w:hanging="1496"/>
        <w:textAlignment w:val="baseline"/>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有类似工程施工经验。</w:t>
      </w:r>
    </w:p>
    <w:p w14:paraId="4613BEDC">
      <w:pPr>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（3）电子文档光盘1份（内容见前附表）</w:t>
      </w:r>
    </w:p>
    <w:p w14:paraId="7E8DD13D">
      <w:pPr>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六、  响应文件的递交</w:t>
      </w:r>
    </w:p>
    <w:p w14:paraId="21A110C4">
      <w:pPr>
        <w:spacing w:line="360" w:lineRule="auto"/>
        <w:ind w:left="926" w:leftChars="441"/>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谈判携带资料：供应商的法定代表人参加谈判时应携带法定代表人证明及本人身份证原件及复印件敲公章。供应商法定代表人的授权委托人参加谈判时应携带的法定代表人授权委托书及受委托人身份证原件及复印件敲公章。</w:t>
      </w:r>
    </w:p>
    <w:p w14:paraId="3B0CEF91">
      <w:pPr>
        <w:spacing w:line="360" w:lineRule="auto"/>
        <w:ind w:left="275" w:leftChars="131" w:firstLine="504" w:firstLineChars="21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响应文件有下列情况之一的，采购人不予受理：</w:t>
      </w:r>
    </w:p>
    <w:p w14:paraId="7A4F68A3">
      <w:pPr>
        <w:spacing w:line="360" w:lineRule="auto"/>
        <w:ind w:left="275" w:leftChars="131" w:firstLine="504" w:firstLineChars="21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逾期送达的或者未送达指定地点的；</w:t>
      </w:r>
    </w:p>
    <w:p w14:paraId="536E22AF">
      <w:pPr>
        <w:spacing w:line="360" w:lineRule="auto"/>
        <w:ind w:left="275" w:leftChars="131" w:firstLine="504" w:firstLineChars="21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未按谈判文件要求密封的；</w:t>
      </w:r>
    </w:p>
    <w:p w14:paraId="43357BF3">
      <w:pPr>
        <w:spacing w:line="360" w:lineRule="auto"/>
        <w:ind w:left="275" w:leftChars="131" w:firstLine="504" w:firstLineChars="21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未按规定获取谈判文件的；</w:t>
      </w:r>
    </w:p>
    <w:p w14:paraId="75E0F416">
      <w:pPr>
        <w:spacing w:line="360" w:lineRule="auto"/>
        <w:ind w:left="700" w:leftChars="50" w:hanging="595" w:hangingChars="24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七、</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费用及保证</w:t>
      </w:r>
    </w:p>
    <w:p w14:paraId="5200F5E3">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供应商在提交响应文件期间发生一切费用、成本、开支等均由供应商自身承担。</w:t>
      </w:r>
    </w:p>
    <w:p w14:paraId="561E5DB1">
      <w:pPr>
        <w:spacing w:line="360" w:lineRule="auto"/>
        <w:ind w:left="1440" w:hanging="72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ab/>
      </w:r>
      <w:r>
        <w:rPr>
          <w:rFonts w:hint="eastAsia" w:ascii="宋体" w:hAnsi="宋体"/>
          <w:color w:val="000000" w:themeColor="text1"/>
          <w:kern w:val="0"/>
          <w:sz w:val="24"/>
          <w:highlight w:val="none"/>
          <w14:textFill>
            <w14:solidFill>
              <w14:schemeClr w14:val="tx1"/>
            </w14:solidFill>
          </w14:textFill>
        </w:rPr>
        <w:t>除非另有通知，各供应商须按规定的日程准时参加采购人组织的各项活动与会议，否则，责任由供应商自负。</w:t>
      </w:r>
    </w:p>
    <w:p w14:paraId="7C182EBB">
      <w:pPr>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br w:type="page"/>
      </w:r>
    </w:p>
    <w:p w14:paraId="4389E952">
      <w:pPr>
        <w:pStyle w:val="45"/>
        <w:spacing w:line="360" w:lineRule="auto"/>
        <w:jc w:val="center"/>
        <w:rPr>
          <w:b/>
          <w:color w:val="000000" w:themeColor="text1"/>
          <w:sz w:val="52"/>
          <w:highlight w:val="none"/>
          <w14:textFill>
            <w14:solidFill>
              <w14:schemeClr w14:val="tx1"/>
            </w14:solidFill>
          </w14:textFill>
        </w:rPr>
      </w:pPr>
    </w:p>
    <w:p w14:paraId="46C5C7E6">
      <w:pPr>
        <w:pStyle w:val="45"/>
        <w:spacing w:line="360" w:lineRule="auto"/>
        <w:jc w:val="center"/>
        <w:rPr>
          <w:b/>
          <w:color w:val="000000" w:themeColor="text1"/>
          <w:sz w:val="52"/>
          <w:highlight w:val="none"/>
          <w14:textFill>
            <w14:solidFill>
              <w14:schemeClr w14:val="tx1"/>
            </w14:solidFill>
          </w14:textFill>
        </w:rPr>
      </w:pPr>
    </w:p>
    <w:p w14:paraId="2C92A816">
      <w:pPr>
        <w:pStyle w:val="45"/>
        <w:spacing w:line="360" w:lineRule="auto"/>
        <w:jc w:val="center"/>
        <w:rPr>
          <w:b/>
          <w:color w:val="000000" w:themeColor="text1"/>
          <w:sz w:val="52"/>
          <w:highlight w:val="none"/>
          <w14:textFill>
            <w14:solidFill>
              <w14:schemeClr w14:val="tx1"/>
            </w14:solidFill>
          </w14:textFill>
        </w:rPr>
      </w:pPr>
    </w:p>
    <w:p w14:paraId="11470C31">
      <w:pPr>
        <w:pStyle w:val="45"/>
        <w:spacing w:line="360" w:lineRule="auto"/>
        <w:jc w:val="center"/>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第三部分</w:t>
      </w:r>
    </w:p>
    <w:p w14:paraId="46FFD964">
      <w:pPr>
        <w:pStyle w:val="45"/>
        <w:spacing w:line="360" w:lineRule="auto"/>
        <w:jc w:val="center"/>
        <w:rPr>
          <w:b/>
          <w:color w:val="000000" w:themeColor="text1"/>
          <w:sz w:val="52"/>
          <w:szCs w:val="52"/>
          <w:highlight w:val="none"/>
          <w14:textFill>
            <w14:solidFill>
              <w14:schemeClr w14:val="tx1"/>
            </w14:solidFill>
          </w14:textFill>
        </w:rPr>
      </w:pPr>
      <w:r>
        <w:rPr>
          <w:rFonts w:hint="eastAsia"/>
          <w:b/>
          <w:color w:val="000000" w:themeColor="text1"/>
          <w:sz w:val="52"/>
          <w:szCs w:val="52"/>
          <w:highlight w:val="none"/>
          <w14:textFill>
            <w14:solidFill>
              <w14:schemeClr w14:val="tx1"/>
            </w14:solidFill>
          </w14:textFill>
        </w:rPr>
        <w:t>评审办法</w:t>
      </w:r>
      <w:r>
        <w:rPr>
          <w:rFonts w:hint="eastAsia"/>
          <w:b/>
          <w:color w:val="000000" w:themeColor="text1"/>
          <w:sz w:val="52"/>
          <w:szCs w:val="52"/>
          <w:highlight w:val="none"/>
          <w14:textFill>
            <w14:solidFill>
              <w14:schemeClr w14:val="tx1"/>
            </w14:solidFill>
          </w14:textFill>
        </w:rPr>
        <w:br w:type="page"/>
      </w:r>
    </w:p>
    <w:p w14:paraId="64F91134">
      <w:pPr>
        <w:pStyle w:val="45"/>
        <w:spacing w:line="360" w:lineRule="auto"/>
        <w:jc w:val="center"/>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第三部分  评审办法</w:t>
      </w:r>
    </w:p>
    <w:p w14:paraId="5BE7AFE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综合本项目的特点，参考相关法律法规的规定，本着保护竞争，维护采购工作公开、公平、公正原则，特制定本评审办法，作为选定本次采购成交供应商的依据。</w:t>
      </w:r>
    </w:p>
    <w:p w14:paraId="6254763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1．谈判评审程序</w:t>
      </w:r>
    </w:p>
    <w:p w14:paraId="5D478CB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1.1成立评审小组，采购人、采购代理机构将根据建筑施工工程的特点，依法组建评审小组</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评审小组由采购人代表和评审专家共3人以上单数组成，其中评审专家人数不得少于评审小组成员总数的2/3。评审小组对响应文件进行审查、质疑、评估和比较。</w:t>
      </w:r>
    </w:p>
    <w:p w14:paraId="6E61FE69">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评审小组履行下列职责：</w:t>
      </w:r>
    </w:p>
    <w:p w14:paraId="41768F1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 确认谈判文件、拟定谈判提纲； </w:t>
      </w:r>
    </w:p>
    <w:p w14:paraId="2D3F2DA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（2） 按谈判文件确定的有关规定对各响应文件进行初步评审，未通过初步评审的供应商按无效响应处理；对通过初步评审的供应商的响应文件进行详细评审，以确定其是否满足谈判文件的实质性要求； </w:t>
      </w:r>
    </w:p>
    <w:p w14:paraId="6BC661D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 审查响应文件是否符合谈判文件要求，作出书面评价； </w:t>
      </w:r>
    </w:p>
    <w:p w14:paraId="34A53619">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 要求报价人对响应文件有关事项作出解释或者澄清； </w:t>
      </w:r>
    </w:p>
    <w:p w14:paraId="41193C9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（5） 编写评审报告； </w:t>
      </w:r>
    </w:p>
    <w:p w14:paraId="2D951FB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 向采购人或者有关部门报告非法干预评审工作的行为。</w:t>
      </w:r>
    </w:p>
    <w:p w14:paraId="417B8C38">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本项目不唱标，直接谈判。谈判前，供应商如系法定代表人出席的则须交验法定代表人证明及本人身份证原件，如系委托代理人出席的则必须交验法定代表人委托书及本人身份证原件。</w:t>
      </w:r>
    </w:p>
    <w:p w14:paraId="3BBF2A71">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 谈判要求</w:t>
      </w:r>
    </w:p>
    <w:p w14:paraId="2FCC12AF">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w:t>
      </w:r>
      <w:r>
        <w:rPr>
          <w:rFonts w:ascii="宋体" w:hAnsi="宋体"/>
          <w:color w:val="000000" w:themeColor="text1"/>
          <w:sz w:val="24"/>
          <w:szCs w:val="24"/>
          <w:highlight w:val="none"/>
          <w14:textFill>
            <w14:solidFill>
              <w14:schemeClr w14:val="tx1"/>
            </w14:solidFill>
          </w14:textFill>
        </w:rPr>
        <w:t>初步评审内容：</w:t>
      </w:r>
    </w:p>
    <w:p w14:paraId="42F5910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（1）响应文件未按谈判文件要求签字或盖章。</w:t>
      </w:r>
    </w:p>
    <w:p w14:paraId="61CA72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）供应商递交两份或多份内容不同的响应文件，或在一份响应文件中对同一采购项目报有两个或多个报价（谈判文件另有规定除外）；</w:t>
      </w:r>
    </w:p>
    <w:p w14:paraId="2E98272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highlight w:val="none"/>
        </w:rPr>
        <w:t>响应文件载明的施工工期超过谈判文件规定的工期期限</w:t>
      </w:r>
      <w:r>
        <w:rPr>
          <w:rFonts w:hint="eastAsia" w:ascii="宋体" w:hAnsi="宋体"/>
          <w:color w:val="000000" w:themeColor="text1"/>
          <w:sz w:val="24"/>
          <w:szCs w:val="24"/>
          <w:highlight w:val="none"/>
          <w14:textFill>
            <w14:solidFill>
              <w14:schemeClr w14:val="tx1"/>
            </w14:solidFill>
          </w14:textFill>
        </w:rPr>
        <w:t>；</w:t>
      </w:r>
    </w:p>
    <w:p w14:paraId="1E226D3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sz w:val="24"/>
          <w:szCs w:val="24"/>
          <w:highlight w:val="none"/>
        </w:rPr>
        <w:t>质量要求不符合竞争性谈判文件要求的；</w:t>
      </w:r>
    </w:p>
    <w:p w14:paraId="29C4A85B">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）供应商在谈判活动中出现串通、弄虚作假、行贿欺诈行为；</w:t>
      </w:r>
    </w:p>
    <w:p w14:paraId="490D8DAF">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（6）响应文件明显不符合谈判文件规定的技术规格、技术质量标准和有关报价的要求；</w:t>
      </w:r>
    </w:p>
    <w:p w14:paraId="3167AE1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（7）报价超出最高限价的；</w:t>
      </w:r>
    </w:p>
    <w:p w14:paraId="234E177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报价截止时间前被列入失信被执行人、重大税收违法案件当事人名单、政府采购严重违法失信行为记录名单</w:t>
      </w:r>
      <w:r>
        <w:rPr>
          <w:rFonts w:hint="eastAsia" w:ascii="宋体" w:hAnsi="宋体" w:cs="宋体"/>
          <w:sz w:val="24"/>
          <w:szCs w:val="24"/>
          <w:highlight w:val="none"/>
        </w:rPr>
        <w:t>及其他不符合资格条件的</w:t>
      </w:r>
      <w:r>
        <w:rPr>
          <w:rFonts w:hint="eastAsia" w:ascii="宋体" w:hAnsi="宋体"/>
          <w:color w:val="000000" w:themeColor="text1"/>
          <w:sz w:val="24"/>
          <w:szCs w:val="24"/>
          <w:highlight w:val="none"/>
          <w14:textFill>
            <w14:solidFill>
              <w14:schemeClr w14:val="tx1"/>
            </w14:solidFill>
          </w14:textFill>
        </w:rPr>
        <w:t>；</w:t>
      </w:r>
    </w:p>
    <w:p w14:paraId="70A9DB0A">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（9）评审小组发现其他非实质性响应的情况。</w:t>
      </w:r>
    </w:p>
    <w:p w14:paraId="3F44FC1A">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w:t>
      </w:r>
      <w:r>
        <w:rPr>
          <w:rFonts w:ascii="宋体" w:hAnsi="宋体"/>
          <w:color w:val="000000" w:themeColor="text1"/>
          <w:sz w:val="24"/>
          <w:szCs w:val="24"/>
          <w:highlight w:val="none"/>
          <w14:textFill>
            <w14:solidFill>
              <w14:schemeClr w14:val="tx1"/>
            </w14:solidFill>
          </w14:textFill>
        </w:rPr>
        <w:t>将通过初步评审的合格文件进行详细评审：</w:t>
      </w:r>
    </w:p>
    <w:p w14:paraId="548859D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bookmarkStart w:id="5" w:name="_Hlk47450494"/>
      <w:r>
        <w:rPr>
          <w:rFonts w:hint="eastAsia" w:ascii="宋体" w:hAnsi="宋体" w:cs="宋体"/>
          <w:sz w:val="24"/>
          <w:szCs w:val="24"/>
          <w:highlight w:val="none"/>
        </w:rPr>
        <w:t>本项目增值税根据《关于调整本市建设工程计价依据增值税税率的通知（沪建市管[2019]19号文）》进行计取。未按要求填报的，按无效响应处理。</w:t>
      </w:r>
      <w:bookmarkEnd w:id="5"/>
    </w:p>
    <w:p w14:paraId="7E3FCCFA">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评审小组发现供应商的报价明显低于其他报价，使得其报价可能低于其成本的，应当要求该供应商作出书面说明并提供相应的证明材料。供应商不能合理说明或者不能提供充分证明材料的，由评标委员会认定该供应商以恶意低价竞标，按无效响应处理。</w:t>
      </w:r>
    </w:p>
    <w:p w14:paraId="70A7835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）其他未实质性响应谈判文件要求的报价文件，将提交评审小组会作无效响应处理。</w:t>
      </w:r>
    </w:p>
    <w:p w14:paraId="67D4F6C2">
      <w:pPr>
        <w:spacing w:line="360" w:lineRule="auto"/>
        <w:rPr>
          <w:rFonts w:ascii="宋体" w:hAnsi="宋体" w:cs="宋体"/>
          <w:sz w:val="24"/>
          <w:szCs w:val="24"/>
          <w:highlight w:val="none"/>
        </w:rPr>
      </w:pPr>
      <w:r>
        <w:rPr>
          <w:rFonts w:hint="eastAsia" w:ascii="宋体" w:hAnsi="宋体"/>
          <w:color w:val="000000" w:themeColor="text1"/>
          <w:sz w:val="24"/>
          <w:szCs w:val="24"/>
          <w:highlight w:val="none"/>
          <w14:textFill>
            <w14:solidFill>
              <w14:schemeClr w14:val="tx1"/>
            </w14:solidFill>
          </w14:textFill>
        </w:rPr>
        <w:t xml:space="preserve">2.3 </w:t>
      </w:r>
      <w:r>
        <w:rPr>
          <w:rFonts w:hint="eastAsia" w:ascii="宋体" w:hAnsi="宋体" w:cs="宋体"/>
          <w:sz w:val="24"/>
          <w:szCs w:val="24"/>
          <w:highlight w:val="none"/>
        </w:rPr>
        <w:t>谈判顺序：</w:t>
      </w:r>
      <w:r>
        <w:rPr>
          <w:rFonts w:hint="eastAsia" w:ascii="宋体" w:hAnsi="宋体" w:cs="宋体"/>
          <w:b/>
          <w:bCs/>
          <w:sz w:val="24"/>
          <w:szCs w:val="24"/>
          <w:highlight w:val="none"/>
        </w:rPr>
        <w:t>按供应商递交响应文件先后顺序进行谈判。</w:t>
      </w:r>
    </w:p>
    <w:p w14:paraId="26CC7A9E">
      <w:pPr>
        <w:spacing w:line="360" w:lineRule="auto"/>
        <w:rPr>
          <w:rFonts w:ascii="宋体" w:hAnsi="宋体" w:cs="宋体"/>
          <w:sz w:val="24"/>
          <w:szCs w:val="24"/>
          <w:highlight w:val="none"/>
        </w:rPr>
      </w:pPr>
      <w:r>
        <w:rPr>
          <w:rFonts w:hint="eastAsia" w:ascii="宋体" w:hAnsi="宋体"/>
          <w:color w:val="000000" w:themeColor="text1"/>
          <w:sz w:val="24"/>
          <w:szCs w:val="24"/>
          <w:highlight w:val="none"/>
          <w14:textFill>
            <w14:solidFill>
              <w14:schemeClr w14:val="tx1"/>
            </w14:solidFill>
          </w14:textFill>
        </w:rPr>
        <w:t xml:space="preserve">2.4 </w:t>
      </w:r>
      <w:r>
        <w:rPr>
          <w:rFonts w:hint="eastAsia" w:ascii="宋体" w:hAnsi="宋体" w:cs="宋体"/>
          <w:sz w:val="24"/>
          <w:szCs w:val="24"/>
          <w:highlight w:val="none"/>
        </w:rPr>
        <w:t>谈判小组与报价人进行谈判的内容，报价人除当场答复外，还应对谈判中所涉及的澄清、达成的修改或报价资料等在规定的时间内以书面形式提交至谈判小组。否则以上资料视为无效报价。</w:t>
      </w:r>
    </w:p>
    <w:p w14:paraId="2F0997A1">
      <w:pPr>
        <w:spacing w:line="360" w:lineRule="auto"/>
        <w:rPr>
          <w:rFonts w:ascii="宋体" w:hAnsi="宋体" w:cs="宋体"/>
          <w:sz w:val="24"/>
          <w:szCs w:val="24"/>
          <w:highlight w:val="none"/>
        </w:rPr>
      </w:pPr>
      <w:r>
        <w:rPr>
          <w:rFonts w:hint="eastAsia" w:ascii="宋体" w:hAnsi="宋体" w:cs="宋体"/>
          <w:sz w:val="24"/>
          <w:szCs w:val="24"/>
          <w:highlight w:val="none"/>
        </w:rPr>
        <w:t>谈判的结果以书面为准，应答文件必须由报价人的法定代表人或其委托代理人签字（或盖章）或盖公章，经报价人和谈判小组确认后，替代响应文件中相应的内容，并构成谈判文件的一部分和选择成交的依据。如成交，则作为合同的组成部分。</w:t>
      </w:r>
    </w:p>
    <w:p w14:paraId="505637C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2.5谈判结束后，评审小组应当要求所有实质性响应的供应商在规定时间内提交最后报价，提交最后报价的供应商不得少于3家。</w:t>
      </w:r>
    </w:p>
    <w:p w14:paraId="6D7968A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 </w:t>
      </w:r>
      <w:r>
        <w:rPr>
          <w:rFonts w:hint="eastAsia" w:ascii="宋体" w:hAnsi="宋体" w:cs="宋体"/>
          <w:b/>
          <w:bCs/>
          <w:color w:val="000000"/>
          <w:kern w:val="0"/>
          <w:sz w:val="24"/>
          <w:szCs w:val="24"/>
          <w:highlight w:val="none"/>
        </w:rPr>
        <w:t xml:space="preserve"> </w:t>
      </w:r>
      <w:r>
        <w:rPr>
          <w:rFonts w:hint="eastAsia" w:ascii="宋体" w:hAnsi="宋体"/>
          <w:b/>
          <w:bCs/>
          <w:color w:val="000000" w:themeColor="text1"/>
          <w:sz w:val="24"/>
          <w:szCs w:val="24"/>
          <w:highlight w:val="none"/>
          <w14:textFill>
            <w14:solidFill>
              <w14:schemeClr w14:val="tx1"/>
            </w14:solidFill>
          </w14:textFill>
        </w:rPr>
        <w:t>谈判小组认为报价人的报价明显低于其他通过符合性审查报价人的报价，有可能影响产品质量或者不能诚信履约的，应当要求其在谈判会现场合理的时间内提供书面说明，必要时提交相关证明材料；报价人不能证明其报价合理性的，谈判小组应当将其作为无效报价处理。</w:t>
      </w:r>
    </w:p>
    <w:p w14:paraId="5DED0197">
      <w:pPr>
        <w:spacing w:line="360" w:lineRule="auto"/>
        <w:rPr>
          <w:rFonts w:ascii="宋体" w:hAnsi="宋体" w:cs="宋体"/>
          <w:sz w:val="24"/>
          <w:szCs w:val="24"/>
          <w:highlight w:val="none"/>
        </w:rPr>
      </w:pPr>
      <w:r>
        <w:rPr>
          <w:rFonts w:hint="eastAsia" w:ascii="宋体" w:hAnsi="宋体" w:cs="宋体"/>
          <w:sz w:val="24"/>
          <w:szCs w:val="24"/>
          <w:highlight w:val="none"/>
        </w:rPr>
        <w:t>4．综合评分法</w:t>
      </w:r>
    </w:p>
    <w:p w14:paraId="6862DD63">
      <w:pPr>
        <w:spacing w:line="360" w:lineRule="auto"/>
        <w:rPr>
          <w:rFonts w:ascii="宋体" w:hAnsi="宋体" w:cs="宋体"/>
          <w:sz w:val="24"/>
          <w:szCs w:val="24"/>
          <w:highlight w:val="none"/>
        </w:rPr>
      </w:pPr>
      <w:r>
        <w:rPr>
          <w:rFonts w:hint="eastAsia" w:ascii="宋体" w:hAnsi="宋体" w:cs="宋体"/>
          <w:sz w:val="24"/>
          <w:szCs w:val="24"/>
          <w:highlight w:val="none"/>
        </w:rPr>
        <w:t>4.1 本项目的评审采用综合评分法，总分100分，其中技术商务标权数7</w:t>
      </w:r>
      <w:r>
        <w:rPr>
          <w:rFonts w:ascii="宋体" w:hAnsi="宋体" w:cs="宋体"/>
          <w:sz w:val="24"/>
          <w:szCs w:val="24"/>
          <w:highlight w:val="none"/>
        </w:rPr>
        <w:t>0</w:t>
      </w:r>
      <w:r>
        <w:rPr>
          <w:rFonts w:hint="eastAsia" w:ascii="宋体" w:hAnsi="宋体" w:cs="宋体"/>
          <w:sz w:val="24"/>
          <w:szCs w:val="24"/>
          <w:highlight w:val="none"/>
        </w:rPr>
        <w:t>％，价格标权数为3</w:t>
      </w:r>
      <w:r>
        <w:rPr>
          <w:rFonts w:ascii="宋体" w:hAnsi="宋体" w:cs="宋体"/>
          <w:sz w:val="24"/>
          <w:szCs w:val="24"/>
          <w:highlight w:val="none"/>
        </w:rPr>
        <w:t>0</w:t>
      </w:r>
      <w:r>
        <w:rPr>
          <w:rFonts w:hint="eastAsia" w:ascii="宋体" w:hAnsi="宋体" w:cs="宋体"/>
          <w:sz w:val="24"/>
          <w:szCs w:val="24"/>
          <w:highlight w:val="none"/>
        </w:rPr>
        <w:t>％。</w:t>
      </w:r>
    </w:p>
    <w:p w14:paraId="7BF2A49C">
      <w:pPr>
        <w:spacing w:line="360" w:lineRule="auto"/>
        <w:rPr>
          <w:rFonts w:ascii="宋体" w:hAnsi="宋体" w:cs="宋体"/>
          <w:sz w:val="24"/>
          <w:highlight w:val="none"/>
        </w:rPr>
      </w:pPr>
      <w:r>
        <w:rPr>
          <w:rFonts w:hint="eastAsia" w:ascii="宋体" w:hAnsi="宋体" w:cs="宋体"/>
          <w:kern w:val="0"/>
          <w:sz w:val="24"/>
          <w:highlight w:val="none"/>
        </w:rPr>
        <w:t>4.2</w:t>
      </w:r>
      <w:r>
        <w:rPr>
          <w:rFonts w:ascii="宋体" w:hAnsi="宋体" w:cs="宋体"/>
          <w:kern w:val="0"/>
          <w:sz w:val="24"/>
          <w:highlight w:val="none"/>
        </w:rPr>
        <w:t>采用综合评分法的，</w:t>
      </w:r>
      <w:r>
        <w:rPr>
          <w:rFonts w:hint="eastAsia" w:ascii="宋体" w:hAnsi="宋体" w:cs="宋体"/>
          <w:kern w:val="0"/>
          <w:sz w:val="24"/>
          <w:highlight w:val="none"/>
        </w:rPr>
        <w:t>评审</w:t>
      </w:r>
      <w:r>
        <w:rPr>
          <w:rFonts w:ascii="宋体" w:hAnsi="宋体" w:cs="宋体"/>
          <w:kern w:val="0"/>
          <w:sz w:val="24"/>
          <w:highlight w:val="none"/>
        </w:rPr>
        <w:t>结果按评审后得分由高到低顺序排列。得分相同的，按报价由低到高顺序排列</w:t>
      </w:r>
      <w:r>
        <w:rPr>
          <w:rFonts w:hint="eastAsia" w:ascii="宋体" w:hAnsi="宋体" w:cs="宋体"/>
          <w:kern w:val="0"/>
          <w:sz w:val="24"/>
          <w:highlight w:val="none"/>
        </w:rPr>
        <w:t>；</w:t>
      </w:r>
      <w:r>
        <w:rPr>
          <w:rFonts w:ascii="宋体" w:hAnsi="宋体" w:cs="宋体"/>
          <w:kern w:val="0"/>
          <w:sz w:val="24"/>
          <w:highlight w:val="none"/>
        </w:rPr>
        <w:t>得分且报价相同的并列。</w:t>
      </w:r>
      <w:r>
        <w:rPr>
          <w:rFonts w:hint="eastAsia" w:ascii="宋体" w:hAnsi="宋体" w:cs="宋体"/>
          <w:kern w:val="0"/>
          <w:sz w:val="24"/>
          <w:highlight w:val="none"/>
        </w:rPr>
        <w:t>响应</w:t>
      </w:r>
      <w:r>
        <w:rPr>
          <w:rFonts w:ascii="宋体" w:hAnsi="宋体" w:cs="宋体"/>
          <w:kern w:val="0"/>
          <w:sz w:val="24"/>
          <w:highlight w:val="none"/>
        </w:rPr>
        <w:t>文件满足</w:t>
      </w:r>
      <w:r>
        <w:rPr>
          <w:rFonts w:hint="eastAsia" w:ascii="宋体" w:hAnsi="宋体" w:cs="宋体"/>
          <w:kern w:val="0"/>
          <w:sz w:val="24"/>
          <w:highlight w:val="none"/>
        </w:rPr>
        <w:t>谈判</w:t>
      </w:r>
      <w:r>
        <w:rPr>
          <w:rFonts w:ascii="宋体" w:hAnsi="宋体" w:cs="宋体"/>
          <w:kern w:val="0"/>
          <w:sz w:val="24"/>
          <w:highlight w:val="none"/>
        </w:rPr>
        <w:t>文件全部实质性要求，且按照评审因素的量化指标评审得分最高的排名第一的</w:t>
      </w:r>
      <w:r>
        <w:rPr>
          <w:rFonts w:hint="eastAsia" w:ascii="宋体" w:hAnsi="宋体" w:cs="宋体"/>
          <w:kern w:val="0"/>
          <w:sz w:val="24"/>
          <w:highlight w:val="none"/>
        </w:rPr>
        <w:t>成交</w:t>
      </w:r>
      <w:r>
        <w:rPr>
          <w:rFonts w:ascii="宋体" w:hAnsi="宋体" w:cs="宋体"/>
          <w:kern w:val="0"/>
          <w:sz w:val="24"/>
          <w:highlight w:val="none"/>
        </w:rPr>
        <w:t>候选人</w:t>
      </w:r>
      <w:r>
        <w:rPr>
          <w:rFonts w:hint="eastAsia" w:ascii="宋体" w:hAnsi="宋体" w:cs="宋体"/>
          <w:kern w:val="0"/>
          <w:sz w:val="24"/>
          <w:highlight w:val="none"/>
        </w:rPr>
        <w:t>为成交人</w:t>
      </w:r>
      <w:r>
        <w:rPr>
          <w:rFonts w:ascii="宋体" w:hAnsi="宋体" w:cs="宋体"/>
          <w:kern w:val="0"/>
          <w:sz w:val="24"/>
          <w:highlight w:val="none"/>
        </w:rPr>
        <w:t>。</w:t>
      </w:r>
      <w:r>
        <w:rPr>
          <w:rFonts w:ascii="宋体" w:hAnsi="宋体"/>
          <w:sz w:val="24"/>
          <w:highlight w:val="none"/>
        </w:rPr>
        <w:t>若出现排名第一的</w:t>
      </w:r>
      <w:r>
        <w:rPr>
          <w:rFonts w:hint="eastAsia" w:ascii="宋体" w:hAnsi="宋体" w:cs="宋体"/>
          <w:kern w:val="0"/>
          <w:sz w:val="24"/>
          <w:highlight w:val="none"/>
        </w:rPr>
        <w:t>成交</w:t>
      </w:r>
      <w:r>
        <w:rPr>
          <w:rFonts w:ascii="宋体" w:hAnsi="宋体"/>
          <w:sz w:val="24"/>
          <w:highlight w:val="none"/>
        </w:rPr>
        <w:t>候选人放弃</w:t>
      </w:r>
      <w:r>
        <w:rPr>
          <w:rFonts w:hint="eastAsia" w:ascii="宋体" w:hAnsi="宋体" w:cs="宋体"/>
          <w:kern w:val="0"/>
          <w:sz w:val="24"/>
          <w:highlight w:val="none"/>
        </w:rPr>
        <w:t>成交</w:t>
      </w:r>
      <w:r>
        <w:rPr>
          <w:rFonts w:ascii="宋体" w:hAnsi="宋体"/>
          <w:sz w:val="24"/>
          <w:highlight w:val="none"/>
        </w:rPr>
        <w:t>或不能按</w:t>
      </w:r>
      <w:r>
        <w:rPr>
          <w:rFonts w:hint="eastAsia" w:ascii="宋体" w:hAnsi="宋体" w:cs="宋体"/>
          <w:kern w:val="0"/>
          <w:sz w:val="24"/>
          <w:highlight w:val="none"/>
        </w:rPr>
        <w:t>谈判</w:t>
      </w:r>
      <w:r>
        <w:rPr>
          <w:rFonts w:ascii="宋体" w:hAnsi="宋体"/>
          <w:sz w:val="24"/>
          <w:highlight w:val="none"/>
        </w:rPr>
        <w:t>文件规定签订合同等原因取消</w:t>
      </w:r>
      <w:r>
        <w:rPr>
          <w:rFonts w:hint="eastAsia" w:ascii="宋体" w:hAnsi="宋体" w:cs="宋体"/>
          <w:kern w:val="0"/>
          <w:sz w:val="24"/>
          <w:highlight w:val="none"/>
        </w:rPr>
        <w:t>成交</w:t>
      </w:r>
      <w:r>
        <w:rPr>
          <w:rFonts w:ascii="宋体" w:hAnsi="宋体"/>
          <w:sz w:val="24"/>
          <w:highlight w:val="none"/>
        </w:rPr>
        <w:t>资格，则按排名顺序依次确定</w:t>
      </w:r>
      <w:r>
        <w:rPr>
          <w:rFonts w:hint="eastAsia" w:ascii="宋体" w:hAnsi="宋体"/>
          <w:sz w:val="24"/>
          <w:highlight w:val="none"/>
        </w:rPr>
        <w:t>其后</w:t>
      </w:r>
      <w:r>
        <w:rPr>
          <w:rFonts w:hint="eastAsia" w:ascii="宋体" w:hAnsi="宋体" w:cs="宋体"/>
          <w:kern w:val="0"/>
          <w:sz w:val="24"/>
          <w:highlight w:val="none"/>
        </w:rPr>
        <w:t>成交</w:t>
      </w:r>
      <w:r>
        <w:rPr>
          <w:rFonts w:ascii="宋体" w:hAnsi="宋体"/>
          <w:sz w:val="24"/>
          <w:highlight w:val="none"/>
        </w:rPr>
        <w:t>候选人为</w:t>
      </w:r>
      <w:r>
        <w:rPr>
          <w:rFonts w:hint="eastAsia" w:ascii="宋体" w:hAnsi="宋体" w:cs="宋体"/>
          <w:kern w:val="0"/>
          <w:sz w:val="24"/>
          <w:highlight w:val="none"/>
        </w:rPr>
        <w:t>成交</w:t>
      </w:r>
      <w:r>
        <w:rPr>
          <w:rFonts w:ascii="宋体" w:hAnsi="宋体"/>
          <w:sz w:val="24"/>
          <w:highlight w:val="none"/>
        </w:rPr>
        <w:t>人或重新</w:t>
      </w:r>
      <w:r>
        <w:rPr>
          <w:rFonts w:hint="eastAsia" w:ascii="宋体" w:hAnsi="宋体"/>
          <w:sz w:val="24"/>
          <w:highlight w:val="none"/>
        </w:rPr>
        <w:t>采购</w:t>
      </w:r>
      <w:r>
        <w:rPr>
          <w:rFonts w:hint="eastAsia" w:ascii="宋体" w:hAnsi="宋体" w:cs="宋体"/>
          <w:sz w:val="24"/>
          <w:highlight w:val="none"/>
        </w:rPr>
        <w:t>。</w:t>
      </w:r>
    </w:p>
    <w:p w14:paraId="26A1EE22">
      <w:pPr>
        <w:spacing w:line="360" w:lineRule="auto"/>
        <w:rPr>
          <w:rFonts w:ascii="宋体" w:hAnsi="宋体"/>
          <w:sz w:val="24"/>
          <w:highlight w:val="none"/>
        </w:rPr>
      </w:pPr>
      <w:r>
        <w:rPr>
          <w:rFonts w:hint="eastAsia" w:ascii="宋体" w:hAnsi="宋体" w:cs="宋体"/>
          <w:sz w:val="24"/>
          <w:highlight w:val="none"/>
        </w:rPr>
        <w:t>具体评分细则如下：</w:t>
      </w:r>
    </w:p>
    <w:p w14:paraId="2D3952C3">
      <w:pPr>
        <w:spacing w:line="360" w:lineRule="auto"/>
        <w:rPr>
          <w:rFonts w:ascii="宋体" w:hAnsi="宋体" w:cs="宋体"/>
          <w:sz w:val="24"/>
          <w:highlight w:val="none"/>
          <w:u w:val="single"/>
        </w:rPr>
      </w:pPr>
    </w:p>
    <w:p w14:paraId="0B28D677">
      <w:pPr>
        <w:pStyle w:val="3"/>
        <w:numPr>
          <w:ilvl w:val="0"/>
          <w:numId w:val="0"/>
        </w:numPr>
        <w:spacing w:before="0" w:after="0"/>
        <w:jc w:val="center"/>
        <w:rPr>
          <w:rFonts w:hAnsi="宋体" w:eastAsia="宋体" w:cs="宋体"/>
          <w:color w:val="auto"/>
          <w:highlight w:val="none"/>
          <w:u w:val="single"/>
        </w:rPr>
      </w:pPr>
      <w:r>
        <w:rPr>
          <w:rFonts w:hint="eastAsia" w:hAnsi="宋体" w:eastAsia="宋体" w:cs="宋体"/>
          <w:color w:val="auto"/>
          <w:highlight w:val="none"/>
          <w:u w:val="single"/>
        </w:rPr>
        <w:t>评分细则</w:t>
      </w:r>
    </w:p>
    <w:p w14:paraId="38B83B9E">
      <w:pPr>
        <w:spacing w:line="360" w:lineRule="auto"/>
        <w:jc w:val="center"/>
        <w:rPr>
          <w:rFonts w:ascii="宋体" w:hAnsi="宋体" w:cs="宋体"/>
          <w:b/>
          <w:sz w:val="24"/>
          <w:highlight w:val="none"/>
        </w:rPr>
      </w:pPr>
      <w:r>
        <w:rPr>
          <w:rFonts w:hint="eastAsia" w:ascii="宋体" w:hAnsi="宋体" w:cs="宋体"/>
          <w:b/>
          <w:sz w:val="24"/>
          <w:highlight w:val="none"/>
        </w:rPr>
        <w:t>一、价格标评分</w:t>
      </w:r>
      <w:r>
        <w:rPr>
          <w:rFonts w:hint="eastAsia" w:ascii="宋体" w:hAnsi="宋体" w:cs="宋体"/>
          <w:b/>
          <w:bCs/>
          <w:sz w:val="24"/>
          <w:highlight w:val="none"/>
        </w:rPr>
        <w:t>（分值3</w:t>
      </w:r>
      <w:r>
        <w:rPr>
          <w:rFonts w:ascii="宋体" w:hAnsi="宋体" w:cs="宋体"/>
          <w:b/>
          <w:bCs/>
          <w:sz w:val="24"/>
          <w:highlight w:val="none"/>
        </w:rPr>
        <w:t>0</w:t>
      </w:r>
      <w:r>
        <w:rPr>
          <w:rFonts w:hint="eastAsia" w:ascii="宋体" w:hAnsi="宋体" w:cs="宋体"/>
          <w:b/>
          <w:bCs/>
          <w:sz w:val="24"/>
          <w:highlight w:val="none"/>
        </w:rPr>
        <w:t>分）</w:t>
      </w:r>
      <w:r>
        <w:rPr>
          <w:rFonts w:hint="eastAsia" w:ascii="宋体" w:hAnsi="宋体" w:cs="宋体"/>
          <w:b/>
          <w:sz w:val="24"/>
          <w:highlight w:val="none"/>
        </w:rPr>
        <w:t>（小数点保留两位）</w:t>
      </w:r>
    </w:p>
    <w:tbl>
      <w:tblPr>
        <w:tblStyle w:val="88"/>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53"/>
        <w:gridCol w:w="850"/>
        <w:gridCol w:w="4674"/>
      </w:tblGrid>
      <w:tr w14:paraId="5CC9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7" w:type="dxa"/>
            <w:vAlign w:val="center"/>
          </w:tcPr>
          <w:p w14:paraId="0ED3F292">
            <w:pPr>
              <w:widowControl/>
              <w:spacing w:line="24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序号</w:t>
            </w:r>
          </w:p>
        </w:tc>
        <w:tc>
          <w:tcPr>
            <w:tcW w:w="2653" w:type="dxa"/>
            <w:vAlign w:val="center"/>
          </w:tcPr>
          <w:p w14:paraId="740D7A2B">
            <w:pPr>
              <w:widowControl/>
              <w:spacing w:line="24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评审因素</w:t>
            </w:r>
          </w:p>
        </w:tc>
        <w:tc>
          <w:tcPr>
            <w:tcW w:w="850" w:type="dxa"/>
            <w:vAlign w:val="center"/>
          </w:tcPr>
          <w:p w14:paraId="4414A720">
            <w:pPr>
              <w:widowControl/>
              <w:spacing w:line="24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分值</w:t>
            </w:r>
          </w:p>
        </w:tc>
        <w:tc>
          <w:tcPr>
            <w:tcW w:w="4674" w:type="dxa"/>
            <w:vAlign w:val="center"/>
          </w:tcPr>
          <w:p w14:paraId="675C58DB">
            <w:pPr>
              <w:widowControl/>
              <w:spacing w:line="240" w:lineRule="exact"/>
              <w:jc w:val="center"/>
              <w:rPr>
                <w:rFonts w:ascii="宋体" w:hAnsi="宋体" w:cs="宋体"/>
                <w:b/>
                <w:kern w:val="0"/>
                <w:sz w:val="24"/>
                <w:szCs w:val="24"/>
                <w:highlight w:val="none"/>
              </w:rPr>
            </w:pPr>
            <w:r>
              <w:rPr>
                <w:rFonts w:hint="eastAsia" w:ascii="宋体" w:hAnsi="宋体" w:cs="宋体"/>
                <w:b/>
                <w:kern w:val="0"/>
                <w:sz w:val="24"/>
                <w:szCs w:val="24"/>
                <w:highlight w:val="none"/>
              </w:rPr>
              <w:t>评分说明</w:t>
            </w:r>
          </w:p>
        </w:tc>
      </w:tr>
      <w:tr w14:paraId="3A91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07" w:type="dxa"/>
            <w:vAlign w:val="center"/>
          </w:tcPr>
          <w:p w14:paraId="3F4EE910">
            <w:pPr>
              <w:jc w:val="center"/>
              <w:rPr>
                <w:rFonts w:ascii="宋体" w:hAnsi="宋体" w:cs="宋体"/>
                <w:b/>
                <w:sz w:val="24"/>
                <w:highlight w:val="none"/>
              </w:rPr>
            </w:pPr>
            <w:r>
              <w:rPr>
                <w:rFonts w:hint="eastAsia" w:ascii="宋体" w:hAnsi="宋体" w:cs="宋体"/>
                <w:b/>
                <w:sz w:val="24"/>
                <w:highlight w:val="none"/>
              </w:rPr>
              <w:t>1</w:t>
            </w:r>
          </w:p>
        </w:tc>
        <w:tc>
          <w:tcPr>
            <w:tcW w:w="2653" w:type="dxa"/>
            <w:vAlign w:val="center"/>
          </w:tcPr>
          <w:p w14:paraId="514FDCA2">
            <w:pPr>
              <w:jc w:val="center"/>
              <w:rPr>
                <w:rFonts w:ascii="宋体" w:hAnsi="宋体" w:cs="宋体"/>
                <w:b/>
                <w:sz w:val="24"/>
                <w:highlight w:val="none"/>
              </w:rPr>
            </w:pPr>
            <w:r>
              <w:rPr>
                <w:rFonts w:hint="eastAsia" w:ascii="宋体" w:hAnsi="宋体" w:cs="宋体"/>
                <w:b/>
                <w:sz w:val="24"/>
                <w:highlight w:val="none"/>
              </w:rPr>
              <w:t>报价</w:t>
            </w:r>
          </w:p>
        </w:tc>
        <w:tc>
          <w:tcPr>
            <w:tcW w:w="850" w:type="dxa"/>
            <w:vAlign w:val="center"/>
          </w:tcPr>
          <w:p w14:paraId="7FD01A2D">
            <w:pPr>
              <w:jc w:val="center"/>
              <w:rPr>
                <w:rFonts w:ascii="宋体" w:hAnsi="宋体" w:cs="宋体"/>
                <w:b/>
                <w:sz w:val="24"/>
                <w:highlight w:val="none"/>
              </w:rPr>
            </w:pPr>
            <w:r>
              <w:rPr>
                <w:rFonts w:hint="eastAsia" w:ascii="宋体" w:hAnsi="宋体" w:cs="宋体"/>
                <w:b/>
                <w:sz w:val="24"/>
                <w:highlight w:val="none"/>
              </w:rPr>
              <w:t>3</w:t>
            </w:r>
            <w:r>
              <w:rPr>
                <w:rFonts w:ascii="宋体" w:hAnsi="宋体" w:cs="宋体"/>
                <w:b/>
                <w:sz w:val="24"/>
                <w:highlight w:val="none"/>
              </w:rPr>
              <w:t>0</w:t>
            </w:r>
            <w:r>
              <w:rPr>
                <w:rFonts w:hint="eastAsia" w:ascii="宋体" w:hAnsi="宋体" w:cs="宋体"/>
                <w:b/>
                <w:sz w:val="24"/>
                <w:highlight w:val="none"/>
              </w:rPr>
              <w:t>分</w:t>
            </w:r>
          </w:p>
        </w:tc>
        <w:tc>
          <w:tcPr>
            <w:tcW w:w="4674" w:type="dxa"/>
            <w:vAlign w:val="center"/>
          </w:tcPr>
          <w:p w14:paraId="6D891CB1">
            <w:pPr>
              <w:spacing w:line="280" w:lineRule="exact"/>
              <w:rPr>
                <w:rFonts w:ascii="宋体" w:hAnsi="宋体" w:cs="宋体"/>
                <w:sz w:val="24"/>
                <w:szCs w:val="24"/>
                <w:highlight w:val="none"/>
              </w:rPr>
            </w:pPr>
            <w:r>
              <w:rPr>
                <w:rFonts w:hint="eastAsia" w:ascii="宋体" w:hAnsi="宋体" w:cs="宋体"/>
                <w:sz w:val="24"/>
                <w:szCs w:val="24"/>
                <w:highlight w:val="none"/>
              </w:rPr>
              <w:t>1、满足谈判文件要求且最后报价最低的报价为基准价，其价格分为满分。</w:t>
            </w:r>
          </w:p>
          <w:p w14:paraId="401EA551">
            <w:pPr>
              <w:spacing w:line="280" w:lineRule="exact"/>
              <w:rPr>
                <w:rFonts w:ascii="宋体" w:hAnsi="宋体" w:cs="宋体"/>
                <w:sz w:val="24"/>
                <w:szCs w:val="24"/>
                <w:highlight w:val="none"/>
              </w:rPr>
            </w:pPr>
            <w:r>
              <w:rPr>
                <w:rFonts w:hint="eastAsia" w:ascii="宋体" w:hAnsi="宋体" w:cs="宋体"/>
                <w:sz w:val="24"/>
                <w:szCs w:val="24"/>
                <w:highlight w:val="none"/>
              </w:rPr>
              <w:t>2、其他报价人的报价得分计算公式如下：</w:t>
            </w:r>
          </w:p>
          <w:p w14:paraId="72B8E75E">
            <w:pPr>
              <w:spacing w:line="280" w:lineRule="exact"/>
              <w:rPr>
                <w:rFonts w:ascii="宋体" w:hAnsi="宋体" w:cs="宋体"/>
                <w:spacing w:val="-8"/>
                <w:szCs w:val="21"/>
                <w:highlight w:val="none"/>
              </w:rPr>
            </w:pPr>
            <w:r>
              <w:rPr>
                <w:rFonts w:hint="eastAsia" w:ascii="宋体" w:hAnsi="宋体" w:cs="宋体"/>
                <w:sz w:val="24"/>
                <w:szCs w:val="24"/>
                <w:highlight w:val="none"/>
              </w:rPr>
              <w:t>报价得分=(基准价／最后报价)×价格权值×100；</w:t>
            </w:r>
          </w:p>
        </w:tc>
      </w:tr>
    </w:tbl>
    <w:p w14:paraId="685DC679">
      <w:pPr>
        <w:jc w:val="center"/>
        <w:rPr>
          <w:rFonts w:ascii="宋体" w:hAnsi="宋体" w:cs="宋体"/>
          <w:b/>
          <w:bCs/>
          <w:sz w:val="24"/>
          <w:highlight w:val="none"/>
        </w:rPr>
      </w:pPr>
    </w:p>
    <w:p w14:paraId="7093F003">
      <w:pPr>
        <w:jc w:val="center"/>
        <w:rPr>
          <w:rFonts w:ascii="宋体" w:hAnsi="宋体" w:cs="宋体"/>
          <w:b/>
          <w:bCs/>
          <w:sz w:val="24"/>
          <w:highlight w:val="none"/>
        </w:rPr>
      </w:pPr>
      <w:r>
        <w:rPr>
          <w:rFonts w:hint="eastAsia" w:ascii="宋体" w:hAnsi="宋体" w:cs="宋体"/>
          <w:b/>
          <w:bCs/>
          <w:sz w:val="24"/>
          <w:highlight w:val="none"/>
        </w:rPr>
        <w:t>二、技术商务标评分（分值7</w:t>
      </w:r>
      <w:r>
        <w:rPr>
          <w:rFonts w:ascii="宋体" w:hAnsi="宋体" w:cs="宋体"/>
          <w:b/>
          <w:bCs/>
          <w:sz w:val="24"/>
          <w:highlight w:val="none"/>
        </w:rPr>
        <w:t>0</w:t>
      </w:r>
      <w:r>
        <w:rPr>
          <w:rFonts w:hint="eastAsia" w:ascii="宋体" w:hAnsi="宋体" w:cs="宋体"/>
          <w:b/>
          <w:bCs/>
          <w:sz w:val="24"/>
          <w:highlight w:val="none"/>
        </w:rPr>
        <w:t xml:space="preserve">分） </w:t>
      </w:r>
    </w:p>
    <w:p w14:paraId="766B9E0B">
      <w:pPr>
        <w:jc w:val="center"/>
        <w:rPr>
          <w:rFonts w:ascii="宋体" w:hAnsi="宋体" w:cs="宋体"/>
          <w:b/>
          <w:bCs/>
          <w:sz w:val="24"/>
          <w:highlight w:val="none"/>
        </w:rPr>
      </w:pP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09"/>
        <w:gridCol w:w="785"/>
        <w:gridCol w:w="5933"/>
      </w:tblGrid>
      <w:tr w14:paraId="7254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94" w:type="dxa"/>
            <w:vAlign w:val="center"/>
          </w:tcPr>
          <w:p w14:paraId="199B0F0C">
            <w:pPr>
              <w:widowControl/>
              <w:spacing w:line="276"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序号</w:t>
            </w:r>
          </w:p>
        </w:tc>
        <w:tc>
          <w:tcPr>
            <w:tcW w:w="1691" w:type="dxa"/>
            <w:vAlign w:val="center"/>
          </w:tcPr>
          <w:p w14:paraId="6C9D0D5B">
            <w:pPr>
              <w:widowControl/>
              <w:spacing w:line="276"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评审分项</w:t>
            </w:r>
          </w:p>
        </w:tc>
        <w:tc>
          <w:tcPr>
            <w:tcW w:w="774" w:type="dxa"/>
            <w:vAlign w:val="center"/>
          </w:tcPr>
          <w:p w14:paraId="60165FA2">
            <w:pPr>
              <w:widowControl/>
              <w:spacing w:line="276"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评审</w:t>
            </w:r>
          </w:p>
          <w:p w14:paraId="555FA231">
            <w:pPr>
              <w:widowControl/>
              <w:spacing w:line="276"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分值</w:t>
            </w:r>
          </w:p>
        </w:tc>
        <w:tc>
          <w:tcPr>
            <w:tcW w:w="5882" w:type="dxa"/>
            <w:vAlign w:val="center"/>
          </w:tcPr>
          <w:p w14:paraId="50DE118F">
            <w:pPr>
              <w:widowControl/>
              <w:spacing w:line="276"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评分说明</w:t>
            </w:r>
          </w:p>
        </w:tc>
      </w:tr>
      <w:tr w14:paraId="0AFB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4" w:type="dxa"/>
            <w:vAlign w:val="center"/>
          </w:tcPr>
          <w:p w14:paraId="2DDA7201">
            <w:pPr>
              <w:widowControl/>
              <w:spacing w:line="276" w:lineRule="auto"/>
              <w:jc w:val="center"/>
              <w:rPr>
                <w:rFonts w:ascii="宋体" w:hAnsi="宋体" w:cs="宋体"/>
                <w:b/>
                <w:kern w:val="0"/>
                <w:sz w:val="24"/>
                <w:szCs w:val="24"/>
                <w:highlight w:val="none"/>
              </w:rPr>
            </w:pPr>
            <w:r>
              <w:rPr>
                <w:rFonts w:hint="eastAsia" w:ascii="宋体" w:hAnsi="宋体" w:cs="宋体"/>
                <w:kern w:val="0"/>
                <w:sz w:val="24"/>
                <w:szCs w:val="24"/>
                <w:highlight w:val="none"/>
              </w:rPr>
              <w:t>1</w:t>
            </w:r>
          </w:p>
        </w:tc>
        <w:tc>
          <w:tcPr>
            <w:tcW w:w="1691" w:type="dxa"/>
            <w:vAlign w:val="center"/>
          </w:tcPr>
          <w:p w14:paraId="305455D3">
            <w:pPr>
              <w:adjustRightInd w:val="0"/>
              <w:snapToGrid w:val="0"/>
              <w:spacing w:line="276" w:lineRule="auto"/>
              <w:ind w:right="-87"/>
              <w:jc w:val="center"/>
              <w:rPr>
                <w:rFonts w:ascii="宋体" w:hAnsi="宋体"/>
                <w:sz w:val="24"/>
                <w:szCs w:val="24"/>
                <w:highlight w:val="none"/>
              </w:rPr>
            </w:pPr>
            <w:r>
              <w:rPr>
                <w:rFonts w:hint="eastAsia" w:ascii="宋体" w:hAnsi="宋体"/>
                <w:sz w:val="24"/>
                <w:szCs w:val="24"/>
                <w:highlight w:val="none"/>
              </w:rPr>
              <w:t>主要施工组织方案和施工措施</w:t>
            </w:r>
          </w:p>
        </w:tc>
        <w:tc>
          <w:tcPr>
            <w:tcW w:w="774" w:type="dxa"/>
            <w:vAlign w:val="center"/>
          </w:tcPr>
          <w:p w14:paraId="2E6D41BE">
            <w:pPr>
              <w:adjustRightInd w:val="0"/>
              <w:snapToGrid w:val="0"/>
              <w:spacing w:line="276" w:lineRule="auto"/>
              <w:ind w:right="-87"/>
              <w:jc w:val="center"/>
              <w:rPr>
                <w:rFonts w:ascii="宋体" w:hAnsi="宋体"/>
                <w:sz w:val="24"/>
                <w:szCs w:val="24"/>
                <w:highlight w:val="none"/>
              </w:rPr>
            </w:pPr>
            <w:r>
              <w:rPr>
                <w:rFonts w:hint="eastAsia" w:ascii="宋体" w:hAnsi="宋体"/>
                <w:bCs/>
                <w:sz w:val="24"/>
                <w:szCs w:val="24"/>
                <w:highlight w:val="none"/>
              </w:rPr>
              <w:t>25分</w:t>
            </w:r>
          </w:p>
        </w:tc>
        <w:tc>
          <w:tcPr>
            <w:tcW w:w="5882" w:type="dxa"/>
            <w:vAlign w:val="center"/>
          </w:tcPr>
          <w:p w14:paraId="307FD171">
            <w:pPr>
              <w:spacing w:line="276" w:lineRule="auto"/>
              <w:rPr>
                <w:rFonts w:ascii="宋体" w:hAnsi="宋体"/>
                <w:sz w:val="24"/>
                <w:szCs w:val="24"/>
                <w:highlight w:val="none"/>
              </w:rPr>
            </w:pPr>
            <w:r>
              <w:rPr>
                <w:rFonts w:hint="eastAsia" w:ascii="宋体" w:hAnsi="宋体"/>
                <w:sz w:val="24"/>
                <w:szCs w:val="24"/>
                <w:highlight w:val="none"/>
              </w:rPr>
              <w:t>对整个工程施工有一个切合实际的施工组织设计，设计文件完整，整个施工方案科学合理，先进可行，并符合施工规范要求。</w:t>
            </w:r>
          </w:p>
          <w:p w14:paraId="3292B777">
            <w:pPr>
              <w:spacing w:line="276" w:lineRule="auto"/>
              <w:rPr>
                <w:rFonts w:ascii="宋体" w:hAnsi="宋体"/>
                <w:sz w:val="24"/>
                <w:szCs w:val="24"/>
                <w:highlight w:val="none"/>
              </w:rPr>
            </w:pPr>
            <w:r>
              <w:rPr>
                <w:rFonts w:hint="eastAsia" w:ascii="宋体" w:hAnsi="宋体"/>
                <w:sz w:val="24"/>
                <w:szCs w:val="24"/>
                <w:highlight w:val="none"/>
              </w:rPr>
              <w:t>方案完整、施工组织有序、针对性强者20-25分</w:t>
            </w:r>
          </w:p>
          <w:p w14:paraId="10316099">
            <w:pPr>
              <w:spacing w:line="276" w:lineRule="auto"/>
              <w:rPr>
                <w:rFonts w:ascii="宋体" w:hAnsi="宋体"/>
                <w:sz w:val="24"/>
                <w:szCs w:val="24"/>
                <w:highlight w:val="none"/>
              </w:rPr>
            </w:pPr>
            <w:r>
              <w:rPr>
                <w:rFonts w:hint="eastAsia" w:ascii="宋体" w:hAnsi="宋体"/>
                <w:sz w:val="24"/>
                <w:szCs w:val="24"/>
                <w:highlight w:val="none"/>
              </w:rPr>
              <w:t>方案可行、施工组织尚可、有一定针对性10-20（不含）分</w:t>
            </w:r>
          </w:p>
          <w:p w14:paraId="51537D50">
            <w:pPr>
              <w:spacing w:line="276" w:lineRule="auto"/>
              <w:rPr>
                <w:rFonts w:ascii="宋体" w:hAnsi="宋体"/>
                <w:sz w:val="24"/>
                <w:szCs w:val="24"/>
                <w:highlight w:val="none"/>
              </w:rPr>
            </w:pPr>
            <w:r>
              <w:rPr>
                <w:rFonts w:hint="eastAsia" w:ascii="宋体" w:hAnsi="宋体"/>
                <w:sz w:val="24"/>
                <w:szCs w:val="24"/>
                <w:highlight w:val="none"/>
              </w:rPr>
              <w:t>方案缺项较多、施工组织粗糙0-10（不含）分</w:t>
            </w:r>
          </w:p>
        </w:tc>
      </w:tr>
      <w:tr w14:paraId="2582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4" w:type="dxa"/>
            <w:vAlign w:val="center"/>
          </w:tcPr>
          <w:p w14:paraId="621D461E">
            <w:pPr>
              <w:widowControl/>
              <w:spacing w:line="276"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691" w:type="dxa"/>
            <w:vAlign w:val="center"/>
          </w:tcPr>
          <w:p w14:paraId="1817CEC2">
            <w:pPr>
              <w:spacing w:line="276" w:lineRule="auto"/>
              <w:jc w:val="center"/>
              <w:rPr>
                <w:rFonts w:ascii="宋体" w:hAnsi="宋体"/>
                <w:sz w:val="24"/>
                <w:szCs w:val="24"/>
                <w:highlight w:val="none"/>
              </w:rPr>
            </w:pPr>
            <w:r>
              <w:rPr>
                <w:rFonts w:hint="eastAsia" w:ascii="宋体" w:hAnsi="宋体"/>
                <w:sz w:val="24"/>
                <w:szCs w:val="24"/>
                <w:highlight w:val="none"/>
              </w:rPr>
              <w:t>对本工程项目理解</w:t>
            </w:r>
          </w:p>
        </w:tc>
        <w:tc>
          <w:tcPr>
            <w:tcW w:w="774" w:type="dxa"/>
            <w:vAlign w:val="center"/>
          </w:tcPr>
          <w:p w14:paraId="6463A47E">
            <w:pPr>
              <w:spacing w:line="276" w:lineRule="auto"/>
              <w:jc w:val="center"/>
              <w:rPr>
                <w:rFonts w:ascii="宋体" w:hAnsi="宋体"/>
                <w:sz w:val="24"/>
                <w:szCs w:val="24"/>
                <w:highlight w:val="none"/>
              </w:rPr>
            </w:pPr>
            <w:r>
              <w:rPr>
                <w:rFonts w:hint="eastAsia" w:ascii="宋体" w:hAnsi="宋体"/>
                <w:sz w:val="24"/>
                <w:szCs w:val="24"/>
                <w:highlight w:val="none"/>
              </w:rPr>
              <w:t>10分</w:t>
            </w:r>
          </w:p>
        </w:tc>
        <w:tc>
          <w:tcPr>
            <w:tcW w:w="5882" w:type="dxa"/>
            <w:vAlign w:val="center"/>
          </w:tcPr>
          <w:p w14:paraId="5DAA6291">
            <w:pPr>
              <w:spacing w:line="276" w:lineRule="auto"/>
              <w:rPr>
                <w:rFonts w:ascii="宋体" w:hAnsi="宋体"/>
                <w:sz w:val="24"/>
                <w:szCs w:val="24"/>
                <w:highlight w:val="none"/>
              </w:rPr>
            </w:pPr>
            <w:r>
              <w:rPr>
                <w:rFonts w:hint="eastAsia" w:ascii="宋体" w:hAnsi="宋体"/>
                <w:sz w:val="24"/>
                <w:szCs w:val="24"/>
                <w:highlight w:val="none"/>
              </w:rPr>
              <w:t>结合本工程特点,对工程要解决的实质问题深入理解，同时降低本项目实施对所处周边环境施工影响，对周边环境影响针对性实施措施方案较好，得7-10分</w:t>
            </w:r>
          </w:p>
          <w:p w14:paraId="6C944AFC">
            <w:pPr>
              <w:spacing w:line="276" w:lineRule="auto"/>
              <w:rPr>
                <w:rFonts w:ascii="宋体" w:hAnsi="宋体"/>
                <w:sz w:val="24"/>
                <w:szCs w:val="24"/>
                <w:highlight w:val="none"/>
              </w:rPr>
            </w:pPr>
            <w:r>
              <w:rPr>
                <w:rFonts w:hint="eastAsia" w:ascii="宋体" w:hAnsi="宋体"/>
                <w:sz w:val="24"/>
                <w:szCs w:val="24"/>
                <w:highlight w:val="none"/>
              </w:rPr>
              <w:t>结合本工程特点,对工程要解决的实质问题理解较好，对周边环境影响针对性实施措施方案一般，得3-7（不含）分</w:t>
            </w:r>
          </w:p>
          <w:p w14:paraId="7585B51D">
            <w:pPr>
              <w:spacing w:line="276" w:lineRule="auto"/>
              <w:rPr>
                <w:rFonts w:ascii="宋体" w:hAnsi="宋体"/>
                <w:sz w:val="24"/>
                <w:szCs w:val="24"/>
                <w:highlight w:val="none"/>
              </w:rPr>
            </w:pPr>
            <w:r>
              <w:rPr>
                <w:rFonts w:hint="eastAsia" w:ascii="宋体" w:hAnsi="宋体"/>
                <w:sz w:val="24"/>
                <w:szCs w:val="24"/>
                <w:highlight w:val="none"/>
              </w:rPr>
              <w:t>结合本工程特点，对工程理解欠缺，无针对性实施措施方案得0-3（不含）分</w:t>
            </w:r>
          </w:p>
        </w:tc>
      </w:tr>
      <w:tr w14:paraId="0911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4" w:type="dxa"/>
            <w:vAlign w:val="center"/>
          </w:tcPr>
          <w:p w14:paraId="09D1E89E">
            <w:pPr>
              <w:widowControl/>
              <w:spacing w:line="276"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691" w:type="dxa"/>
            <w:vAlign w:val="center"/>
          </w:tcPr>
          <w:p w14:paraId="54D5A5CD">
            <w:pPr>
              <w:adjustRightInd w:val="0"/>
              <w:snapToGrid w:val="0"/>
              <w:spacing w:line="276" w:lineRule="auto"/>
              <w:ind w:right="-87"/>
              <w:jc w:val="center"/>
              <w:rPr>
                <w:rFonts w:ascii="宋体" w:hAnsi="宋体"/>
                <w:szCs w:val="21"/>
                <w:highlight w:val="none"/>
              </w:rPr>
            </w:pPr>
            <w:r>
              <w:rPr>
                <w:rFonts w:hint="eastAsia" w:ascii="宋体" w:hAnsi="宋体"/>
                <w:sz w:val="24"/>
                <w:szCs w:val="24"/>
                <w:highlight w:val="none"/>
              </w:rPr>
              <w:t>工期计划</w:t>
            </w:r>
          </w:p>
        </w:tc>
        <w:tc>
          <w:tcPr>
            <w:tcW w:w="774" w:type="dxa"/>
            <w:vAlign w:val="center"/>
          </w:tcPr>
          <w:p w14:paraId="2346905A">
            <w:pPr>
              <w:adjustRightInd w:val="0"/>
              <w:snapToGrid w:val="0"/>
              <w:spacing w:line="276" w:lineRule="auto"/>
              <w:ind w:right="-87"/>
              <w:jc w:val="center"/>
              <w:rPr>
                <w:highlight w:val="none"/>
              </w:rPr>
            </w:pPr>
            <w:r>
              <w:rPr>
                <w:rFonts w:hint="eastAsia" w:ascii="宋体" w:hAnsi="宋体"/>
                <w:sz w:val="24"/>
                <w:szCs w:val="24"/>
                <w:highlight w:val="none"/>
              </w:rPr>
              <w:t>10分</w:t>
            </w:r>
          </w:p>
        </w:tc>
        <w:tc>
          <w:tcPr>
            <w:tcW w:w="5882" w:type="dxa"/>
            <w:vAlign w:val="center"/>
          </w:tcPr>
          <w:p w14:paraId="651C8F3B">
            <w:pPr>
              <w:adjustRightInd w:val="0"/>
              <w:snapToGrid w:val="0"/>
              <w:spacing w:line="276" w:lineRule="auto"/>
              <w:ind w:right="-87"/>
              <w:rPr>
                <w:rFonts w:ascii="宋体" w:hAnsi="宋体"/>
                <w:sz w:val="24"/>
                <w:szCs w:val="24"/>
                <w:highlight w:val="none"/>
              </w:rPr>
            </w:pPr>
            <w:r>
              <w:rPr>
                <w:rFonts w:hint="eastAsia" w:ascii="宋体" w:hAnsi="宋体"/>
                <w:sz w:val="24"/>
                <w:szCs w:val="24"/>
                <w:highlight w:val="none"/>
              </w:rPr>
              <w:t>有切实可行的施工工期计划和施工作业计划。</w:t>
            </w:r>
          </w:p>
          <w:p w14:paraId="13AFAFAA">
            <w:pPr>
              <w:adjustRightInd w:val="0"/>
              <w:snapToGrid w:val="0"/>
              <w:spacing w:line="276" w:lineRule="auto"/>
              <w:ind w:right="-87"/>
              <w:rPr>
                <w:rFonts w:ascii="宋体" w:hAnsi="宋体"/>
                <w:sz w:val="24"/>
                <w:szCs w:val="24"/>
                <w:highlight w:val="none"/>
              </w:rPr>
            </w:pPr>
            <w:r>
              <w:rPr>
                <w:rFonts w:hint="eastAsia" w:ascii="宋体" w:hAnsi="宋体"/>
                <w:sz w:val="24"/>
                <w:szCs w:val="24"/>
                <w:highlight w:val="none"/>
              </w:rPr>
              <w:t>工期安排合理、作业衔接紧凑效率高7-10分</w:t>
            </w:r>
          </w:p>
          <w:p w14:paraId="5F0D1537">
            <w:pPr>
              <w:adjustRightInd w:val="0"/>
              <w:snapToGrid w:val="0"/>
              <w:spacing w:line="276" w:lineRule="auto"/>
              <w:ind w:right="-87"/>
              <w:rPr>
                <w:rFonts w:ascii="宋体" w:hAnsi="宋体"/>
                <w:sz w:val="24"/>
                <w:szCs w:val="24"/>
                <w:highlight w:val="none"/>
              </w:rPr>
            </w:pPr>
            <w:r>
              <w:rPr>
                <w:rFonts w:hint="eastAsia" w:ascii="宋体" w:hAnsi="宋体"/>
                <w:sz w:val="24"/>
                <w:szCs w:val="24"/>
                <w:highlight w:val="none"/>
              </w:rPr>
              <w:t>工期安排基本合理、作业衔接紧凑3-7（不含）分</w:t>
            </w:r>
          </w:p>
          <w:p w14:paraId="13F3BFCA">
            <w:pPr>
              <w:snapToGrid w:val="0"/>
              <w:spacing w:line="280" w:lineRule="exact"/>
              <w:ind w:right="-87"/>
              <w:rPr>
                <w:rFonts w:ascii="宋体" w:hAnsi="宋体"/>
                <w:szCs w:val="21"/>
                <w:highlight w:val="none"/>
              </w:rPr>
            </w:pPr>
            <w:r>
              <w:rPr>
                <w:rFonts w:hint="eastAsia" w:ascii="宋体" w:hAnsi="宋体"/>
                <w:sz w:val="24"/>
                <w:szCs w:val="24"/>
                <w:highlight w:val="none"/>
              </w:rPr>
              <w:t>工期拖沓编排不够合理0-3（不含）分</w:t>
            </w:r>
          </w:p>
        </w:tc>
      </w:tr>
      <w:tr w14:paraId="6A57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4" w:type="dxa"/>
            <w:vAlign w:val="center"/>
          </w:tcPr>
          <w:p w14:paraId="7DE62B96">
            <w:pPr>
              <w:widowControl/>
              <w:spacing w:line="276" w:lineRule="auto"/>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691" w:type="dxa"/>
            <w:vAlign w:val="center"/>
          </w:tcPr>
          <w:p w14:paraId="02230A90">
            <w:pPr>
              <w:adjustRightInd w:val="0"/>
              <w:snapToGrid w:val="0"/>
              <w:spacing w:line="276" w:lineRule="auto"/>
              <w:ind w:right="-87"/>
              <w:jc w:val="center"/>
              <w:rPr>
                <w:rFonts w:ascii="宋体" w:hAnsi="宋体"/>
                <w:sz w:val="24"/>
                <w:szCs w:val="24"/>
                <w:highlight w:val="none"/>
              </w:rPr>
            </w:pPr>
            <w:r>
              <w:rPr>
                <w:rFonts w:hint="eastAsia" w:ascii="宋体" w:hAnsi="宋体"/>
                <w:sz w:val="24"/>
                <w:szCs w:val="24"/>
                <w:highlight w:val="none"/>
              </w:rPr>
              <w:t>技术、安全、质量及</w:t>
            </w:r>
            <w:r>
              <w:rPr>
                <w:rFonts w:hint="eastAsia" w:ascii="宋体" w:hAnsi="宋体"/>
                <w:spacing w:val="-8"/>
                <w:sz w:val="24"/>
                <w:szCs w:val="24"/>
                <w:highlight w:val="none"/>
              </w:rPr>
              <w:t>成品保护</w:t>
            </w:r>
            <w:r>
              <w:rPr>
                <w:rFonts w:hint="eastAsia" w:ascii="宋体" w:hAnsi="宋体"/>
                <w:sz w:val="24"/>
                <w:szCs w:val="24"/>
                <w:highlight w:val="none"/>
              </w:rPr>
              <w:t>措施</w:t>
            </w:r>
          </w:p>
        </w:tc>
        <w:tc>
          <w:tcPr>
            <w:tcW w:w="774" w:type="dxa"/>
            <w:vAlign w:val="center"/>
          </w:tcPr>
          <w:p w14:paraId="1558ED8A">
            <w:pPr>
              <w:adjustRightInd w:val="0"/>
              <w:snapToGrid w:val="0"/>
              <w:spacing w:line="276" w:lineRule="auto"/>
              <w:ind w:right="-87"/>
              <w:jc w:val="center"/>
              <w:rPr>
                <w:rFonts w:ascii="宋体" w:hAnsi="宋体"/>
                <w:sz w:val="24"/>
                <w:szCs w:val="24"/>
                <w:highlight w:val="none"/>
              </w:rPr>
            </w:pPr>
            <w:r>
              <w:rPr>
                <w:rFonts w:hint="eastAsia" w:ascii="宋体" w:hAnsi="宋体"/>
                <w:sz w:val="24"/>
                <w:szCs w:val="24"/>
                <w:highlight w:val="none"/>
              </w:rPr>
              <w:t>8分</w:t>
            </w:r>
          </w:p>
        </w:tc>
        <w:tc>
          <w:tcPr>
            <w:tcW w:w="5882" w:type="dxa"/>
            <w:vAlign w:val="center"/>
          </w:tcPr>
          <w:p w14:paraId="0F9D7598">
            <w:pPr>
              <w:pStyle w:val="81"/>
              <w:tabs>
                <w:tab w:val="left" w:pos="840"/>
              </w:tabs>
              <w:spacing w:before="0" w:beforeAutospacing="0" w:after="0" w:afterAutospacing="0" w:line="276" w:lineRule="auto"/>
              <w:rPr>
                <w:color w:val="auto"/>
                <w:kern w:val="2"/>
                <w:szCs w:val="24"/>
                <w:highlight w:val="none"/>
              </w:rPr>
            </w:pPr>
            <w:r>
              <w:rPr>
                <w:rFonts w:hint="eastAsia"/>
                <w:color w:val="auto"/>
                <w:kern w:val="2"/>
                <w:szCs w:val="24"/>
                <w:highlight w:val="none"/>
              </w:rPr>
              <w:t>所采取的技术、安全、质量、成品保护有相应保证措施。</w:t>
            </w:r>
          </w:p>
          <w:p w14:paraId="26B50403">
            <w:pPr>
              <w:pStyle w:val="81"/>
              <w:tabs>
                <w:tab w:val="left" w:pos="840"/>
              </w:tabs>
              <w:spacing w:before="0" w:beforeAutospacing="0" w:after="0" w:afterAutospacing="0" w:line="276" w:lineRule="auto"/>
              <w:rPr>
                <w:color w:val="auto"/>
                <w:kern w:val="2"/>
                <w:szCs w:val="24"/>
                <w:highlight w:val="none"/>
              </w:rPr>
            </w:pPr>
            <w:r>
              <w:rPr>
                <w:rFonts w:hint="eastAsia"/>
                <w:color w:val="auto"/>
                <w:kern w:val="2"/>
                <w:szCs w:val="24"/>
                <w:highlight w:val="none"/>
              </w:rPr>
              <w:t>结合周围环境条件，提出不影响招标人及周边未施工范围正常使用针对性的措施6-8分</w:t>
            </w:r>
          </w:p>
          <w:p w14:paraId="0967BEFC">
            <w:pPr>
              <w:spacing w:line="276" w:lineRule="auto"/>
              <w:rPr>
                <w:rFonts w:ascii="宋体" w:hAnsi="宋体"/>
                <w:sz w:val="24"/>
                <w:szCs w:val="24"/>
                <w:highlight w:val="none"/>
              </w:rPr>
            </w:pPr>
            <w:r>
              <w:rPr>
                <w:rFonts w:hint="eastAsia" w:ascii="宋体" w:hAnsi="宋体"/>
                <w:sz w:val="24"/>
                <w:szCs w:val="24"/>
                <w:highlight w:val="none"/>
              </w:rPr>
              <w:t>各项措施保障有一定的可行性和针对性3-6（不含）分</w:t>
            </w:r>
          </w:p>
          <w:p w14:paraId="3625FC96">
            <w:pPr>
              <w:adjustRightInd w:val="0"/>
              <w:snapToGrid w:val="0"/>
              <w:spacing w:line="276" w:lineRule="auto"/>
              <w:ind w:right="-87"/>
              <w:rPr>
                <w:rFonts w:ascii="宋体" w:hAnsi="宋体"/>
                <w:sz w:val="24"/>
                <w:szCs w:val="24"/>
                <w:highlight w:val="none"/>
              </w:rPr>
            </w:pPr>
            <w:r>
              <w:rPr>
                <w:rFonts w:hint="eastAsia" w:ascii="宋体" w:hAnsi="宋体"/>
                <w:sz w:val="24"/>
                <w:szCs w:val="24"/>
                <w:highlight w:val="none"/>
              </w:rPr>
              <w:t>各项措施保障缺漏，内容空洞0-3（不含）分</w:t>
            </w:r>
          </w:p>
        </w:tc>
      </w:tr>
      <w:tr w14:paraId="337B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4" w:type="dxa"/>
            <w:vAlign w:val="center"/>
          </w:tcPr>
          <w:p w14:paraId="45159348">
            <w:pPr>
              <w:widowControl/>
              <w:spacing w:line="276" w:lineRule="auto"/>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691" w:type="dxa"/>
            <w:vAlign w:val="center"/>
          </w:tcPr>
          <w:p w14:paraId="67BFF7A9">
            <w:pPr>
              <w:adjustRightInd w:val="0"/>
              <w:snapToGrid w:val="0"/>
              <w:spacing w:line="276" w:lineRule="auto"/>
              <w:ind w:right="-87"/>
              <w:jc w:val="center"/>
              <w:rPr>
                <w:rFonts w:ascii="宋体" w:hAnsi="宋体"/>
                <w:sz w:val="24"/>
                <w:szCs w:val="24"/>
                <w:highlight w:val="none"/>
              </w:rPr>
            </w:pPr>
            <w:r>
              <w:rPr>
                <w:rFonts w:hint="eastAsia"/>
                <w:sz w:val="24"/>
                <w:szCs w:val="24"/>
                <w:highlight w:val="none"/>
              </w:rPr>
              <w:t>施工现场管理机构的设置和现场管理保证体系</w:t>
            </w:r>
          </w:p>
        </w:tc>
        <w:tc>
          <w:tcPr>
            <w:tcW w:w="774" w:type="dxa"/>
            <w:vAlign w:val="center"/>
          </w:tcPr>
          <w:p w14:paraId="4A8D0BAD">
            <w:pPr>
              <w:adjustRightInd w:val="0"/>
              <w:snapToGrid w:val="0"/>
              <w:spacing w:line="276" w:lineRule="auto"/>
              <w:ind w:right="-87"/>
              <w:jc w:val="center"/>
              <w:rPr>
                <w:rFonts w:ascii="宋体" w:hAnsi="宋体"/>
                <w:sz w:val="24"/>
                <w:szCs w:val="24"/>
                <w:highlight w:val="none"/>
              </w:rPr>
            </w:pPr>
            <w:r>
              <w:rPr>
                <w:rFonts w:hint="eastAsia" w:ascii="宋体" w:hAnsi="宋体"/>
                <w:sz w:val="24"/>
                <w:szCs w:val="24"/>
                <w:highlight w:val="none"/>
              </w:rPr>
              <w:t>5分</w:t>
            </w:r>
          </w:p>
        </w:tc>
        <w:tc>
          <w:tcPr>
            <w:tcW w:w="5882" w:type="dxa"/>
            <w:vAlign w:val="center"/>
          </w:tcPr>
          <w:p w14:paraId="2005BA4D">
            <w:pPr>
              <w:spacing w:line="276" w:lineRule="auto"/>
              <w:rPr>
                <w:rFonts w:ascii="宋体" w:hAnsi="宋体"/>
                <w:sz w:val="24"/>
                <w:szCs w:val="24"/>
                <w:highlight w:val="none"/>
              </w:rPr>
            </w:pPr>
            <w:r>
              <w:rPr>
                <w:rFonts w:hint="eastAsia" w:ascii="宋体" w:hAnsi="宋体"/>
                <w:sz w:val="24"/>
                <w:szCs w:val="24"/>
                <w:highlight w:val="none"/>
              </w:rPr>
              <w:t>施工现场管理机构的设置和现场管理保证体系完善齐全的得4-5分</w:t>
            </w:r>
          </w:p>
          <w:p w14:paraId="16C8D645">
            <w:pPr>
              <w:spacing w:line="276" w:lineRule="auto"/>
              <w:rPr>
                <w:rFonts w:ascii="宋体" w:hAnsi="宋体"/>
                <w:sz w:val="24"/>
                <w:szCs w:val="24"/>
                <w:highlight w:val="none"/>
              </w:rPr>
            </w:pPr>
            <w:r>
              <w:rPr>
                <w:rFonts w:hint="eastAsia" w:ascii="宋体" w:hAnsi="宋体"/>
                <w:sz w:val="24"/>
                <w:szCs w:val="24"/>
                <w:highlight w:val="none"/>
              </w:rPr>
              <w:t>施工现场管理机构的设置和现场管理保证体系能够满足要求的得2-4（不含）分</w:t>
            </w:r>
          </w:p>
          <w:p w14:paraId="31D0D4AF">
            <w:pPr>
              <w:spacing w:line="276" w:lineRule="auto"/>
              <w:rPr>
                <w:sz w:val="24"/>
                <w:szCs w:val="24"/>
                <w:highlight w:val="none"/>
              </w:rPr>
            </w:pPr>
            <w:r>
              <w:rPr>
                <w:rFonts w:hint="eastAsia" w:ascii="宋体" w:hAnsi="宋体"/>
                <w:sz w:val="24"/>
                <w:szCs w:val="24"/>
                <w:highlight w:val="none"/>
              </w:rPr>
              <w:t>施工现场管理机构的设置和现场管理保证体系不足的得0-2（不含）分</w:t>
            </w:r>
          </w:p>
        </w:tc>
      </w:tr>
      <w:tr w14:paraId="37A7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4" w:type="dxa"/>
            <w:vAlign w:val="center"/>
          </w:tcPr>
          <w:p w14:paraId="3614A34D">
            <w:pPr>
              <w:widowControl/>
              <w:spacing w:line="276" w:lineRule="auto"/>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1691" w:type="dxa"/>
            <w:vAlign w:val="center"/>
          </w:tcPr>
          <w:p w14:paraId="50C97F2A">
            <w:pPr>
              <w:adjustRightInd w:val="0"/>
              <w:snapToGrid w:val="0"/>
              <w:spacing w:line="276" w:lineRule="auto"/>
              <w:ind w:right="-87"/>
              <w:jc w:val="center"/>
              <w:rPr>
                <w:rFonts w:ascii="宋体" w:hAnsi="宋体"/>
                <w:sz w:val="24"/>
                <w:szCs w:val="24"/>
                <w:highlight w:val="none"/>
              </w:rPr>
            </w:pPr>
            <w:r>
              <w:rPr>
                <w:rFonts w:hint="eastAsia" w:ascii="宋体" w:hAnsi="宋体"/>
                <w:sz w:val="24"/>
                <w:szCs w:val="24"/>
                <w:highlight w:val="none"/>
              </w:rPr>
              <w:t>拟投入本项目的人员配置情况</w:t>
            </w:r>
          </w:p>
        </w:tc>
        <w:tc>
          <w:tcPr>
            <w:tcW w:w="774" w:type="dxa"/>
            <w:vAlign w:val="center"/>
          </w:tcPr>
          <w:p w14:paraId="5D203EF4">
            <w:pPr>
              <w:pStyle w:val="591"/>
              <w:spacing w:line="276" w:lineRule="auto"/>
              <w:rPr>
                <w:color w:val="auto"/>
                <w:sz w:val="24"/>
                <w:szCs w:val="24"/>
                <w:highlight w:val="none"/>
              </w:rPr>
            </w:pPr>
            <w:r>
              <w:rPr>
                <w:rFonts w:hint="eastAsia"/>
                <w:color w:val="auto"/>
                <w:sz w:val="24"/>
                <w:szCs w:val="24"/>
                <w:highlight w:val="none"/>
              </w:rPr>
              <w:t>6</w:t>
            </w:r>
            <w:r>
              <w:rPr>
                <w:color w:val="auto"/>
                <w:sz w:val="24"/>
                <w:szCs w:val="24"/>
                <w:highlight w:val="none"/>
              </w:rPr>
              <w:t>分</w:t>
            </w:r>
          </w:p>
        </w:tc>
        <w:tc>
          <w:tcPr>
            <w:tcW w:w="5882" w:type="dxa"/>
            <w:vAlign w:val="center"/>
          </w:tcPr>
          <w:p w14:paraId="7F073BF3">
            <w:pPr>
              <w:adjustRightInd w:val="0"/>
              <w:snapToGrid w:val="0"/>
              <w:spacing w:line="276" w:lineRule="auto"/>
              <w:ind w:right="-87"/>
              <w:rPr>
                <w:rFonts w:hint="eastAsia" w:ascii="宋体" w:hAnsi="宋体"/>
                <w:sz w:val="24"/>
                <w:szCs w:val="24"/>
                <w:highlight w:val="none"/>
                <w:lang w:val="en-US" w:eastAsia="zh-CN"/>
              </w:rPr>
            </w:pPr>
            <w:r>
              <w:rPr>
                <w:rFonts w:hint="eastAsia" w:ascii="宋体" w:hAnsi="宋体"/>
                <w:sz w:val="24"/>
                <w:szCs w:val="24"/>
                <w:highlight w:val="none"/>
                <w:lang w:val="en-US" w:eastAsia="zh-CN"/>
              </w:rPr>
              <w:t>（1）项目经理具有中级及以上职称的得2分；</w:t>
            </w:r>
          </w:p>
          <w:p w14:paraId="325406CA">
            <w:pPr>
              <w:adjustRightInd w:val="0"/>
              <w:snapToGrid w:val="0"/>
              <w:spacing w:line="276" w:lineRule="auto"/>
              <w:ind w:right="-87"/>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团队成员根据现场管理团队成员配备进行评分：</w:t>
            </w:r>
          </w:p>
          <w:p w14:paraId="5D3145F5">
            <w:pPr>
              <w:adjustRightInd w:val="0"/>
              <w:snapToGrid w:val="0"/>
              <w:spacing w:line="276" w:lineRule="auto"/>
              <w:ind w:right="-87"/>
              <w:rPr>
                <w:rFonts w:hint="eastAsia" w:ascii="宋体" w:hAnsi="宋体"/>
                <w:sz w:val="24"/>
                <w:szCs w:val="24"/>
                <w:highlight w:val="none"/>
              </w:rPr>
            </w:pPr>
            <w:r>
              <w:rPr>
                <w:rFonts w:hint="eastAsia" w:ascii="宋体" w:hAnsi="宋体"/>
                <w:sz w:val="24"/>
                <w:szCs w:val="24"/>
                <w:highlight w:val="none"/>
              </w:rPr>
              <w:t>1）具备注册专业为</w:t>
            </w:r>
            <w:r>
              <w:rPr>
                <w:rFonts w:hint="eastAsia" w:ascii="宋体" w:hAnsi="宋体"/>
                <w:sz w:val="24"/>
                <w:szCs w:val="24"/>
                <w:highlight w:val="none"/>
                <w:lang w:val="en-US" w:eastAsia="zh-CN"/>
              </w:rPr>
              <w:t>建筑</w:t>
            </w:r>
            <w:r>
              <w:rPr>
                <w:rFonts w:hint="eastAsia" w:ascii="宋体" w:hAnsi="宋体"/>
                <w:sz w:val="24"/>
                <w:szCs w:val="24"/>
                <w:highlight w:val="none"/>
              </w:rPr>
              <w:t>工程的</w:t>
            </w:r>
            <w:r>
              <w:rPr>
                <w:rFonts w:hint="eastAsia" w:ascii="宋体" w:hAnsi="宋体"/>
                <w:sz w:val="24"/>
                <w:szCs w:val="24"/>
                <w:highlight w:val="none"/>
                <w:lang w:val="en-US" w:eastAsia="zh-CN"/>
              </w:rPr>
              <w:t>二</w:t>
            </w:r>
            <w:r>
              <w:rPr>
                <w:rFonts w:hint="eastAsia" w:ascii="宋体" w:hAnsi="宋体"/>
                <w:sz w:val="24"/>
                <w:szCs w:val="24"/>
                <w:highlight w:val="none"/>
              </w:rPr>
              <w:t>级</w:t>
            </w:r>
            <w:r>
              <w:rPr>
                <w:rFonts w:hint="eastAsia" w:ascii="宋体" w:hAnsi="宋体"/>
                <w:sz w:val="24"/>
                <w:szCs w:val="24"/>
                <w:highlight w:val="none"/>
                <w:lang w:val="en-US" w:eastAsia="zh-CN"/>
              </w:rPr>
              <w:t>及其以上</w:t>
            </w:r>
            <w:r>
              <w:rPr>
                <w:rFonts w:hint="eastAsia" w:ascii="宋体" w:hAnsi="宋体"/>
                <w:sz w:val="24"/>
                <w:szCs w:val="24"/>
                <w:highlight w:val="none"/>
              </w:rPr>
              <w:t>建造师执业资格证书或</w:t>
            </w:r>
            <w:r>
              <w:rPr>
                <w:rFonts w:hint="eastAsia" w:ascii="宋体" w:hAnsi="宋体"/>
                <w:sz w:val="24"/>
                <w:szCs w:val="24"/>
                <w:highlight w:val="none"/>
                <w:lang w:val="en-US" w:eastAsia="zh-CN"/>
              </w:rPr>
              <w:t>中</w:t>
            </w:r>
            <w:r>
              <w:rPr>
                <w:rFonts w:hint="eastAsia" w:ascii="宋体" w:hAnsi="宋体"/>
                <w:sz w:val="24"/>
                <w:szCs w:val="24"/>
                <w:highlight w:val="none"/>
              </w:rPr>
              <w:t>级</w:t>
            </w:r>
            <w:r>
              <w:rPr>
                <w:rFonts w:hint="eastAsia" w:ascii="宋体" w:hAnsi="宋体"/>
                <w:sz w:val="24"/>
                <w:szCs w:val="24"/>
                <w:highlight w:val="none"/>
                <w:lang w:val="en-US" w:eastAsia="zh-CN"/>
              </w:rPr>
              <w:t>及其以上</w:t>
            </w:r>
            <w:r>
              <w:rPr>
                <w:rFonts w:hint="eastAsia" w:ascii="宋体" w:hAnsi="宋体"/>
                <w:sz w:val="24"/>
                <w:szCs w:val="24"/>
                <w:highlight w:val="none"/>
              </w:rPr>
              <w:t>工程师职称（项目经理除外），具备1名，得2分，满分得2分；</w:t>
            </w:r>
          </w:p>
          <w:p w14:paraId="7BD22DE1">
            <w:pPr>
              <w:adjustRightInd w:val="0"/>
              <w:snapToGrid w:val="0"/>
              <w:spacing w:line="276" w:lineRule="auto"/>
              <w:ind w:right="-87"/>
              <w:rPr>
                <w:rFonts w:hint="eastAsia" w:ascii="宋体" w:hAnsi="宋体"/>
                <w:sz w:val="24"/>
                <w:szCs w:val="24"/>
                <w:highlight w:val="none"/>
              </w:rPr>
            </w:pPr>
            <w:r>
              <w:rPr>
                <w:rFonts w:hint="eastAsia" w:ascii="宋体" w:hAnsi="宋体"/>
                <w:sz w:val="24"/>
                <w:szCs w:val="24"/>
                <w:highlight w:val="none"/>
              </w:rPr>
              <w:t>2）具备安全人员B证或安全人员C证，每具备1名，得1分，满分得2分。</w:t>
            </w:r>
          </w:p>
          <w:p w14:paraId="11B50F34">
            <w:pPr>
              <w:adjustRightInd w:val="0"/>
              <w:snapToGrid w:val="0"/>
              <w:spacing w:line="276" w:lineRule="auto"/>
              <w:ind w:right="-87"/>
              <w:rPr>
                <w:rFonts w:hint="eastAsia" w:ascii="宋体" w:hAnsi="宋体"/>
                <w:sz w:val="24"/>
                <w:szCs w:val="24"/>
                <w:highlight w:val="none"/>
              </w:rPr>
            </w:pPr>
            <w:r>
              <w:rPr>
                <w:rFonts w:hint="eastAsia" w:ascii="宋体" w:hAnsi="宋体"/>
                <w:sz w:val="24"/>
                <w:szCs w:val="24"/>
                <w:highlight w:val="none"/>
              </w:rPr>
              <w:t>注：上述持证人员如具备多种证书，仅记取1次。</w:t>
            </w:r>
          </w:p>
          <w:p w14:paraId="22732D91">
            <w:pPr>
              <w:adjustRightInd w:val="0"/>
              <w:snapToGrid w:val="0"/>
              <w:spacing w:line="276" w:lineRule="auto"/>
              <w:ind w:right="-87"/>
              <w:rPr>
                <w:rFonts w:ascii="宋体" w:hAnsi="宋体"/>
                <w:sz w:val="24"/>
                <w:szCs w:val="24"/>
                <w:highlight w:val="none"/>
              </w:rPr>
            </w:pPr>
          </w:p>
        </w:tc>
      </w:tr>
      <w:tr w14:paraId="2BC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4" w:type="dxa"/>
            <w:vAlign w:val="center"/>
          </w:tcPr>
          <w:p w14:paraId="3BDD65D7">
            <w:pPr>
              <w:widowControl/>
              <w:spacing w:line="276" w:lineRule="auto"/>
              <w:jc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1691" w:type="dxa"/>
            <w:vAlign w:val="center"/>
          </w:tcPr>
          <w:p w14:paraId="3798B0D0">
            <w:pPr>
              <w:adjustRightInd w:val="0"/>
              <w:snapToGrid w:val="0"/>
              <w:spacing w:line="276" w:lineRule="auto"/>
              <w:ind w:right="-87"/>
              <w:rPr>
                <w:rFonts w:ascii="宋体" w:hAnsi="宋体"/>
                <w:sz w:val="24"/>
                <w:szCs w:val="24"/>
                <w:highlight w:val="none"/>
              </w:rPr>
            </w:pPr>
            <w:r>
              <w:rPr>
                <w:rFonts w:hint="eastAsia" w:ascii="宋体" w:hAnsi="宋体"/>
                <w:sz w:val="24"/>
                <w:szCs w:val="24"/>
                <w:highlight w:val="none"/>
              </w:rPr>
              <w:t>同类项目业绩</w:t>
            </w:r>
          </w:p>
        </w:tc>
        <w:tc>
          <w:tcPr>
            <w:tcW w:w="774" w:type="dxa"/>
            <w:vAlign w:val="center"/>
          </w:tcPr>
          <w:p w14:paraId="77C3EEE1">
            <w:pPr>
              <w:adjustRightInd w:val="0"/>
              <w:snapToGrid w:val="0"/>
              <w:spacing w:line="276" w:lineRule="auto"/>
              <w:ind w:right="-87"/>
              <w:jc w:val="center"/>
              <w:rPr>
                <w:rFonts w:ascii="宋体" w:hAnsi="宋体"/>
                <w:sz w:val="24"/>
                <w:szCs w:val="24"/>
                <w:highlight w:val="none"/>
              </w:rPr>
            </w:pPr>
            <w:r>
              <w:rPr>
                <w:rFonts w:hint="eastAsia" w:ascii="宋体" w:hAnsi="宋体"/>
                <w:sz w:val="24"/>
                <w:szCs w:val="24"/>
                <w:highlight w:val="none"/>
              </w:rPr>
              <w:t>6分</w:t>
            </w:r>
          </w:p>
        </w:tc>
        <w:tc>
          <w:tcPr>
            <w:tcW w:w="5882" w:type="dxa"/>
            <w:vAlign w:val="center"/>
          </w:tcPr>
          <w:p w14:paraId="32B02D58">
            <w:pPr>
              <w:pStyle w:val="81"/>
              <w:spacing w:before="0" w:beforeAutospacing="0" w:after="0" w:afterAutospacing="0" w:line="276" w:lineRule="auto"/>
              <w:rPr>
                <w:color w:val="auto"/>
                <w:szCs w:val="24"/>
                <w:highlight w:val="none"/>
              </w:rPr>
            </w:pPr>
            <w:r>
              <w:rPr>
                <w:rFonts w:hint="eastAsia"/>
                <w:color w:val="auto"/>
                <w:szCs w:val="24"/>
                <w:highlight w:val="none"/>
              </w:rPr>
              <w:t>对各供应商</w:t>
            </w:r>
            <w:r>
              <w:rPr>
                <w:rFonts w:hint="eastAsia"/>
                <w:color w:val="auto"/>
                <w:szCs w:val="24"/>
                <w:highlight w:val="none"/>
                <w:lang w:val="en-US" w:eastAsia="zh-CN"/>
              </w:rPr>
              <w:t>提供的</w:t>
            </w:r>
            <w:r>
              <w:rPr>
                <w:rFonts w:hint="eastAsia"/>
                <w:color w:val="auto"/>
                <w:szCs w:val="24"/>
                <w:highlight w:val="none"/>
              </w:rPr>
              <w:t>近三年（</w:t>
            </w:r>
            <w:r>
              <w:rPr>
                <w:color w:val="auto"/>
                <w:szCs w:val="24"/>
                <w:highlight w:val="none"/>
              </w:rPr>
              <w:t>202</w:t>
            </w:r>
            <w:r>
              <w:rPr>
                <w:rFonts w:hint="eastAsia"/>
                <w:color w:val="auto"/>
                <w:szCs w:val="24"/>
                <w:highlight w:val="none"/>
              </w:rPr>
              <w:t>2年5月至今）</w:t>
            </w:r>
            <w:r>
              <w:rPr>
                <w:rFonts w:hint="eastAsia"/>
                <w:color w:val="auto"/>
                <w:szCs w:val="24"/>
                <w:highlight w:val="none"/>
                <w:lang w:val="en-US" w:eastAsia="zh-CN"/>
              </w:rPr>
              <w:t>合同金额不低于250万元的类似</w:t>
            </w:r>
            <w:r>
              <w:rPr>
                <w:rFonts w:hint="eastAsia"/>
                <w:color w:val="auto"/>
                <w:szCs w:val="24"/>
                <w:highlight w:val="none"/>
              </w:rPr>
              <w:t>项目业绩</w:t>
            </w:r>
            <w:r>
              <w:rPr>
                <w:rFonts w:hint="eastAsia"/>
                <w:color w:val="auto"/>
                <w:szCs w:val="24"/>
                <w:highlight w:val="none"/>
                <w:lang w:val="en-US" w:eastAsia="zh-CN"/>
              </w:rPr>
              <w:t>评分，</w:t>
            </w:r>
            <w:r>
              <w:rPr>
                <w:rFonts w:hint="eastAsia"/>
                <w:color w:val="auto"/>
                <w:szCs w:val="24"/>
                <w:highlight w:val="none"/>
              </w:rPr>
              <w:t>每提供一个得2分,共6分；以提供的合同复印件或中标（成交）通知书为准</w:t>
            </w:r>
            <w:r>
              <w:rPr>
                <w:rFonts w:hint="eastAsia"/>
                <w:color w:val="auto"/>
                <w:szCs w:val="24"/>
                <w:highlight w:val="none"/>
                <w:lang w:eastAsia="zh-CN"/>
              </w:rPr>
              <w:t>（时间以合同签订日期或中标（成交）通知书注明日期为准</w:t>
            </w:r>
            <w:r>
              <w:rPr>
                <w:rFonts w:hint="eastAsia"/>
                <w:color w:val="auto"/>
                <w:szCs w:val="24"/>
                <w:highlight w:val="none"/>
              </w:rPr>
              <w:t>）</w:t>
            </w:r>
          </w:p>
        </w:tc>
      </w:tr>
    </w:tbl>
    <w:p w14:paraId="3DB21CD8">
      <w:pPr>
        <w:spacing w:line="360" w:lineRule="auto"/>
        <w:rPr>
          <w:rFonts w:ascii="宋体" w:hAnsi="宋体" w:cs="宋体"/>
          <w:b/>
          <w:bCs/>
          <w:sz w:val="24"/>
          <w:szCs w:val="24"/>
          <w:highlight w:val="none"/>
        </w:rPr>
      </w:pPr>
      <w:r>
        <w:rPr>
          <w:rFonts w:hint="eastAsia" w:ascii="宋体" w:hAnsi="宋体" w:cs="宋体"/>
          <w:b/>
          <w:bCs/>
          <w:sz w:val="24"/>
          <w:szCs w:val="24"/>
          <w:highlight w:val="none"/>
        </w:rPr>
        <w:t>注：</w:t>
      </w:r>
    </w:p>
    <w:p w14:paraId="75095193">
      <w:pPr>
        <w:spacing w:line="360" w:lineRule="auto"/>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类似</w:t>
      </w:r>
      <w:r>
        <w:rPr>
          <w:rFonts w:hint="eastAsia" w:ascii="宋体" w:hAnsi="宋体" w:cs="宋体"/>
          <w:b/>
          <w:bCs/>
          <w:sz w:val="24"/>
          <w:szCs w:val="24"/>
          <w:highlight w:val="none"/>
        </w:rPr>
        <w:t>项目业绩由评委根据报价人提供的业绩在业务内容、技术特点等方面与本项目的类似程度进行认定。</w:t>
      </w:r>
    </w:p>
    <w:p w14:paraId="018B5CB5">
      <w:pPr>
        <w:spacing w:line="360" w:lineRule="auto"/>
        <w:rPr>
          <w:rFonts w:ascii="宋体" w:hAnsi="宋体" w:cs="宋体"/>
          <w:b/>
          <w:bCs/>
          <w:sz w:val="24"/>
          <w:szCs w:val="24"/>
          <w:highlight w:val="none"/>
        </w:rPr>
      </w:pPr>
      <w:r>
        <w:rPr>
          <w:rFonts w:hint="eastAsia" w:ascii="宋体" w:hAnsi="宋体" w:cs="宋体"/>
          <w:b/>
          <w:bCs/>
          <w:sz w:val="24"/>
          <w:szCs w:val="24"/>
          <w:highlight w:val="none"/>
        </w:rPr>
        <w:t>2）以上各项评分内容，如报价人未提供相对应内容，谈判小组不受最低评分标准限制，可予以零分计算。</w:t>
      </w:r>
    </w:p>
    <w:p w14:paraId="5A70393C">
      <w:pPr>
        <w:spacing w:line="360" w:lineRule="auto"/>
        <w:rPr>
          <w:rFonts w:ascii="宋体" w:hAnsi="宋体" w:cs="宋体"/>
          <w:b/>
          <w:bCs/>
          <w:sz w:val="24"/>
          <w:szCs w:val="24"/>
          <w:highlight w:val="none"/>
        </w:rPr>
      </w:pPr>
      <w:r>
        <w:rPr>
          <w:rFonts w:hint="eastAsia" w:ascii="宋体" w:hAnsi="宋体" w:cs="宋体"/>
          <w:b/>
          <w:bCs/>
          <w:sz w:val="24"/>
          <w:szCs w:val="24"/>
          <w:highlight w:val="none"/>
        </w:rPr>
        <w:t>。</w:t>
      </w:r>
    </w:p>
    <w:p w14:paraId="639578F4">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5.出现下列情形之一的，谈判评审小组将否决所有供应商的报价或取消采购活动：</w:t>
      </w:r>
    </w:p>
    <w:p w14:paraId="784E1E0D">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（1）因情况变化，不再符合规定的竞争性谈判采购方式适用情形的；</w:t>
      </w:r>
    </w:p>
    <w:p w14:paraId="67E3CAC3">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（2）出现影响采购公正的违法、违规行为的；</w:t>
      </w:r>
    </w:p>
    <w:p w14:paraId="10073114">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（3）因重大变故，采购任务取消的；</w:t>
      </w:r>
    </w:p>
    <w:p w14:paraId="116099EB">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（4）供应商的报价均超过了采购预算，采购人不能支付的；</w:t>
      </w:r>
    </w:p>
    <w:p w14:paraId="53DD7985">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（5）谈判小组经谈判、评议认为所有响应文件都不符合竞争性谈判文件要求 </w:t>
      </w:r>
    </w:p>
    <w:p w14:paraId="28E6865D">
      <w:pP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的。</w:t>
      </w:r>
    </w:p>
    <w:p w14:paraId="32EF7003">
      <w:pPr>
        <w:pStyle w:val="45"/>
        <w:spacing w:line="360" w:lineRule="auto"/>
        <w:jc w:val="center"/>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br w:type="page"/>
      </w:r>
    </w:p>
    <w:p w14:paraId="77018D1B">
      <w:pPr>
        <w:pStyle w:val="45"/>
        <w:spacing w:line="360" w:lineRule="auto"/>
        <w:jc w:val="center"/>
        <w:rPr>
          <w:b/>
          <w:color w:val="000000" w:themeColor="text1"/>
          <w:sz w:val="52"/>
          <w:highlight w:val="none"/>
          <w14:textFill>
            <w14:solidFill>
              <w14:schemeClr w14:val="tx1"/>
            </w14:solidFill>
          </w14:textFill>
        </w:rPr>
      </w:pPr>
    </w:p>
    <w:p w14:paraId="26A8F1B1">
      <w:pPr>
        <w:pStyle w:val="45"/>
        <w:spacing w:line="360" w:lineRule="auto"/>
        <w:jc w:val="center"/>
        <w:rPr>
          <w:b/>
          <w:color w:val="000000" w:themeColor="text1"/>
          <w:sz w:val="52"/>
          <w:highlight w:val="none"/>
          <w14:textFill>
            <w14:solidFill>
              <w14:schemeClr w14:val="tx1"/>
            </w14:solidFill>
          </w14:textFill>
        </w:rPr>
      </w:pPr>
    </w:p>
    <w:p w14:paraId="3A4CDB88">
      <w:pPr>
        <w:pStyle w:val="45"/>
        <w:spacing w:line="360" w:lineRule="auto"/>
        <w:jc w:val="center"/>
        <w:rPr>
          <w:b/>
          <w:color w:val="000000" w:themeColor="text1"/>
          <w:sz w:val="52"/>
          <w:highlight w:val="none"/>
          <w14:textFill>
            <w14:solidFill>
              <w14:schemeClr w14:val="tx1"/>
            </w14:solidFill>
          </w14:textFill>
        </w:rPr>
      </w:pPr>
    </w:p>
    <w:p w14:paraId="318ECE25">
      <w:pPr>
        <w:pStyle w:val="45"/>
        <w:spacing w:line="360" w:lineRule="auto"/>
        <w:jc w:val="center"/>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第四部分</w:t>
      </w:r>
    </w:p>
    <w:p w14:paraId="4E871DD5">
      <w:pPr>
        <w:pStyle w:val="45"/>
        <w:jc w:val="center"/>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技术要求</w:t>
      </w:r>
    </w:p>
    <w:p w14:paraId="4F1A4597">
      <w:pPr>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br w:type="page"/>
      </w:r>
    </w:p>
    <w:p w14:paraId="5887063C">
      <w:pPr>
        <w:spacing w:line="360" w:lineRule="auto"/>
        <w:jc w:val="center"/>
        <w:outlineLvl w:val="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第四部分  技术要求</w:t>
      </w:r>
    </w:p>
    <w:p w14:paraId="5A9599B7">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1、供应商应充分了解本项目需求，提供完整的技术方案和合格的报价产品。凡在施工图纸、工程量清单中出现的内容，不论供应商在提交响应文件时有否考虑及报价，均为供应商的施工内容。</w:t>
      </w:r>
    </w:p>
    <w:p w14:paraId="3836E12A">
      <w:pPr>
        <w:spacing w:line="480" w:lineRule="exact"/>
        <w:ind w:firstLine="480" w:firstLineChars="200"/>
        <w:rPr>
          <w:rFonts w:ascii="宋体" w:hAnsi="宋体"/>
          <w:sz w:val="24"/>
          <w:szCs w:val="24"/>
          <w:highlight w:val="none"/>
        </w:rPr>
      </w:pPr>
      <w:r>
        <w:rPr>
          <w:rFonts w:hint="eastAsia" w:ascii="宋体" w:hAnsi="宋体"/>
          <w:sz w:val="24"/>
          <w:szCs w:val="24"/>
          <w:highlight w:val="none"/>
        </w:rPr>
        <w:t>2、供应商在得到谈判文件后可自行对现场和周围环境进行踏勘（不集中看现场），以获取有关编制谈判文件所需的各种资料，如现有设备情况、材料加工、材料堆放及用水、电和道路运输等因素，都应在报价时一并考虑。一旦成交，不得以不完全了解现场情况为借口，而提出延长合同期和提高合同价等要求。供应商应自行承担现场踏勘的责任和风险，踏勘现场的费用由供应商承担。</w:t>
      </w:r>
    </w:p>
    <w:p w14:paraId="2C68E060">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需按本要求在谈判文件中单独列表标明所选用的品牌、型号，供应商可参考推荐品牌型号（如有）填报，或填报同等或以上档次品牌型号，施工前所选品牌须经采购人认可。供应商未列明或未按要求填报，采购人有权要求成交人按报价提供采购人推荐品牌、规格的材料。</w:t>
      </w:r>
    </w:p>
    <w:p w14:paraId="4E748DBA">
      <w:pPr>
        <w:spacing w:line="480" w:lineRule="exact"/>
        <w:ind w:firstLine="480" w:firstLineChars="200"/>
        <w:rPr>
          <w:rFonts w:ascii="宋体" w:hAnsi="宋体"/>
          <w:sz w:val="24"/>
          <w:szCs w:val="24"/>
          <w:highlight w:val="none"/>
        </w:rPr>
      </w:pPr>
      <w:r>
        <w:rPr>
          <w:rFonts w:hint="eastAsia" w:ascii="宋体" w:hAnsi="宋体"/>
          <w:sz w:val="24"/>
          <w:szCs w:val="24"/>
          <w:highlight w:val="none"/>
        </w:rPr>
        <w:t>4、成交人在签订合同时，不得提出附加条件和不合理要求，否则将取消其成交资格。</w:t>
      </w:r>
    </w:p>
    <w:p w14:paraId="686E0404">
      <w:pPr>
        <w:spacing w:line="480" w:lineRule="exact"/>
        <w:ind w:firstLine="480" w:firstLineChars="200"/>
        <w:rPr>
          <w:rFonts w:ascii="宋体" w:hAnsi="宋体"/>
          <w:sz w:val="24"/>
          <w:szCs w:val="24"/>
          <w:highlight w:val="none"/>
        </w:rPr>
      </w:pPr>
      <w:r>
        <w:rPr>
          <w:rFonts w:hint="eastAsia" w:ascii="宋体" w:hAnsi="宋体"/>
          <w:sz w:val="24"/>
          <w:szCs w:val="24"/>
          <w:highlight w:val="none"/>
        </w:rPr>
        <w:t>5、供应商须严格按照</w:t>
      </w:r>
      <w:r>
        <w:rPr>
          <w:rFonts w:hint="eastAsia" w:ascii="宋体" w:hAnsi="宋体"/>
          <w:sz w:val="24"/>
          <w:szCs w:val="24"/>
          <w:highlight w:val="none"/>
          <w:lang w:val="en-US" w:eastAsia="zh-CN"/>
        </w:rPr>
        <w:t>经</w:t>
      </w:r>
      <w:r>
        <w:rPr>
          <w:rFonts w:hint="eastAsia" w:ascii="宋体" w:hAnsi="宋体"/>
          <w:sz w:val="24"/>
          <w:szCs w:val="24"/>
          <w:highlight w:val="none"/>
        </w:rPr>
        <w:t>施工监理和采购人代表书面确认所定的技术要求及工程范围的技术要求执行，如施工监理</w:t>
      </w:r>
      <w:r>
        <w:rPr>
          <w:rStyle w:val="108"/>
          <w:rFonts w:hint="eastAsia"/>
          <w:highlight w:val="none"/>
          <w:lang w:val="en-US" w:eastAsia="zh-CN"/>
        </w:rPr>
        <w:t>和</w:t>
      </w:r>
      <w:r>
        <w:rPr>
          <w:rFonts w:hint="eastAsia" w:ascii="宋体" w:hAnsi="宋体"/>
          <w:sz w:val="24"/>
          <w:szCs w:val="24"/>
          <w:highlight w:val="none"/>
        </w:rPr>
        <w:t>采购人代表书面确认所定的技术要求与工程规范的要求产生矛盾或新旧工程规范不一致时，以较高要求及现行最新工程规范为准。</w:t>
      </w:r>
    </w:p>
    <w:p w14:paraId="5F9CF96C">
      <w:pPr>
        <w:spacing w:line="480" w:lineRule="exact"/>
        <w:ind w:firstLine="480" w:firstLineChars="200"/>
        <w:rPr>
          <w:rFonts w:ascii="宋体" w:hAnsi="宋体"/>
          <w:sz w:val="24"/>
          <w:szCs w:val="24"/>
          <w:highlight w:val="none"/>
        </w:rPr>
      </w:pPr>
      <w:r>
        <w:rPr>
          <w:rFonts w:hint="eastAsia" w:ascii="宋体" w:hAnsi="宋体"/>
          <w:sz w:val="24"/>
          <w:szCs w:val="24"/>
          <w:highlight w:val="none"/>
        </w:rPr>
        <w:t>6、必须满足设计与工程规范要求以及为取得政府主管部门批准所需的任何检测及一切要求；取得政府主管部门批准所需的报监、质检及其他手续。</w:t>
      </w:r>
    </w:p>
    <w:p w14:paraId="24199AA0">
      <w:pPr>
        <w:spacing w:line="480" w:lineRule="exact"/>
        <w:ind w:firstLine="480" w:firstLineChars="200"/>
        <w:rPr>
          <w:rFonts w:ascii="宋体" w:hAnsi="宋体"/>
          <w:sz w:val="24"/>
          <w:szCs w:val="24"/>
          <w:highlight w:val="none"/>
        </w:rPr>
      </w:pPr>
      <w:r>
        <w:rPr>
          <w:rFonts w:hint="eastAsia" w:ascii="宋体" w:hAnsi="宋体"/>
          <w:sz w:val="24"/>
          <w:szCs w:val="24"/>
          <w:highlight w:val="none"/>
        </w:rPr>
        <w:t>7、成交单位应积极配合，主动协调甲方办理施工许可证及竣工备案工作。</w:t>
      </w:r>
    </w:p>
    <w:p w14:paraId="31E1F9FC">
      <w:pPr>
        <w:spacing w:line="480" w:lineRule="exact"/>
        <w:ind w:firstLine="480" w:firstLineChars="200"/>
        <w:rPr>
          <w:rFonts w:ascii="宋体" w:hAnsi="宋体"/>
          <w:sz w:val="24"/>
          <w:szCs w:val="24"/>
          <w:highlight w:val="none"/>
        </w:rPr>
      </w:pPr>
      <w:r>
        <w:rPr>
          <w:rFonts w:hint="eastAsia" w:ascii="宋体" w:hAnsi="宋体"/>
          <w:sz w:val="24"/>
          <w:szCs w:val="24"/>
          <w:highlight w:val="none"/>
        </w:rPr>
        <w:t>8、</w:t>
      </w:r>
      <w:r>
        <w:rPr>
          <w:rFonts w:hint="eastAsia" w:ascii="宋体" w:hAnsi="宋体"/>
          <w:color w:val="000000"/>
          <w:sz w:val="24"/>
          <w:szCs w:val="24"/>
          <w:highlight w:val="none"/>
        </w:rPr>
        <w:t>本项目为在线改造项目，施工期间不能影响该楼其他部位正常办公秩序，供应商应自行考虑工期安排及报价。</w:t>
      </w:r>
    </w:p>
    <w:p w14:paraId="054D9F4E">
      <w:pPr>
        <w:spacing w:line="480" w:lineRule="exact"/>
        <w:jc w:val="center"/>
        <w:rPr>
          <w:rFonts w:ascii="宋体" w:hAnsi="宋体"/>
          <w:sz w:val="24"/>
          <w:szCs w:val="24"/>
          <w:highlight w:val="none"/>
        </w:rPr>
      </w:pPr>
    </w:p>
    <w:p w14:paraId="0DE52923">
      <w:pPr>
        <w:widowControl/>
        <w:jc w:val="left"/>
        <w:rPr>
          <w:rFonts w:ascii="宋体" w:hAnsi="宋体"/>
          <w:b/>
          <w:color w:val="000000" w:themeColor="text1"/>
          <w:kern w:val="0"/>
          <w:sz w:val="24"/>
          <w:szCs w:val="24"/>
          <w:highlight w:val="none"/>
          <w14:textFill>
            <w14:solidFill>
              <w14:schemeClr w14:val="tx1"/>
            </w14:solidFill>
          </w14:textFill>
        </w:rPr>
      </w:pPr>
      <w:r>
        <w:rPr>
          <w:rFonts w:ascii="宋体" w:hAnsi="宋体"/>
          <w:b/>
          <w:color w:val="000000" w:themeColor="text1"/>
          <w:szCs w:val="24"/>
          <w:highlight w:val="none"/>
          <w14:textFill>
            <w14:solidFill>
              <w14:schemeClr w14:val="tx1"/>
            </w14:solidFill>
          </w14:textFill>
        </w:rPr>
        <w:br w:type="page"/>
      </w:r>
    </w:p>
    <w:p w14:paraId="2B67E73A">
      <w:pPr>
        <w:pStyle w:val="45"/>
        <w:spacing w:line="360" w:lineRule="auto"/>
        <w:jc w:val="center"/>
        <w:rPr>
          <w:b/>
          <w:color w:val="000000" w:themeColor="text1"/>
          <w:sz w:val="44"/>
          <w:szCs w:val="44"/>
          <w:highlight w:val="none"/>
          <w14:textFill>
            <w14:solidFill>
              <w14:schemeClr w14:val="tx1"/>
            </w14:solidFill>
          </w14:textFill>
        </w:rPr>
      </w:pPr>
    </w:p>
    <w:p w14:paraId="4C1E68CC">
      <w:pPr>
        <w:pStyle w:val="45"/>
        <w:spacing w:line="360" w:lineRule="auto"/>
        <w:jc w:val="center"/>
        <w:rPr>
          <w:b/>
          <w:color w:val="000000" w:themeColor="text1"/>
          <w:sz w:val="44"/>
          <w:szCs w:val="44"/>
          <w:highlight w:val="none"/>
          <w14:textFill>
            <w14:solidFill>
              <w14:schemeClr w14:val="tx1"/>
            </w14:solidFill>
          </w14:textFill>
        </w:rPr>
      </w:pPr>
    </w:p>
    <w:p w14:paraId="57FE1671">
      <w:pPr>
        <w:pStyle w:val="45"/>
        <w:spacing w:line="360" w:lineRule="auto"/>
        <w:jc w:val="center"/>
        <w:rPr>
          <w:b/>
          <w:color w:val="000000" w:themeColor="text1"/>
          <w:sz w:val="44"/>
          <w:szCs w:val="44"/>
          <w:highlight w:val="none"/>
          <w14:textFill>
            <w14:solidFill>
              <w14:schemeClr w14:val="tx1"/>
            </w14:solidFill>
          </w14:textFill>
        </w:rPr>
      </w:pPr>
    </w:p>
    <w:p w14:paraId="49AFBF3F">
      <w:pPr>
        <w:pStyle w:val="45"/>
        <w:spacing w:line="360" w:lineRule="auto"/>
        <w:jc w:val="center"/>
        <w:rPr>
          <w:b/>
          <w:color w:val="000000" w:themeColor="text1"/>
          <w:sz w:val="44"/>
          <w:szCs w:val="44"/>
          <w:highlight w:val="none"/>
          <w14:textFill>
            <w14:solidFill>
              <w14:schemeClr w14:val="tx1"/>
            </w14:solidFill>
          </w14:textFill>
        </w:rPr>
      </w:pPr>
    </w:p>
    <w:p w14:paraId="45A733F3">
      <w:pPr>
        <w:pStyle w:val="45"/>
        <w:spacing w:line="360" w:lineRule="auto"/>
        <w:jc w:val="center"/>
        <w:rPr>
          <w:b/>
          <w:color w:val="000000" w:themeColor="text1"/>
          <w:sz w:val="44"/>
          <w:szCs w:val="44"/>
          <w:highlight w:val="none"/>
          <w14:textFill>
            <w14:solidFill>
              <w14:schemeClr w14:val="tx1"/>
            </w14:solidFill>
          </w14:textFill>
        </w:rPr>
      </w:pPr>
    </w:p>
    <w:p w14:paraId="3A80C2F3">
      <w:pPr>
        <w:pStyle w:val="45"/>
        <w:spacing w:line="36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第五部分</w:t>
      </w:r>
    </w:p>
    <w:p w14:paraId="78C3BDAA">
      <w:pPr>
        <w:pStyle w:val="45"/>
        <w:spacing w:line="36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合同条款</w:t>
      </w:r>
    </w:p>
    <w:p w14:paraId="257780F9">
      <w:pPr>
        <w:spacing w:line="360" w:lineRule="auto"/>
        <w:rPr>
          <w:rFonts w:ascii="宋体" w:hAnsi="宋体"/>
          <w:b/>
          <w:color w:val="000000" w:themeColor="text1"/>
          <w:kern w:val="0"/>
          <w:sz w:val="52"/>
          <w:highlight w:val="none"/>
          <w14:textFill>
            <w14:solidFill>
              <w14:schemeClr w14:val="tx1"/>
            </w14:solidFill>
          </w14:textFill>
        </w:rPr>
      </w:pPr>
      <w:r>
        <w:rPr>
          <w:rFonts w:ascii="宋体" w:hAnsi="宋体"/>
          <w:b/>
          <w:color w:val="000000" w:themeColor="text1"/>
          <w:kern w:val="0"/>
          <w:sz w:val="52"/>
          <w:highlight w:val="none"/>
          <w14:textFill>
            <w14:solidFill>
              <w14:schemeClr w14:val="tx1"/>
            </w14:solidFill>
          </w14:textFill>
        </w:rPr>
        <w:br w:type="page"/>
      </w:r>
    </w:p>
    <w:p w14:paraId="749B8AF9">
      <w:pPr>
        <w:jc w:val="left"/>
        <w:rPr>
          <w:rFonts w:ascii="宋体" w:hAnsi="宋体"/>
          <w:bCs/>
          <w:color w:val="000000"/>
          <w:sz w:val="32"/>
          <w:szCs w:val="32"/>
          <w:highlight w:val="none"/>
        </w:rPr>
      </w:pPr>
      <w:r>
        <w:rPr>
          <w:rFonts w:ascii="楷体" w:hAnsi="楷体" w:eastAsia="楷体"/>
          <w:highlight w:val="none"/>
        </w:rPr>
        <w:drawing>
          <wp:inline distT="0" distB="0" distL="114300" distR="114300">
            <wp:extent cx="1068070" cy="670560"/>
            <wp:effectExtent l="0" t="0" r="1397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68070" cy="670560"/>
                    </a:xfrm>
                    <a:prstGeom prst="rect">
                      <a:avLst/>
                    </a:prstGeom>
                    <a:noFill/>
                    <a:ln>
                      <a:noFill/>
                    </a:ln>
                  </pic:spPr>
                </pic:pic>
              </a:graphicData>
            </a:graphic>
          </wp:inline>
        </w:drawing>
      </w:r>
      <w:r>
        <w:rPr>
          <w:rFonts w:hint="eastAsia" w:ascii="楷体" w:hAnsi="楷体" w:eastAsia="楷体"/>
          <w:highlight w:val="none"/>
        </w:rPr>
        <w:t xml:space="preserve">                                        </w:t>
      </w:r>
      <w:r>
        <w:rPr>
          <w:rFonts w:ascii="宋体" w:hAnsi="宋体"/>
          <w:bCs/>
          <w:color w:val="000000"/>
          <w:sz w:val="32"/>
          <w:szCs w:val="32"/>
          <w:highlight w:val="none"/>
        </w:rPr>
        <w:t>（GF—201</w:t>
      </w:r>
      <w:r>
        <w:rPr>
          <w:rFonts w:hint="eastAsia" w:ascii="宋体" w:hAnsi="宋体"/>
          <w:bCs/>
          <w:color w:val="000000"/>
          <w:sz w:val="32"/>
          <w:szCs w:val="32"/>
          <w:highlight w:val="none"/>
        </w:rPr>
        <w:t>7</w:t>
      </w:r>
      <w:r>
        <w:rPr>
          <w:rFonts w:ascii="宋体" w:hAnsi="宋体"/>
          <w:bCs/>
          <w:color w:val="000000"/>
          <w:sz w:val="32"/>
          <w:szCs w:val="32"/>
          <w:highlight w:val="none"/>
        </w:rPr>
        <w:t>—</w:t>
      </w:r>
      <w:r>
        <w:rPr>
          <w:rFonts w:hint="eastAsia" w:ascii="宋体" w:hAnsi="宋体"/>
          <w:bCs/>
          <w:color w:val="000000"/>
          <w:sz w:val="32"/>
          <w:szCs w:val="32"/>
          <w:highlight w:val="none"/>
        </w:rPr>
        <w:t>0201）</w:t>
      </w:r>
    </w:p>
    <w:p w14:paraId="0E2F6D58">
      <w:pPr>
        <w:jc w:val="center"/>
        <w:rPr>
          <w:rFonts w:ascii="宋体" w:hAnsi="宋体"/>
          <w:b/>
          <w:color w:val="000000"/>
          <w:sz w:val="52"/>
          <w:szCs w:val="52"/>
          <w:highlight w:val="none"/>
        </w:rPr>
      </w:pPr>
    </w:p>
    <w:p w14:paraId="4C827840">
      <w:pPr>
        <w:jc w:val="center"/>
        <w:rPr>
          <w:rFonts w:ascii="宋体" w:hAnsi="宋体"/>
          <w:b/>
          <w:color w:val="000000"/>
          <w:sz w:val="52"/>
          <w:szCs w:val="52"/>
          <w:highlight w:val="none"/>
        </w:rPr>
      </w:pPr>
    </w:p>
    <w:p w14:paraId="444BFA54">
      <w:pPr>
        <w:jc w:val="center"/>
        <w:rPr>
          <w:rFonts w:ascii="宋体" w:hAnsi="宋体"/>
          <w:b/>
          <w:color w:val="000000"/>
          <w:sz w:val="52"/>
          <w:szCs w:val="52"/>
          <w:highlight w:val="none"/>
        </w:rPr>
      </w:pPr>
    </w:p>
    <w:p w14:paraId="31CF4281">
      <w:pPr>
        <w:jc w:val="center"/>
        <w:rPr>
          <w:rFonts w:ascii="宋体" w:hAnsi="宋体"/>
          <w:b/>
          <w:color w:val="000000"/>
          <w:sz w:val="72"/>
          <w:szCs w:val="52"/>
          <w:highlight w:val="none"/>
        </w:rPr>
      </w:pPr>
      <w:r>
        <w:rPr>
          <w:rFonts w:hint="default" w:ascii="宋体" w:hAnsi="宋体"/>
          <w:b/>
          <w:color w:val="000000"/>
          <w:sz w:val="72"/>
          <w:szCs w:val="52"/>
          <w:highlight w:val="none"/>
          <w:u w:val="none"/>
        </w:rPr>
        <w:t>2025年奥吉大厦装修及仓储场地翻新项目</w:t>
      </w:r>
    </w:p>
    <w:p w14:paraId="77372E78">
      <w:pPr>
        <w:jc w:val="center"/>
        <w:rPr>
          <w:rFonts w:ascii="宋体" w:hAnsi="宋体"/>
          <w:b/>
          <w:color w:val="000000"/>
          <w:sz w:val="52"/>
          <w:szCs w:val="52"/>
          <w:highlight w:val="none"/>
        </w:rPr>
      </w:pPr>
      <w:bookmarkStart w:id="6" w:name="OLE_LINK23"/>
      <w:r>
        <w:rPr>
          <w:rFonts w:ascii="宋体" w:hAnsi="宋体"/>
          <w:b/>
          <w:color w:val="000000"/>
          <w:sz w:val="72"/>
          <w:szCs w:val="52"/>
          <w:highlight w:val="none"/>
        </w:rPr>
        <w:t>建设工程施工合同</w:t>
      </w:r>
      <w:r>
        <w:rPr>
          <w:rFonts w:ascii="宋体" w:hAnsi="宋体"/>
          <w:b/>
          <w:color w:val="000000"/>
          <w:sz w:val="52"/>
          <w:szCs w:val="52"/>
          <w:highlight w:val="none"/>
        </w:rPr>
        <w:br w:type="textWrapping"/>
      </w:r>
    </w:p>
    <w:bookmarkEnd w:id="6"/>
    <w:p w14:paraId="36AA3FDC">
      <w:pPr>
        <w:jc w:val="center"/>
        <w:rPr>
          <w:rFonts w:ascii="宋体" w:hAnsi="宋体"/>
          <w:b/>
          <w:color w:val="000000"/>
          <w:sz w:val="72"/>
          <w:szCs w:val="72"/>
          <w:highlight w:val="none"/>
        </w:rPr>
      </w:pPr>
    </w:p>
    <w:p w14:paraId="3C60A69A">
      <w:pPr>
        <w:jc w:val="center"/>
        <w:rPr>
          <w:rFonts w:ascii="宋体" w:hAnsi="宋体"/>
          <w:b/>
          <w:color w:val="000000"/>
          <w:sz w:val="72"/>
          <w:szCs w:val="72"/>
          <w:highlight w:val="none"/>
        </w:rPr>
      </w:pPr>
    </w:p>
    <w:p w14:paraId="42AAE516">
      <w:pPr>
        <w:rPr>
          <w:rFonts w:ascii="宋体" w:hAnsi="宋体"/>
          <w:b/>
          <w:color w:val="000000"/>
          <w:sz w:val="28"/>
          <w:szCs w:val="28"/>
          <w:highlight w:val="none"/>
        </w:rPr>
      </w:pPr>
    </w:p>
    <w:p w14:paraId="31235628">
      <w:pPr>
        <w:rPr>
          <w:rFonts w:ascii="宋体" w:hAnsi="宋体"/>
          <w:b/>
          <w:color w:val="000000"/>
          <w:sz w:val="28"/>
          <w:szCs w:val="28"/>
          <w:highlight w:val="none"/>
        </w:rPr>
      </w:pPr>
    </w:p>
    <w:p w14:paraId="33AD1C37">
      <w:pPr>
        <w:rPr>
          <w:rFonts w:ascii="宋体" w:hAnsi="宋体"/>
          <w:b/>
          <w:color w:val="000000"/>
          <w:sz w:val="28"/>
          <w:szCs w:val="28"/>
          <w:highlight w:val="none"/>
        </w:rPr>
      </w:pPr>
    </w:p>
    <w:p w14:paraId="13204219">
      <w:pPr>
        <w:rPr>
          <w:rFonts w:ascii="宋体" w:hAnsi="宋体"/>
          <w:b/>
          <w:color w:val="000000"/>
          <w:sz w:val="28"/>
          <w:szCs w:val="28"/>
          <w:highlight w:val="none"/>
        </w:rPr>
      </w:pPr>
    </w:p>
    <w:p w14:paraId="579483EF">
      <w:pPr>
        <w:ind w:right="2719" w:rightChars="1295" w:firstLine="2738" w:firstLineChars="1304"/>
        <w:jc w:val="distribute"/>
        <w:rPr>
          <w:rFonts w:ascii="宋体" w:hAnsi="宋体"/>
          <w:b/>
          <w:color w:val="000000"/>
          <w:sz w:val="32"/>
          <w:szCs w:val="28"/>
          <w:highlight w:val="none"/>
        </w:rPr>
      </w:pPr>
      <w:r>
        <w:rPr>
          <w:rFonts w:ascii="宋体" w:hAnsi="宋体"/>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8255" t="6985" r="1079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14:paraId="633B42CC">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QrHfkICAABoBAAADgAAAGRycy9lMm9Eb2MueG1srVRL&#10;btswEN0X6B0I7mvZbtwkRuQgjeGiQPoB0h6ApiiJKMlhh7Sl9ADNDbrqpvueK+fokFJSI91kUS0E&#10;UvP45s2boc7Oe2vYXmHQ4Eo+m0w5U05CpV1T8s+fNi9OOAtRuEoYcKrkNyrw89XzZ2edX6o5tGAq&#10;hYxIXFh2vuRtjH5ZFEG2yoowAa8cBWtAKyJtsSkqFB2xW1PMp9NXRQdYeQSpQqCv6yHIR0Z8CiHU&#10;tZZqDXJnlYsDKyojIpUUWu0DX2W1da1k/FDXQUVmSk6VxvymJLTepnexOhPLBoVvtRwliKdIeFST&#10;FdpR0geqtYiC7VD/Q2W1RAhQx4kEWwyFZEeoitn0kTfXrfAq10JWB/9gevh/tPL9/iMyXdEkcOaE&#10;pYbf/bi9+/n77td3Nkv2dD4sCXXtCRf719AnaCo1+CuQXwJzcNkK16gLROhaJSqSl08WB0cHnpBI&#10;tt07qCiP2EXIRH2NNhGSG4zYqTU3D61RfWSSPh7PX55OKSIpdLQ4pkFK2gqxvD/sMcQ3CixLi5Ij&#10;dT6Ti/1ViAP0HpJyOdhoY3L3jWNdyU8X8wXRW09WBNcMFYLRVcLlcrHZXhpke0GjtMnPKCEcwqyO&#10;dD2MtiU/maZnBBlHcpMhyYPBjdhv+9HgLVQ3ZA3CMKB0PWnRAn7jrKPhJElfdwIVZ+atI3tPZ0dH&#10;aZrzJtvBGR5GtocR4SRRlTxyNiwv43ADdh5101KmoaEOLqgltc52JamDqlE3DWA2fLwsacIP9xn1&#10;9wex+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BzS1x2AAAAAkBAAAPAAAAAAAAAAEAIAAAACIA&#10;AABkcnMvZG93bnJldi54bWxQSwECFAAUAAAACACHTuJArQrHfkICAABoBAAADgAAAAAAAAABACAA&#10;AAAnAQAAZHJzL2Uyb0RvYy54bWxQSwUGAAAAAAYABgBZAQAA2wUAAAAA&#10;">
                <v:fill on="f" focussize="0,0"/>
                <v:stroke color="#FFFFFF" miterlimit="8" joinstyle="miter"/>
                <v:imagedata o:title=""/>
                <o:lock v:ext="edit" aspectratio="f"/>
                <v:textbox>
                  <w:txbxContent>
                    <w:p w14:paraId="633B42CC">
                      <w:pPr>
                        <w:rPr>
                          <w:b/>
                          <w:bCs/>
                          <w:sz w:val="32"/>
                        </w:rPr>
                      </w:pPr>
                      <w:r>
                        <w:rPr>
                          <w:rFonts w:hint="eastAsia"/>
                          <w:b/>
                          <w:bCs/>
                          <w:sz w:val="32"/>
                        </w:rPr>
                        <w:t>制定</w:t>
                      </w:r>
                    </w:p>
                  </w:txbxContent>
                </v:textbox>
              </v:shape>
            </w:pict>
          </mc:Fallback>
        </mc:AlternateContent>
      </w:r>
      <w:r>
        <w:rPr>
          <w:rFonts w:ascii="宋体" w:hAnsi="宋体"/>
          <w:b/>
          <w:color w:val="000000"/>
          <w:sz w:val="32"/>
          <w:szCs w:val="28"/>
          <w:highlight w:val="none"/>
        </w:rPr>
        <w:t>住房城乡建设部</w:t>
      </w:r>
    </w:p>
    <w:p w14:paraId="77965345">
      <w:pPr>
        <w:ind w:right="2719" w:rightChars="1295" w:firstLine="2750" w:firstLineChars="856"/>
        <w:jc w:val="distribute"/>
        <w:rPr>
          <w:rFonts w:ascii="宋体" w:hAnsi="宋体"/>
          <w:b/>
          <w:color w:val="000000"/>
          <w:sz w:val="32"/>
          <w:szCs w:val="28"/>
          <w:highlight w:val="none"/>
        </w:rPr>
      </w:pPr>
      <w:r>
        <w:rPr>
          <w:rFonts w:ascii="宋体" w:hAnsi="宋体"/>
          <w:b/>
          <w:color w:val="000000"/>
          <w:sz w:val="32"/>
          <w:szCs w:val="28"/>
          <w:highlight w:val="none"/>
        </w:rPr>
        <w:t>国家工商行政管理总局</w:t>
      </w:r>
    </w:p>
    <w:p w14:paraId="5D056A09">
      <w:pPr>
        <w:rPr>
          <w:rFonts w:ascii="宋体" w:hAnsi="宋体"/>
          <w:b/>
          <w:color w:val="000000"/>
          <w:highlight w:val="none"/>
        </w:rPr>
      </w:pPr>
    </w:p>
    <w:p w14:paraId="1B438177">
      <w:pPr>
        <w:pStyle w:val="5"/>
        <w:numPr>
          <w:ilvl w:val="0"/>
          <w:numId w:val="0"/>
        </w:numPr>
        <w:jc w:val="center"/>
        <w:rPr>
          <w:rFonts w:ascii="宋体" w:hAnsi="宋体" w:eastAsia="宋体"/>
          <w:sz w:val="24"/>
          <w:szCs w:val="24"/>
          <w:highlight w:val="none"/>
        </w:rPr>
      </w:pPr>
      <w:bookmarkStart w:id="7" w:name="_Toc296890982"/>
      <w:bookmarkStart w:id="8" w:name="_Toc296503025"/>
      <w:bookmarkStart w:id="9" w:name="_Toc351203480"/>
      <w:r>
        <w:rPr>
          <w:rFonts w:hint="eastAsia" w:ascii="宋体" w:hAnsi="宋体" w:eastAsia="宋体"/>
          <w:sz w:val="24"/>
          <w:szCs w:val="24"/>
          <w:highlight w:val="none"/>
        </w:rPr>
        <w:br w:type="page"/>
      </w:r>
    </w:p>
    <w:p w14:paraId="34976E18">
      <w:pPr>
        <w:pStyle w:val="5"/>
        <w:numPr>
          <w:ilvl w:val="0"/>
          <w:numId w:val="0"/>
        </w:numPr>
        <w:spacing w:line="360" w:lineRule="auto"/>
        <w:jc w:val="center"/>
        <w:rPr>
          <w:rFonts w:ascii="宋体" w:hAnsi="宋体" w:eastAsia="宋体"/>
          <w:b w:val="0"/>
          <w:sz w:val="24"/>
          <w:szCs w:val="24"/>
          <w:highlight w:val="none"/>
        </w:rPr>
      </w:pPr>
      <w:r>
        <w:rPr>
          <w:rFonts w:ascii="宋体" w:hAnsi="宋体" w:eastAsia="宋体"/>
          <w:sz w:val="24"/>
          <w:szCs w:val="24"/>
          <w:highlight w:val="none"/>
        </w:rPr>
        <w:t>第一部分 合同协议书</w:t>
      </w:r>
      <w:bookmarkEnd w:id="7"/>
      <w:bookmarkEnd w:id="8"/>
      <w:bookmarkEnd w:id="9"/>
    </w:p>
    <w:p w14:paraId="3067529B">
      <w:pPr>
        <w:spacing w:line="360" w:lineRule="auto"/>
        <w:rPr>
          <w:rFonts w:ascii="宋体" w:hAnsi="宋体"/>
          <w:b/>
          <w:color w:val="000000"/>
          <w:sz w:val="24"/>
          <w:szCs w:val="24"/>
          <w:highlight w:val="none"/>
          <w:u w:val="single"/>
        </w:rPr>
      </w:pPr>
      <w:r>
        <w:rPr>
          <w:rFonts w:ascii="宋体" w:hAnsi="宋体"/>
          <w:b/>
          <w:color w:val="000000"/>
          <w:sz w:val="24"/>
          <w:szCs w:val="24"/>
          <w:highlight w:val="none"/>
        </w:rPr>
        <w:t>发包人（全称）：</w:t>
      </w:r>
      <w:r>
        <w:rPr>
          <w:rFonts w:hint="eastAsia" w:ascii="宋体" w:hAnsi="宋体"/>
          <w:b/>
          <w:color w:val="000000"/>
          <w:sz w:val="24"/>
          <w:szCs w:val="24"/>
          <w:highlight w:val="none"/>
          <w:u w:val="single"/>
        </w:rPr>
        <w:t xml:space="preserve">   上海奥吉实业有限公司             </w:t>
      </w:r>
    </w:p>
    <w:p w14:paraId="06D8CD84">
      <w:pPr>
        <w:spacing w:line="360" w:lineRule="auto"/>
        <w:rPr>
          <w:rFonts w:ascii="宋体" w:hAnsi="宋体"/>
          <w:b/>
          <w:color w:val="000000"/>
          <w:sz w:val="24"/>
          <w:szCs w:val="24"/>
          <w:highlight w:val="none"/>
          <w:u w:val="single"/>
        </w:rPr>
      </w:pPr>
      <w:r>
        <w:rPr>
          <w:rFonts w:ascii="宋体" w:hAnsi="宋体"/>
          <w:b/>
          <w:color w:val="000000"/>
          <w:sz w:val="24"/>
          <w:szCs w:val="24"/>
          <w:highlight w:val="none"/>
        </w:rPr>
        <w:t>承包人（全称）：</w:t>
      </w:r>
      <w:r>
        <w:rPr>
          <w:rFonts w:hint="eastAsia" w:ascii="宋体" w:hAnsi="宋体"/>
          <w:b/>
          <w:color w:val="000000"/>
          <w:sz w:val="24"/>
          <w:szCs w:val="24"/>
          <w:highlight w:val="none"/>
          <w:u w:val="single"/>
        </w:rPr>
        <w:t xml:space="preserve">                                    </w:t>
      </w:r>
    </w:p>
    <w:p w14:paraId="4651063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根据《中华人民共和国</w:t>
      </w:r>
      <w:r>
        <w:rPr>
          <w:rFonts w:hint="eastAsia" w:ascii="宋体" w:hAnsi="宋体"/>
          <w:color w:val="000000"/>
          <w:sz w:val="24"/>
          <w:szCs w:val="24"/>
          <w:highlight w:val="none"/>
        </w:rPr>
        <w:t>民法典</w:t>
      </w:r>
      <w:r>
        <w:rPr>
          <w:rFonts w:ascii="宋体" w:hAnsi="宋体"/>
          <w:color w:val="000000"/>
          <w:sz w:val="24"/>
          <w:szCs w:val="24"/>
          <w:highlight w:val="none"/>
        </w:rPr>
        <w:t>》、《中华人民共和国建筑法》及有关法律规定，遵循平等、自愿、公平和诚实信用的原则，双方就</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2025年奥吉大厦装修及仓储场地翻新项目</w:t>
      </w:r>
      <w:r>
        <w:rPr>
          <w:rFonts w:ascii="宋体" w:hAnsi="宋体"/>
          <w:color w:val="000000"/>
          <w:sz w:val="24"/>
          <w:szCs w:val="24"/>
          <w:highlight w:val="none"/>
          <w:u w:val="single"/>
        </w:rPr>
        <w:t xml:space="preserve">   </w:t>
      </w:r>
      <w:r>
        <w:rPr>
          <w:rFonts w:ascii="宋体" w:hAnsi="宋体"/>
          <w:color w:val="000000"/>
          <w:sz w:val="24"/>
          <w:szCs w:val="24"/>
          <w:highlight w:val="none"/>
        </w:rPr>
        <w:t>工程施工及有关事项协商一致</w:t>
      </w:r>
      <w:r>
        <w:rPr>
          <w:rFonts w:hint="eastAsia" w:ascii="宋体" w:hAnsi="宋体"/>
          <w:color w:val="000000"/>
          <w:sz w:val="24"/>
          <w:szCs w:val="24"/>
          <w:highlight w:val="none"/>
        </w:rPr>
        <w:t>，</w:t>
      </w:r>
      <w:r>
        <w:rPr>
          <w:rFonts w:ascii="宋体" w:hAnsi="宋体"/>
          <w:color w:val="000000"/>
          <w:sz w:val="24"/>
          <w:szCs w:val="24"/>
          <w:highlight w:val="none"/>
        </w:rPr>
        <w:t>共同达成如下协议：</w:t>
      </w:r>
    </w:p>
    <w:p w14:paraId="2D6732FC">
      <w:pPr>
        <w:spacing w:line="360" w:lineRule="auto"/>
        <w:rPr>
          <w:rFonts w:ascii="宋体" w:hAnsi="宋体"/>
          <w:b/>
          <w:color w:val="000000"/>
          <w:sz w:val="24"/>
          <w:szCs w:val="24"/>
          <w:highlight w:val="none"/>
        </w:rPr>
      </w:pPr>
      <w:bookmarkStart w:id="10" w:name="_Toc351203481"/>
      <w:r>
        <w:rPr>
          <w:rFonts w:ascii="宋体" w:hAnsi="宋体"/>
          <w:b/>
          <w:color w:val="000000"/>
          <w:sz w:val="24"/>
          <w:szCs w:val="24"/>
          <w:highlight w:val="none"/>
        </w:rPr>
        <w:t>一、工程概况</w:t>
      </w:r>
      <w:bookmarkEnd w:id="10"/>
    </w:p>
    <w:p w14:paraId="6B1BB553">
      <w:pPr>
        <w:spacing w:line="360" w:lineRule="auto"/>
        <w:ind w:firstLine="470" w:firstLineChars="196"/>
        <w:rPr>
          <w:rFonts w:ascii="宋体" w:hAnsi="宋体"/>
          <w:color w:val="000000"/>
          <w:sz w:val="24"/>
          <w:szCs w:val="24"/>
          <w:highlight w:val="none"/>
          <w:u w:val="single"/>
        </w:rPr>
      </w:pPr>
      <w:r>
        <w:rPr>
          <w:rFonts w:ascii="宋体" w:hAnsi="宋体"/>
          <w:bCs/>
          <w:color w:val="000000"/>
          <w:sz w:val="24"/>
          <w:szCs w:val="24"/>
          <w:highlight w:val="none"/>
        </w:rPr>
        <w:t>1.工程名称</w:t>
      </w:r>
      <w:r>
        <w:rPr>
          <w:rFonts w:ascii="宋体" w:hAnsi="宋体"/>
          <w:color w:val="000000"/>
          <w:sz w:val="24"/>
          <w:szCs w:val="24"/>
          <w:highlight w:val="none"/>
        </w:rPr>
        <w:t>：</w:t>
      </w:r>
      <w:r>
        <w:rPr>
          <w:rFonts w:hint="eastAsia" w:ascii="宋体" w:hAnsi="宋体"/>
          <w:color w:val="000000"/>
          <w:sz w:val="24"/>
          <w:szCs w:val="24"/>
          <w:highlight w:val="none"/>
          <w:u w:val="single"/>
        </w:rPr>
        <w:t xml:space="preserve">  2025年奥吉大厦装修及仓储场地翻新项目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10831CE">
      <w:pPr>
        <w:spacing w:line="360" w:lineRule="auto"/>
        <w:ind w:firstLine="470" w:firstLineChars="196"/>
        <w:rPr>
          <w:rFonts w:ascii="宋体" w:hAnsi="宋体"/>
          <w:bCs/>
          <w:color w:val="000000"/>
          <w:sz w:val="24"/>
          <w:szCs w:val="24"/>
          <w:highlight w:val="none"/>
        </w:rPr>
      </w:pPr>
      <w:r>
        <w:rPr>
          <w:rFonts w:ascii="宋体" w:hAnsi="宋体"/>
          <w:bCs/>
          <w:color w:val="000000"/>
          <w:sz w:val="24"/>
          <w:szCs w:val="24"/>
          <w:highlight w:val="none"/>
        </w:rPr>
        <w:t>2.工程地点：</w:t>
      </w:r>
      <w:r>
        <w:rPr>
          <w:rFonts w:hint="eastAsia" w:ascii="宋体" w:hAnsi="宋体"/>
          <w:color w:val="000000"/>
          <w:sz w:val="24"/>
          <w:szCs w:val="24"/>
          <w:highlight w:val="none"/>
          <w:u w:val="single"/>
        </w:rPr>
        <w:t xml:space="preserve"> 上海市浦东新区奥纳路18号</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F08A407">
      <w:pPr>
        <w:spacing w:line="360" w:lineRule="auto"/>
        <w:ind w:firstLine="470" w:firstLineChars="196"/>
        <w:rPr>
          <w:rFonts w:ascii="宋体" w:hAnsi="宋体"/>
          <w:bCs/>
          <w:color w:val="000000"/>
          <w:sz w:val="24"/>
          <w:szCs w:val="24"/>
          <w:highlight w:val="none"/>
        </w:rPr>
      </w:pPr>
      <w:r>
        <w:rPr>
          <w:rFonts w:ascii="宋体" w:hAnsi="宋体"/>
          <w:bCs/>
          <w:color w:val="000000"/>
          <w:sz w:val="24"/>
          <w:szCs w:val="24"/>
          <w:highlight w:val="none"/>
        </w:rPr>
        <w:t>3.</w:t>
      </w:r>
      <w:r>
        <w:rPr>
          <w:rFonts w:hint="eastAsia" w:ascii="宋体" w:hAnsi="宋体"/>
          <w:highlight w:val="none"/>
        </w:rPr>
        <w:t xml:space="preserve"> </w:t>
      </w:r>
      <w:r>
        <w:rPr>
          <w:rFonts w:hint="eastAsia" w:ascii="宋体" w:hAnsi="宋体"/>
          <w:bCs/>
          <w:color w:val="000000"/>
          <w:sz w:val="24"/>
          <w:szCs w:val="24"/>
          <w:highlight w:val="none"/>
        </w:rPr>
        <w:t>资金来源：</w:t>
      </w:r>
      <w:r>
        <w:rPr>
          <w:rFonts w:hint="eastAsia" w:ascii="宋体" w:hAnsi="宋体"/>
          <w:color w:val="000000"/>
          <w:sz w:val="24"/>
          <w:szCs w:val="24"/>
          <w:highlight w:val="none"/>
          <w:u w:val="single"/>
        </w:rPr>
        <w:t xml:space="preserve">   自有资金                   </w:t>
      </w:r>
      <w:r>
        <w:rPr>
          <w:rFonts w:ascii="宋体" w:hAnsi="宋体"/>
          <w:color w:val="000000"/>
          <w:sz w:val="24"/>
          <w:szCs w:val="24"/>
          <w:highlight w:val="none"/>
          <w:u w:val="single"/>
        </w:rPr>
        <w:t xml:space="preserve"> </w:t>
      </w:r>
      <w:r>
        <w:rPr>
          <w:rFonts w:ascii="宋体" w:hAnsi="宋体"/>
          <w:bCs/>
          <w:color w:val="000000"/>
          <w:sz w:val="24"/>
          <w:szCs w:val="24"/>
          <w:highlight w:val="none"/>
        </w:rPr>
        <w:t>。</w:t>
      </w:r>
    </w:p>
    <w:p w14:paraId="55F6957C">
      <w:pPr>
        <w:spacing w:line="360" w:lineRule="auto"/>
        <w:ind w:firstLine="470" w:firstLineChars="196"/>
        <w:rPr>
          <w:rFonts w:ascii="宋体" w:hAnsi="宋体"/>
          <w:bCs/>
          <w:color w:val="000000"/>
          <w:sz w:val="24"/>
          <w:szCs w:val="24"/>
          <w:highlight w:val="none"/>
        </w:rPr>
      </w:pPr>
      <w:r>
        <w:rPr>
          <w:rFonts w:hint="eastAsia" w:ascii="宋体" w:hAnsi="宋体"/>
          <w:bCs/>
          <w:color w:val="000000"/>
          <w:sz w:val="24"/>
          <w:szCs w:val="24"/>
          <w:highlight w:val="none"/>
        </w:rPr>
        <w:t>5.工程内容：</w:t>
      </w:r>
      <w:r>
        <w:rPr>
          <w:rFonts w:hint="eastAsia" w:ascii="宋体" w:hAnsi="宋体"/>
          <w:color w:val="000000"/>
          <w:sz w:val="24"/>
          <w:szCs w:val="24"/>
          <w:highlight w:val="none"/>
          <w:u w:val="single"/>
        </w:rPr>
        <w:t xml:space="preserve">  奥吉大厦外墙整体翻新工程、空调外墙排水更新工程、1-6层主楼及副楼部分卫生间、给排水翻新工程等。奥吉公司仓储场地及配套设施进行维修翻新，包括场地维修（面积约4000平方米）、仓库围墙刷新、车位线补新</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sz w:val="24"/>
          <w:szCs w:val="24"/>
          <w:highlight w:val="none"/>
          <w:u w:val="single"/>
        </w:rPr>
        <w:t>保洁及垃圾清运等工作</w:t>
      </w:r>
      <w:r>
        <w:rPr>
          <w:rFonts w:hint="eastAsia" w:ascii="宋体" w:hAnsi="宋体"/>
          <w:color w:val="000000"/>
          <w:sz w:val="24"/>
          <w:szCs w:val="24"/>
          <w:highlight w:val="none"/>
          <w:u w:val="single"/>
        </w:rPr>
        <w:t>等，</w:t>
      </w:r>
      <w:r>
        <w:rPr>
          <w:rFonts w:hint="eastAsia" w:ascii="宋体" w:hAnsi="宋体" w:cs="宋体"/>
          <w:sz w:val="24"/>
          <w:szCs w:val="24"/>
          <w:highlight w:val="none"/>
          <w:u w:val="single"/>
        </w:rPr>
        <w:t>所有项目均由施工方包工包料，</w:t>
      </w:r>
      <w:r>
        <w:rPr>
          <w:rFonts w:hint="eastAsia"/>
          <w:color w:val="000000"/>
          <w:sz w:val="24"/>
          <w:szCs w:val="24"/>
          <w:highlight w:val="none"/>
          <w:u w:val="single"/>
        </w:rPr>
        <w:t>具体见图纸或工程量清单</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bCs/>
          <w:color w:val="000000"/>
          <w:sz w:val="24"/>
          <w:szCs w:val="24"/>
          <w:highlight w:val="none"/>
        </w:rPr>
        <w:t>。</w:t>
      </w:r>
    </w:p>
    <w:p w14:paraId="7CE52593">
      <w:pPr>
        <w:spacing w:line="360" w:lineRule="auto"/>
        <w:ind w:firstLine="470" w:firstLineChars="196"/>
        <w:rPr>
          <w:rFonts w:ascii="宋体" w:hAnsi="宋体"/>
          <w:bCs/>
          <w:color w:val="000000"/>
          <w:sz w:val="24"/>
          <w:szCs w:val="24"/>
          <w:highlight w:val="none"/>
        </w:rPr>
      </w:pPr>
      <w:r>
        <w:rPr>
          <w:rFonts w:hint="eastAsia" w:ascii="宋体" w:hAnsi="宋体"/>
          <w:bCs/>
          <w:color w:val="000000"/>
          <w:sz w:val="24"/>
          <w:szCs w:val="24"/>
          <w:highlight w:val="none"/>
        </w:rPr>
        <w:t>6</w:t>
      </w:r>
      <w:r>
        <w:rPr>
          <w:rFonts w:ascii="宋体" w:hAnsi="宋体"/>
          <w:bCs/>
          <w:color w:val="000000"/>
          <w:sz w:val="24"/>
          <w:szCs w:val="24"/>
          <w:highlight w:val="none"/>
        </w:rPr>
        <w:t>.工程承包范围：</w:t>
      </w:r>
      <w:r>
        <w:rPr>
          <w:rFonts w:hint="eastAsia" w:ascii="宋体" w:hAnsi="宋体"/>
          <w:color w:val="000000"/>
          <w:sz w:val="24"/>
          <w:szCs w:val="24"/>
          <w:highlight w:val="none"/>
          <w:u w:val="single"/>
        </w:rPr>
        <w:t xml:space="preserve">    包括但不限于2025年奥吉大厦装修及仓储场地翻新项目，及与之相关的工程相关检测、成品保护、配合协调等、本工程范围内的竣工资料的编制及配合完成竣工验收等相关工作 </w:t>
      </w:r>
      <w:r>
        <w:rPr>
          <w:rFonts w:ascii="宋体" w:hAnsi="宋体"/>
          <w:color w:val="000000"/>
          <w:sz w:val="24"/>
          <w:szCs w:val="24"/>
          <w:highlight w:val="none"/>
        </w:rPr>
        <w:t>。</w:t>
      </w:r>
    </w:p>
    <w:p w14:paraId="7DDF692A">
      <w:pPr>
        <w:spacing w:line="360" w:lineRule="auto"/>
        <w:rPr>
          <w:rFonts w:ascii="宋体" w:hAnsi="宋体"/>
          <w:b/>
          <w:color w:val="000000"/>
          <w:sz w:val="24"/>
          <w:szCs w:val="24"/>
          <w:highlight w:val="none"/>
        </w:rPr>
      </w:pPr>
      <w:bookmarkStart w:id="11" w:name="_Toc351203482"/>
      <w:r>
        <w:rPr>
          <w:rFonts w:ascii="宋体" w:hAnsi="宋体"/>
          <w:b/>
          <w:color w:val="000000"/>
          <w:sz w:val="24"/>
          <w:szCs w:val="24"/>
          <w:highlight w:val="none"/>
        </w:rPr>
        <w:t>二、合同工期</w:t>
      </w:r>
      <w:bookmarkEnd w:id="11"/>
    </w:p>
    <w:p w14:paraId="7ED27EB1">
      <w:pPr>
        <w:spacing w:line="360" w:lineRule="auto"/>
        <w:ind w:firstLine="459"/>
        <w:rPr>
          <w:rFonts w:ascii="宋体" w:hAnsi="宋体"/>
          <w:color w:val="000000"/>
          <w:sz w:val="24"/>
          <w:szCs w:val="24"/>
          <w:highlight w:val="none"/>
        </w:rPr>
      </w:pPr>
      <w:r>
        <w:rPr>
          <w:rFonts w:ascii="宋体" w:hAnsi="宋体"/>
          <w:color w:val="000000"/>
          <w:sz w:val="24"/>
          <w:szCs w:val="24"/>
          <w:highlight w:val="none"/>
        </w:rPr>
        <w:t>计划开工日期：</w:t>
      </w:r>
      <w:r>
        <w:rPr>
          <w:rFonts w:hint="eastAsia" w:ascii="宋体" w:hAnsi="宋体"/>
          <w:color w:val="000000"/>
          <w:sz w:val="24"/>
          <w:szCs w:val="24"/>
          <w:highlight w:val="none"/>
          <w:u w:val="single"/>
        </w:rPr>
        <w:t xml:space="preserve">  2025  </w:t>
      </w:r>
      <w:r>
        <w:rPr>
          <w:rFonts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日。</w:t>
      </w:r>
    </w:p>
    <w:p w14:paraId="6C53580A">
      <w:pPr>
        <w:spacing w:line="360" w:lineRule="auto"/>
        <w:ind w:firstLine="459"/>
        <w:rPr>
          <w:rFonts w:ascii="宋体" w:hAnsi="宋体"/>
          <w:color w:val="000000"/>
          <w:sz w:val="24"/>
          <w:szCs w:val="24"/>
          <w:highlight w:val="none"/>
        </w:rPr>
      </w:pPr>
      <w:r>
        <w:rPr>
          <w:rFonts w:ascii="宋体" w:hAnsi="宋体"/>
          <w:color w:val="000000"/>
          <w:sz w:val="24"/>
          <w:szCs w:val="24"/>
          <w:highlight w:val="none"/>
        </w:rPr>
        <w:t>计划竣工日期：</w:t>
      </w:r>
      <w:r>
        <w:rPr>
          <w:rFonts w:hint="eastAsia" w:ascii="宋体" w:hAnsi="宋体"/>
          <w:color w:val="000000"/>
          <w:sz w:val="24"/>
          <w:szCs w:val="24"/>
          <w:highlight w:val="none"/>
          <w:u w:val="single"/>
        </w:rPr>
        <w:t xml:space="preserve">  2025  </w:t>
      </w:r>
      <w:r>
        <w:rPr>
          <w:rFonts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日。</w:t>
      </w:r>
    </w:p>
    <w:p w14:paraId="54656EB1">
      <w:pPr>
        <w:spacing w:line="360" w:lineRule="auto"/>
        <w:ind w:firstLine="459"/>
        <w:rPr>
          <w:rFonts w:ascii="宋体" w:hAnsi="宋体"/>
          <w:color w:val="000000"/>
          <w:sz w:val="24"/>
          <w:szCs w:val="24"/>
          <w:highlight w:val="none"/>
        </w:rPr>
      </w:pPr>
      <w:r>
        <w:rPr>
          <w:rFonts w:ascii="宋体" w:hAnsi="宋体"/>
          <w:color w:val="000000"/>
          <w:sz w:val="24"/>
          <w:szCs w:val="24"/>
          <w:highlight w:val="none"/>
        </w:rPr>
        <w:t>工期总日历天数：</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天。工期总日历天数与根据前述计划开竣工日期计算的工期天数不一致的，以工期总日历天数为准。</w:t>
      </w:r>
    </w:p>
    <w:p w14:paraId="52546E44">
      <w:pPr>
        <w:spacing w:line="360" w:lineRule="auto"/>
        <w:ind w:firstLine="459"/>
        <w:rPr>
          <w:rFonts w:ascii="宋体" w:hAnsi="宋体"/>
          <w:color w:val="000000"/>
          <w:sz w:val="24"/>
          <w:szCs w:val="24"/>
          <w:highlight w:val="none"/>
        </w:rPr>
      </w:pPr>
      <w:r>
        <w:rPr>
          <w:rFonts w:hint="eastAsia" w:ascii="宋体" w:hAnsi="宋体"/>
          <w:color w:val="000000"/>
          <w:sz w:val="24"/>
          <w:szCs w:val="24"/>
          <w:highlight w:val="none"/>
        </w:rPr>
        <w:t>本项目为在线改造项目，不能影响该楼其他部位正常办公秩序，供应商应自行考虑工期安排及报价。</w:t>
      </w:r>
    </w:p>
    <w:p w14:paraId="0C170B1C">
      <w:pPr>
        <w:spacing w:line="360" w:lineRule="auto"/>
        <w:rPr>
          <w:rFonts w:ascii="宋体" w:hAnsi="宋体"/>
          <w:b/>
          <w:color w:val="000000"/>
          <w:sz w:val="24"/>
          <w:szCs w:val="24"/>
          <w:highlight w:val="none"/>
        </w:rPr>
      </w:pPr>
      <w:bookmarkStart w:id="12" w:name="_Toc351203483"/>
      <w:r>
        <w:rPr>
          <w:rFonts w:ascii="宋体" w:hAnsi="宋体"/>
          <w:b/>
          <w:color w:val="000000"/>
          <w:sz w:val="24"/>
          <w:szCs w:val="24"/>
          <w:highlight w:val="none"/>
        </w:rPr>
        <w:t>三、质量标准</w:t>
      </w:r>
      <w:bookmarkEnd w:id="12"/>
    </w:p>
    <w:p w14:paraId="4F73E5AF">
      <w:pPr>
        <w:spacing w:line="360" w:lineRule="auto"/>
        <w:ind w:firstLine="459"/>
        <w:rPr>
          <w:rFonts w:ascii="宋体" w:hAnsi="宋体"/>
          <w:color w:val="000000"/>
          <w:sz w:val="24"/>
          <w:szCs w:val="24"/>
          <w:highlight w:val="none"/>
        </w:rPr>
      </w:pPr>
      <w:r>
        <w:rPr>
          <w:rFonts w:hint="eastAsia" w:ascii="宋体" w:hAnsi="宋体"/>
          <w:color w:val="000000"/>
          <w:sz w:val="24"/>
          <w:szCs w:val="24"/>
          <w:highlight w:val="none"/>
        </w:rPr>
        <w:t>工程质量符合本工程要求的质量标准为符合现行国家、本市有关工程施工验收规范和标准的要求一次性验收合格100%。</w:t>
      </w:r>
    </w:p>
    <w:p w14:paraId="6B11F3EE">
      <w:pPr>
        <w:spacing w:line="360" w:lineRule="auto"/>
        <w:ind w:firstLine="459"/>
        <w:rPr>
          <w:rFonts w:ascii="宋体" w:hAnsi="宋体"/>
          <w:color w:val="000000"/>
          <w:sz w:val="24"/>
          <w:szCs w:val="24"/>
          <w:highlight w:val="none"/>
        </w:rPr>
      </w:pPr>
      <w:r>
        <w:rPr>
          <w:rFonts w:hint="eastAsia" w:ascii="宋体" w:hAnsi="宋体"/>
          <w:color w:val="000000"/>
          <w:sz w:val="24"/>
          <w:szCs w:val="24"/>
          <w:highlight w:val="none"/>
        </w:rPr>
        <w:t>工程安全文明标准：详见工程技术要求。</w:t>
      </w:r>
    </w:p>
    <w:p w14:paraId="2AC7EB98">
      <w:pPr>
        <w:spacing w:line="360" w:lineRule="auto"/>
        <w:rPr>
          <w:rFonts w:ascii="宋体" w:hAnsi="宋体"/>
          <w:b/>
          <w:color w:val="000000"/>
          <w:sz w:val="24"/>
          <w:szCs w:val="24"/>
          <w:highlight w:val="none"/>
        </w:rPr>
      </w:pPr>
      <w:bookmarkStart w:id="13" w:name="_Toc351203484"/>
      <w:r>
        <w:rPr>
          <w:rFonts w:ascii="宋体" w:hAnsi="宋体"/>
          <w:b/>
          <w:color w:val="000000"/>
          <w:sz w:val="24"/>
          <w:szCs w:val="24"/>
          <w:highlight w:val="none"/>
        </w:rPr>
        <w:t>四、签约合同价与合同价格形式</w:t>
      </w:r>
      <w:bookmarkEnd w:id="13"/>
      <w:r>
        <w:rPr>
          <w:rFonts w:ascii="宋体" w:hAnsi="宋体"/>
          <w:b/>
          <w:color w:val="000000"/>
          <w:sz w:val="24"/>
          <w:szCs w:val="24"/>
          <w:highlight w:val="none"/>
        </w:rPr>
        <w:tab/>
      </w:r>
    </w:p>
    <w:p w14:paraId="52A6030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1.签约合同价为：</w:t>
      </w:r>
    </w:p>
    <w:p w14:paraId="3D346840">
      <w:pPr>
        <w:spacing w:line="360" w:lineRule="auto"/>
        <w:ind w:firstLine="600" w:firstLineChars="250"/>
        <w:rPr>
          <w:rFonts w:ascii="宋体" w:hAnsi="宋体"/>
          <w:color w:val="000000"/>
          <w:sz w:val="24"/>
          <w:szCs w:val="24"/>
          <w:highlight w:val="none"/>
        </w:rPr>
      </w:pPr>
      <w:r>
        <w:rPr>
          <w:rFonts w:ascii="宋体" w:hAnsi="宋体"/>
          <w:color w:val="000000"/>
          <w:sz w:val="24"/>
          <w:szCs w:val="24"/>
          <w:highlight w:val="none"/>
        </w:rPr>
        <w:t>人民币（大写）</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元)；</w:t>
      </w:r>
    </w:p>
    <w:p w14:paraId="15FD9BBF">
      <w:pPr>
        <w:spacing w:line="360" w:lineRule="auto"/>
        <w:ind w:firstLine="600" w:firstLineChars="250"/>
        <w:rPr>
          <w:rFonts w:ascii="宋体" w:hAnsi="宋体"/>
          <w:color w:val="000000"/>
          <w:sz w:val="24"/>
          <w:szCs w:val="24"/>
          <w:highlight w:val="none"/>
        </w:rPr>
      </w:pPr>
      <w:r>
        <w:rPr>
          <w:rFonts w:hint="eastAsia" w:ascii="宋体" w:hAnsi="宋体"/>
          <w:color w:val="000000"/>
          <w:sz w:val="24"/>
          <w:szCs w:val="24"/>
          <w:highlight w:val="none"/>
        </w:rPr>
        <w:t>其中：工程量清单部分计：</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元；</w:t>
      </w:r>
    </w:p>
    <w:p w14:paraId="3D4CAD8D">
      <w:pPr>
        <w:spacing w:line="360" w:lineRule="auto"/>
        <w:ind w:firstLine="600" w:firstLineChars="250"/>
        <w:rPr>
          <w:rFonts w:ascii="宋体" w:hAnsi="宋体"/>
          <w:color w:val="000000"/>
          <w:sz w:val="24"/>
          <w:szCs w:val="24"/>
          <w:highlight w:val="none"/>
        </w:rPr>
      </w:pPr>
      <w:r>
        <w:rPr>
          <w:rFonts w:hint="eastAsia" w:ascii="宋体" w:hAnsi="宋体"/>
          <w:color w:val="000000"/>
          <w:sz w:val="24"/>
          <w:szCs w:val="24"/>
          <w:highlight w:val="none"/>
        </w:rPr>
        <w:t>措施费：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万元（其中：安全保护、文明施工费：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万元，其他措施项目费</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万元。措施费闭口包干，不做调整）；</w:t>
      </w:r>
    </w:p>
    <w:p w14:paraId="41AAD8C8">
      <w:pPr>
        <w:spacing w:line="360" w:lineRule="auto"/>
        <w:ind w:firstLine="600" w:firstLineChars="250"/>
        <w:rPr>
          <w:rFonts w:ascii="宋体" w:hAnsi="宋体"/>
          <w:color w:val="000000"/>
          <w:sz w:val="24"/>
          <w:szCs w:val="24"/>
          <w:highlight w:val="none"/>
        </w:rPr>
      </w:pPr>
      <w:r>
        <w:rPr>
          <w:rFonts w:hint="eastAsia" w:ascii="宋体" w:hAnsi="宋体"/>
          <w:color w:val="000000"/>
          <w:sz w:val="24"/>
          <w:szCs w:val="24"/>
          <w:highlight w:val="none"/>
        </w:rPr>
        <w:t>暂列金额：</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w:t>
      </w:r>
    </w:p>
    <w:p w14:paraId="45D00BF3">
      <w:pPr>
        <w:spacing w:line="360" w:lineRule="auto"/>
        <w:ind w:firstLine="600" w:firstLineChars="250"/>
        <w:rPr>
          <w:rFonts w:ascii="宋体" w:hAnsi="宋体"/>
          <w:color w:val="000000"/>
          <w:sz w:val="24"/>
          <w:szCs w:val="24"/>
          <w:highlight w:val="none"/>
        </w:rPr>
      </w:pPr>
      <w:r>
        <w:rPr>
          <w:rFonts w:hint="eastAsia" w:ascii="宋体" w:hAnsi="宋体"/>
          <w:color w:val="000000"/>
          <w:sz w:val="24"/>
          <w:szCs w:val="24"/>
          <w:highlight w:val="none"/>
        </w:rPr>
        <w:t>税金：</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万元。增值税率为 9 %，如因国家增值税政策原因调整、增值税税率调整的，则以不含增值税总价不变、增值税金额调整为原则调整含增值税总价。</w:t>
      </w:r>
    </w:p>
    <w:p w14:paraId="5967374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2.合同价格形式：</w:t>
      </w:r>
      <w:r>
        <w:rPr>
          <w:rFonts w:hint="eastAsia" w:ascii="宋体" w:hAnsi="宋体"/>
          <w:color w:val="000000"/>
          <w:sz w:val="24"/>
          <w:szCs w:val="24"/>
          <w:highlight w:val="none"/>
          <w:u w:val="single"/>
        </w:rPr>
        <w:t xml:space="preserve"> 暂定总价，综合单价包干</w:t>
      </w:r>
      <w:r>
        <w:rPr>
          <w:rFonts w:ascii="宋体" w:hAnsi="宋体"/>
          <w:color w:val="000000"/>
          <w:sz w:val="24"/>
          <w:szCs w:val="24"/>
          <w:highlight w:val="none"/>
        </w:rPr>
        <w:t>。</w:t>
      </w:r>
    </w:p>
    <w:p w14:paraId="6DDB6141">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3.人工费应与其他工程款分账户管理，</w:t>
      </w:r>
      <w:r>
        <w:rPr>
          <w:rFonts w:hint="eastAsia" w:ascii="宋体" w:hAnsi="宋体"/>
          <w:color w:val="000000"/>
          <w:sz w:val="24"/>
          <w:szCs w:val="24"/>
          <w:highlight w:val="none"/>
          <w:lang w:val="en-US" w:eastAsia="zh-CN"/>
        </w:rPr>
        <w:t>承包人</w:t>
      </w:r>
      <w:r>
        <w:rPr>
          <w:rFonts w:hint="eastAsia" w:ascii="宋体" w:hAnsi="宋体"/>
          <w:color w:val="000000"/>
          <w:sz w:val="24"/>
          <w:szCs w:val="24"/>
          <w:highlight w:val="none"/>
        </w:rPr>
        <w:t>申请开立项目农民工工资专用账户</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专用账户应当以工程建设项目为单位开立。承包人对农民工工资支付负总责，应当在施工合同签订之日起30日内，申请开立项目专用账户。具体要求详见沪住建规范联[2022]5号《关于进一步规范本市工程建设领域农民工工资专用账户管理工作的通知》。</w:t>
      </w:r>
    </w:p>
    <w:p w14:paraId="67C07C00">
      <w:pPr>
        <w:spacing w:line="360" w:lineRule="auto"/>
        <w:rPr>
          <w:rFonts w:ascii="宋体" w:hAnsi="宋体"/>
          <w:b/>
          <w:color w:val="000000"/>
          <w:sz w:val="24"/>
          <w:szCs w:val="24"/>
          <w:highlight w:val="none"/>
        </w:rPr>
      </w:pPr>
      <w:bookmarkStart w:id="14" w:name="_Toc351203485"/>
      <w:r>
        <w:rPr>
          <w:rFonts w:ascii="宋体" w:hAnsi="宋体"/>
          <w:b/>
          <w:color w:val="000000"/>
          <w:sz w:val="24"/>
          <w:szCs w:val="24"/>
          <w:highlight w:val="none"/>
        </w:rPr>
        <w:t>五、</w:t>
      </w:r>
      <w:bookmarkEnd w:id="14"/>
      <w:r>
        <w:rPr>
          <w:rFonts w:ascii="宋体" w:hAnsi="宋体"/>
          <w:b/>
          <w:color w:val="000000"/>
          <w:sz w:val="24"/>
          <w:szCs w:val="24"/>
          <w:highlight w:val="none"/>
        </w:rPr>
        <w:t>项目经理</w:t>
      </w:r>
    </w:p>
    <w:p w14:paraId="5E620AB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承包人项目经理：</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72417B25">
      <w:pPr>
        <w:spacing w:line="360" w:lineRule="auto"/>
        <w:rPr>
          <w:rFonts w:ascii="宋体" w:hAnsi="宋体"/>
          <w:b/>
          <w:color w:val="000000"/>
          <w:sz w:val="24"/>
          <w:szCs w:val="24"/>
          <w:highlight w:val="none"/>
        </w:rPr>
      </w:pPr>
      <w:bookmarkStart w:id="15" w:name="_Toc351203486"/>
      <w:r>
        <w:rPr>
          <w:rFonts w:ascii="宋体" w:hAnsi="宋体"/>
          <w:b/>
          <w:color w:val="000000"/>
          <w:sz w:val="24"/>
          <w:szCs w:val="24"/>
          <w:highlight w:val="none"/>
        </w:rPr>
        <w:t>六、合同文件构成</w:t>
      </w:r>
      <w:bookmarkEnd w:id="15"/>
    </w:p>
    <w:p w14:paraId="551E3FE3">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本协议书与下列文件一起构成合同文件：</w:t>
      </w:r>
    </w:p>
    <w:p w14:paraId="0485D4A4">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（1）中标</w:t>
      </w:r>
      <w:r>
        <w:rPr>
          <w:rFonts w:hint="eastAsia" w:ascii="宋体" w:hAnsi="宋体"/>
          <w:color w:val="000000"/>
          <w:sz w:val="24"/>
          <w:szCs w:val="24"/>
          <w:highlight w:val="none"/>
        </w:rPr>
        <w:t>（或成交）</w:t>
      </w:r>
      <w:r>
        <w:rPr>
          <w:rFonts w:ascii="宋体" w:hAnsi="宋体"/>
          <w:color w:val="000000"/>
          <w:sz w:val="24"/>
          <w:szCs w:val="24"/>
          <w:highlight w:val="none"/>
        </w:rPr>
        <w:t>通知书（如果有）；</w:t>
      </w:r>
    </w:p>
    <w:p w14:paraId="1D3B3DA5">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 xml:space="preserve">（2）报价函及其附录（如果有）； </w:t>
      </w:r>
    </w:p>
    <w:p w14:paraId="04B8A0E9">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（3）专用合同条款及其附件；</w:t>
      </w:r>
    </w:p>
    <w:p w14:paraId="3A01C670">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（4）通用合同条款；</w:t>
      </w:r>
    </w:p>
    <w:p w14:paraId="71268E93">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（5）技术标准和要求</w:t>
      </w:r>
      <w:r>
        <w:rPr>
          <w:rFonts w:hint="eastAsia" w:ascii="宋体" w:hAnsi="宋体"/>
          <w:color w:val="000000"/>
          <w:sz w:val="24"/>
          <w:szCs w:val="24"/>
          <w:highlight w:val="none"/>
        </w:rPr>
        <w:t>，工程规范与技术说明</w:t>
      </w:r>
      <w:r>
        <w:rPr>
          <w:rFonts w:ascii="宋体" w:hAnsi="宋体"/>
          <w:color w:val="000000"/>
          <w:sz w:val="24"/>
          <w:szCs w:val="24"/>
          <w:highlight w:val="none"/>
        </w:rPr>
        <w:t>；</w:t>
      </w:r>
    </w:p>
    <w:p w14:paraId="6F38A013">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（6）图纸；</w:t>
      </w:r>
    </w:p>
    <w:p w14:paraId="6A61F0B6">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（7）已标价工程量清单或预算书；</w:t>
      </w:r>
    </w:p>
    <w:p w14:paraId="600A6193">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（8）</w:t>
      </w:r>
      <w:r>
        <w:rPr>
          <w:rFonts w:hint="eastAsia" w:ascii="宋体" w:hAnsi="宋体"/>
          <w:color w:val="000000"/>
          <w:sz w:val="24"/>
          <w:szCs w:val="24"/>
          <w:highlight w:val="none"/>
        </w:rPr>
        <w:t>竞争性谈判文件、补充竞争性谈判文件（如有）及响应文件；</w:t>
      </w:r>
    </w:p>
    <w:p w14:paraId="4A5C610A">
      <w:pPr>
        <w:autoSpaceDE w:val="0"/>
        <w:autoSpaceDN w:val="0"/>
        <w:adjustRightIn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其他合同文件。</w:t>
      </w:r>
    </w:p>
    <w:p w14:paraId="55039E30">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在合同订立及履行过程中形成的与合同有关的文件均构成合同文件组成部分。</w:t>
      </w:r>
    </w:p>
    <w:p w14:paraId="06D88450">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上述各项合同文件包括合同当事人就该项合同文件所作出的补充和修改，属于同一类内容的文件，应以最新签署的为准。</w:t>
      </w:r>
      <w:r>
        <w:rPr>
          <w:rFonts w:hint="eastAsia" w:ascii="宋体" w:hAnsi="宋体"/>
          <w:color w:val="000000"/>
          <w:sz w:val="24"/>
          <w:szCs w:val="24"/>
          <w:highlight w:val="none"/>
        </w:rPr>
        <w:t>专用合同条款及其附件须经合同当事人签字或盖章。</w:t>
      </w:r>
    </w:p>
    <w:p w14:paraId="3B58A19E">
      <w:pPr>
        <w:spacing w:line="360" w:lineRule="auto"/>
        <w:rPr>
          <w:rFonts w:ascii="宋体" w:hAnsi="宋体"/>
          <w:b/>
          <w:color w:val="000000"/>
          <w:sz w:val="24"/>
          <w:szCs w:val="24"/>
          <w:highlight w:val="none"/>
        </w:rPr>
      </w:pPr>
      <w:bookmarkStart w:id="16" w:name="_Toc351203487"/>
      <w:r>
        <w:rPr>
          <w:rFonts w:ascii="宋体" w:hAnsi="宋体"/>
          <w:b/>
          <w:color w:val="000000"/>
          <w:sz w:val="24"/>
          <w:szCs w:val="24"/>
          <w:highlight w:val="none"/>
        </w:rPr>
        <w:t>七、承诺</w:t>
      </w:r>
      <w:bookmarkEnd w:id="16"/>
    </w:p>
    <w:p w14:paraId="523CF8D9">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1.发包人承诺按照法律规定履行项目审批手续、筹集工程建设资金并按照合同约定的期限和方式支付合同价款。</w:t>
      </w:r>
    </w:p>
    <w:p w14:paraId="08237D7E">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54920A63">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3.发包人和承包人通过招报价形式签订合同的，双方理解并</w:t>
      </w:r>
      <w:r>
        <w:rPr>
          <w:rFonts w:hint="eastAsia" w:ascii="宋体" w:hAnsi="宋体"/>
          <w:bCs/>
          <w:color w:val="000000"/>
          <w:sz w:val="24"/>
          <w:szCs w:val="24"/>
          <w:highlight w:val="none"/>
        </w:rPr>
        <w:t>承诺</w:t>
      </w:r>
      <w:r>
        <w:rPr>
          <w:rFonts w:ascii="宋体" w:hAnsi="宋体"/>
          <w:bCs/>
          <w:color w:val="000000"/>
          <w:sz w:val="24"/>
          <w:szCs w:val="24"/>
          <w:highlight w:val="none"/>
        </w:rPr>
        <w:t>不再就同一工程另行签订与合同实质性内容相背离的协议。</w:t>
      </w:r>
    </w:p>
    <w:p w14:paraId="01A559FA">
      <w:pPr>
        <w:spacing w:line="360" w:lineRule="auto"/>
        <w:rPr>
          <w:rFonts w:ascii="宋体" w:hAnsi="宋体"/>
          <w:bCs/>
          <w:color w:val="000000"/>
          <w:sz w:val="24"/>
          <w:szCs w:val="24"/>
          <w:highlight w:val="none"/>
        </w:rPr>
      </w:pPr>
      <w:bookmarkStart w:id="17" w:name="_Toc351203488"/>
      <w:r>
        <w:rPr>
          <w:rFonts w:ascii="宋体" w:hAnsi="宋体"/>
          <w:b/>
          <w:color w:val="000000"/>
          <w:sz w:val="24"/>
          <w:szCs w:val="24"/>
          <w:highlight w:val="none"/>
        </w:rPr>
        <w:t>八、词语含义</w:t>
      </w:r>
      <w:bookmarkEnd w:id="17"/>
    </w:p>
    <w:p w14:paraId="3F796F69">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本协议书中词语含义与第二部分通用合同条款中赋予的含义相同。</w:t>
      </w:r>
    </w:p>
    <w:p w14:paraId="30B3F3B3">
      <w:pPr>
        <w:spacing w:line="360" w:lineRule="auto"/>
        <w:rPr>
          <w:rFonts w:ascii="宋体" w:hAnsi="宋体"/>
          <w:b/>
          <w:color w:val="000000"/>
          <w:sz w:val="24"/>
          <w:szCs w:val="24"/>
          <w:highlight w:val="none"/>
        </w:rPr>
      </w:pPr>
      <w:bookmarkStart w:id="18" w:name="_Toc351203489"/>
      <w:r>
        <w:rPr>
          <w:rFonts w:ascii="宋体" w:hAnsi="宋体"/>
          <w:b/>
          <w:color w:val="000000"/>
          <w:sz w:val="24"/>
          <w:szCs w:val="24"/>
          <w:highlight w:val="none"/>
        </w:rPr>
        <w:t>九、签订时间</w:t>
      </w:r>
      <w:bookmarkEnd w:id="18"/>
    </w:p>
    <w:p w14:paraId="0298F631">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本合同于</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2025</w:t>
      </w:r>
      <w:r>
        <w:rPr>
          <w:rFonts w:ascii="宋体" w:hAnsi="宋体"/>
          <w:bCs/>
          <w:color w:val="000000"/>
          <w:sz w:val="24"/>
          <w:szCs w:val="24"/>
          <w:highlight w:val="none"/>
          <w:u w:val="single"/>
        </w:rPr>
        <w:t xml:space="preserve">  </w:t>
      </w:r>
      <w:r>
        <w:rPr>
          <w:rFonts w:ascii="宋体" w:hAnsi="宋体"/>
          <w:bCs/>
          <w:color w:val="000000"/>
          <w:sz w:val="24"/>
          <w:szCs w:val="24"/>
          <w:highlight w:val="none"/>
        </w:rPr>
        <w:t>年</w:t>
      </w:r>
      <w:r>
        <w:rPr>
          <w:rFonts w:ascii="宋体" w:hAnsi="宋体"/>
          <w:bCs/>
          <w:color w:val="000000"/>
          <w:sz w:val="24"/>
          <w:szCs w:val="24"/>
          <w:highlight w:val="none"/>
          <w:u w:val="single"/>
        </w:rPr>
        <w:t xml:space="preserve">    </w:t>
      </w:r>
      <w:r>
        <w:rPr>
          <w:rFonts w:ascii="宋体" w:hAnsi="宋体"/>
          <w:bCs/>
          <w:color w:val="000000"/>
          <w:sz w:val="24"/>
          <w:szCs w:val="24"/>
          <w:highlight w:val="none"/>
        </w:rPr>
        <w:t>月</w:t>
      </w:r>
      <w:r>
        <w:rPr>
          <w:rFonts w:ascii="宋体" w:hAnsi="宋体"/>
          <w:bCs/>
          <w:color w:val="000000"/>
          <w:sz w:val="24"/>
          <w:szCs w:val="24"/>
          <w:highlight w:val="none"/>
          <w:u w:val="single"/>
        </w:rPr>
        <w:t xml:space="preserve">    </w:t>
      </w:r>
      <w:r>
        <w:rPr>
          <w:rFonts w:ascii="宋体" w:hAnsi="宋体"/>
          <w:bCs/>
          <w:color w:val="000000"/>
          <w:sz w:val="24"/>
          <w:szCs w:val="24"/>
          <w:highlight w:val="none"/>
        </w:rPr>
        <w:t>日签订。</w:t>
      </w:r>
    </w:p>
    <w:p w14:paraId="41297950">
      <w:pPr>
        <w:spacing w:line="360" w:lineRule="auto"/>
        <w:rPr>
          <w:rFonts w:ascii="宋体" w:hAnsi="宋体"/>
          <w:b/>
          <w:color w:val="000000"/>
          <w:sz w:val="24"/>
          <w:szCs w:val="24"/>
          <w:highlight w:val="none"/>
        </w:rPr>
      </w:pPr>
      <w:bookmarkStart w:id="19" w:name="_Toc351203490"/>
      <w:r>
        <w:rPr>
          <w:rFonts w:ascii="宋体" w:hAnsi="宋体"/>
          <w:b/>
          <w:color w:val="000000"/>
          <w:sz w:val="24"/>
          <w:szCs w:val="24"/>
          <w:highlight w:val="none"/>
        </w:rPr>
        <w:t>十、签订地点</w:t>
      </w:r>
      <w:bookmarkEnd w:id="19"/>
    </w:p>
    <w:p w14:paraId="6F1FBECA">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本合同在</w:t>
      </w:r>
      <w:r>
        <w:rPr>
          <w:rFonts w:ascii="宋体" w:hAnsi="宋体"/>
          <w:bCs/>
          <w:color w:val="000000"/>
          <w:sz w:val="24"/>
          <w:szCs w:val="24"/>
          <w:highlight w:val="none"/>
          <w:u w:val="single"/>
        </w:rPr>
        <w:t xml:space="preserve">   </w:t>
      </w:r>
      <w:r>
        <w:rPr>
          <w:rFonts w:hint="eastAsia" w:ascii="宋体" w:hAnsi="宋体"/>
          <w:sz w:val="24"/>
          <w:highlight w:val="none"/>
          <w:u w:val="single"/>
        </w:rPr>
        <w:t xml:space="preserve">上海市浦东新区 </w:t>
      </w:r>
      <w:r>
        <w:rPr>
          <w:rFonts w:ascii="宋体" w:hAnsi="宋体"/>
          <w:bCs/>
          <w:color w:val="000000"/>
          <w:sz w:val="24"/>
          <w:szCs w:val="24"/>
          <w:highlight w:val="none"/>
          <w:u w:val="single"/>
        </w:rPr>
        <w:t xml:space="preserve">  </w:t>
      </w:r>
      <w:r>
        <w:rPr>
          <w:rFonts w:ascii="宋体" w:hAnsi="宋体"/>
          <w:bCs/>
          <w:color w:val="000000"/>
          <w:sz w:val="24"/>
          <w:szCs w:val="24"/>
          <w:highlight w:val="none"/>
        </w:rPr>
        <w:t>签订。</w:t>
      </w:r>
    </w:p>
    <w:p w14:paraId="2FE73C3A">
      <w:pPr>
        <w:spacing w:line="360" w:lineRule="auto"/>
        <w:rPr>
          <w:rFonts w:ascii="宋体" w:hAnsi="宋体"/>
          <w:b/>
          <w:color w:val="000000"/>
          <w:sz w:val="24"/>
          <w:szCs w:val="24"/>
          <w:highlight w:val="none"/>
        </w:rPr>
      </w:pPr>
      <w:bookmarkStart w:id="20" w:name="_Toc351203491"/>
      <w:r>
        <w:rPr>
          <w:rFonts w:ascii="宋体" w:hAnsi="宋体"/>
          <w:b/>
          <w:color w:val="000000"/>
          <w:sz w:val="24"/>
          <w:szCs w:val="24"/>
          <w:highlight w:val="none"/>
        </w:rPr>
        <w:t>十一、补充协议</w:t>
      </w:r>
      <w:bookmarkEnd w:id="20"/>
    </w:p>
    <w:p w14:paraId="54FE45D3">
      <w:pPr>
        <w:spacing w:line="360" w:lineRule="auto"/>
        <w:ind w:firstLine="480" w:firstLineChars="200"/>
        <w:rPr>
          <w:rFonts w:ascii="宋体" w:hAnsi="宋体"/>
          <w:b/>
          <w:bCs/>
          <w:color w:val="000000"/>
          <w:sz w:val="24"/>
          <w:szCs w:val="24"/>
          <w:highlight w:val="none"/>
        </w:rPr>
      </w:pPr>
      <w:r>
        <w:rPr>
          <w:rFonts w:ascii="宋体" w:hAnsi="宋体"/>
          <w:bCs/>
          <w:color w:val="000000"/>
          <w:sz w:val="24"/>
          <w:szCs w:val="24"/>
          <w:highlight w:val="none"/>
        </w:rPr>
        <w:t>合同未尽事宜，合同当事人另行签订补充协议</w:t>
      </w:r>
      <w:r>
        <w:rPr>
          <w:rFonts w:hint="eastAsia" w:ascii="宋体" w:hAnsi="宋体"/>
          <w:bCs/>
          <w:color w:val="000000"/>
          <w:sz w:val="24"/>
          <w:szCs w:val="24"/>
          <w:highlight w:val="none"/>
        </w:rPr>
        <w:t>，</w:t>
      </w:r>
      <w:r>
        <w:rPr>
          <w:rFonts w:ascii="宋体" w:hAnsi="宋体"/>
          <w:bCs/>
          <w:color w:val="000000"/>
          <w:sz w:val="24"/>
          <w:szCs w:val="24"/>
          <w:highlight w:val="none"/>
        </w:rPr>
        <w:t>补充协议是合同的组成部分。</w:t>
      </w:r>
    </w:p>
    <w:p w14:paraId="39C997CE">
      <w:pPr>
        <w:spacing w:line="360" w:lineRule="auto"/>
        <w:rPr>
          <w:rFonts w:ascii="宋体" w:hAnsi="宋体"/>
          <w:b/>
          <w:color w:val="000000"/>
          <w:sz w:val="24"/>
          <w:szCs w:val="24"/>
          <w:highlight w:val="none"/>
        </w:rPr>
      </w:pPr>
      <w:bookmarkStart w:id="21" w:name="_Toc351203492"/>
      <w:r>
        <w:rPr>
          <w:rFonts w:ascii="宋体" w:hAnsi="宋体"/>
          <w:b/>
          <w:color w:val="000000"/>
          <w:sz w:val="24"/>
          <w:szCs w:val="24"/>
          <w:highlight w:val="none"/>
        </w:rPr>
        <w:t>十二、合同生效</w:t>
      </w:r>
      <w:bookmarkEnd w:id="21"/>
    </w:p>
    <w:p w14:paraId="05D17FBF">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本合同自</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双方签字盖章之日起</w:t>
      </w:r>
      <w:r>
        <w:rPr>
          <w:rFonts w:ascii="宋体" w:hAnsi="宋体"/>
          <w:bCs/>
          <w:color w:val="000000"/>
          <w:sz w:val="24"/>
          <w:szCs w:val="24"/>
          <w:highlight w:val="none"/>
          <w:u w:val="single"/>
        </w:rPr>
        <w:t xml:space="preserve">   </w:t>
      </w:r>
      <w:r>
        <w:rPr>
          <w:rFonts w:ascii="宋体" w:hAnsi="宋体"/>
          <w:bCs/>
          <w:color w:val="000000"/>
          <w:sz w:val="24"/>
          <w:szCs w:val="24"/>
          <w:highlight w:val="none"/>
        </w:rPr>
        <w:t>生效。</w:t>
      </w:r>
    </w:p>
    <w:p w14:paraId="511E87EB">
      <w:pPr>
        <w:spacing w:line="360" w:lineRule="auto"/>
        <w:rPr>
          <w:rFonts w:ascii="宋体" w:hAnsi="宋体"/>
          <w:b/>
          <w:color w:val="000000"/>
          <w:sz w:val="24"/>
          <w:szCs w:val="24"/>
          <w:highlight w:val="none"/>
        </w:rPr>
      </w:pPr>
      <w:bookmarkStart w:id="22" w:name="_Toc351203493"/>
      <w:r>
        <w:rPr>
          <w:rFonts w:ascii="宋体" w:hAnsi="宋体"/>
          <w:b/>
          <w:color w:val="000000"/>
          <w:sz w:val="24"/>
          <w:szCs w:val="24"/>
          <w:highlight w:val="none"/>
        </w:rPr>
        <w:t>十三、合同份数</w:t>
      </w:r>
      <w:bookmarkEnd w:id="22"/>
    </w:p>
    <w:p w14:paraId="1B5131CB">
      <w:pPr>
        <w:spacing w:line="360" w:lineRule="auto"/>
        <w:ind w:firstLine="480" w:firstLineChars="200"/>
        <w:rPr>
          <w:rFonts w:ascii="宋体" w:hAnsi="宋体"/>
          <w:bCs/>
          <w:color w:val="000000"/>
          <w:sz w:val="24"/>
          <w:szCs w:val="24"/>
          <w:highlight w:val="none"/>
        </w:rPr>
      </w:pPr>
      <w:r>
        <w:rPr>
          <w:rFonts w:ascii="宋体" w:hAnsi="宋体"/>
          <w:bCs/>
          <w:color w:val="000000"/>
          <w:sz w:val="24"/>
          <w:szCs w:val="24"/>
          <w:highlight w:val="none"/>
        </w:rPr>
        <w:t>本合同一式</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 xml:space="preserve">5 </w:t>
      </w:r>
      <w:r>
        <w:rPr>
          <w:rFonts w:ascii="宋体" w:hAnsi="宋体"/>
          <w:bCs/>
          <w:color w:val="000000"/>
          <w:sz w:val="24"/>
          <w:szCs w:val="24"/>
          <w:highlight w:val="none"/>
          <w:u w:val="single"/>
        </w:rPr>
        <w:t xml:space="preserve"> </w:t>
      </w:r>
      <w:r>
        <w:rPr>
          <w:rFonts w:ascii="宋体" w:hAnsi="宋体"/>
          <w:bCs/>
          <w:color w:val="000000"/>
          <w:sz w:val="24"/>
          <w:szCs w:val="24"/>
          <w:highlight w:val="none"/>
        </w:rPr>
        <w:t>份，均具有同等法律效力，发包人执</w:t>
      </w:r>
      <w:r>
        <w:rPr>
          <w:rFonts w:ascii="宋体" w:hAnsi="宋体"/>
          <w:bCs/>
          <w:color w:val="000000"/>
          <w:sz w:val="24"/>
          <w:szCs w:val="24"/>
          <w:highlight w:val="none"/>
          <w:u w:val="single"/>
        </w:rPr>
        <w:t xml:space="preserve"> 3</w:t>
      </w:r>
      <w:r>
        <w:rPr>
          <w:rFonts w:hint="eastAsia" w:ascii="宋体" w:hAnsi="宋体"/>
          <w:bCs/>
          <w:color w:val="000000"/>
          <w:sz w:val="24"/>
          <w:szCs w:val="24"/>
          <w:highlight w:val="none"/>
          <w:u w:val="single"/>
        </w:rPr>
        <w:t xml:space="preserve"> </w:t>
      </w:r>
      <w:r>
        <w:rPr>
          <w:rFonts w:ascii="宋体" w:hAnsi="宋体"/>
          <w:bCs/>
          <w:color w:val="000000"/>
          <w:sz w:val="24"/>
          <w:szCs w:val="24"/>
          <w:highlight w:val="none"/>
          <w:u w:val="single"/>
        </w:rPr>
        <w:t xml:space="preserve"> </w:t>
      </w:r>
      <w:r>
        <w:rPr>
          <w:rFonts w:ascii="宋体" w:hAnsi="宋体"/>
          <w:bCs/>
          <w:color w:val="000000"/>
          <w:sz w:val="24"/>
          <w:szCs w:val="24"/>
          <w:highlight w:val="none"/>
        </w:rPr>
        <w:t>份，承包人执</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 xml:space="preserve">2 </w:t>
      </w:r>
      <w:r>
        <w:rPr>
          <w:rFonts w:ascii="宋体" w:hAnsi="宋体"/>
          <w:bCs/>
          <w:color w:val="000000"/>
          <w:sz w:val="24"/>
          <w:szCs w:val="24"/>
          <w:highlight w:val="none"/>
          <w:u w:val="single"/>
        </w:rPr>
        <w:t xml:space="preserve"> </w:t>
      </w:r>
      <w:r>
        <w:rPr>
          <w:rFonts w:ascii="宋体" w:hAnsi="宋体"/>
          <w:bCs/>
          <w:color w:val="000000"/>
          <w:sz w:val="24"/>
          <w:szCs w:val="24"/>
          <w:highlight w:val="none"/>
        </w:rPr>
        <w:t>份。</w:t>
      </w:r>
    </w:p>
    <w:tbl>
      <w:tblPr>
        <w:tblStyle w:val="89"/>
        <w:tblpPr w:leftFromText="180" w:rightFromText="180" w:vertAnchor="text" w:horzAnchor="page" w:tblpX="1537" w:tblpY="72"/>
        <w:tblOverlap w:val="never"/>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5"/>
        <w:gridCol w:w="4485"/>
      </w:tblGrid>
      <w:tr w14:paraId="23A3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85" w:type="dxa"/>
          </w:tcPr>
          <w:p w14:paraId="064F44D7">
            <w:pPr>
              <w:adjustRightInd w:val="0"/>
              <w:snapToGrid w:val="0"/>
              <w:spacing w:line="360" w:lineRule="auto"/>
              <w:rPr>
                <w:rFonts w:ascii="宋体" w:hAnsi="宋体"/>
                <w:sz w:val="24"/>
                <w:highlight w:val="none"/>
              </w:rPr>
            </w:pPr>
            <w:r>
              <w:rPr>
                <w:rFonts w:ascii="宋体" w:hAnsi="宋体"/>
                <w:color w:val="000000"/>
                <w:sz w:val="24"/>
                <w:szCs w:val="24"/>
                <w:highlight w:val="none"/>
              </w:rPr>
              <w:t>发包人</w:t>
            </w:r>
            <w:r>
              <w:rPr>
                <w:rFonts w:hint="eastAsia" w:ascii="宋体" w:hAnsi="宋体"/>
                <w:sz w:val="24"/>
                <w:highlight w:val="none"/>
              </w:rPr>
              <w:t>：</w:t>
            </w:r>
            <w:r>
              <w:rPr>
                <w:rFonts w:hint="eastAsia" w:ascii="宋体" w:hAnsi="宋体"/>
                <w:sz w:val="24"/>
                <w:highlight w:val="none"/>
                <w:u w:val="single"/>
              </w:rPr>
              <w:t xml:space="preserve">   （公章）         </w:t>
            </w:r>
          </w:p>
        </w:tc>
        <w:tc>
          <w:tcPr>
            <w:tcW w:w="4485" w:type="dxa"/>
          </w:tcPr>
          <w:p w14:paraId="66D89FB2">
            <w:pPr>
              <w:adjustRightInd w:val="0"/>
              <w:snapToGrid w:val="0"/>
              <w:spacing w:line="360" w:lineRule="auto"/>
              <w:rPr>
                <w:rFonts w:ascii="宋体" w:hAnsi="宋体"/>
                <w:sz w:val="24"/>
                <w:highlight w:val="none"/>
              </w:rPr>
            </w:pPr>
            <w:r>
              <w:rPr>
                <w:rFonts w:ascii="宋体" w:hAnsi="宋体"/>
                <w:color w:val="000000"/>
                <w:sz w:val="24"/>
                <w:szCs w:val="24"/>
                <w:highlight w:val="none"/>
              </w:rPr>
              <w:t>承包人</w:t>
            </w:r>
            <w:r>
              <w:rPr>
                <w:rFonts w:hint="eastAsia" w:ascii="宋体" w:hAnsi="宋体"/>
                <w:sz w:val="24"/>
                <w:highlight w:val="none"/>
              </w:rPr>
              <w:t>：</w:t>
            </w:r>
            <w:r>
              <w:rPr>
                <w:rFonts w:hint="eastAsia" w:ascii="宋体" w:hAnsi="宋体"/>
                <w:sz w:val="24"/>
                <w:highlight w:val="none"/>
                <w:u w:val="single"/>
              </w:rPr>
              <w:t xml:space="preserve">   （公章）          </w:t>
            </w:r>
          </w:p>
        </w:tc>
      </w:tr>
      <w:tr w14:paraId="5188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485" w:type="dxa"/>
          </w:tcPr>
          <w:p w14:paraId="52CA6A96">
            <w:pPr>
              <w:adjustRightInd w:val="0"/>
              <w:snapToGrid w:val="0"/>
              <w:spacing w:line="360" w:lineRule="auto"/>
              <w:rPr>
                <w:rFonts w:ascii="宋体" w:hAnsi="宋体"/>
                <w:sz w:val="24"/>
                <w:highlight w:val="none"/>
              </w:rPr>
            </w:pPr>
            <w:r>
              <w:rPr>
                <w:rFonts w:hint="eastAsia" w:ascii="宋体" w:hAnsi="宋体"/>
                <w:color w:val="000000"/>
                <w:sz w:val="24"/>
                <w:szCs w:val="24"/>
                <w:highlight w:val="none"/>
              </w:rPr>
              <w:t>法定代表人或其委托代理人</w:t>
            </w:r>
            <w:r>
              <w:rPr>
                <w:rFonts w:hint="eastAsia" w:ascii="宋体" w:hAnsi="宋体"/>
                <w:sz w:val="24"/>
                <w:highlight w:val="none"/>
              </w:rPr>
              <w:t>：</w:t>
            </w:r>
          </w:p>
          <w:p w14:paraId="488E7398">
            <w:pPr>
              <w:adjustRightInd w:val="0"/>
              <w:snapToGrid w:val="0"/>
              <w:spacing w:line="360" w:lineRule="auto"/>
              <w:rPr>
                <w:rFonts w:ascii="宋体" w:hAnsi="宋体"/>
                <w:sz w:val="24"/>
                <w:highlight w:val="none"/>
              </w:rPr>
            </w:pPr>
            <w:r>
              <w:rPr>
                <w:rFonts w:hint="eastAsia" w:ascii="宋体" w:hAnsi="宋体"/>
                <w:sz w:val="24"/>
                <w:highlight w:val="none"/>
                <w:u w:val="single"/>
              </w:rPr>
              <w:t xml:space="preserve">（签字）                    </w:t>
            </w:r>
          </w:p>
        </w:tc>
        <w:tc>
          <w:tcPr>
            <w:tcW w:w="4485" w:type="dxa"/>
          </w:tcPr>
          <w:p w14:paraId="6C13AEE2">
            <w:pPr>
              <w:adjustRightInd w:val="0"/>
              <w:snapToGrid w:val="0"/>
              <w:spacing w:line="360" w:lineRule="auto"/>
              <w:rPr>
                <w:rFonts w:ascii="宋体" w:hAnsi="宋体"/>
                <w:sz w:val="24"/>
                <w:highlight w:val="none"/>
              </w:rPr>
            </w:pPr>
            <w:r>
              <w:rPr>
                <w:rFonts w:hint="eastAsia" w:ascii="宋体" w:hAnsi="宋体"/>
                <w:color w:val="000000"/>
                <w:sz w:val="24"/>
                <w:szCs w:val="24"/>
                <w:highlight w:val="none"/>
              </w:rPr>
              <w:t>法定代表人或其委托代理人</w:t>
            </w:r>
            <w:r>
              <w:rPr>
                <w:rFonts w:hint="eastAsia" w:ascii="宋体" w:hAnsi="宋体"/>
                <w:sz w:val="24"/>
                <w:highlight w:val="none"/>
              </w:rPr>
              <w:t>：</w:t>
            </w:r>
          </w:p>
          <w:p w14:paraId="12915C75">
            <w:pPr>
              <w:adjustRightInd w:val="0"/>
              <w:snapToGrid w:val="0"/>
              <w:spacing w:line="360" w:lineRule="auto"/>
              <w:rPr>
                <w:rFonts w:ascii="宋体" w:hAnsi="宋体"/>
                <w:sz w:val="24"/>
                <w:highlight w:val="none"/>
              </w:rPr>
            </w:pPr>
            <w:r>
              <w:rPr>
                <w:rFonts w:hint="eastAsia" w:ascii="宋体" w:hAnsi="宋体"/>
                <w:sz w:val="24"/>
                <w:highlight w:val="none"/>
                <w:u w:val="single"/>
              </w:rPr>
              <w:t xml:space="preserve">（签字）                     </w:t>
            </w:r>
          </w:p>
        </w:tc>
      </w:tr>
      <w:tr w14:paraId="479D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485" w:type="dxa"/>
          </w:tcPr>
          <w:p w14:paraId="4CE8D0C0">
            <w:pPr>
              <w:adjustRightInd w:val="0"/>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t>组织机构代码：</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tc>
        <w:tc>
          <w:tcPr>
            <w:tcW w:w="4485" w:type="dxa"/>
          </w:tcPr>
          <w:p w14:paraId="30E82E02">
            <w:pPr>
              <w:adjustRightInd w:val="0"/>
              <w:snapToGrid w:val="0"/>
              <w:spacing w:line="360" w:lineRule="auto"/>
              <w:rPr>
                <w:rFonts w:ascii="宋体" w:hAnsi="宋体"/>
                <w:color w:val="000000"/>
                <w:sz w:val="24"/>
                <w:szCs w:val="24"/>
                <w:highlight w:val="none"/>
              </w:rPr>
            </w:pPr>
            <w:r>
              <w:rPr>
                <w:rFonts w:hint="eastAsia" w:ascii="宋体" w:hAnsi="宋体"/>
                <w:color w:val="000000"/>
                <w:sz w:val="24"/>
                <w:szCs w:val="24"/>
                <w:highlight w:val="none"/>
              </w:rPr>
              <w:t>组织机构代码：</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tc>
      </w:tr>
      <w:tr w14:paraId="03FE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85" w:type="dxa"/>
          </w:tcPr>
          <w:p w14:paraId="52B12F81">
            <w:pPr>
              <w:adjustRightInd w:val="0"/>
              <w:snapToGrid w:val="0"/>
              <w:spacing w:line="360" w:lineRule="auto"/>
              <w:rPr>
                <w:rFonts w:ascii="宋体" w:hAnsi="宋体"/>
                <w:sz w:val="24"/>
                <w:highlight w:val="none"/>
              </w:rPr>
            </w:pPr>
            <w:r>
              <w:rPr>
                <w:rFonts w:ascii="宋体" w:hAnsi="宋体"/>
                <w:color w:val="000000"/>
                <w:sz w:val="24"/>
                <w:szCs w:val="24"/>
                <w:highlight w:val="none"/>
              </w:rPr>
              <w:t>地  址</w:t>
            </w:r>
            <w:r>
              <w:rPr>
                <w:rFonts w:hint="eastAsia" w:ascii="宋体" w:hAnsi="宋体"/>
                <w:sz w:val="24"/>
                <w:highlight w:val="none"/>
              </w:rPr>
              <w:t>：</w:t>
            </w:r>
            <w:r>
              <w:rPr>
                <w:rFonts w:hint="eastAsia" w:ascii="宋体" w:hAnsi="宋体"/>
                <w:sz w:val="24"/>
                <w:highlight w:val="none"/>
                <w:u w:val="single"/>
              </w:rPr>
              <w:t xml:space="preserve">                      </w:t>
            </w:r>
          </w:p>
        </w:tc>
        <w:tc>
          <w:tcPr>
            <w:tcW w:w="4485" w:type="dxa"/>
          </w:tcPr>
          <w:p w14:paraId="5B3348C0">
            <w:pPr>
              <w:adjustRightInd w:val="0"/>
              <w:snapToGrid w:val="0"/>
              <w:spacing w:line="360" w:lineRule="auto"/>
              <w:rPr>
                <w:rFonts w:ascii="宋体" w:hAnsi="宋体"/>
                <w:sz w:val="24"/>
                <w:highlight w:val="none"/>
              </w:rPr>
            </w:pPr>
            <w:r>
              <w:rPr>
                <w:rFonts w:ascii="宋体" w:hAnsi="宋体"/>
                <w:color w:val="000000"/>
                <w:sz w:val="24"/>
                <w:szCs w:val="24"/>
                <w:highlight w:val="none"/>
              </w:rPr>
              <w:t>地  址</w:t>
            </w:r>
            <w:r>
              <w:rPr>
                <w:rFonts w:hint="eastAsia" w:ascii="宋体" w:hAnsi="宋体"/>
                <w:sz w:val="24"/>
                <w:highlight w:val="none"/>
              </w:rPr>
              <w:t xml:space="preserve">： </w:t>
            </w:r>
            <w:r>
              <w:rPr>
                <w:rFonts w:hint="eastAsia" w:ascii="宋体" w:hAnsi="宋体"/>
                <w:sz w:val="24"/>
                <w:highlight w:val="none"/>
                <w:u w:val="single"/>
              </w:rPr>
              <w:t xml:space="preserve">                      </w:t>
            </w:r>
          </w:p>
        </w:tc>
      </w:tr>
      <w:tr w14:paraId="4C38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85" w:type="dxa"/>
          </w:tcPr>
          <w:p w14:paraId="4FD8D5C3">
            <w:pPr>
              <w:adjustRightInd w:val="0"/>
              <w:snapToGrid w:val="0"/>
              <w:spacing w:line="360" w:lineRule="auto"/>
              <w:rPr>
                <w:rFonts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p>
        </w:tc>
        <w:tc>
          <w:tcPr>
            <w:tcW w:w="4485" w:type="dxa"/>
          </w:tcPr>
          <w:p w14:paraId="23AAC84F">
            <w:pPr>
              <w:adjustRightInd w:val="0"/>
              <w:snapToGrid w:val="0"/>
              <w:spacing w:line="360" w:lineRule="auto"/>
              <w:rPr>
                <w:rFonts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p>
        </w:tc>
      </w:tr>
      <w:tr w14:paraId="6414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85" w:type="dxa"/>
          </w:tcPr>
          <w:p w14:paraId="1F1477F7">
            <w:pPr>
              <w:adjustRightInd w:val="0"/>
              <w:snapToGrid w:val="0"/>
              <w:spacing w:line="360" w:lineRule="auto"/>
              <w:rPr>
                <w:rFonts w:ascii="宋体" w:hAnsi="宋体"/>
                <w:sz w:val="24"/>
                <w:highlight w:val="none"/>
              </w:rPr>
            </w:pPr>
            <w:r>
              <w:rPr>
                <w:rFonts w:hint="eastAsia" w:ascii="宋体" w:hAnsi="宋体"/>
                <w:sz w:val="24"/>
                <w:highlight w:val="none"/>
              </w:rPr>
              <w:t>开户银行：</w:t>
            </w:r>
            <w:r>
              <w:rPr>
                <w:rFonts w:hint="eastAsia" w:ascii="宋体" w:hAnsi="宋体"/>
                <w:sz w:val="24"/>
                <w:highlight w:val="none"/>
                <w:u w:val="single"/>
              </w:rPr>
              <w:t xml:space="preserve">                  </w:t>
            </w:r>
          </w:p>
        </w:tc>
        <w:tc>
          <w:tcPr>
            <w:tcW w:w="4485" w:type="dxa"/>
          </w:tcPr>
          <w:p w14:paraId="21A3E084">
            <w:pPr>
              <w:adjustRightInd w:val="0"/>
              <w:snapToGrid w:val="0"/>
              <w:spacing w:line="360" w:lineRule="auto"/>
              <w:rPr>
                <w:rFonts w:ascii="宋体" w:hAnsi="宋体"/>
                <w:sz w:val="24"/>
                <w:highlight w:val="none"/>
              </w:rPr>
            </w:pPr>
            <w:r>
              <w:rPr>
                <w:rFonts w:hint="eastAsia" w:ascii="宋体" w:hAnsi="宋体"/>
                <w:sz w:val="24"/>
                <w:highlight w:val="none"/>
              </w:rPr>
              <w:t>开户银行：</w:t>
            </w:r>
            <w:r>
              <w:rPr>
                <w:rFonts w:hint="eastAsia" w:ascii="宋体" w:hAnsi="宋体"/>
                <w:sz w:val="24"/>
                <w:highlight w:val="none"/>
                <w:u w:val="single"/>
              </w:rPr>
              <w:t xml:space="preserve">                   </w:t>
            </w:r>
          </w:p>
        </w:tc>
      </w:tr>
      <w:tr w14:paraId="382B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485" w:type="dxa"/>
          </w:tcPr>
          <w:p w14:paraId="47F677FD">
            <w:pPr>
              <w:adjustRightInd w:val="0"/>
              <w:snapToGrid w:val="0"/>
              <w:spacing w:line="360" w:lineRule="auto"/>
              <w:rPr>
                <w:rFonts w:ascii="宋体" w:hAnsi="宋体"/>
                <w:sz w:val="24"/>
                <w:highlight w:val="none"/>
              </w:rPr>
            </w:pPr>
            <w:r>
              <w:rPr>
                <w:rFonts w:hint="eastAsia" w:ascii="宋体" w:hAnsi="宋体"/>
                <w:sz w:val="24"/>
                <w:highlight w:val="none"/>
              </w:rPr>
              <w:t>账号：</w:t>
            </w:r>
            <w:r>
              <w:rPr>
                <w:rFonts w:hint="eastAsia" w:ascii="宋体" w:hAnsi="宋体"/>
                <w:sz w:val="24"/>
                <w:highlight w:val="none"/>
                <w:u w:val="single"/>
              </w:rPr>
              <w:t xml:space="preserve">                      </w:t>
            </w:r>
          </w:p>
        </w:tc>
        <w:tc>
          <w:tcPr>
            <w:tcW w:w="4485" w:type="dxa"/>
          </w:tcPr>
          <w:p w14:paraId="736439F8">
            <w:pPr>
              <w:adjustRightInd w:val="0"/>
              <w:snapToGrid w:val="0"/>
              <w:spacing w:line="360" w:lineRule="auto"/>
              <w:rPr>
                <w:rFonts w:ascii="宋体" w:hAnsi="宋体"/>
                <w:sz w:val="24"/>
                <w:highlight w:val="none"/>
              </w:rPr>
            </w:pPr>
            <w:r>
              <w:rPr>
                <w:rFonts w:hint="eastAsia" w:ascii="宋体" w:hAnsi="宋体"/>
                <w:sz w:val="24"/>
                <w:highlight w:val="none"/>
              </w:rPr>
              <w:t>账号：</w:t>
            </w:r>
            <w:r>
              <w:rPr>
                <w:rFonts w:hint="eastAsia" w:ascii="宋体" w:hAnsi="宋体"/>
                <w:sz w:val="24"/>
                <w:highlight w:val="none"/>
                <w:u w:val="single"/>
              </w:rPr>
              <w:t xml:space="preserve">                       </w:t>
            </w:r>
          </w:p>
        </w:tc>
      </w:tr>
      <w:tr w14:paraId="47B1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485" w:type="dxa"/>
          </w:tcPr>
          <w:p w14:paraId="013DC0F5">
            <w:pPr>
              <w:adjustRightInd w:val="0"/>
              <w:snapToGrid w:val="0"/>
              <w:spacing w:line="360" w:lineRule="auto"/>
              <w:rPr>
                <w:rFonts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p>
        </w:tc>
        <w:tc>
          <w:tcPr>
            <w:tcW w:w="4485" w:type="dxa"/>
          </w:tcPr>
          <w:p w14:paraId="1D198CB6">
            <w:pPr>
              <w:adjustRightInd w:val="0"/>
              <w:snapToGrid w:val="0"/>
              <w:spacing w:line="360" w:lineRule="auto"/>
              <w:rPr>
                <w:rFonts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p>
        </w:tc>
      </w:tr>
      <w:tr w14:paraId="7DBE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485" w:type="dxa"/>
          </w:tcPr>
          <w:p w14:paraId="002CD3EA">
            <w:pPr>
              <w:adjustRightInd w:val="0"/>
              <w:snapToGrid w:val="0"/>
              <w:spacing w:line="360" w:lineRule="auto"/>
              <w:rPr>
                <w:rFonts w:ascii="宋体" w:hAnsi="宋体"/>
                <w:sz w:val="24"/>
                <w:highlight w:val="none"/>
              </w:rPr>
            </w:pPr>
            <w:r>
              <w:rPr>
                <w:rFonts w:hint="eastAsia" w:ascii="宋体" w:hAnsi="宋体"/>
                <w:sz w:val="24"/>
                <w:highlight w:val="none"/>
              </w:rPr>
              <w:t>电子邮箱：</w:t>
            </w:r>
            <w:r>
              <w:rPr>
                <w:rFonts w:hint="eastAsia" w:ascii="宋体" w:hAnsi="宋体"/>
                <w:sz w:val="24"/>
                <w:highlight w:val="none"/>
                <w:u w:val="single"/>
              </w:rPr>
              <w:t xml:space="preserve">                  </w:t>
            </w:r>
          </w:p>
        </w:tc>
        <w:tc>
          <w:tcPr>
            <w:tcW w:w="4485" w:type="dxa"/>
          </w:tcPr>
          <w:p w14:paraId="55FB9377">
            <w:pPr>
              <w:adjustRightInd w:val="0"/>
              <w:snapToGrid w:val="0"/>
              <w:spacing w:line="360" w:lineRule="auto"/>
              <w:rPr>
                <w:rFonts w:ascii="宋体" w:hAnsi="宋体"/>
                <w:sz w:val="24"/>
                <w:highlight w:val="none"/>
              </w:rPr>
            </w:pPr>
            <w:r>
              <w:rPr>
                <w:rFonts w:hint="eastAsia" w:ascii="宋体" w:hAnsi="宋体"/>
                <w:sz w:val="24"/>
                <w:highlight w:val="none"/>
              </w:rPr>
              <w:t>电子邮箱：</w:t>
            </w:r>
            <w:r>
              <w:rPr>
                <w:rFonts w:hint="eastAsia" w:ascii="宋体" w:hAnsi="宋体"/>
                <w:sz w:val="24"/>
                <w:highlight w:val="none"/>
                <w:u w:val="single"/>
              </w:rPr>
              <w:t xml:space="preserve">                   </w:t>
            </w:r>
          </w:p>
        </w:tc>
      </w:tr>
    </w:tbl>
    <w:p w14:paraId="79721129">
      <w:pPr>
        <w:pStyle w:val="5"/>
        <w:numPr>
          <w:ilvl w:val="0"/>
          <w:numId w:val="0"/>
        </w:numPr>
        <w:jc w:val="center"/>
        <w:rPr>
          <w:rFonts w:ascii="宋体" w:hAnsi="宋体" w:eastAsia="宋体"/>
          <w:sz w:val="24"/>
          <w:szCs w:val="24"/>
          <w:highlight w:val="none"/>
        </w:rPr>
      </w:pPr>
      <w:r>
        <w:rPr>
          <w:rFonts w:ascii="宋体" w:hAnsi="宋体" w:eastAsia="宋体"/>
          <w:highlight w:val="none"/>
        </w:rPr>
        <w:br w:type="page"/>
      </w:r>
      <w:bookmarkStart w:id="23" w:name="_Toc351203494"/>
      <w:r>
        <w:rPr>
          <w:rFonts w:ascii="宋体" w:hAnsi="宋体" w:eastAsia="宋体"/>
          <w:sz w:val="24"/>
          <w:szCs w:val="24"/>
          <w:highlight w:val="none"/>
        </w:rPr>
        <w:t>第二部分 通用合同条款</w:t>
      </w:r>
      <w:bookmarkEnd w:id="23"/>
      <w:bookmarkStart w:id="24" w:name="_Toc337558727"/>
    </w:p>
    <w:p w14:paraId="28093D58">
      <w:pPr>
        <w:pStyle w:val="7"/>
        <w:spacing w:before="120" w:after="120" w:line="360" w:lineRule="auto"/>
        <w:rPr>
          <w:rFonts w:ascii="宋体" w:hAnsi="宋体"/>
          <w:b w:val="0"/>
          <w:color w:val="000000"/>
          <w:szCs w:val="24"/>
          <w:highlight w:val="none"/>
        </w:rPr>
      </w:pPr>
      <w:bookmarkStart w:id="25" w:name="_Toc351203495"/>
      <w:r>
        <w:rPr>
          <w:rFonts w:ascii="宋体" w:hAnsi="宋体"/>
          <w:b w:val="0"/>
          <w:color w:val="000000"/>
          <w:szCs w:val="24"/>
          <w:highlight w:val="none"/>
        </w:rPr>
        <w:t>1.</w:t>
      </w:r>
      <w:bookmarkStart w:id="26" w:name="_Toc303538974"/>
      <w:bookmarkEnd w:id="26"/>
      <w:bookmarkStart w:id="27" w:name="_Toc303538975"/>
      <w:bookmarkEnd w:id="27"/>
      <w:bookmarkStart w:id="28" w:name="_Toc303538973"/>
      <w:bookmarkEnd w:id="28"/>
      <w:bookmarkStart w:id="29" w:name="_Toc303538972"/>
      <w:bookmarkEnd w:id="29"/>
      <w:bookmarkStart w:id="30" w:name="_Toc303538976"/>
      <w:bookmarkEnd w:id="30"/>
      <w:bookmarkStart w:id="31" w:name="_Toc296346528"/>
      <w:bookmarkStart w:id="32" w:name="_Toc296503027"/>
      <w:r>
        <w:rPr>
          <w:rFonts w:ascii="宋体" w:hAnsi="宋体"/>
          <w:b w:val="0"/>
          <w:color w:val="000000"/>
          <w:szCs w:val="24"/>
          <w:highlight w:val="none"/>
        </w:rPr>
        <w:t xml:space="preserve"> 一般约定</w:t>
      </w:r>
      <w:bookmarkEnd w:id="24"/>
      <w:bookmarkEnd w:id="25"/>
      <w:bookmarkEnd w:id="31"/>
      <w:bookmarkEnd w:id="32"/>
    </w:p>
    <w:p w14:paraId="05831EBB">
      <w:pPr>
        <w:pStyle w:val="8"/>
        <w:spacing w:before="120" w:after="120" w:line="360" w:lineRule="auto"/>
        <w:ind w:firstLine="480" w:firstLineChars="200"/>
        <w:rPr>
          <w:rFonts w:ascii="宋体" w:hAnsi="宋体"/>
          <w:b w:val="0"/>
          <w:color w:val="000000"/>
          <w:sz w:val="24"/>
          <w:szCs w:val="24"/>
          <w:highlight w:val="none"/>
        </w:rPr>
      </w:pPr>
      <w:bookmarkStart w:id="33" w:name="_Toc337558728"/>
      <w:bookmarkStart w:id="34" w:name="_Toc296503028"/>
      <w:bookmarkStart w:id="35" w:name="_Toc296346529"/>
      <w:bookmarkStart w:id="36" w:name="_Toc351203496"/>
      <w:r>
        <w:rPr>
          <w:rFonts w:ascii="宋体" w:hAnsi="宋体"/>
          <w:b w:val="0"/>
          <w:color w:val="000000"/>
          <w:sz w:val="24"/>
          <w:szCs w:val="24"/>
          <w:highlight w:val="none"/>
        </w:rPr>
        <w:t>1.1词语定义</w:t>
      </w:r>
      <w:bookmarkEnd w:id="33"/>
      <w:bookmarkEnd w:id="34"/>
      <w:bookmarkEnd w:id="35"/>
      <w:r>
        <w:rPr>
          <w:rFonts w:ascii="宋体" w:hAnsi="宋体"/>
          <w:b w:val="0"/>
          <w:color w:val="000000"/>
          <w:sz w:val="24"/>
          <w:szCs w:val="24"/>
          <w:highlight w:val="none"/>
        </w:rPr>
        <w:t>与解释</w:t>
      </w:r>
      <w:bookmarkEnd w:id="36"/>
    </w:p>
    <w:p w14:paraId="123EA38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合同协议书、通用合同条款、专用合同条款中的下列词语具有本款所赋予的含义：</w:t>
      </w:r>
    </w:p>
    <w:p w14:paraId="081469B5">
      <w:pPr>
        <w:autoSpaceDE w:val="0"/>
        <w:autoSpaceDN w:val="0"/>
        <w:adjustRightInd w:val="0"/>
        <w:spacing w:line="360" w:lineRule="auto"/>
        <w:jc w:val="left"/>
        <w:rPr>
          <w:rFonts w:ascii="宋体" w:hAnsi="宋体"/>
          <w:color w:val="000000"/>
          <w:kern w:val="0"/>
          <w:sz w:val="24"/>
          <w:szCs w:val="24"/>
          <w:highlight w:val="none"/>
        </w:rPr>
      </w:pPr>
      <w:r>
        <w:rPr>
          <w:rFonts w:ascii="宋体" w:hAnsi="宋体"/>
          <w:color w:val="000000"/>
          <w:kern w:val="0"/>
          <w:sz w:val="24"/>
          <w:szCs w:val="24"/>
          <w:highlight w:val="none"/>
        </w:rPr>
        <w:t xml:space="preserve">    1.1.1 合同</w:t>
      </w:r>
    </w:p>
    <w:p w14:paraId="1227FB4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1.1.1.1 合同：是指根据法律规定和合同当事人约定具有约束力的文件，构成合同的文件包括合同协议书、中标通知书（如果有）、报价函及其附录（如果有）、专用合同条款</w:t>
      </w:r>
      <w:r>
        <w:rPr>
          <w:rFonts w:ascii="宋体" w:hAnsi="宋体"/>
          <w:color w:val="000000"/>
          <w:sz w:val="24"/>
          <w:szCs w:val="24"/>
          <w:highlight w:val="none"/>
        </w:rPr>
        <w:t>及其附件</w:t>
      </w:r>
      <w:r>
        <w:rPr>
          <w:rFonts w:ascii="宋体" w:hAnsi="宋体"/>
          <w:color w:val="000000"/>
          <w:kern w:val="0"/>
          <w:sz w:val="24"/>
          <w:szCs w:val="24"/>
          <w:highlight w:val="none"/>
        </w:rPr>
        <w:t>、通用合同条款、技术标准和要求、图纸、已标价工程量清单或预算书以及其他合同文件。</w:t>
      </w:r>
    </w:p>
    <w:p w14:paraId="22E09BC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1.1.1.2 合同协议书：是指构成合同的由发包人和承包人共同签署的称为“合同协议书”的书面文件</w:t>
      </w:r>
      <w:r>
        <w:rPr>
          <w:rFonts w:hint="eastAsia" w:ascii="宋体" w:hAnsi="宋体"/>
          <w:color w:val="000000"/>
          <w:kern w:val="0"/>
          <w:sz w:val="24"/>
          <w:szCs w:val="24"/>
          <w:highlight w:val="none"/>
        </w:rPr>
        <w:t>。</w:t>
      </w:r>
    </w:p>
    <w:p w14:paraId="1DC5F7B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1.1.1.3 中标通知书：是指构成合同的</w:t>
      </w:r>
      <w:r>
        <w:rPr>
          <w:rFonts w:hint="eastAsia" w:ascii="宋体" w:hAnsi="宋体"/>
          <w:color w:val="000000"/>
          <w:kern w:val="0"/>
          <w:sz w:val="24"/>
          <w:szCs w:val="24"/>
          <w:highlight w:val="none"/>
        </w:rPr>
        <w:t>由</w:t>
      </w:r>
      <w:r>
        <w:rPr>
          <w:rFonts w:ascii="宋体" w:hAnsi="宋体"/>
          <w:color w:val="000000"/>
          <w:kern w:val="0"/>
          <w:sz w:val="24"/>
          <w:szCs w:val="24"/>
          <w:highlight w:val="none"/>
        </w:rPr>
        <w:t>发包人通知承包人中标的书面文件。</w:t>
      </w:r>
    </w:p>
    <w:p w14:paraId="4EBD051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1.1.1.4 报价函：是指构成合同的由承包人填写并签署的用于报价的称为“报价函”的文件。</w:t>
      </w:r>
    </w:p>
    <w:p w14:paraId="447831F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1.1.1.5 报价函附录：是指构成合同的附在报价函后的称为“报价函附录”的文件。</w:t>
      </w:r>
    </w:p>
    <w:p w14:paraId="5222CEC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1.1.1.6 技术标准和要求：是指构成合同的施工应当遵守的或指导施工的国家、行业或地方的技术标准和要求，以及合同约定的技术标准和要求。</w:t>
      </w:r>
    </w:p>
    <w:p w14:paraId="1C63FC5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1.1.1.7 图纸：是指构成合同的图纸，包括由发包人按照合同约定提供或经发包人批准的设计文件、</w:t>
      </w:r>
      <w:r>
        <w:rPr>
          <w:rFonts w:hint="eastAsia" w:ascii="宋体" w:hAnsi="宋体"/>
          <w:color w:val="000000"/>
          <w:kern w:val="0"/>
          <w:sz w:val="24"/>
          <w:szCs w:val="24"/>
          <w:highlight w:val="none"/>
        </w:rPr>
        <w:t>施工图、</w:t>
      </w:r>
      <w:r>
        <w:rPr>
          <w:rFonts w:ascii="宋体" w:hAnsi="宋体"/>
          <w:color w:val="000000"/>
          <w:kern w:val="0"/>
          <w:sz w:val="24"/>
          <w:szCs w:val="24"/>
          <w:highlight w:val="none"/>
        </w:rPr>
        <w:t>鸟瞰图及模型等，</w:t>
      </w:r>
      <w:r>
        <w:rPr>
          <w:rFonts w:hint="eastAsia" w:ascii="宋体" w:hAnsi="宋体"/>
          <w:color w:val="000000"/>
          <w:kern w:val="0"/>
          <w:sz w:val="24"/>
          <w:szCs w:val="24"/>
          <w:highlight w:val="none"/>
        </w:rPr>
        <w:t>以及在合同履行过程中形成的图纸文件。图纸</w:t>
      </w:r>
      <w:r>
        <w:rPr>
          <w:rFonts w:ascii="宋体" w:hAnsi="宋体"/>
          <w:color w:val="000000"/>
          <w:kern w:val="0"/>
          <w:sz w:val="24"/>
          <w:szCs w:val="24"/>
          <w:highlight w:val="none"/>
        </w:rPr>
        <w:t>应当按照法律规定审查合格。</w:t>
      </w:r>
    </w:p>
    <w:p w14:paraId="42D47118">
      <w:pPr>
        <w:autoSpaceDE w:val="0"/>
        <w:autoSpaceDN w:val="0"/>
        <w:adjustRightInd w:val="0"/>
        <w:spacing w:line="360" w:lineRule="auto"/>
        <w:ind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1.1.1.8 已标价工程量清单：是指构成合同的由承包人按照规定的格式和要求填写并标明价格的工程量清单，包括说明和表格。</w:t>
      </w:r>
    </w:p>
    <w:p w14:paraId="6B03773D">
      <w:pPr>
        <w:autoSpaceDE w:val="0"/>
        <w:autoSpaceDN w:val="0"/>
        <w:adjustRightInd w:val="0"/>
        <w:spacing w:line="360" w:lineRule="auto"/>
        <w:ind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1.1.1.9 预算书：是指构成合同的由承包人按照发包人规定的格式和要求编制的工程预算文件。</w:t>
      </w:r>
    </w:p>
    <w:p w14:paraId="7F0250F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16E95D5E">
      <w:pPr>
        <w:autoSpaceDE w:val="0"/>
        <w:autoSpaceDN w:val="0"/>
        <w:adjustRightInd w:val="0"/>
        <w:spacing w:line="360" w:lineRule="auto"/>
        <w:jc w:val="left"/>
        <w:rPr>
          <w:rFonts w:ascii="宋体" w:hAnsi="宋体"/>
          <w:color w:val="000000"/>
          <w:kern w:val="0"/>
          <w:sz w:val="24"/>
          <w:szCs w:val="24"/>
          <w:highlight w:val="none"/>
        </w:rPr>
      </w:pPr>
      <w:r>
        <w:rPr>
          <w:rFonts w:ascii="宋体" w:hAnsi="宋体"/>
          <w:color w:val="000000"/>
          <w:kern w:val="0"/>
          <w:sz w:val="24"/>
          <w:szCs w:val="24"/>
          <w:highlight w:val="none"/>
        </w:rPr>
        <w:t xml:space="preserve">    1.1.2 合同当事人及其他相关方</w:t>
      </w:r>
    </w:p>
    <w:p w14:paraId="11AF8AD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1.1.2.1 合同当事人：是指发包人和（或）承包人。</w:t>
      </w:r>
    </w:p>
    <w:p w14:paraId="166DE34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1.1.2.2 发包人：是指与承包人签订合同协议书的当事人及取得该当事人资格的合法继承人。</w:t>
      </w:r>
    </w:p>
    <w:p w14:paraId="10B3C7E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1.1.2.3 承包人：是指与发包人签订合同协议书的，具有相应工程施工承包资质的当事人及取得该当事人资格的合法继承人。</w:t>
      </w:r>
    </w:p>
    <w:p w14:paraId="5C0783A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1.1.2.4 监理人：是指在专用合同条款中指明的，受发包人委托按照法律规定进行工程监督管理的法人或其他组织。</w:t>
      </w:r>
    </w:p>
    <w:p w14:paraId="2751E4F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1.1.2.5 设计人：是指在专用合同条款中指明的，受发包人委托负责工程设计并具备相应工程设计资质的法人或其他组织。</w:t>
      </w:r>
    </w:p>
    <w:p w14:paraId="0BC904DD">
      <w:pPr>
        <w:spacing w:line="360" w:lineRule="auto"/>
        <w:ind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1.1.2.6 分包人：</w:t>
      </w:r>
      <w:bookmarkStart w:id="37" w:name="#go5"/>
      <w:bookmarkEnd w:id="37"/>
      <w:r>
        <w:rPr>
          <w:rFonts w:ascii="宋体" w:hAnsi="宋体"/>
          <w:color w:val="000000"/>
          <w:kern w:val="0"/>
          <w:sz w:val="24"/>
          <w:szCs w:val="24"/>
          <w:highlight w:val="none"/>
        </w:rPr>
        <w:t>是指</w:t>
      </w:r>
      <w:r>
        <w:rPr>
          <w:rFonts w:hint="eastAsia" w:ascii="宋体" w:hAnsi="宋体"/>
          <w:color w:val="000000"/>
          <w:kern w:val="0"/>
          <w:sz w:val="24"/>
          <w:szCs w:val="24"/>
          <w:highlight w:val="none"/>
        </w:rPr>
        <w:t>按照法律规定和</w:t>
      </w:r>
      <w:r>
        <w:rPr>
          <w:rFonts w:ascii="宋体" w:hAnsi="宋体"/>
          <w:color w:val="000000"/>
          <w:kern w:val="0"/>
          <w:sz w:val="24"/>
          <w:szCs w:val="24"/>
          <w:highlight w:val="none"/>
        </w:rPr>
        <w:t>合同约定，分包</w:t>
      </w:r>
      <w:r>
        <w:rPr>
          <w:rFonts w:hint="eastAsia" w:ascii="宋体" w:hAnsi="宋体"/>
          <w:color w:val="000000"/>
          <w:kern w:val="0"/>
          <w:sz w:val="24"/>
          <w:szCs w:val="24"/>
          <w:highlight w:val="none"/>
        </w:rPr>
        <w:t>部分</w:t>
      </w:r>
      <w:r>
        <w:rPr>
          <w:rFonts w:ascii="宋体" w:hAnsi="宋体"/>
          <w:color w:val="000000"/>
          <w:kern w:val="0"/>
          <w:sz w:val="24"/>
          <w:szCs w:val="24"/>
          <w:highlight w:val="none"/>
        </w:rPr>
        <w:t>工程</w:t>
      </w:r>
      <w:r>
        <w:rPr>
          <w:rFonts w:hint="eastAsia" w:ascii="宋体" w:hAnsi="宋体"/>
          <w:color w:val="000000"/>
          <w:kern w:val="0"/>
          <w:sz w:val="24"/>
          <w:szCs w:val="24"/>
          <w:highlight w:val="none"/>
        </w:rPr>
        <w:t>或工作</w:t>
      </w:r>
      <w:r>
        <w:rPr>
          <w:rFonts w:ascii="宋体" w:hAnsi="宋体"/>
          <w:color w:val="000000"/>
          <w:kern w:val="0"/>
          <w:sz w:val="24"/>
          <w:szCs w:val="24"/>
          <w:highlight w:val="none"/>
        </w:rPr>
        <w:t>，并与</w:t>
      </w:r>
      <w:r>
        <w:rPr>
          <w:rFonts w:hint="eastAsia" w:ascii="宋体" w:hAnsi="宋体"/>
          <w:color w:val="000000"/>
          <w:kern w:val="0"/>
          <w:sz w:val="24"/>
          <w:szCs w:val="24"/>
          <w:highlight w:val="none"/>
        </w:rPr>
        <w:t>承包人</w:t>
      </w:r>
      <w:r>
        <w:rPr>
          <w:rFonts w:ascii="宋体" w:hAnsi="宋体"/>
          <w:color w:val="000000"/>
          <w:kern w:val="0"/>
          <w:sz w:val="24"/>
          <w:szCs w:val="24"/>
          <w:highlight w:val="none"/>
        </w:rPr>
        <w:t>签订分包合同的具有相应资质的法人。</w:t>
      </w:r>
    </w:p>
    <w:p w14:paraId="39CC49C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1.1.2.7 发包人代表：是指由发包人任命并派驻施工现场在发包人授权范围内行使发包人权利的人。</w:t>
      </w:r>
    </w:p>
    <w:p w14:paraId="6D38548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1.1.2.8 项目经理：是指由承包人任命并派驻施工现场，在承包人授权范围内负责合同履行，且按照法律规定具有相应资格的</w:t>
      </w:r>
      <w:r>
        <w:rPr>
          <w:rFonts w:hint="eastAsia" w:ascii="宋体" w:hAnsi="宋体"/>
          <w:color w:val="000000"/>
          <w:kern w:val="0"/>
          <w:sz w:val="24"/>
          <w:szCs w:val="24"/>
          <w:highlight w:val="none"/>
        </w:rPr>
        <w:t>项目负责</w:t>
      </w:r>
      <w:r>
        <w:rPr>
          <w:rFonts w:ascii="宋体" w:hAnsi="宋体"/>
          <w:color w:val="000000"/>
          <w:kern w:val="0"/>
          <w:sz w:val="24"/>
          <w:szCs w:val="24"/>
          <w:highlight w:val="none"/>
        </w:rPr>
        <w:t>人。</w:t>
      </w:r>
    </w:p>
    <w:p w14:paraId="250FA01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1.1.2.9 总监理工程师：是指由监理人任命并派驻施工现场进行工程监理的总负责人。</w:t>
      </w:r>
    </w:p>
    <w:p w14:paraId="637CDB6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 工程和设备</w:t>
      </w:r>
    </w:p>
    <w:p w14:paraId="47FB05B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1.1.3.1 工程：是指与合同协议书中工程承包范围对应的永久工程和（或）临时工程。</w:t>
      </w:r>
    </w:p>
    <w:p w14:paraId="0416456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1.1.3.2 永久工程：是指按合同约定建造并移交给发包人的工程，包括工程设备。</w:t>
      </w:r>
    </w:p>
    <w:p w14:paraId="657020D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1.1.3.3 临时工程：是指为完成合同约定的永久工程所修建的各类临时性工程，不包括施工设备。</w:t>
      </w:r>
    </w:p>
    <w:p w14:paraId="19A8649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1.1.3.4 单位工程：是指在</w:t>
      </w:r>
      <w:r>
        <w:rPr>
          <w:rFonts w:hint="eastAsia" w:ascii="宋体" w:hAnsi="宋体"/>
          <w:color w:val="000000"/>
          <w:kern w:val="0"/>
          <w:sz w:val="24"/>
          <w:szCs w:val="24"/>
          <w:highlight w:val="none"/>
        </w:rPr>
        <w:t>合同协议书</w:t>
      </w:r>
      <w:r>
        <w:rPr>
          <w:rFonts w:ascii="宋体" w:hAnsi="宋体"/>
          <w:color w:val="000000"/>
          <w:kern w:val="0"/>
          <w:sz w:val="24"/>
          <w:szCs w:val="24"/>
          <w:highlight w:val="none"/>
        </w:rPr>
        <w:t>中指明的，具备独立施工条件并能形成独立使用功能的永久工程。</w:t>
      </w:r>
    </w:p>
    <w:p w14:paraId="6C28E80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1.1.3.5 工程设备：是指构成永久工程的机电设备、金属结构设备、仪器及其他类似的设备和装置。</w:t>
      </w:r>
    </w:p>
    <w:p w14:paraId="785B0EB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1.1.3.6 施工设备：是指为完成合同约定的各项工作所需的设备、器具和其他物品，但不包括工程设备、临时工程和材料。</w:t>
      </w:r>
    </w:p>
    <w:p w14:paraId="5850742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1.1.3.7 施工现场：是指用于工程施工的场所，以及在专用合同条款中</w:t>
      </w:r>
      <w:r>
        <w:rPr>
          <w:rFonts w:hint="eastAsia" w:ascii="宋体" w:hAnsi="宋体"/>
          <w:color w:val="000000"/>
          <w:kern w:val="0"/>
          <w:sz w:val="24"/>
          <w:szCs w:val="24"/>
          <w:highlight w:val="none"/>
        </w:rPr>
        <w:t>指</w:t>
      </w:r>
      <w:r>
        <w:rPr>
          <w:rFonts w:ascii="宋体" w:hAnsi="宋体"/>
          <w:color w:val="000000"/>
          <w:kern w:val="0"/>
          <w:sz w:val="24"/>
          <w:szCs w:val="24"/>
          <w:highlight w:val="none"/>
        </w:rPr>
        <w:t>明作为施工场所组成部分的其他场所，包括永久占地和临时占地。</w:t>
      </w:r>
    </w:p>
    <w:p w14:paraId="21849E6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1.1.3.8临时设施：是指为完成合同约定的各项工作所服务的临时性生产和生活设施。</w:t>
      </w:r>
    </w:p>
    <w:p w14:paraId="77BDFC5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1.1.3.9 永久占地：是指专用合同条款中指明为实施工程需永久占用的土地。</w:t>
      </w:r>
    </w:p>
    <w:p w14:paraId="4E87239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1.1.3.10 临时占地：是指专用合同条款中指明为实施工程需要临时占用的土地。</w:t>
      </w:r>
    </w:p>
    <w:p w14:paraId="316C834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 日期和期限</w:t>
      </w:r>
    </w:p>
    <w:p w14:paraId="2AF4786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1.1.4.1 开工日期：包括计划开工日期和实际开工日期。计划开工日期是指合同协议书约定的开工日期；实际开工日期是指监理人按照第7.3.2项</w:t>
      </w:r>
      <w:r>
        <w:rPr>
          <w:rFonts w:hint="eastAsia" w:ascii="宋体" w:hAnsi="宋体"/>
          <w:color w:val="000000"/>
          <w:kern w:val="0"/>
          <w:sz w:val="24"/>
          <w:szCs w:val="24"/>
          <w:highlight w:val="none"/>
        </w:rPr>
        <w:t>〔</w:t>
      </w:r>
      <w:r>
        <w:rPr>
          <w:rFonts w:ascii="宋体" w:hAnsi="宋体"/>
          <w:color w:val="000000"/>
          <w:kern w:val="0"/>
          <w:sz w:val="24"/>
          <w:szCs w:val="24"/>
          <w:highlight w:val="none"/>
        </w:rPr>
        <w:t>开工通知</w:t>
      </w:r>
      <w:r>
        <w:rPr>
          <w:rFonts w:hint="eastAsia" w:ascii="宋体" w:hAnsi="宋体"/>
          <w:color w:val="000000"/>
          <w:kern w:val="0"/>
          <w:sz w:val="24"/>
          <w:szCs w:val="24"/>
          <w:highlight w:val="none"/>
        </w:rPr>
        <w:t>〕</w:t>
      </w:r>
      <w:r>
        <w:rPr>
          <w:rFonts w:ascii="宋体" w:hAnsi="宋体"/>
          <w:color w:val="000000"/>
          <w:kern w:val="0"/>
          <w:sz w:val="24"/>
          <w:szCs w:val="24"/>
          <w:highlight w:val="none"/>
        </w:rPr>
        <w:t>约定发出的符合法律规定的开工通知中载明的开工日期。</w:t>
      </w:r>
    </w:p>
    <w:p w14:paraId="7FBC0A2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1.1.4.2 竣工日期：包括计划竣工日期和实际竣工日期。计划竣工日期是指合同协议书约定的竣工日期</w:t>
      </w:r>
      <w:r>
        <w:rPr>
          <w:rFonts w:hint="eastAsia" w:ascii="宋体" w:hAnsi="宋体"/>
          <w:color w:val="000000"/>
          <w:kern w:val="0"/>
          <w:sz w:val="24"/>
          <w:szCs w:val="24"/>
          <w:highlight w:val="none"/>
        </w:rPr>
        <w:t>；</w:t>
      </w:r>
      <w:r>
        <w:rPr>
          <w:rFonts w:ascii="宋体" w:hAnsi="宋体"/>
          <w:color w:val="000000"/>
          <w:kern w:val="0"/>
          <w:sz w:val="24"/>
          <w:szCs w:val="24"/>
          <w:highlight w:val="none"/>
        </w:rPr>
        <w:t>实际竣工日期按照第13.2.3项</w:t>
      </w:r>
      <w:r>
        <w:rPr>
          <w:rFonts w:hint="eastAsia" w:ascii="宋体" w:hAnsi="宋体"/>
          <w:color w:val="000000"/>
          <w:kern w:val="0"/>
          <w:sz w:val="24"/>
          <w:szCs w:val="24"/>
          <w:highlight w:val="none"/>
        </w:rPr>
        <w:t>〔</w:t>
      </w:r>
      <w:r>
        <w:rPr>
          <w:rFonts w:ascii="宋体" w:hAnsi="宋体"/>
          <w:color w:val="000000"/>
          <w:kern w:val="0"/>
          <w:sz w:val="24"/>
          <w:szCs w:val="24"/>
          <w:highlight w:val="none"/>
        </w:rPr>
        <w:t>竣工日期</w:t>
      </w:r>
      <w:r>
        <w:rPr>
          <w:rFonts w:hint="eastAsia" w:ascii="宋体" w:hAnsi="宋体"/>
          <w:color w:val="000000"/>
          <w:kern w:val="0"/>
          <w:sz w:val="24"/>
          <w:szCs w:val="24"/>
          <w:highlight w:val="none"/>
        </w:rPr>
        <w:t>〕</w:t>
      </w:r>
      <w:r>
        <w:rPr>
          <w:rFonts w:ascii="宋体" w:hAnsi="宋体"/>
          <w:color w:val="000000"/>
          <w:kern w:val="0"/>
          <w:sz w:val="24"/>
          <w:szCs w:val="24"/>
          <w:highlight w:val="none"/>
        </w:rPr>
        <w:t xml:space="preserve">的约定确定。 </w:t>
      </w:r>
    </w:p>
    <w:p w14:paraId="6BDEEC09">
      <w:pPr>
        <w:spacing w:line="360" w:lineRule="auto"/>
        <w:ind w:firstLine="487" w:firstLineChars="203"/>
        <w:rPr>
          <w:rFonts w:ascii="宋体" w:hAnsi="宋体"/>
          <w:color w:val="000000"/>
          <w:sz w:val="24"/>
          <w:szCs w:val="24"/>
          <w:highlight w:val="none"/>
        </w:rPr>
      </w:pPr>
      <w:r>
        <w:rPr>
          <w:rFonts w:ascii="宋体" w:hAnsi="宋体"/>
          <w:color w:val="000000"/>
          <w:kern w:val="0"/>
          <w:sz w:val="24"/>
          <w:szCs w:val="24"/>
          <w:highlight w:val="none"/>
        </w:rPr>
        <w:t>1.1.4.3 工期：是指在合同协议书约定的承包人完成工程所需的期限，包括按照合同约定所作的</w:t>
      </w:r>
      <w:r>
        <w:rPr>
          <w:rFonts w:hint="eastAsia" w:ascii="宋体" w:hAnsi="宋体"/>
          <w:color w:val="000000"/>
          <w:kern w:val="0"/>
          <w:sz w:val="24"/>
          <w:szCs w:val="24"/>
          <w:highlight w:val="none"/>
        </w:rPr>
        <w:t>期限</w:t>
      </w:r>
      <w:r>
        <w:rPr>
          <w:rFonts w:ascii="宋体" w:hAnsi="宋体"/>
          <w:color w:val="000000"/>
          <w:kern w:val="0"/>
          <w:sz w:val="24"/>
          <w:szCs w:val="24"/>
          <w:highlight w:val="none"/>
        </w:rPr>
        <w:t>变更。</w:t>
      </w:r>
    </w:p>
    <w:p w14:paraId="6211FBF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1.1.4.4 缺陷责任期：是指承包人按照合同约定承担缺陷修复义务，且发包人</w:t>
      </w:r>
      <w:r>
        <w:rPr>
          <w:rFonts w:hint="eastAsia" w:ascii="宋体" w:hAnsi="宋体"/>
          <w:color w:val="000000"/>
          <w:kern w:val="0"/>
          <w:sz w:val="24"/>
          <w:szCs w:val="24"/>
          <w:highlight w:val="none"/>
        </w:rPr>
        <w:t>预</w:t>
      </w:r>
      <w:r>
        <w:rPr>
          <w:rFonts w:ascii="宋体" w:hAnsi="宋体"/>
          <w:color w:val="000000"/>
          <w:kern w:val="0"/>
          <w:sz w:val="24"/>
          <w:szCs w:val="24"/>
          <w:highlight w:val="none"/>
        </w:rPr>
        <w:t>留质量保证金</w:t>
      </w:r>
      <w:r>
        <w:rPr>
          <w:rFonts w:hint="eastAsia" w:ascii="宋体" w:hAnsi="宋体"/>
          <w:color w:val="000000"/>
          <w:kern w:val="0"/>
          <w:sz w:val="24"/>
          <w:szCs w:val="24"/>
          <w:highlight w:val="none"/>
        </w:rPr>
        <w:t>（已</w:t>
      </w:r>
      <w:r>
        <w:rPr>
          <w:rFonts w:ascii="宋体" w:hAnsi="宋体"/>
          <w:color w:val="000000"/>
          <w:kern w:val="0"/>
          <w:sz w:val="24"/>
          <w:szCs w:val="24"/>
          <w:highlight w:val="none"/>
        </w:rPr>
        <w:t>缴纳履约保证金的除外</w:t>
      </w:r>
      <w:r>
        <w:rPr>
          <w:rFonts w:hint="eastAsia" w:ascii="宋体" w:hAnsi="宋体"/>
          <w:color w:val="000000"/>
          <w:kern w:val="0"/>
          <w:sz w:val="24"/>
          <w:szCs w:val="24"/>
          <w:highlight w:val="none"/>
        </w:rPr>
        <w:t>）</w:t>
      </w:r>
      <w:r>
        <w:rPr>
          <w:rFonts w:ascii="宋体" w:hAnsi="宋体"/>
          <w:color w:val="000000"/>
          <w:kern w:val="0"/>
          <w:sz w:val="24"/>
          <w:szCs w:val="24"/>
          <w:highlight w:val="none"/>
        </w:rPr>
        <w:t>的期限，</w:t>
      </w:r>
      <w:r>
        <w:rPr>
          <w:rFonts w:hint="eastAsia" w:ascii="宋体" w:hAnsi="宋体"/>
          <w:color w:val="000000"/>
          <w:kern w:val="0"/>
          <w:sz w:val="24"/>
          <w:szCs w:val="24"/>
          <w:highlight w:val="none"/>
        </w:rPr>
        <w:t>自</w:t>
      </w:r>
      <w:r>
        <w:rPr>
          <w:rFonts w:ascii="宋体" w:hAnsi="宋体"/>
          <w:color w:val="000000"/>
          <w:kern w:val="0"/>
          <w:sz w:val="24"/>
          <w:szCs w:val="24"/>
          <w:highlight w:val="none"/>
        </w:rPr>
        <w:t>工程</w:t>
      </w:r>
      <w:r>
        <w:rPr>
          <w:rFonts w:hint="eastAsia" w:ascii="宋体" w:hAnsi="宋体"/>
          <w:color w:val="000000"/>
          <w:kern w:val="0"/>
          <w:sz w:val="24"/>
          <w:szCs w:val="24"/>
          <w:highlight w:val="none"/>
        </w:rPr>
        <w:t>实际竣工日期</w:t>
      </w:r>
      <w:r>
        <w:rPr>
          <w:rFonts w:ascii="宋体" w:hAnsi="宋体"/>
          <w:color w:val="000000"/>
          <w:kern w:val="0"/>
          <w:sz w:val="24"/>
          <w:szCs w:val="24"/>
          <w:highlight w:val="none"/>
        </w:rPr>
        <w:t>起计算。</w:t>
      </w:r>
    </w:p>
    <w:p w14:paraId="66FD40A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1.1.4.5 保修期：是指承包人按照合同约定对工程承担保修责任的期限，从工程竣工验收合格之日起计算。</w:t>
      </w:r>
    </w:p>
    <w:p w14:paraId="1CA6FAE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1.1.4.6 基准日期：招标发包的工程以报价截止日前28天的日期为基准日</w:t>
      </w:r>
      <w:r>
        <w:rPr>
          <w:rFonts w:hint="eastAsia" w:ascii="宋体" w:hAnsi="宋体"/>
          <w:color w:val="000000"/>
          <w:kern w:val="0"/>
          <w:sz w:val="24"/>
          <w:szCs w:val="24"/>
          <w:highlight w:val="none"/>
        </w:rPr>
        <w:t>期</w:t>
      </w:r>
      <w:r>
        <w:rPr>
          <w:rFonts w:ascii="宋体" w:hAnsi="宋体"/>
          <w:color w:val="000000"/>
          <w:kern w:val="0"/>
          <w:sz w:val="24"/>
          <w:szCs w:val="24"/>
          <w:highlight w:val="none"/>
        </w:rPr>
        <w:t>，直接发包的工程以合同签订日前28天的日期为基准日</w:t>
      </w:r>
      <w:r>
        <w:rPr>
          <w:rFonts w:hint="eastAsia" w:ascii="宋体" w:hAnsi="宋体"/>
          <w:color w:val="000000"/>
          <w:kern w:val="0"/>
          <w:sz w:val="24"/>
          <w:szCs w:val="24"/>
          <w:highlight w:val="none"/>
        </w:rPr>
        <w:t>期</w:t>
      </w:r>
      <w:r>
        <w:rPr>
          <w:rFonts w:ascii="宋体" w:hAnsi="宋体"/>
          <w:color w:val="000000"/>
          <w:kern w:val="0"/>
          <w:sz w:val="24"/>
          <w:szCs w:val="24"/>
          <w:highlight w:val="none"/>
        </w:rPr>
        <w:t>。</w:t>
      </w:r>
    </w:p>
    <w:p w14:paraId="4CF513E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1.1.4.7 天：除特别指明外，均指日历天。合同中按天计算时间的，开始当天不计入，从次日开始计算，期限最后一天的截止时间为当天24:00时。</w:t>
      </w:r>
    </w:p>
    <w:p w14:paraId="7109CC3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 合同价格和费用</w:t>
      </w:r>
    </w:p>
    <w:p w14:paraId="1FECAD35">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1.1.5.1 签约合同价：是指</w:t>
      </w:r>
      <w:r>
        <w:rPr>
          <w:rFonts w:ascii="宋体" w:hAnsi="宋体"/>
          <w:color w:val="000000"/>
          <w:sz w:val="24"/>
          <w:szCs w:val="24"/>
          <w:highlight w:val="none"/>
        </w:rPr>
        <w:t>发包人和承包人在合同协议书中确定的总金额，包括安全文明施工费、暂估价及暂列金额等。</w:t>
      </w:r>
    </w:p>
    <w:p w14:paraId="55BD7F8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1.1.5.2 合同价格：是指发包人用于支付承包人按照合同约定完成承包范围内全部工作的金额，包括合同履行过程中按合同约定</w:t>
      </w:r>
      <w:r>
        <w:rPr>
          <w:rFonts w:hint="eastAsia" w:ascii="宋体" w:hAnsi="宋体"/>
          <w:color w:val="000000"/>
          <w:kern w:val="0"/>
          <w:sz w:val="24"/>
          <w:szCs w:val="24"/>
          <w:highlight w:val="none"/>
        </w:rPr>
        <w:t>发生的价格变化。</w:t>
      </w:r>
    </w:p>
    <w:p w14:paraId="61D23D8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1.1.5.3 费用：是指为履行合同所发生的或将要发生的所有必需的开支，包括管理费和应分摊的其他费用，但不包括利润。</w:t>
      </w:r>
    </w:p>
    <w:p w14:paraId="598E411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1.1.5.4 暂估价：是指发包人在工程量清单或预算书中提供的用于支付必然发生但暂时不能确定价格的材料、工程设备的单价</w:t>
      </w:r>
      <w:r>
        <w:rPr>
          <w:rFonts w:hint="eastAsia" w:ascii="宋体" w:hAnsi="宋体"/>
          <w:color w:val="000000"/>
          <w:kern w:val="0"/>
          <w:sz w:val="24"/>
          <w:szCs w:val="24"/>
          <w:highlight w:val="none"/>
        </w:rPr>
        <w:t>、</w:t>
      </w:r>
      <w:r>
        <w:rPr>
          <w:rFonts w:ascii="宋体" w:hAnsi="宋体"/>
          <w:color w:val="000000"/>
          <w:kern w:val="0"/>
          <w:sz w:val="24"/>
          <w:szCs w:val="24"/>
          <w:highlight w:val="none"/>
        </w:rPr>
        <w:t>专业工程以及</w:t>
      </w:r>
      <w:r>
        <w:rPr>
          <w:rFonts w:hint="eastAsia" w:ascii="宋体" w:hAnsi="宋体"/>
          <w:color w:val="000000"/>
          <w:kern w:val="0"/>
          <w:sz w:val="24"/>
          <w:szCs w:val="24"/>
          <w:highlight w:val="none"/>
        </w:rPr>
        <w:t>服务工作</w:t>
      </w:r>
      <w:r>
        <w:rPr>
          <w:rFonts w:ascii="宋体" w:hAnsi="宋体"/>
          <w:color w:val="000000"/>
          <w:kern w:val="0"/>
          <w:sz w:val="24"/>
          <w:szCs w:val="24"/>
          <w:highlight w:val="none"/>
        </w:rPr>
        <w:t>的金额。</w:t>
      </w:r>
    </w:p>
    <w:p w14:paraId="41634D1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1.1.5.5 暂列金额：是指发包人在工程量清单或预算书中暂定并包括在合同价格中的一笔款项</w:t>
      </w:r>
      <w:r>
        <w:rPr>
          <w:rFonts w:hint="eastAsia" w:ascii="宋体" w:hAnsi="宋体"/>
          <w:color w:val="000000"/>
          <w:kern w:val="0"/>
          <w:sz w:val="24"/>
          <w:szCs w:val="24"/>
          <w:highlight w:val="none"/>
        </w:rPr>
        <w:t>，</w:t>
      </w:r>
      <w:r>
        <w:rPr>
          <w:rFonts w:ascii="宋体" w:hAnsi="宋体"/>
          <w:color w:val="000000"/>
          <w:kern w:val="0"/>
          <w:sz w:val="24"/>
          <w:szCs w:val="24"/>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1992623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1FCEF4E2">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1.1.5.7 质量保证金</w:t>
      </w:r>
      <w:bookmarkStart w:id="38" w:name="#go2"/>
      <w:bookmarkEnd w:id="38"/>
      <w:r>
        <w:rPr>
          <w:rFonts w:ascii="宋体" w:hAnsi="宋体"/>
          <w:color w:val="000000"/>
          <w:kern w:val="0"/>
          <w:sz w:val="24"/>
          <w:szCs w:val="24"/>
          <w:highlight w:val="none"/>
        </w:rPr>
        <w:t>：是指按照第15.3款</w:t>
      </w:r>
      <w:r>
        <w:rPr>
          <w:rFonts w:hint="eastAsia" w:ascii="宋体" w:hAnsi="宋体"/>
          <w:color w:val="000000"/>
          <w:kern w:val="0"/>
          <w:sz w:val="24"/>
          <w:szCs w:val="24"/>
          <w:highlight w:val="none"/>
        </w:rPr>
        <w:t>〔</w:t>
      </w:r>
      <w:r>
        <w:rPr>
          <w:rFonts w:ascii="宋体" w:hAnsi="宋体"/>
          <w:color w:val="000000"/>
          <w:kern w:val="0"/>
          <w:sz w:val="24"/>
          <w:szCs w:val="24"/>
          <w:highlight w:val="none"/>
        </w:rPr>
        <w:t>质量保证金</w:t>
      </w:r>
      <w:r>
        <w:rPr>
          <w:rFonts w:hint="eastAsia" w:ascii="宋体" w:hAnsi="宋体"/>
          <w:color w:val="000000"/>
          <w:kern w:val="0"/>
          <w:sz w:val="24"/>
          <w:szCs w:val="24"/>
          <w:highlight w:val="none"/>
        </w:rPr>
        <w:t>〕</w:t>
      </w:r>
      <w:r>
        <w:rPr>
          <w:rFonts w:ascii="宋体" w:hAnsi="宋体"/>
          <w:color w:val="000000"/>
          <w:kern w:val="0"/>
          <w:sz w:val="24"/>
          <w:szCs w:val="24"/>
          <w:highlight w:val="none"/>
        </w:rPr>
        <w:t>约定承包人用于保证其在缺陷责任期内履行缺陷修补义务的担保</w:t>
      </w:r>
      <w:r>
        <w:rPr>
          <w:rFonts w:ascii="宋体" w:hAnsi="宋体"/>
          <w:color w:val="000000"/>
          <w:sz w:val="24"/>
          <w:szCs w:val="24"/>
          <w:highlight w:val="none"/>
        </w:rPr>
        <w:t>。</w:t>
      </w:r>
    </w:p>
    <w:p w14:paraId="6195433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364068E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1.1.6 其他</w:t>
      </w:r>
    </w:p>
    <w:p w14:paraId="60052A2D">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1.1.6.1 书面形式：是指合同文件、信函、电报、传真等可以有形地表现所载内容的形式。</w:t>
      </w:r>
    </w:p>
    <w:p w14:paraId="412FEC65">
      <w:pPr>
        <w:pStyle w:val="8"/>
        <w:spacing w:before="120" w:after="120" w:line="360" w:lineRule="auto"/>
        <w:rPr>
          <w:rFonts w:ascii="宋体" w:hAnsi="宋体"/>
          <w:b w:val="0"/>
          <w:color w:val="000000"/>
          <w:sz w:val="24"/>
          <w:szCs w:val="24"/>
          <w:highlight w:val="none"/>
        </w:rPr>
      </w:pPr>
      <w:r>
        <w:rPr>
          <w:rFonts w:ascii="宋体" w:hAnsi="宋体"/>
          <w:b w:val="0"/>
          <w:color w:val="000000"/>
          <w:sz w:val="24"/>
          <w:szCs w:val="24"/>
          <w:highlight w:val="none"/>
        </w:rPr>
        <w:t xml:space="preserve">    </w:t>
      </w:r>
      <w:bookmarkStart w:id="39" w:name="_Toc337558729"/>
      <w:bookmarkStart w:id="40" w:name="_Toc351203497"/>
      <w:bookmarkStart w:id="41" w:name="_Toc296503029"/>
      <w:bookmarkStart w:id="42" w:name="_Toc296346530"/>
      <w:r>
        <w:rPr>
          <w:rFonts w:ascii="宋体" w:hAnsi="宋体"/>
          <w:b w:val="0"/>
          <w:color w:val="000000"/>
          <w:sz w:val="24"/>
          <w:szCs w:val="24"/>
          <w:highlight w:val="none"/>
        </w:rPr>
        <w:t>1.2语言文字</w:t>
      </w:r>
      <w:bookmarkEnd w:id="39"/>
      <w:bookmarkEnd w:id="40"/>
      <w:bookmarkEnd w:id="41"/>
      <w:bookmarkEnd w:id="42"/>
    </w:p>
    <w:p w14:paraId="668CB5A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合同以中国的汉语简体文字编写、解释和说明。合同当事人在专用合同条款中约定使用两种以上语言时，汉语为优先解释和说明合同的语言。</w:t>
      </w:r>
    </w:p>
    <w:p w14:paraId="3F22CFFE">
      <w:pPr>
        <w:pStyle w:val="8"/>
        <w:spacing w:before="120" w:after="120" w:line="360" w:lineRule="auto"/>
        <w:ind w:firstLine="480" w:firstLineChars="200"/>
        <w:rPr>
          <w:rFonts w:ascii="宋体" w:hAnsi="宋体"/>
          <w:b w:val="0"/>
          <w:color w:val="000000"/>
          <w:sz w:val="24"/>
          <w:szCs w:val="24"/>
          <w:highlight w:val="none"/>
        </w:rPr>
      </w:pPr>
      <w:bookmarkStart w:id="43" w:name="_Toc351203498"/>
      <w:bookmarkStart w:id="44" w:name="_Toc337558730"/>
      <w:bookmarkStart w:id="45" w:name="_Toc296503030"/>
      <w:bookmarkStart w:id="46" w:name="_Toc296346531"/>
      <w:r>
        <w:rPr>
          <w:rFonts w:ascii="宋体" w:hAnsi="宋体"/>
          <w:b w:val="0"/>
          <w:color w:val="000000"/>
          <w:sz w:val="24"/>
          <w:szCs w:val="24"/>
          <w:highlight w:val="none"/>
        </w:rPr>
        <w:t>1.3法律</w:t>
      </w:r>
      <w:bookmarkEnd w:id="43"/>
      <w:bookmarkEnd w:id="44"/>
      <w:bookmarkEnd w:id="45"/>
      <w:bookmarkEnd w:id="46"/>
    </w:p>
    <w:p w14:paraId="35921FD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合同所称法律是指中华人民共和国法律、行政法规、部门规章，以及工程所在地的地方性法规、自治条例、单行条例和地方政府规章等。</w:t>
      </w:r>
    </w:p>
    <w:p w14:paraId="41DB2E8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合同当事人可以在专用合同条款中约定合同适用的其他规范性文件。</w:t>
      </w:r>
    </w:p>
    <w:p w14:paraId="1095B5B6">
      <w:pPr>
        <w:pStyle w:val="8"/>
        <w:spacing w:before="120" w:after="120" w:line="360" w:lineRule="auto"/>
        <w:ind w:firstLine="480" w:firstLineChars="200"/>
        <w:rPr>
          <w:rFonts w:ascii="宋体" w:hAnsi="宋体"/>
          <w:b w:val="0"/>
          <w:color w:val="000000"/>
          <w:sz w:val="24"/>
          <w:szCs w:val="24"/>
          <w:highlight w:val="none"/>
        </w:rPr>
      </w:pPr>
      <w:bookmarkStart w:id="47" w:name="_Toc351203499"/>
      <w:r>
        <w:rPr>
          <w:rFonts w:ascii="宋体" w:hAnsi="宋体"/>
          <w:b w:val="0"/>
          <w:color w:val="000000"/>
          <w:sz w:val="24"/>
          <w:szCs w:val="24"/>
          <w:highlight w:val="none"/>
        </w:rPr>
        <w:t>1.4 标准和规范</w:t>
      </w:r>
      <w:bookmarkEnd w:id="47"/>
    </w:p>
    <w:p w14:paraId="5A68BC77">
      <w:pPr>
        <w:autoSpaceDE w:val="0"/>
        <w:autoSpaceDN w:val="0"/>
        <w:adjustRightInd w:val="0"/>
        <w:spacing w:line="360" w:lineRule="auto"/>
        <w:ind w:firstLine="640"/>
        <w:jc w:val="left"/>
        <w:rPr>
          <w:rFonts w:ascii="宋体" w:hAnsi="宋体"/>
          <w:color w:val="000000"/>
          <w:kern w:val="0"/>
          <w:sz w:val="24"/>
          <w:szCs w:val="24"/>
          <w:highlight w:val="none"/>
        </w:rPr>
      </w:pPr>
      <w:r>
        <w:rPr>
          <w:rFonts w:ascii="宋体" w:hAnsi="宋体"/>
          <w:color w:val="000000"/>
          <w:kern w:val="0"/>
          <w:sz w:val="24"/>
          <w:szCs w:val="24"/>
          <w:highlight w:val="none"/>
        </w:rPr>
        <w:t>1.4.1 适用于工程的国家标准、行业标准、工程所在地的地方性标准，以及相应的规范、规程等，合同当事人有特别要求的，应在专用合同条款中约定。</w:t>
      </w:r>
    </w:p>
    <w:p w14:paraId="7F1307A7">
      <w:pPr>
        <w:autoSpaceDE w:val="0"/>
        <w:autoSpaceDN w:val="0"/>
        <w:adjustRightInd w:val="0"/>
        <w:spacing w:line="360" w:lineRule="auto"/>
        <w:ind w:firstLine="640"/>
        <w:jc w:val="left"/>
        <w:rPr>
          <w:rFonts w:ascii="宋体" w:hAnsi="宋体"/>
          <w:color w:val="000000"/>
          <w:kern w:val="0"/>
          <w:sz w:val="24"/>
          <w:szCs w:val="24"/>
          <w:highlight w:val="none"/>
        </w:rPr>
      </w:pPr>
      <w:r>
        <w:rPr>
          <w:rFonts w:ascii="宋体" w:hAnsi="宋体"/>
          <w:color w:val="000000"/>
          <w:kern w:val="0"/>
          <w:sz w:val="24"/>
          <w:szCs w:val="24"/>
          <w:highlight w:val="none"/>
        </w:rPr>
        <w:t>1.4.2 发包人要求使用国外标准、规范的，发包人负责提供原文版本和中文译本，并在专用合同条款中约定提供标准规范的名称、份数和时间。</w:t>
      </w:r>
    </w:p>
    <w:p w14:paraId="18199D7D">
      <w:pPr>
        <w:autoSpaceDE w:val="0"/>
        <w:autoSpaceDN w:val="0"/>
        <w:adjustRightInd w:val="0"/>
        <w:spacing w:line="360" w:lineRule="auto"/>
        <w:ind w:firstLine="640"/>
        <w:jc w:val="left"/>
        <w:rPr>
          <w:rFonts w:ascii="宋体" w:hAnsi="宋体"/>
          <w:color w:val="000000"/>
          <w:kern w:val="0"/>
          <w:sz w:val="24"/>
          <w:szCs w:val="24"/>
          <w:highlight w:val="none"/>
        </w:rPr>
      </w:pPr>
      <w:r>
        <w:rPr>
          <w:rFonts w:ascii="宋体" w:hAnsi="宋体"/>
          <w:color w:val="000000"/>
          <w:kern w:val="0"/>
          <w:sz w:val="24"/>
          <w:szCs w:val="24"/>
          <w:highlight w:val="none"/>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 w:val="24"/>
          <w:szCs w:val="24"/>
          <w:highlight w:val="none"/>
        </w:rPr>
        <w:t>承包人</w:t>
      </w:r>
      <w:r>
        <w:rPr>
          <w:rFonts w:ascii="宋体" w:hAnsi="宋体"/>
          <w:color w:val="000000"/>
          <w:kern w:val="0"/>
          <w:sz w:val="24"/>
          <w:szCs w:val="24"/>
          <w:highlight w:val="none"/>
        </w:rPr>
        <w:t>在签订合同前已充分预见前述技术标准和功能要求的复杂程度，签约合同价中已包含由此产生的费用。</w:t>
      </w:r>
    </w:p>
    <w:p w14:paraId="29BB75CA">
      <w:pPr>
        <w:pStyle w:val="8"/>
        <w:spacing w:before="120" w:after="120" w:line="360" w:lineRule="auto"/>
        <w:ind w:firstLine="480" w:firstLineChars="200"/>
        <w:rPr>
          <w:rFonts w:ascii="宋体" w:hAnsi="宋体"/>
          <w:b w:val="0"/>
          <w:color w:val="000000"/>
          <w:sz w:val="24"/>
          <w:szCs w:val="24"/>
          <w:highlight w:val="none"/>
        </w:rPr>
      </w:pPr>
      <w:bookmarkStart w:id="48" w:name="_Toc351203500"/>
      <w:r>
        <w:rPr>
          <w:rFonts w:ascii="宋体" w:hAnsi="宋体"/>
          <w:b w:val="0"/>
          <w:color w:val="000000"/>
          <w:sz w:val="24"/>
          <w:szCs w:val="24"/>
          <w:highlight w:val="none"/>
        </w:rPr>
        <w:t>1</w:t>
      </w:r>
      <w:bookmarkStart w:id="49" w:name="_Toc337558731"/>
      <w:bookmarkStart w:id="50" w:name="_Toc296346532"/>
      <w:bookmarkStart w:id="51" w:name="_Toc296503031"/>
      <w:r>
        <w:rPr>
          <w:rFonts w:ascii="宋体" w:hAnsi="宋体"/>
          <w:b w:val="0"/>
          <w:color w:val="000000"/>
          <w:sz w:val="24"/>
          <w:szCs w:val="24"/>
          <w:highlight w:val="none"/>
        </w:rPr>
        <w:t>.5 合同文件的优先顺序</w:t>
      </w:r>
      <w:bookmarkEnd w:id="48"/>
    </w:p>
    <w:bookmarkEnd w:id="49"/>
    <w:bookmarkEnd w:id="50"/>
    <w:bookmarkEnd w:id="51"/>
    <w:p w14:paraId="17A294C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组成合同的各项文件应互相解释，互为说明。除专用合同条款另有约定外，解释合同文件的优先顺序如下：</w:t>
      </w:r>
    </w:p>
    <w:p w14:paraId="5331B02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（1）合同协议书；</w:t>
      </w:r>
    </w:p>
    <w:p w14:paraId="3440255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（2）中标通知书（如果有）；</w:t>
      </w:r>
    </w:p>
    <w:p w14:paraId="1BE5F5B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（3）报价函及其附录（如果有）；</w:t>
      </w:r>
    </w:p>
    <w:p w14:paraId="600F54C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（4）专用合同条款</w:t>
      </w:r>
      <w:r>
        <w:rPr>
          <w:rFonts w:ascii="宋体" w:hAnsi="宋体"/>
          <w:color w:val="000000"/>
          <w:sz w:val="24"/>
          <w:szCs w:val="24"/>
          <w:highlight w:val="none"/>
        </w:rPr>
        <w:t>及其附件</w:t>
      </w:r>
      <w:r>
        <w:rPr>
          <w:rFonts w:ascii="宋体" w:hAnsi="宋体"/>
          <w:color w:val="000000"/>
          <w:kern w:val="0"/>
          <w:sz w:val="24"/>
          <w:szCs w:val="24"/>
          <w:highlight w:val="none"/>
        </w:rPr>
        <w:t>；</w:t>
      </w:r>
    </w:p>
    <w:p w14:paraId="4734291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（5）通用合同条款；</w:t>
      </w:r>
    </w:p>
    <w:p w14:paraId="3719262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（6）技术标准和要求；</w:t>
      </w:r>
    </w:p>
    <w:p w14:paraId="5ADA8FD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（7）图纸；</w:t>
      </w:r>
    </w:p>
    <w:p w14:paraId="0DCD493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（8）已标价工程量清单或预算书；</w:t>
      </w:r>
    </w:p>
    <w:p w14:paraId="177E33C6">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（9）其他合同文件。</w:t>
      </w:r>
    </w:p>
    <w:p w14:paraId="5F94EB46">
      <w:pPr>
        <w:spacing w:line="360" w:lineRule="auto"/>
        <w:ind w:firstLine="511" w:firstLineChars="213"/>
        <w:rPr>
          <w:rFonts w:ascii="宋体" w:hAnsi="宋体"/>
          <w:color w:val="000000"/>
          <w:sz w:val="24"/>
          <w:szCs w:val="24"/>
          <w:highlight w:val="none"/>
        </w:rPr>
      </w:pPr>
      <w:r>
        <w:rPr>
          <w:rFonts w:ascii="宋体" w:hAnsi="宋体"/>
          <w:color w:val="000000"/>
          <w:sz w:val="24"/>
          <w:szCs w:val="24"/>
          <w:highlight w:val="none"/>
        </w:rPr>
        <w:t>上述各项合同文件包括合同当事人就该项合同文件所作出的补充和修改，属于同一类内容的文件，应以最新签署的为准。</w:t>
      </w:r>
    </w:p>
    <w:p w14:paraId="6F12CD0B">
      <w:pPr>
        <w:spacing w:line="360" w:lineRule="auto"/>
        <w:ind w:firstLine="511" w:firstLineChars="213"/>
        <w:rPr>
          <w:rFonts w:ascii="宋体" w:hAnsi="宋体"/>
          <w:color w:val="000000"/>
          <w:sz w:val="24"/>
          <w:szCs w:val="24"/>
          <w:highlight w:val="none"/>
        </w:rPr>
      </w:pPr>
      <w:r>
        <w:rPr>
          <w:rFonts w:ascii="宋体" w:hAnsi="宋体"/>
          <w:color w:val="000000"/>
          <w:sz w:val="24"/>
          <w:szCs w:val="24"/>
          <w:highlight w:val="none"/>
        </w:rPr>
        <w:t>在合同订立及履行过程中形成的与合同有关的文件均构成合同文件组成部分，并根据其性质确定优先解释顺序。</w:t>
      </w:r>
    </w:p>
    <w:p w14:paraId="3F511F6C">
      <w:pPr>
        <w:pStyle w:val="8"/>
        <w:spacing w:before="120" w:after="120" w:line="360" w:lineRule="auto"/>
        <w:ind w:firstLine="480" w:firstLineChars="200"/>
        <w:rPr>
          <w:rFonts w:ascii="宋体" w:hAnsi="宋体"/>
          <w:b w:val="0"/>
          <w:color w:val="000000"/>
          <w:sz w:val="24"/>
          <w:szCs w:val="24"/>
          <w:highlight w:val="none"/>
        </w:rPr>
      </w:pPr>
      <w:bookmarkStart w:id="52" w:name="_Toc351203501"/>
      <w:r>
        <w:rPr>
          <w:rFonts w:ascii="宋体" w:hAnsi="宋体"/>
          <w:b w:val="0"/>
          <w:color w:val="000000"/>
          <w:sz w:val="24"/>
          <w:szCs w:val="24"/>
          <w:highlight w:val="none"/>
        </w:rPr>
        <w:t>1</w:t>
      </w:r>
      <w:bookmarkStart w:id="53" w:name="_Toc296503032"/>
      <w:bookmarkStart w:id="54" w:name="_Toc296346533"/>
      <w:bookmarkStart w:id="55" w:name="_Toc337558732"/>
      <w:r>
        <w:rPr>
          <w:rFonts w:ascii="宋体" w:hAnsi="宋体"/>
          <w:b w:val="0"/>
          <w:color w:val="000000"/>
          <w:sz w:val="24"/>
          <w:szCs w:val="24"/>
          <w:highlight w:val="none"/>
        </w:rPr>
        <w:t>.6图纸和承包人文件</w:t>
      </w:r>
      <w:bookmarkEnd w:id="52"/>
    </w:p>
    <w:bookmarkEnd w:id="53"/>
    <w:bookmarkEnd w:id="54"/>
    <w:bookmarkEnd w:id="55"/>
    <w:p w14:paraId="262F58F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1.6.1 图纸的提供和交底</w:t>
      </w:r>
    </w:p>
    <w:p w14:paraId="0174B05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 w:val="24"/>
          <w:szCs w:val="24"/>
          <w:highlight w:val="none"/>
        </w:rPr>
        <w:t>〔</w:t>
      </w:r>
      <w:r>
        <w:rPr>
          <w:rFonts w:ascii="宋体" w:hAnsi="宋体"/>
          <w:color w:val="000000"/>
          <w:kern w:val="0"/>
          <w:sz w:val="24"/>
          <w:szCs w:val="24"/>
          <w:highlight w:val="none"/>
        </w:rPr>
        <w:t>开工通知</w:t>
      </w:r>
      <w:r>
        <w:rPr>
          <w:rFonts w:hint="eastAsia" w:ascii="宋体" w:hAnsi="宋体"/>
          <w:color w:val="000000"/>
          <w:kern w:val="0"/>
          <w:sz w:val="24"/>
          <w:szCs w:val="24"/>
          <w:highlight w:val="none"/>
        </w:rPr>
        <w:t>〕</w:t>
      </w:r>
      <w:r>
        <w:rPr>
          <w:rFonts w:ascii="宋体" w:hAnsi="宋体"/>
          <w:color w:val="000000"/>
          <w:kern w:val="0"/>
          <w:sz w:val="24"/>
          <w:szCs w:val="24"/>
          <w:highlight w:val="none"/>
        </w:rPr>
        <w:t>载明的开工日期前14天向承包人提供图纸。</w:t>
      </w:r>
    </w:p>
    <w:p w14:paraId="749D73F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因发包人未按合同约定提供图纸导致承包人费用增加和（或）工期延误的，按照第7.5.1项</w:t>
      </w:r>
      <w:r>
        <w:rPr>
          <w:rFonts w:hint="eastAsia" w:ascii="宋体" w:hAnsi="宋体"/>
          <w:color w:val="000000"/>
          <w:kern w:val="0"/>
          <w:sz w:val="24"/>
          <w:szCs w:val="24"/>
          <w:highlight w:val="none"/>
        </w:rPr>
        <w:t>〔</w:t>
      </w:r>
      <w:r>
        <w:rPr>
          <w:rFonts w:ascii="宋体" w:hAnsi="宋体"/>
          <w:color w:val="000000"/>
          <w:kern w:val="0"/>
          <w:sz w:val="24"/>
          <w:szCs w:val="24"/>
          <w:highlight w:val="none"/>
        </w:rPr>
        <w:t>因发包人原因导致工期延误</w:t>
      </w:r>
      <w:r>
        <w:rPr>
          <w:rFonts w:hint="eastAsia" w:ascii="宋体" w:hAnsi="宋体"/>
          <w:color w:val="000000"/>
          <w:kern w:val="0"/>
          <w:sz w:val="24"/>
          <w:szCs w:val="24"/>
          <w:highlight w:val="none"/>
        </w:rPr>
        <w:t>〕</w:t>
      </w:r>
      <w:r>
        <w:rPr>
          <w:rFonts w:ascii="宋体" w:hAnsi="宋体"/>
          <w:color w:val="000000"/>
          <w:kern w:val="0"/>
          <w:sz w:val="24"/>
          <w:szCs w:val="24"/>
          <w:highlight w:val="none"/>
        </w:rPr>
        <w:t>约定办理。</w:t>
      </w:r>
    </w:p>
    <w:p w14:paraId="577772D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 图纸的错误</w:t>
      </w:r>
    </w:p>
    <w:p w14:paraId="1C7DCE3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 w:val="24"/>
          <w:szCs w:val="24"/>
          <w:highlight w:val="none"/>
        </w:rPr>
        <w:t>合理时间是指发包人在收到监理人的报送通知后，尽其努力且不懈怠地完成图纸修改补充所需的时间。</w:t>
      </w:r>
    </w:p>
    <w:p w14:paraId="215CF69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1.6.3 图纸的修改和补充</w:t>
      </w:r>
    </w:p>
    <w:p w14:paraId="066CB3D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33BB5F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1.6.4 承包人文件</w:t>
      </w:r>
    </w:p>
    <w:p w14:paraId="74C0986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1BA4635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C82EC7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1.6.5 图纸和承包人文件的保管</w:t>
      </w:r>
    </w:p>
    <w:p w14:paraId="15B6B3D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1D1D85A3">
      <w:pPr>
        <w:pStyle w:val="8"/>
        <w:spacing w:before="120" w:after="120" w:line="360" w:lineRule="auto"/>
        <w:ind w:firstLine="480" w:firstLineChars="200"/>
        <w:rPr>
          <w:rFonts w:ascii="宋体" w:hAnsi="宋体"/>
          <w:b w:val="0"/>
          <w:color w:val="000000"/>
          <w:sz w:val="24"/>
          <w:szCs w:val="24"/>
          <w:highlight w:val="none"/>
        </w:rPr>
      </w:pPr>
      <w:bookmarkStart w:id="56" w:name="_Toc351203502"/>
      <w:r>
        <w:rPr>
          <w:rFonts w:ascii="宋体" w:hAnsi="宋体"/>
          <w:b w:val="0"/>
          <w:color w:val="000000"/>
          <w:sz w:val="24"/>
          <w:szCs w:val="24"/>
          <w:highlight w:val="none"/>
        </w:rPr>
        <w:t>1</w:t>
      </w:r>
      <w:bookmarkStart w:id="57" w:name="_Toc296503033"/>
      <w:bookmarkStart w:id="58" w:name="_Toc337558733"/>
      <w:bookmarkStart w:id="59" w:name="_Toc296346534"/>
      <w:r>
        <w:rPr>
          <w:rFonts w:ascii="宋体" w:hAnsi="宋体"/>
          <w:b w:val="0"/>
          <w:color w:val="000000"/>
          <w:sz w:val="24"/>
          <w:szCs w:val="24"/>
          <w:highlight w:val="none"/>
        </w:rPr>
        <w:t>.7联络</w:t>
      </w:r>
      <w:bookmarkEnd w:id="56"/>
    </w:p>
    <w:bookmarkEnd w:id="57"/>
    <w:bookmarkEnd w:id="58"/>
    <w:bookmarkEnd w:id="59"/>
    <w:p w14:paraId="109C8BD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60AD97D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7EA6D9AF">
      <w:pPr>
        <w:autoSpaceDE w:val="0"/>
        <w:autoSpaceDN w:val="0"/>
        <w:adjustRightInd w:val="0"/>
        <w:spacing w:line="360" w:lineRule="auto"/>
        <w:ind w:firstLine="480" w:firstLineChars="200"/>
        <w:jc w:val="left"/>
        <w:rPr>
          <w:rFonts w:ascii="宋体" w:hAnsi="宋体"/>
          <w:color w:val="FF0000"/>
          <w:kern w:val="0"/>
          <w:sz w:val="24"/>
          <w:szCs w:val="24"/>
          <w:highlight w:val="none"/>
        </w:rPr>
      </w:pPr>
      <w:r>
        <w:rPr>
          <w:rFonts w:ascii="宋体" w:hAnsi="宋体"/>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61FA12D2">
      <w:pPr>
        <w:pStyle w:val="8"/>
        <w:spacing w:before="120" w:after="120" w:line="360" w:lineRule="auto"/>
        <w:ind w:firstLine="480" w:firstLineChars="200"/>
        <w:rPr>
          <w:rFonts w:ascii="宋体" w:hAnsi="宋体"/>
          <w:b w:val="0"/>
          <w:color w:val="000000"/>
          <w:sz w:val="24"/>
          <w:szCs w:val="24"/>
          <w:highlight w:val="none"/>
        </w:rPr>
      </w:pPr>
      <w:bookmarkStart w:id="60" w:name="_Toc351203503"/>
      <w:r>
        <w:rPr>
          <w:rFonts w:ascii="宋体" w:hAnsi="宋体"/>
          <w:b w:val="0"/>
          <w:color w:val="000000"/>
          <w:sz w:val="24"/>
          <w:szCs w:val="24"/>
          <w:highlight w:val="none"/>
        </w:rPr>
        <w:t>1</w:t>
      </w:r>
      <w:bookmarkStart w:id="61" w:name="_Toc337558734"/>
      <w:bookmarkStart w:id="62" w:name="_Toc296346536"/>
      <w:bookmarkStart w:id="63" w:name="_Toc296503035"/>
      <w:r>
        <w:rPr>
          <w:rFonts w:ascii="宋体" w:hAnsi="宋体"/>
          <w:b w:val="0"/>
          <w:color w:val="000000"/>
          <w:sz w:val="24"/>
          <w:szCs w:val="24"/>
          <w:highlight w:val="none"/>
        </w:rPr>
        <w:t>.8严禁贿赂</w:t>
      </w:r>
      <w:bookmarkEnd w:id="60"/>
    </w:p>
    <w:bookmarkEnd w:id="61"/>
    <w:bookmarkEnd w:id="62"/>
    <w:bookmarkEnd w:id="63"/>
    <w:p w14:paraId="51B0F30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0C69481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DFF5254">
      <w:pPr>
        <w:pStyle w:val="8"/>
        <w:spacing w:before="120" w:after="120" w:line="360" w:lineRule="auto"/>
        <w:ind w:firstLine="480" w:firstLineChars="200"/>
        <w:rPr>
          <w:rFonts w:ascii="宋体" w:hAnsi="宋体"/>
          <w:b w:val="0"/>
          <w:color w:val="000000"/>
          <w:sz w:val="24"/>
          <w:szCs w:val="24"/>
          <w:highlight w:val="none"/>
        </w:rPr>
      </w:pPr>
      <w:bookmarkStart w:id="64" w:name="_Toc351203504"/>
      <w:r>
        <w:rPr>
          <w:rFonts w:ascii="宋体" w:hAnsi="宋体"/>
          <w:b w:val="0"/>
          <w:color w:val="000000"/>
          <w:sz w:val="24"/>
          <w:szCs w:val="24"/>
          <w:highlight w:val="none"/>
        </w:rPr>
        <w:t>1</w:t>
      </w:r>
      <w:bookmarkStart w:id="65" w:name="_Toc296503036"/>
      <w:bookmarkStart w:id="66" w:name="_Toc296346537"/>
      <w:bookmarkStart w:id="67" w:name="_Toc337558735"/>
      <w:r>
        <w:rPr>
          <w:rFonts w:ascii="宋体" w:hAnsi="宋体"/>
          <w:b w:val="0"/>
          <w:color w:val="000000"/>
          <w:sz w:val="24"/>
          <w:szCs w:val="24"/>
          <w:highlight w:val="none"/>
        </w:rPr>
        <w:t>.9化石、文物</w:t>
      </w:r>
      <w:bookmarkEnd w:id="64"/>
    </w:p>
    <w:bookmarkEnd w:id="65"/>
    <w:bookmarkEnd w:id="66"/>
    <w:bookmarkEnd w:id="67"/>
    <w:p w14:paraId="07062E4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32ABB8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发包人、监理人和承包人应按有关政府行政管理部门要求采取妥善的保护措施，由此增加的费用和</w:t>
      </w:r>
      <w:r>
        <w:rPr>
          <w:rFonts w:hint="eastAsia" w:ascii="宋体" w:hAnsi="宋体"/>
          <w:color w:val="000000"/>
          <w:kern w:val="0"/>
          <w:sz w:val="24"/>
          <w:szCs w:val="24"/>
          <w:highlight w:val="none"/>
        </w:rPr>
        <w:t>（</w:t>
      </w:r>
      <w:r>
        <w:rPr>
          <w:rFonts w:ascii="宋体" w:hAnsi="宋体"/>
          <w:color w:val="000000"/>
          <w:kern w:val="0"/>
          <w:sz w:val="24"/>
          <w:szCs w:val="24"/>
          <w:highlight w:val="none"/>
        </w:rPr>
        <w:t>或）延误的工期由发包人承担。</w:t>
      </w:r>
    </w:p>
    <w:p w14:paraId="6969F4E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承包人发现文物后不及时报告或隐瞒不报，致使文物丢失或损坏的，应赔偿损失，并承担相应的法律责任。</w:t>
      </w:r>
    </w:p>
    <w:p w14:paraId="20E606BC">
      <w:pPr>
        <w:pStyle w:val="8"/>
        <w:spacing w:before="120" w:after="120" w:line="360" w:lineRule="auto"/>
        <w:ind w:firstLine="480" w:firstLineChars="200"/>
        <w:rPr>
          <w:rFonts w:ascii="宋体" w:hAnsi="宋体"/>
          <w:b w:val="0"/>
          <w:color w:val="000000"/>
          <w:sz w:val="24"/>
          <w:szCs w:val="24"/>
          <w:highlight w:val="none"/>
        </w:rPr>
      </w:pPr>
      <w:bookmarkStart w:id="68" w:name="_Toc351203505"/>
      <w:r>
        <w:rPr>
          <w:rFonts w:ascii="宋体" w:hAnsi="宋体"/>
          <w:b w:val="0"/>
          <w:color w:val="000000"/>
          <w:sz w:val="24"/>
          <w:szCs w:val="24"/>
          <w:highlight w:val="none"/>
        </w:rPr>
        <w:t>1</w:t>
      </w:r>
      <w:bookmarkStart w:id="69" w:name="_Toc337558736"/>
      <w:r>
        <w:rPr>
          <w:rFonts w:ascii="宋体" w:hAnsi="宋体"/>
          <w:b w:val="0"/>
          <w:color w:val="000000"/>
          <w:sz w:val="24"/>
          <w:szCs w:val="24"/>
          <w:highlight w:val="none"/>
        </w:rPr>
        <w:t>.10交通运输</w:t>
      </w:r>
      <w:bookmarkEnd w:id="68"/>
    </w:p>
    <w:bookmarkEnd w:id="69"/>
    <w:p w14:paraId="339D1D9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1.10.1</w:t>
      </w:r>
      <w:r>
        <w:rPr>
          <w:rFonts w:hint="eastAsia" w:ascii="宋体" w:hAnsi="宋体"/>
          <w:color w:val="000000"/>
          <w:kern w:val="0"/>
          <w:sz w:val="24"/>
          <w:szCs w:val="24"/>
          <w:highlight w:val="none"/>
        </w:rPr>
        <w:t xml:space="preserve"> </w:t>
      </w:r>
      <w:r>
        <w:rPr>
          <w:rFonts w:ascii="宋体" w:hAnsi="宋体"/>
          <w:color w:val="000000"/>
          <w:kern w:val="0"/>
          <w:sz w:val="24"/>
          <w:szCs w:val="24"/>
          <w:highlight w:val="none"/>
        </w:rPr>
        <w:t>出入现场的权利</w:t>
      </w:r>
    </w:p>
    <w:p w14:paraId="2D84BB5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除专用合同条款另有约定外，发包人应根据施工需要，负责取得出入施工现场所需的</w:t>
      </w:r>
      <w:r>
        <w:rPr>
          <w:rFonts w:hint="eastAsia" w:ascii="宋体" w:hAnsi="宋体"/>
          <w:color w:val="000000"/>
          <w:kern w:val="0"/>
          <w:sz w:val="24"/>
          <w:szCs w:val="24"/>
          <w:highlight w:val="none"/>
        </w:rPr>
        <w:t>批准手续和</w:t>
      </w:r>
      <w:r>
        <w:rPr>
          <w:rFonts w:ascii="宋体" w:hAnsi="宋体"/>
          <w:color w:val="000000"/>
          <w:kern w:val="0"/>
          <w:sz w:val="24"/>
          <w:szCs w:val="24"/>
          <w:highlight w:val="none"/>
        </w:rPr>
        <w:t>全部权利，以及取得因施工所需修建道路、桥梁以及其他基础设施的权利，并承担相关手续费用和建设费用。承包人应协助发包人办理修建场内外道路、桥梁以及其他基础设施的手续。</w:t>
      </w:r>
    </w:p>
    <w:p w14:paraId="5812D24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5194B4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1.10.2</w:t>
      </w:r>
      <w:r>
        <w:rPr>
          <w:rFonts w:hint="eastAsia" w:ascii="宋体" w:hAnsi="宋体"/>
          <w:color w:val="000000"/>
          <w:kern w:val="0"/>
          <w:sz w:val="24"/>
          <w:szCs w:val="24"/>
          <w:highlight w:val="none"/>
        </w:rPr>
        <w:t xml:space="preserve"> </w:t>
      </w:r>
      <w:r>
        <w:rPr>
          <w:rFonts w:ascii="宋体" w:hAnsi="宋体"/>
          <w:color w:val="000000"/>
          <w:kern w:val="0"/>
          <w:sz w:val="24"/>
          <w:szCs w:val="24"/>
          <w:highlight w:val="none"/>
        </w:rPr>
        <w:t>场外交通</w:t>
      </w:r>
    </w:p>
    <w:p w14:paraId="1668BA3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ABC429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1.10.3场内交通</w:t>
      </w:r>
    </w:p>
    <w:p w14:paraId="3352A12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3FDEF6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FD6E54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场外交通和场内交通的边界由合同当事人在专用合同条款中约定。</w:t>
      </w:r>
    </w:p>
    <w:p w14:paraId="322726A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1.10.4</w:t>
      </w:r>
      <w:r>
        <w:rPr>
          <w:rFonts w:hint="eastAsia" w:ascii="宋体" w:hAnsi="宋体"/>
          <w:color w:val="000000"/>
          <w:kern w:val="0"/>
          <w:sz w:val="24"/>
          <w:szCs w:val="24"/>
          <w:highlight w:val="none"/>
        </w:rPr>
        <w:t xml:space="preserve"> </w:t>
      </w:r>
      <w:r>
        <w:rPr>
          <w:rFonts w:ascii="宋体" w:hAnsi="宋体"/>
          <w:color w:val="000000"/>
          <w:kern w:val="0"/>
          <w:sz w:val="24"/>
          <w:szCs w:val="24"/>
          <w:highlight w:val="none"/>
        </w:rPr>
        <w:t>超大件和超重件的运输</w:t>
      </w:r>
    </w:p>
    <w:p w14:paraId="23033F5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EA1E8E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1.10.5</w:t>
      </w:r>
      <w:r>
        <w:rPr>
          <w:rFonts w:hint="eastAsia" w:ascii="宋体" w:hAnsi="宋体"/>
          <w:color w:val="000000"/>
          <w:kern w:val="0"/>
          <w:sz w:val="24"/>
          <w:szCs w:val="24"/>
          <w:highlight w:val="none"/>
        </w:rPr>
        <w:t xml:space="preserve"> </w:t>
      </w:r>
      <w:r>
        <w:rPr>
          <w:rFonts w:ascii="宋体" w:hAnsi="宋体"/>
          <w:color w:val="000000"/>
          <w:kern w:val="0"/>
          <w:sz w:val="24"/>
          <w:szCs w:val="24"/>
          <w:highlight w:val="none"/>
        </w:rPr>
        <w:t>道路和桥梁的损坏责任</w:t>
      </w:r>
    </w:p>
    <w:p w14:paraId="3471199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因承包人运输造成施工场地内外公共道路和桥梁损坏的，由承包人承担修复损坏的全部费用和可能引起的赔偿。</w:t>
      </w:r>
    </w:p>
    <w:p w14:paraId="71EFCC1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1.10.6</w:t>
      </w:r>
      <w:r>
        <w:rPr>
          <w:rFonts w:hint="eastAsia" w:ascii="宋体" w:hAnsi="宋体"/>
          <w:color w:val="000000"/>
          <w:kern w:val="0"/>
          <w:sz w:val="24"/>
          <w:szCs w:val="24"/>
          <w:highlight w:val="none"/>
        </w:rPr>
        <w:t xml:space="preserve"> </w:t>
      </w:r>
      <w:r>
        <w:rPr>
          <w:rFonts w:ascii="宋体" w:hAnsi="宋体"/>
          <w:color w:val="000000"/>
          <w:kern w:val="0"/>
          <w:sz w:val="24"/>
          <w:szCs w:val="24"/>
          <w:highlight w:val="none"/>
        </w:rPr>
        <w:t>水路和航空运输</w:t>
      </w:r>
    </w:p>
    <w:p w14:paraId="1775491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本</w:t>
      </w:r>
      <w:r>
        <w:rPr>
          <w:rFonts w:hint="eastAsia" w:ascii="宋体" w:hAnsi="宋体"/>
          <w:color w:val="000000"/>
          <w:kern w:val="0"/>
          <w:sz w:val="24"/>
          <w:szCs w:val="24"/>
          <w:highlight w:val="none"/>
        </w:rPr>
        <w:t>款</w:t>
      </w:r>
      <w:r>
        <w:rPr>
          <w:rFonts w:ascii="宋体" w:hAnsi="宋体"/>
          <w:color w:val="000000"/>
          <w:kern w:val="0"/>
          <w:sz w:val="24"/>
          <w:szCs w:val="24"/>
          <w:highlight w:val="none"/>
        </w:rPr>
        <w:t>前述各</w:t>
      </w:r>
      <w:r>
        <w:rPr>
          <w:rFonts w:hint="eastAsia" w:ascii="宋体" w:hAnsi="宋体"/>
          <w:color w:val="000000"/>
          <w:kern w:val="0"/>
          <w:sz w:val="24"/>
          <w:szCs w:val="24"/>
          <w:highlight w:val="none"/>
        </w:rPr>
        <w:t>项</w:t>
      </w:r>
      <w:r>
        <w:rPr>
          <w:rFonts w:ascii="宋体" w:hAnsi="宋体"/>
          <w:color w:val="000000"/>
          <w:kern w:val="0"/>
          <w:sz w:val="24"/>
          <w:szCs w:val="24"/>
          <w:highlight w:val="none"/>
        </w:rPr>
        <w:t>的内容适用于水路运输和航空运输，其中“道路”一词的涵义包括河道、航线、船闸、机场、码头、堤防以及水路或航空运输中其他相似结构物；“车辆”一词的涵义包括船舶和飞机等。</w:t>
      </w:r>
    </w:p>
    <w:p w14:paraId="09822D83">
      <w:pPr>
        <w:pStyle w:val="8"/>
        <w:spacing w:before="120" w:after="120" w:line="360" w:lineRule="auto"/>
        <w:ind w:firstLine="480" w:firstLineChars="200"/>
        <w:rPr>
          <w:rFonts w:ascii="宋体" w:hAnsi="宋体"/>
          <w:b w:val="0"/>
          <w:color w:val="000000"/>
          <w:sz w:val="24"/>
          <w:szCs w:val="24"/>
          <w:highlight w:val="none"/>
        </w:rPr>
      </w:pPr>
      <w:bookmarkStart w:id="70" w:name="_Toc351203506"/>
      <w:r>
        <w:rPr>
          <w:rFonts w:ascii="宋体" w:hAnsi="宋体"/>
          <w:b w:val="0"/>
          <w:color w:val="000000"/>
          <w:sz w:val="24"/>
          <w:szCs w:val="24"/>
          <w:highlight w:val="none"/>
        </w:rPr>
        <w:t>1</w:t>
      </w:r>
      <w:bookmarkStart w:id="71" w:name="_Toc337558737"/>
      <w:bookmarkStart w:id="72" w:name="_Toc296346538"/>
      <w:bookmarkStart w:id="73" w:name="_Toc296503037"/>
      <w:r>
        <w:rPr>
          <w:rFonts w:ascii="宋体" w:hAnsi="宋体"/>
          <w:b w:val="0"/>
          <w:color w:val="000000"/>
          <w:sz w:val="24"/>
          <w:szCs w:val="24"/>
          <w:highlight w:val="none"/>
        </w:rPr>
        <w:t>.11知识产权</w:t>
      </w:r>
      <w:bookmarkEnd w:id="70"/>
      <w:r>
        <w:rPr>
          <w:rFonts w:ascii="宋体" w:hAnsi="宋体"/>
          <w:b w:val="0"/>
          <w:color w:val="000000"/>
          <w:sz w:val="24"/>
          <w:szCs w:val="24"/>
          <w:highlight w:val="none"/>
        </w:rPr>
        <w:t xml:space="preserve"> </w:t>
      </w:r>
      <w:bookmarkEnd w:id="71"/>
    </w:p>
    <w:bookmarkEnd w:id="72"/>
    <w:bookmarkEnd w:id="73"/>
    <w:p w14:paraId="62189D8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55F506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49D5B6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3C7AD1E">
      <w:pPr>
        <w:rPr>
          <w:rFonts w:ascii="宋体" w:hAnsi="宋体"/>
          <w:sz w:val="24"/>
          <w:szCs w:val="24"/>
          <w:highlight w:val="none"/>
        </w:rPr>
      </w:pPr>
      <w:r>
        <w:rPr>
          <w:rFonts w:ascii="宋体" w:hAnsi="宋体"/>
          <w:color w:val="000000"/>
          <w:kern w:val="0"/>
          <w:sz w:val="24"/>
          <w:szCs w:val="24"/>
          <w:highlight w:val="none"/>
        </w:rPr>
        <w:t xml:space="preserve">    </w:t>
      </w:r>
      <w:r>
        <w:rPr>
          <w:rFonts w:ascii="宋体" w:hAnsi="宋体"/>
          <w:color w:val="000000"/>
          <w:sz w:val="24"/>
          <w:szCs w:val="24"/>
          <w:highlight w:val="none"/>
        </w:rPr>
        <w:t>1.11.4 除专用合同条款另有约定外，承包人在合同签订前和签订时已确定采用的专利、专有技术、技术秘密的使用费已包含在签约合同价中。</w:t>
      </w:r>
    </w:p>
    <w:p w14:paraId="4E495507">
      <w:pPr>
        <w:pStyle w:val="8"/>
        <w:spacing w:before="120" w:after="120" w:line="360" w:lineRule="auto"/>
        <w:ind w:firstLine="480" w:firstLineChars="200"/>
        <w:rPr>
          <w:rFonts w:ascii="宋体" w:hAnsi="宋体"/>
          <w:b w:val="0"/>
          <w:color w:val="000000"/>
          <w:sz w:val="24"/>
          <w:szCs w:val="24"/>
          <w:highlight w:val="none"/>
        </w:rPr>
      </w:pPr>
      <w:bookmarkStart w:id="74" w:name="_Toc351203507"/>
      <w:r>
        <w:rPr>
          <w:rFonts w:ascii="宋体" w:hAnsi="宋体"/>
          <w:b w:val="0"/>
          <w:color w:val="000000"/>
          <w:sz w:val="24"/>
          <w:szCs w:val="24"/>
          <w:highlight w:val="none"/>
        </w:rPr>
        <w:t>1</w:t>
      </w:r>
      <w:bookmarkStart w:id="75" w:name="_Toc337558738"/>
      <w:r>
        <w:rPr>
          <w:rFonts w:ascii="宋体" w:hAnsi="宋体"/>
          <w:b w:val="0"/>
          <w:color w:val="000000"/>
          <w:sz w:val="24"/>
          <w:szCs w:val="24"/>
          <w:highlight w:val="none"/>
        </w:rPr>
        <w:t>.12保密</w:t>
      </w:r>
      <w:bookmarkEnd w:id="74"/>
    </w:p>
    <w:bookmarkEnd w:id="75"/>
    <w:p w14:paraId="6E4FD49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079AB58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55323FBA">
      <w:pPr>
        <w:pStyle w:val="8"/>
        <w:spacing w:before="120" w:after="120" w:line="360" w:lineRule="auto"/>
        <w:ind w:firstLine="480" w:firstLineChars="200"/>
        <w:rPr>
          <w:rFonts w:ascii="宋体" w:hAnsi="宋体"/>
          <w:b w:val="0"/>
          <w:color w:val="000000"/>
          <w:sz w:val="24"/>
          <w:szCs w:val="24"/>
          <w:highlight w:val="none"/>
        </w:rPr>
      </w:pPr>
      <w:bookmarkStart w:id="76" w:name="_Toc351203508"/>
      <w:r>
        <w:rPr>
          <w:rFonts w:ascii="宋体" w:hAnsi="宋体"/>
          <w:b w:val="0"/>
          <w:color w:val="000000"/>
          <w:sz w:val="24"/>
          <w:szCs w:val="24"/>
          <w:highlight w:val="none"/>
        </w:rPr>
        <w:t>1.13工程量清单错误的修正</w:t>
      </w:r>
      <w:bookmarkEnd w:id="76"/>
    </w:p>
    <w:p w14:paraId="03C393F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除专用合同条款另有约定外，</w:t>
      </w:r>
      <w:r>
        <w:rPr>
          <w:rFonts w:ascii="宋体" w:hAnsi="宋体"/>
          <w:color w:val="000000"/>
          <w:kern w:val="0"/>
          <w:sz w:val="24"/>
          <w:szCs w:val="24"/>
          <w:highlight w:val="none"/>
        </w:rPr>
        <w:t>发包人提供的工程量清单，应被认为是准确的和完整的。出现下列情形之一时，发包人应予以修正，并相应调整合同价格：</w:t>
      </w:r>
    </w:p>
    <w:p w14:paraId="010F686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（1）工程量清单存在缺项、漏项的；</w:t>
      </w:r>
    </w:p>
    <w:p w14:paraId="472622A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（2）工程量清单偏差超出专用合同条款约定的工程量偏差范围的；</w:t>
      </w:r>
    </w:p>
    <w:p w14:paraId="1D0CEAB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（3）未按照国家现行计量规范强制性规定计量的。</w:t>
      </w:r>
    </w:p>
    <w:p w14:paraId="13963A31">
      <w:pPr>
        <w:pStyle w:val="7"/>
        <w:spacing w:before="120" w:after="120" w:line="360" w:lineRule="auto"/>
        <w:rPr>
          <w:rFonts w:ascii="宋体" w:hAnsi="宋体"/>
          <w:b w:val="0"/>
          <w:color w:val="000000"/>
          <w:szCs w:val="24"/>
          <w:highlight w:val="none"/>
        </w:rPr>
      </w:pPr>
      <w:bookmarkStart w:id="77" w:name="_Toc351203509"/>
      <w:r>
        <w:rPr>
          <w:rFonts w:ascii="宋体" w:hAnsi="宋体"/>
          <w:b w:val="0"/>
          <w:color w:val="000000"/>
          <w:szCs w:val="24"/>
          <w:highlight w:val="none"/>
        </w:rPr>
        <w:t>2</w:t>
      </w:r>
      <w:bookmarkStart w:id="78" w:name="_Toc296503038"/>
      <w:bookmarkStart w:id="79" w:name="_Toc337558739"/>
      <w:bookmarkStart w:id="80" w:name="_Toc296346539"/>
      <w:bookmarkStart w:id="81" w:name="OLE_LINK1"/>
      <w:bookmarkStart w:id="82" w:name="OLE_LINK2"/>
      <w:r>
        <w:rPr>
          <w:rFonts w:ascii="宋体" w:hAnsi="宋体"/>
          <w:b w:val="0"/>
          <w:color w:val="000000"/>
          <w:szCs w:val="24"/>
          <w:highlight w:val="none"/>
        </w:rPr>
        <w:t>. 发包人</w:t>
      </w:r>
      <w:bookmarkEnd w:id="77"/>
    </w:p>
    <w:bookmarkEnd w:id="78"/>
    <w:bookmarkEnd w:id="79"/>
    <w:bookmarkEnd w:id="80"/>
    <w:p w14:paraId="05432200">
      <w:pPr>
        <w:pStyle w:val="8"/>
        <w:spacing w:before="120" w:after="120" w:line="360" w:lineRule="auto"/>
        <w:ind w:firstLine="480" w:firstLineChars="200"/>
        <w:rPr>
          <w:rFonts w:ascii="宋体" w:hAnsi="宋体"/>
          <w:b w:val="0"/>
          <w:color w:val="000000"/>
          <w:sz w:val="24"/>
          <w:szCs w:val="24"/>
          <w:highlight w:val="none"/>
        </w:rPr>
      </w:pPr>
      <w:bookmarkStart w:id="83" w:name="_Toc351203510"/>
      <w:r>
        <w:rPr>
          <w:rFonts w:ascii="宋体" w:hAnsi="宋体"/>
          <w:b w:val="0"/>
          <w:color w:val="000000"/>
          <w:sz w:val="24"/>
          <w:szCs w:val="24"/>
          <w:highlight w:val="none"/>
        </w:rPr>
        <w:t>2</w:t>
      </w:r>
      <w:bookmarkStart w:id="84" w:name="_Toc296346540"/>
      <w:bookmarkStart w:id="85" w:name="_Toc337558740"/>
      <w:bookmarkStart w:id="86" w:name="_Toc296503039"/>
      <w:r>
        <w:rPr>
          <w:rFonts w:ascii="宋体" w:hAnsi="宋体"/>
          <w:b w:val="0"/>
          <w:color w:val="000000"/>
          <w:sz w:val="24"/>
          <w:szCs w:val="24"/>
          <w:highlight w:val="none"/>
        </w:rPr>
        <w:t>.1 许可或批准</w:t>
      </w:r>
      <w:bookmarkEnd w:id="83"/>
    </w:p>
    <w:p w14:paraId="7B7C165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27103B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因发包人原因未能及时办理完毕前述许可、批准或备案，由发包人承担由此增加的费用和（或）延误的工期，并支付承包人合理的利润。</w:t>
      </w:r>
    </w:p>
    <w:p w14:paraId="24A902C3">
      <w:pPr>
        <w:pStyle w:val="8"/>
        <w:spacing w:before="120" w:after="120" w:line="360" w:lineRule="auto"/>
        <w:ind w:firstLine="480" w:firstLineChars="200"/>
        <w:rPr>
          <w:rFonts w:ascii="宋体" w:hAnsi="宋体"/>
          <w:b w:val="0"/>
          <w:color w:val="000000"/>
          <w:sz w:val="24"/>
          <w:szCs w:val="24"/>
          <w:highlight w:val="none"/>
        </w:rPr>
      </w:pPr>
      <w:bookmarkStart w:id="87" w:name="_Toc351203511"/>
      <w:r>
        <w:rPr>
          <w:rFonts w:ascii="宋体" w:hAnsi="宋体"/>
          <w:b w:val="0"/>
          <w:color w:val="000000"/>
          <w:sz w:val="24"/>
          <w:szCs w:val="24"/>
          <w:highlight w:val="none"/>
        </w:rPr>
        <w:t>2.2 发包人代表</w:t>
      </w:r>
      <w:bookmarkEnd w:id="87"/>
    </w:p>
    <w:p w14:paraId="02DBC6E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46AAAD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发包人代表不能按照合同约定履行其职责及义务，并导致合同无法继续正常履行的，承包人可以要求发包人撤换发包人代表。</w:t>
      </w:r>
    </w:p>
    <w:p w14:paraId="4B28DDE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不属于法定必须监理的工程，监理人的职权可以由发包人代表或发包人指定的其他人员行使。</w:t>
      </w:r>
    </w:p>
    <w:p w14:paraId="79D62263">
      <w:pPr>
        <w:pStyle w:val="8"/>
        <w:spacing w:before="120" w:after="120" w:line="360" w:lineRule="auto"/>
        <w:ind w:firstLine="480" w:firstLineChars="200"/>
        <w:rPr>
          <w:rFonts w:ascii="宋体" w:hAnsi="宋体"/>
          <w:b w:val="0"/>
          <w:color w:val="000000"/>
          <w:sz w:val="24"/>
          <w:szCs w:val="24"/>
          <w:highlight w:val="none"/>
        </w:rPr>
      </w:pPr>
      <w:bookmarkStart w:id="88" w:name="_Toc351203512"/>
      <w:r>
        <w:rPr>
          <w:rFonts w:ascii="宋体" w:hAnsi="宋体"/>
          <w:b w:val="0"/>
          <w:color w:val="000000"/>
          <w:sz w:val="24"/>
          <w:szCs w:val="24"/>
          <w:highlight w:val="none"/>
        </w:rPr>
        <w:t>2.3 发包人人员</w:t>
      </w:r>
      <w:bookmarkEnd w:id="88"/>
    </w:p>
    <w:p w14:paraId="26F21BA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311B16CE">
      <w:pPr>
        <w:spacing w:line="360" w:lineRule="auto"/>
        <w:ind w:firstLine="640"/>
        <w:jc w:val="left"/>
        <w:rPr>
          <w:rFonts w:ascii="宋体" w:hAnsi="宋体"/>
          <w:color w:val="000000"/>
          <w:kern w:val="0"/>
          <w:sz w:val="24"/>
          <w:szCs w:val="24"/>
          <w:highlight w:val="none"/>
        </w:rPr>
      </w:pPr>
      <w:r>
        <w:rPr>
          <w:rFonts w:ascii="宋体" w:hAnsi="宋体"/>
          <w:color w:val="000000"/>
          <w:kern w:val="0"/>
          <w:sz w:val="24"/>
          <w:szCs w:val="24"/>
          <w:highlight w:val="none"/>
        </w:rPr>
        <w:t>发包人人员包括发包人代表及其他由发包人派驻施工现场的人员。</w:t>
      </w:r>
      <w:bookmarkEnd w:id="84"/>
      <w:bookmarkEnd w:id="85"/>
      <w:bookmarkEnd w:id="86"/>
    </w:p>
    <w:p w14:paraId="7746A776">
      <w:pPr>
        <w:pStyle w:val="8"/>
        <w:spacing w:before="120" w:after="120" w:line="360" w:lineRule="auto"/>
        <w:ind w:firstLine="480" w:firstLineChars="200"/>
        <w:rPr>
          <w:rFonts w:ascii="宋体" w:hAnsi="宋体"/>
          <w:b w:val="0"/>
          <w:color w:val="000000"/>
          <w:sz w:val="24"/>
          <w:szCs w:val="24"/>
          <w:highlight w:val="none"/>
        </w:rPr>
      </w:pPr>
      <w:bookmarkStart w:id="89" w:name="_Toc351203513"/>
      <w:r>
        <w:rPr>
          <w:rFonts w:ascii="宋体" w:hAnsi="宋体"/>
          <w:b w:val="0"/>
          <w:color w:val="000000"/>
          <w:sz w:val="24"/>
          <w:szCs w:val="24"/>
          <w:highlight w:val="none"/>
        </w:rPr>
        <w:t>2</w:t>
      </w:r>
      <w:bookmarkStart w:id="90" w:name="_Toc337558741"/>
      <w:bookmarkStart w:id="91" w:name="_Toc296503040"/>
      <w:bookmarkStart w:id="92" w:name="_Toc296346541"/>
      <w:r>
        <w:rPr>
          <w:rFonts w:ascii="宋体" w:hAnsi="宋体"/>
          <w:b w:val="0"/>
          <w:color w:val="000000"/>
          <w:sz w:val="24"/>
          <w:szCs w:val="24"/>
          <w:highlight w:val="none"/>
        </w:rPr>
        <w:t>.4 施工现场、施工条件和基础资料的提供</w:t>
      </w:r>
      <w:bookmarkEnd w:id="89"/>
      <w:r>
        <w:rPr>
          <w:rFonts w:ascii="宋体" w:hAnsi="宋体"/>
          <w:b w:val="0"/>
          <w:color w:val="000000"/>
          <w:sz w:val="24"/>
          <w:szCs w:val="24"/>
          <w:highlight w:val="none"/>
        </w:rPr>
        <w:t xml:space="preserve"> </w:t>
      </w:r>
      <w:bookmarkEnd w:id="90"/>
      <w:bookmarkEnd w:id="91"/>
      <w:bookmarkEnd w:id="92"/>
      <w:r>
        <w:rPr>
          <w:rFonts w:ascii="宋体" w:hAnsi="宋体"/>
          <w:b w:val="0"/>
          <w:color w:val="000000"/>
          <w:sz w:val="24"/>
          <w:szCs w:val="24"/>
          <w:highlight w:val="none"/>
        </w:rPr>
        <w:t xml:space="preserve"> </w:t>
      </w:r>
    </w:p>
    <w:p w14:paraId="6C9356C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2.4.1 提供施工现场</w:t>
      </w:r>
    </w:p>
    <w:p w14:paraId="6B74BBF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w:t>
      </w:r>
      <w:bookmarkEnd w:id="81"/>
      <w:bookmarkEnd w:id="82"/>
      <w:r>
        <w:rPr>
          <w:rFonts w:ascii="宋体" w:hAnsi="宋体"/>
          <w:color w:val="000000"/>
          <w:kern w:val="0"/>
          <w:sz w:val="24"/>
          <w:szCs w:val="24"/>
          <w:highlight w:val="none"/>
        </w:rPr>
        <w:t>专用合同条款另有约定外，发包人应</w:t>
      </w:r>
      <w:r>
        <w:rPr>
          <w:rFonts w:hint="eastAsia" w:ascii="宋体" w:hAnsi="宋体"/>
          <w:color w:val="000000"/>
          <w:kern w:val="0"/>
          <w:sz w:val="24"/>
          <w:szCs w:val="24"/>
          <w:highlight w:val="none"/>
        </w:rPr>
        <w:t>最迟于</w:t>
      </w:r>
      <w:r>
        <w:rPr>
          <w:rFonts w:ascii="宋体" w:hAnsi="宋体"/>
          <w:color w:val="000000"/>
          <w:kern w:val="0"/>
          <w:sz w:val="24"/>
          <w:szCs w:val="24"/>
          <w:highlight w:val="none"/>
        </w:rPr>
        <w:t>开工日期7天前向承包人移交施工现场。</w:t>
      </w:r>
    </w:p>
    <w:p w14:paraId="785C3BC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2.4.2 提供施工条件</w:t>
      </w:r>
    </w:p>
    <w:p w14:paraId="056D8ED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除专用合同条款另有约定外，发包人应负责提供施工所需要的条件，包括：</w:t>
      </w:r>
    </w:p>
    <w:p w14:paraId="570EAB3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（1）将施工用水、电力、通讯线路等施工所必需的条件接至施工现场内；</w:t>
      </w:r>
    </w:p>
    <w:p w14:paraId="68CA811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（2）保证向承包人提供正常施工所需要的进入施工现场的交通条件；</w:t>
      </w:r>
    </w:p>
    <w:p w14:paraId="3BC8419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（3）协调处理施工现场周围地下管线和邻近建筑物、构筑物、古树名木的保护工作，并承担相关费用；</w:t>
      </w:r>
    </w:p>
    <w:p w14:paraId="0C8890E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（4）按照专用合同条款约定</w:t>
      </w:r>
      <w:r>
        <w:rPr>
          <w:rFonts w:hint="eastAsia" w:ascii="宋体" w:hAnsi="宋体"/>
          <w:color w:val="000000"/>
          <w:kern w:val="0"/>
          <w:sz w:val="24"/>
          <w:szCs w:val="24"/>
          <w:highlight w:val="none"/>
        </w:rPr>
        <w:t>应</w:t>
      </w:r>
      <w:r>
        <w:rPr>
          <w:rFonts w:ascii="宋体" w:hAnsi="宋体"/>
          <w:color w:val="000000"/>
          <w:kern w:val="0"/>
          <w:sz w:val="24"/>
          <w:szCs w:val="24"/>
          <w:highlight w:val="none"/>
        </w:rPr>
        <w:t>提供的其他设施和条件。</w:t>
      </w:r>
    </w:p>
    <w:p w14:paraId="6E2BA1FE">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2.4.3 提供基础资料</w:t>
      </w:r>
    </w:p>
    <w:p w14:paraId="1AF2705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1CC257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6FC58BE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2.4.4 逾期提供的责任</w:t>
      </w:r>
    </w:p>
    <w:p w14:paraId="089643E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因发包人原因未能按合同约定及时向承包人提供施工现场、施工条件、基础资料的，由发包人承担由此增加的费用和（或）延误的工期。</w:t>
      </w:r>
    </w:p>
    <w:p w14:paraId="07B7433F">
      <w:pPr>
        <w:pStyle w:val="8"/>
        <w:spacing w:before="120" w:after="120" w:line="360" w:lineRule="auto"/>
        <w:ind w:firstLine="480" w:firstLineChars="200"/>
        <w:rPr>
          <w:rFonts w:ascii="宋体" w:hAnsi="宋体"/>
          <w:b w:val="0"/>
          <w:color w:val="000000"/>
          <w:sz w:val="24"/>
          <w:szCs w:val="24"/>
          <w:highlight w:val="none"/>
        </w:rPr>
      </w:pPr>
      <w:bookmarkStart w:id="93" w:name="_Toc351203514"/>
      <w:r>
        <w:rPr>
          <w:rFonts w:ascii="宋体" w:hAnsi="宋体"/>
          <w:b w:val="0"/>
          <w:color w:val="000000"/>
          <w:sz w:val="24"/>
          <w:szCs w:val="24"/>
          <w:highlight w:val="none"/>
        </w:rPr>
        <w:t>2</w:t>
      </w:r>
      <w:bookmarkStart w:id="94" w:name="_Toc296346543"/>
      <w:bookmarkStart w:id="95" w:name="_Toc296503042"/>
      <w:bookmarkStart w:id="96" w:name="_Toc337558745"/>
      <w:r>
        <w:rPr>
          <w:rFonts w:ascii="宋体" w:hAnsi="宋体"/>
          <w:b w:val="0"/>
          <w:color w:val="000000"/>
          <w:sz w:val="24"/>
          <w:szCs w:val="24"/>
          <w:highlight w:val="none"/>
        </w:rPr>
        <w:t>.5 资</w:t>
      </w:r>
      <w:bookmarkEnd w:id="94"/>
      <w:bookmarkEnd w:id="95"/>
      <w:bookmarkEnd w:id="96"/>
      <w:r>
        <w:rPr>
          <w:rFonts w:ascii="宋体" w:hAnsi="宋体"/>
          <w:b w:val="0"/>
          <w:color w:val="000000"/>
          <w:sz w:val="24"/>
          <w:szCs w:val="24"/>
          <w:highlight w:val="none"/>
        </w:rPr>
        <w:t>金来源证明及支付担保</w:t>
      </w:r>
      <w:bookmarkEnd w:id="93"/>
    </w:p>
    <w:p w14:paraId="1C9B6AF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1162ECC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B227BD7">
      <w:pPr>
        <w:pStyle w:val="8"/>
        <w:spacing w:before="120" w:after="120" w:line="360" w:lineRule="auto"/>
        <w:ind w:firstLine="480" w:firstLineChars="200"/>
        <w:rPr>
          <w:rFonts w:ascii="宋体" w:hAnsi="宋体"/>
          <w:b w:val="0"/>
          <w:color w:val="000000"/>
          <w:sz w:val="24"/>
          <w:szCs w:val="24"/>
          <w:highlight w:val="none"/>
        </w:rPr>
      </w:pPr>
      <w:bookmarkStart w:id="97" w:name="_Toc351203515"/>
      <w:r>
        <w:rPr>
          <w:rFonts w:ascii="宋体" w:hAnsi="宋体"/>
          <w:b w:val="0"/>
          <w:color w:val="000000"/>
          <w:sz w:val="24"/>
          <w:szCs w:val="24"/>
          <w:highlight w:val="none"/>
        </w:rPr>
        <w:t>2.6 支付合同价款</w:t>
      </w:r>
      <w:bookmarkEnd w:id="97"/>
    </w:p>
    <w:p w14:paraId="14F5B00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发包人应按合同约定向承包人及时支付合同价款。</w:t>
      </w:r>
    </w:p>
    <w:p w14:paraId="306E32D1">
      <w:pPr>
        <w:pStyle w:val="8"/>
        <w:spacing w:before="120" w:after="120" w:line="360" w:lineRule="auto"/>
        <w:ind w:firstLine="480" w:firstLineChars="200"/>
        <w:rPr>
          <w:rFonts w:ascii="宋体" w:hAnsi="宋体"/>
          <w:b w:val="0"/>
          <w:color w:val="000000"/>
          <w:sz w:val="24"/>
          <w:szCs w:val="24"/>
          <w:highlight w:val="none"/>
        </w:rPr>
      </w:pPr>
      <w:bookmarkStart w:id="98" w:name="_Toc351203516"/>
      <w:r>
        <w:rPr>
          <w:rFonts w:ascii="宋体" w:hAnsi="宋体"/>
          <w:b w:val="0"/>
          <w:color w:val="000000"/>
          <w:sz w:val="24"/>
          <w:szCs w:val="24"/>
          <w:highlight w:val="none"/>
        </w:rPr>
        <w:t>2.7 组织竣工验收</w:t>
      </w:r>
      <w:bookmarkEnd w:id="98"/>
    </w:p>
    <w:p w14:paraId="0EA0399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发包人应按合同约定及时组织竣工验收。</w:t>
      </w:r>
    </w:p>
    <w:p w14:paraId="33CE4281">
      <w:pPr>
        <w:pStyle w:val="8"/>
        <w:spacing w:before="120" w:after="120" w:line="360" w:lineRule="auto"/>
        <w:ind w:firstLine="480" w:firstLineChars="200"/>
        <w:rPr>
          <w:rFonts w:ascii="宋体" w:hAnsi="宋体"/>
          <w:b w:val="0"/>
          <w:color w:val="000000"/>
          <w:sz w:val="24"/>
          <w:szCs w:val="24"/>
          <w:highlight w:val="none"/>
        </w:rPr>
      </w:pPr>
      <w:bookmarkStart w:id="99" w:name="_Toc351203517"/>
      <w:r>
        <w:rPr>
          <w:rFonts w:ascii="宋体" w:hAnsi="宋体"/>
          <w:b w:val="0"/>
          <w:color w:val="000000"/>
          <w:sz w:val="24"/>
          <w:szCs w:val="24"/>
          <w:highlight w:val="none"/>
        </w:rPr>
        <w:t>2.8 现场统一管理协议</w:t>
      </w:r>
      <w:bookmarkEnd w:id="99"/>
    </w:p>
    <w:p w14:paraId="0ADA10E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6AC63C30">
      <w:pPr>
        <w:pStyle w:val="7"/>
        <w:spacing w:before="120" w:after="120" w:line="360" w:lineRule="auto"/>
        <w:rPr>
          <w:rFonts w:ascii="宋体" w:hAnsi="宋体"/>
          <w:b w:val="0"/>
          <w:color w:val="000000"/>
          <w:szCs w:val="24"/>
          <w:highlight w:val="none"/>
        </w:rPr>
      </w:pPr>
      <w:bookmarkStart w:id="100" w:name="_Toc351203518"/>
      <w:r>
        <w:rPr>
          <w:rFonts w:ascii="宋体" w:hAnsi="宋体"/>
          <w:b w:val="0"/>
          <w:color w:val="000000"/>
          <w:szCs w:val="24"/>
          <w:highlight w:val="none"/>
        </w:rPr>
        <w:t>3</w:t>
      </w:r>
      <w:bookmarkStart w:id="101" w:name="_Toc337558746"/>
      <w:bookmarkStart w:id="102" w:name="_Toc296346546"/>
      <w:bookmarkStart w:id="103" w:name="_Toc296503045"/>
      <w:r>
        <w:rPr>
          <w:rFonts w:ascii="宋体" w:hAnsi="宋体"/>
          <w:b w:val="0"/>
          <w:color w:val="000000"/>
          <w:szCs w:val="24"/>
          <w:highlight w:val="none"/>
        </w:rPr>
        <w:t>. 承包人</w:t>
      </w:r>
      <w:bookmarkEnd w:id="100"/>
    </w:p>
    <w:bookmarkEnd w:id="101"/>
    <w:bookmarkEnd w:id="102"/>
    <w:bookmarkEnd w:id="103"/>
    <w:p w14:paraId="51FFDCF8">
      <w:pPr>
        <w:pStyle w:val="8"/>
        <w:spacing w:before="120" w:after="120" w:line="360" w:lineRule="auto"/>
        <w:ind w:firstLine="480" w:firstLineChars="200"/>
        <w:rPr>
          <w:rFonts w:ascii="宋体" w:hAnsi="宋体"/>
          <w:b w:val="0"/>
          <w:color w:val="000000"/>
          <w:sz w:val="24"/>
          <w:szCs w:val="24"/>
          <w:highlight w:val="none"/>
        </w:rPr>
      </w:pPr>
      <w:bookmarkStart w:id="104" w:name="_Toc351203519"/>
      <w:r>
        <w:rPr>
          <w:rFonts w:ascii="宋体" w:hAnsi="宋体"/>
          <w:b w:val="0"/>
          <w:color w:val="000000"/>
          <w:sz w:val="24"/>
          <w:szCs w:val="24"/>
          <w:highlight w:val="none"/>
        </w:rPr>
        <w:t>3</w:t>
      </w:r>
      <w:bookmarkStart w:id="105" w:name="_Toc337558747"/>
      <w:bookmarkStart w:id="106" w:name="_Toc296346547"/>
      <w:bookmarkStart w:id="107" w:name="_Toc296503046"/>
      <w:r>
        <w:rPr>
          <w:rFonts w:ascii="宋体" w:hAnsi="宋体"/>
          <w:b w:val="0"/>
          <w:color w:val="000000"/>
          <w:sz w:val="24"/>
          <w:szCs w:val="24"/>
          <w:highlight w:val="none"/>
        </w:rPr>
        <w:t>.1 承包人的一般义务</w:t>
      </w:r>
      <w:bookmarkEnd w:id="104"/>
    </w:p>
    <w:bookmarkEnd w:id="105"/>
    <w:bookmarkEnd w:id="106"/>
    <w:bookmarkEnd w:id="107"/>
    <w:p w14:paraId="5FCD06B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承包人在履行合同过程中应遵守法律和工程建设标准规范，并履行以下义务：</w:t>
      </w:r>
    </w:p>
    <w:p w14:paraId="57874E2E">
      <w:pPr>
        <w:numPr>
          <w:ilvl w:val="0"/>
          <w:numId w:val="21"/>
        </w:num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办理法律规定</w:t>
      </w:r>
      <w:r>
        <w:rPr>
          <w:rFonts w:hint="eastAsia" w:ascii="宋体" w:hAnsi="宋体"/>
          <w:color w:val="000000"/>
          <w:kern w:val="0"/>
          <w:sz w:val="24"/>
          <w:szCs w:val="24"/>
          <w:highlight w:val="none"/>
        </w:rPr>
        <w:t>应</w:t>
      </w:r>
      <w:r>
        <w:rPr>
          <w:rFonts w:ascii="宋体" w:hAnsi="宋体"/>
          <w:color w:val="000000"/>
          <w:kern w:val="0"/>
          <w:sz w:val="24"/>
          <w:szCs w:val="24"/>
          <w:highlight w:val="none"/>
        </w:rPr>
        <w:t>由承包人办理的许可和批准，并将</w:t>
      </w:r>
      <w:r>
        <w:rPr>
          <w:rFonts w:hint="eastAsia" w:ascii="宋体" w:hAnsi="宋体"/>
          <w:color w:val="000000"/>
          <w:kern w:val="0"/>
          <w:sz w:val="24"/>
          <w:szCs w:val="24"/>
          <w:highlight w:val="none"/>
        </w:rPr>
        <w:t>办理</w:t>
      </w:r>
      <w:r>
        <w:rPr>
          <w:rFonts w:ascii="宋体" w:hAnsi="宋体"/>
          <w:color w:val="000000"/>
          <w:kern w:val="0"/>
          <w:sz w:val="24"/>
          <w:szCs w:val="24"/>
          <w:highlight w:val="none"/>
        </w:rPr>
        <w:t>结果书面报送发包人留存；</w:t>
      </w:r>
    </w:p>
    <w:p w14:paraId="7CCF214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（2）按法律规定和合同约定完成工程，并在保修期内承担保修义务；</w:t>
      </w:r>
    </w:p>
    <w:p w14:paraId="313CE0E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（3）按法律规定和合同约定采取施工安全和环境保护措施，办理工伤保险，确保工程及人员、材料、设备和设施的安全；</w:t>
      </w:r>
    </w:p>
    <w:p w14:paraId="078D19F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（4）按合同约定的工作内容和施工进度要求，编制施工组织设计和施工措施计划，并对所有施工作业和施工方法的完备性和安全可靠性负责；</w:t>
      </w:r>
    </w:p>
    <w:p w14:paraId="4B2B0CD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D97D58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（6）按照第6.3款</w:t>
      </w:r>
      <w:r>
        <w:rPr>
          <w:rFonts w:hint="eastAsia" w:ascii="宋体" w:hAnsi="宋体"/>
          <w:color w:val="000000"/>
          <w:kern w:val="0"/>
          <w:sz w:val="24"/>
          <w:szCs w:val="24"/>
          <w:highlight w:val="none"/>
        </w:rPr>
        <w:t>〔</w:t>
      </w:r>
      <w:r>
        <w:rPr>
          <w:rFonts w:ascii="宋体" w:hAnsi="宋体"/>
          <w:color w:val="000000"/>
          <w:kern w:val="0"/>
          <w:sz w:val="24"/>
          <w:szCs w:val="24"/>
          <w:highlight w:val="none"/>
        </w:rPr>
        <w:t>环境保护</w:t>
      </w:r>
      <w:r>
        <w:rPr>
          <w:rFonts w:hint="eastAsia" w:ascii="宋体" w:hAnsi="宋体"/>
          <w:color w:val="000000"/>
          <w:kern w:val="0"/>
          <w:sz w:val="24"/>
          <w:szCs w:val="24"/>
          <w:highlight w:val="none"/>
        </w:rPr>
        <w:t>〕</w:t>
      </w:r>
      <w:r>
        <w:rPr>
          <w:rFonts w:ascii="宋体" w:hAnsi="宋体"/>
          <w:color w:val="000000"/>
          <w:kern w:val="0"/>
          <w:sz w:val="24"/>
          <w:szCs w:val="24"/>
          <w:highlight w:val="none"/>
        </w:rPr>
        <w:t>约定负责施工场地及其周边环境与生态的保护工作；</w:t>
      </w:r>
    </w:p>
    <w:p w14:paraId="54E7F5A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（7）按第6.1款</w:t>
      </w:r>
      <w:r>
        <w:rPr>
          <w:rFonts w:hint="eastAsia" w:ascii="宋体" w:hAnsi="宋体"/>
          <w:color w:val="000000"/>
          <w:kern w:val="0"/>
          <w:sz w:val="24"/>
          <w:szCs w:val="24"/>
          <w:highlight w:val="none"/>
        </w:rPr>
        <w:t>〔</w:t>
      </w:r>
      <w:r>
        <w:rPr>
          <w:rFonts w:ascii="宋体" w:hAnsi="宋体"/>
          <w:color w:val="000000"/>
          <w:kern w:val="0"/>
          <w:sz w:val="24"/>
          <w:szCs w:val="24"/>
          <w:highlight w:val="none"/>
        </w:rPr>
        <w:t>安全文明施工</w:t>
      </w:r>
      <w:r>
        <w:rPr>
          <w:rFonts w:hint="eastAsia" w:ascii="宋体" w:hAnsi="宋体"/>
          <w:color w:val="000000"/>
          <w:kern w:val="0"/>
          <w:sz w:val="24"/>
          <w:szCs w:val="24"/>
          <w:highlight w:val="none"/>
        </w:rPr>
        <w:t>〕</w:t>
      </w:r>
      <w:r>
        <w:rPr>
          <w:rFonts w:ascii="宋体" w:hAnsi="宋体"/>
          <w:color w:val="000000"/>
          <w:kern w:val="0"/>
          <w:sz w:val="24"/>
          <w:szCs w:val="24"/>
          <w:highlight w:val="none"/>
        </w:rPr>
        <w:t>约定采取施工安全措施，确保工程及其人员、材料、设备和设施的安全，防止因工程施工造成的人身伤害和财产损失；</w:t>
      </w:r>
    </w:p>
    <w:p w14:paraId="61C7344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w:t>
      </w:r>
      <w:r>
        <w:rPr>
          <w:rFonts w:hint="eastAsia" w:ascii="宋体" w:hAnsi="宋体"/>
          <w:color w:val="000000"/>
          <w:kern w:val="0"/>
          <w:sz w:val="24"/>
          <w:szCs w:val="24"/>
          <w:highlight w:val="none"/>
        </w:rPr>
        <w:t>将</w:t>
      </w:r>
      <w:r>
        <w:rPr>
          <w:rFonts w:ascii="宋体" w:hAnsi="宋体"/>
          <w:color w:val="000000"/>
          <w:kern w:val="0"/>
          <w:sz w:val="24"/>
          <w:szCs w:val="24"/>
          <w:highlight w:val="none"/>
        </w:rPr>
        <w:t>发包人按合同约定支付的各项价款专用于合同工程，且应及时支付其雇用人员工资，并及时向分包人支付合同价款；</w:t>
      </w:r>
    </w:p>
    <w:p w14:paraId="322D34E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（9）按照法律规定和合同约定编制竣工资料，完成竣工资料立卷及归档，并按专用合同条款约定的竣工资料的套数、内容、时间等要求移交发包人；</w:t>
      </w:r>
    </w:p>
    <w:p w14:paraId="0B5342B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（10）应履行的其他义务。</w:t>
      </w:r>
    </w:p>
    <w:p w14:paraId="1433DE59">
      <w:pPr>
        <w:pStyle w:val="8"/>
        <w:spacing w:before="120" w:after="120" w:line="360" w:lineRule="auto"/>
        <w:ind w:firstLine="480" w:firstLineChars="200"/>
        <w:rPr>
          <w:rFonts w:ascii="宋体" w:hAnsi="宋体"/>
          <w:b w:val="0"/>
          <w:color w:val="000000"/>
          <w:sz w:val="24"/>
          <w:szCs w:val="24"/>
          <w:highlight w:val="none"/>
        </w:rPr>
      </w:pPr>
      <w:bookmarkStart w:id="108" w:name="_Toc351203520"/>
      <w:r>
        <w:rPr>
          <w:rFonts w:ascii="宋体" w:hAnsi="宋体"/>
          <w:b w:val="0"/>
          <w:color w:val="000000"/>
          <w:sz w:val="24"/>
          <w:szCs w:val="24"/>
          <w:highlight w:val="none"/>
        </w:rPr>
        <w:t>3</w:t>
      </w:r>
      <w:bookmarkStart w:id="109" w:name="_Toc296503047"/>
      <w:bookmarkStart w:id="110" w:name="_Toc296346548"/>
      <w:bookmarkStart w:id="111" w:name="_Toc337558748"/>
      <w:r>
        <w:rPr>
          <w:rFonts w:ascii="宋体" w:hAnsi="宋体"/>
          <w:b w:val="0"/>
          <w:color w:val="000000"/>
          <w:sz w:val="24"/>
          <w:szCs w:val="24"/>
          <w:highlight w:val="none"/>
        </w:rPr>
        <w:t xml:space="preserve">.2 </w:t>
      </w:r>
      <w:bookmarkEnd w:id="108"/>
      <w:r>
        <w:rPr>
          <w:rFonts w:ascii="宋体" w:hAnsi="宋体"/>
          <w:b w:val="0"/>
          <w:color w:val="000000"/>
          <w:sz w:val="24"/>
          <w:szCs w:val="24"/>
          <w:highlight w:val="none"/>
        </w:rPr>
        <w:t>项目经理</w:t>
      </w:r>
    </w:p>
    <w:bookmarkEnd w:id="109"/>
    <w:bookmarkEnd w:id="110"/>
    <w:bookmarkEnd w:id="111"/>
    <w:p w14:paraId="24E5AAB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9D2F2A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CB448D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承包人违反上述约定的，应按照专用合同条款的约定，承担违约责任。</w:t>
      </w:r>
    </w:p>
    <w:p w14:paraId="3B5B14D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3.2.2 项目经理按合同约定组织工程实施。在紧急情况下</w:t>
      </w:r>
      <w:r>
        <w:rPr>
          <w:rFonts w:hint="eastAsia" w:ascii="宋体" w:hAnsi="宋体"/>
          <w:color w:val="000000"/>
          <w:kern w:val="0"/>
          <w:sz w:val="24"/>
          <w:szCs w:val="24"/>
          <w:highlight w:val="none"/>
        </w:rPr>
        <w:t>为确保施工安全和人员安全</w:t>
      </w:r>
      <w:r>
        <w:rPr>
          <w:rFonts w:ascii="宋体" w:hAnsi="宋体"/>
          <w:color w:val="000000"/>
          <w:kern w:val="0"/>
          <w:sz w:val="24"/>
          <w:szCs w:val="24"/>
          <w:highlight w:val="none"/>
        </w:rPr>
        <w:t>，</w:t>
      </w:r>
      <w:r>
        <w:rPr>
          <w:rFonts w:hint="eastAsia" w:ascii="宋体" w:hAnsi="宋体"/>
          <w:color w:val="000000"/>
          <w:kern w:val="0"/>
          <w:sz w:val="24"/>
          <w:szCs w:val="24"/>
          <w:highlight w:val="none"/>
        </w:rPr>
        <w:t>在</w:t>
      </w:r>
      <w:r>
        <w:rPr>
          <w:rFonts w:ascii="宋体" w:hAnsi="宋体"/>
          <w:color w:val="000000"/>
          <w:kern w:val="0"/>
          <w:sz w:val="24"/>
          <w:szCs w:val="24"/>
          <w:highlight w:val="none"/>
        </w:rPr>
        <w:t>无法与发包人代表和总监理工程师</w:t>
      </w:r>
      <w:r>
        <w:rPr>
          <w:rFonts w:hint="eastAsia" w:ascii="宋体" w:hAnsi="宋体"/>
          <w:color w:val="000000"/>
          <w:kern w:val="0"/>
          <w:sz w:val="24"/>
          <w:szCs w:val="24"/>
          <w:highlight w:val="none"/>
        </w:rPr>
        <w:t>及时</w:t>
      </w:r>
      <w:r>
        <w:rPr>
          <w:rFonts w:ascii="宋体" w:hAnsi="宋体"/>
          <w:color w:val="000000"/>
          <w:kern w:val="0"/>
          <w:sz w:val="24"/>
          <w:szCs w:val="24"/>
          <w:highlight w:val="none"/>
        </w:rPr>
        <w:t>取得联系时，项目经理有权采取必要的措施保证与工程有关的人身、财产和工程的安全，但应在48小时内向发包人代表和总监理工程师提交书面报告。</w:t>
      </w:r>
    </w:p>
    <w:p w14:paraId="303BEA9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5A3F60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 w:val="24"/>
          <w:szCs w:val="24"/>
          <w:highlight w:val="none"/>
        </w:rPr>
        <w:t>继</w:t>
      </w:r>
      <w:r>
        <w:rPr>
          <w:rFonts w:ascii="宋体" w:hAnsi="宋体"/>
          <w:color w:val="000000"/>
          <w:kern w:val="0"/>
          <w:sz w:val="24"/>
          <w:szCs w:val="24"/>
          <w:highlight w:val="none"/>
        </w:rPr>
        <w:t>任项目经理继续履行第3.2.1项约定的职责。承包人无正当理由拒绝更换项目经理的，应按照专用合同条款的约定承担违约责任。</w:t>
      </w:r>
    </w:p>
    <w:p w14:paraId="7E2158F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05E8B9D">
      <w:pPr>
        <w:pStyle w:val="8"/>
        <w:spacing w:before="120" w:after="120" w:line="360" w:lineRule="auto"/>
        <w:ind w:firstLine="480" w:firstLineChars="200"/>
        <w:rPr>
          <w:rFonts w:ascii="宋体" w:hAnsi="宋体"/>
          <w:b w:val="0"/>
          <w:color w:val="000000"/>
          <w:sz w:val="24"/>
          <w:szCs w:val="24"/>
          <w:highlight w:val="none"/>
        </w:rPr>
      </w:pPr>
      <w:bookmarkStart w:id="112" w:name="_Toc351203521"/>
      <w:r>
        <w:rPr>
          <w:rFonts w:ascii="宋体" w:hAnsi="宋体"/>
          <w:b w:val="0"/>
          <w:color w:val="000000"/>
          <w:sz w:val="24"/>
          <w:szCs w:val="24"/>
          <w:highlight w:val="none"/>
        </w:rPr>
        <w:t>3</w:t>
      </w:r>
      <w:bookmarkStart w:id="113" w:name="_Toc296503048"/>
      <w:bookmarkStart w:id="114" w:name="_Toc296346549"/>
      <w:bookmarkStart w:id="115" w:name="_Toc337558749"/>
      <w:r>
        <w:rPr>
          <w:rFonts w:ascii="宋体" w:hAnsi="宋体"/>
          <w:b w:val="0"/>
          <w:color w:val="000000"/>
          <w:sz w:val="24"/>
          <w:szCs w:val="24"/>
          <w:highlight w:val="none"/>
        </w:rPr>
        <w:t xml:space="preserve">.3 </w:t>
      </w:r>
      <w:bookmarkEnd w:id="113"/>
      <w:bookmarkEnd w:id="114"/>
      <w:r>
        <w:rPr>
          <w:rFonts w:ascii="宋体" w:hAnsi="宋体"/>
          <w:b w:val="0"/>
          <w:color w:val="000000"/>
          <w:sz w:val="24"/>
          <w:szCs w:val="24"/>
          <w:highlight w:val="none"/>
        </w:rPr>
        <w:t>承包人人员</w:t>
      </w:r>
      <w:bookmarkEnd w:id="112"/>
    </w:p>
    <w:bookmarkEnd w:id="115"/>
    <w:p w14:paraId="261EF35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 w:val="24"/>
          <w:szCs w:val="24"/>
          <w:highlight w:val="none"/>
        </w:rPr>
        <w:t>和</w:t>
      </w:r>
      <w:r>
        <w:rPr>
          <w:rFonts w:ascii="宋体" w:hAnsi="宋体"/>
          <w:color w:val="000000"/>
          <w:kern w:val="0"/>
          <w:sz w:val="24"/>
          <w:szCs w:val="24"/>
          <w:highlight w:val="none"/>
        </w:rPr>
        <w:t>缴纳社会保险的有效证明。</w:t>
      </w:r>
    </w:p>
    <w:p w14:paraId="0C6AC46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3.3.2 承包人派驻到施工现场的主要施工管理人员应相对稳定。施工过程中</w:t>
      </w:r>
      <w:r>
        <w:rPr>
          <w:rFonts w:hint="eastAsia" w:ascii="宋体" w:hAnsi="宋体"/>
          <w:color w:val="000000"/>
          <w:kern w:val="0"/>
          <w:sz w:val="24"/>
          <w:szCs w:val="24"/>
          <w:highlight w:val="none"/>
        </w:rPr>
        <w:t>如有变动</w:t>
      </w:r>
      <w:r>
        <w:rPr>
          <w:rFonts w:ascii="宋体" w:hAnsi="宋体"/>
          <w:color w:val="000000"/>
          <w:kern w:val="0"/>
          <w:sz w:val="24"/>
          <w:szCs w:val="24"/>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76FE3F5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特殊工种作业人员均应持有相应的资格证明，监理人可以随时检查。</w:t>
      </w:r>
    </w:p>
    <w:p w14:paraId="12D00FB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3.3.3 发包人对于承包人主要施工管理人员</w:t>
      </w:r>
      <w:r>
        <w:rPr>
          <w:rFonts w:hint="eastAsia" w:ascii="宋体" w:hAnsi="宋体"/>
          <w:color w:val="000000"/>
          <w:kern w:val="0"/>
          <w:sz w:val="24"/>
          <w:szCs w:val="24"/>
          <w:highlight w:val="none"/>
        </w:rPr>
        <w:t>的资格或能力</w:t>
      </w:r>
      <w:r>
        <w:rPr>
          <w:rFonts w:ascii="宋体" w:hAnsi="宋体"/>
          <w:color w:val="000000"/>
          <w:kern w:val="0"/>
          <w:sz w:val="24"/>
          <w:szCs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2F6F08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675AB0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3.3.5 承包人擅自更换主要施工管理人员，或前述人员未经监理人或发包人同意擅自离开施工现场的，应按照专用合同条款约定承担违约责任。</w:t>
      </w:r>
    </w:p>
    <w:p w14:paraId="4B300D47">
      <w:pPr>
        <w:pStyle w:val="8"/>
        <w:spacing w:before="120" w:after="120" w:line="360" w:lineRule="auto"/>
        <w:ind w:firstLine="480" w:firstLineChars="200"/>
        <w:rPr>
          <w:rFonts w:ascii="宋体" w:hAnsi="宋体"/>
          <w:b w:val="0"/>
          <w:color w:val="000000"/>
          <w:sz w:val="24"/>
          <w:szCs w:val="24"/>
          <w:highlight w:val="none"/>
        </w:rPr>
      </w:pPr>
      <w:bookmarkStart w:id="116" w:name="_Toc351203522"/>
      <w:r>
        <w:rPr>
          <w:rFonts w:ascii="宋体" w:hAnsi="宋体"/>
          <w:b w:val="0"/>
          <w:color w:val="000000"/>
          <w:sz w:val="24"/>
          <w:szCs w:val="24"/>
          <w:highlight w:val="none"/>
        </w:rPr>
        <w:t>3</w:t>
      </w:r>
      <w:bookmarkStart w:id="117" w:name="_Toc296503050"/>
      <w:bookmarkStart w:id="118" w:name="_Toc337558750"/>
      <w:bookmarkStart w:id="119" w:name="_Toc296346551"/>
      <w:r>
        <w:rPr>
          <w:rFonts w:ascii="宋体" w:hAnsi="宋体"/>
          <w:b w:val="0"/>
          <w:color w:val="000000"/>
          <w:sz w:val="24"/>
          <w:szCs w:val="24"/>
          <w:highlight w:val="none"/>
        </w:rPr>
        <w:t>.4 承包人现场查勘</w:t>
      </w:r>
      <w:bookmarkEnd w:id="116"/>
    </w:p>
    <w:bookmarkEnd w:id="117"/>
    <w:bookmarkEnd w:id="118"/>
    <w:bookmarkEnd w:id="119"/>
    <w:p w14:paraId="0D7A4ACB">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承包人应对基于发包人按照第2.4.3项</w:t>
      </w:r>
      <w:r>
        <w:rPr>
          <w:rFonts w:hint="eastAsia" w:ascii="宋体" w:hAnsi="宋体"/>
          <w:color w:val="000000"/>
          <w:kern w:val="0"/>
          <w:sz w:val="24"/>
          <w:szCs w:val="24"/>
          <w:highlight w:val="none"/>
        </w:rPr>
        <w:t>〔</w:t>
      </w:r>
      <w:r>
        <w:rPr>
          <w:rFonts w:ascii="宋体" w:hAnsi="宋体"/>
          <w:color w:val="000000"/>
          <w:kern w:val="0"/>
          <w:sz w:val="24"/>
          <w:szCs w:val="24"/>
          <w:highlight w:val="none"/>
        </w:rPr>
        <w:t>提供基础资料</w:t>
      </w:r>
      <w:r>
        <w:rPr>
          <w:rFonts w:hint="eastAsia" w:ascii="宋体" w:hAnsi="宋体"/>
          <w:color w:val="000000"/>
          <w:kern w:val="0"/>
          <w:sz w:val="24"/>
          <w:szCs w:val="24"/>
          <w:highlight w:val="none"/>
        </w:rPr>
        <w:t>〕</w:t>
      </w:r>
      <w:r>
        <w:rPr>
          <w:rFonts w:ascii="宋体" w:hAnsi="宋体"/>
          <w:color w:val="000000"/>
          <w:kern w:val="0"/>
          <w:sz w:val="24"/>
          <w:szCs w:val="24"/>
          <w:highlight w:val="none"/>
        </w:rPr>
        <w:t>提交的基础资料所做出的解释和推断负责，但因基础资料存在错误、遗漏导致承包人解释或推断失实的，由发包人承担责任。</w:t>
      </w:r>
    </w:p>
    <w:p w14:paraId="2793F3B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1FA50A8">
      <w:pPr>
        <w:pStyle w:val="8"/>
        <w:spacing w:before="120" w:after="120" w:line="360" w:lineRule="auto"/>
        <w:ind w:firstLine="480" w:firstLineChars="200"/>
        <w:rPr>
          <w:rFonts w:ascii="宋体" w:hAnsi="宋体"/>
          <w:b w:val="0"/>
          <w:color w:val="000000"/>
          <w:sz w:val="24"/>
          <w:szCs w:val="24"/>
          <w:highlight w:val="none"/>
        </w:rPr>
      </w:pPr>
      <w:bookmarkStart w:id="120" w:name="_Toc351203523"/>
      <w:r>
        <w:rPr>
          <w:rFonts w:ascii="宋体" w:hAnsi="宋体"/>
          <w:b w:val="0"/>
          <w:color w:val="000000"/>
          <w:sz w:val="24"/>
          <w:szCs w:val="24"/>
          <w:highlight w:val="none"/>
        </w:rPr>
        <w:t>3</w:t>
      </w:r>
      <w:bookmarkStart w:id="121" w:name="_Toc296346552"/>
      <w:bookmarkStart w:id="122" w:name="_Toc337558751"/>
      <w:bookmarkStart w:id="123" w:name="_Toc296503051"/>
      <w:r>
        <w:rPr>
          <w:rFonts w:ascii="宋体" w:hAnsi="宋体"/>
          <w:b w:val="0"/>
          <w:color w:val="000000"/>
          <w:sz w:val="24"/>
          <w:szCs w:val="24"/>
          <w:highlight w:val="none"/>
        </w:rPr>
        <w:t>.5 分包</w:t>
      </w:r>
      <w:bookmarkEnd w:id="120"/>
    </w:p>
    <w:bookmarkEnd w:id="121"/>
    <w:bookmarkEnd w:id="122"/>
    <w:bookmarkEnd w:id="123"/>
    <w:p w14:paraId="2AF5234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3.5.1 分包的一般约定</w:t>
      </w:r>
    </w:p>
    <w:p w14:paraId="1958654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F32AEAF">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承包人不得以劳务分包的名义转包或违法分包工程。</w:t>
      </w:r>
    </w:p>
    <w:p w14:paraId="0664518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3.5.2 分包的确定</w:t>
      </w:r>
    </w:p>
    <w:p w14:paraId="5197AB4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承包人应按专用合同条款的约定进行分包，确定分包人。已标价工程量清单或预算书中给定暂估价的专业工程，按照第10.7款</w:t>
      </w:r>
      <w:r>
        <w:rPr>
          <w:rFonts w:hint="eastAsia" w:ascii="宋体" w:hAnsi="宋体"/>
          <w:color w:val="000000"/>
          <w:kern w:val="0"/>
          <w:sz w:val="24"/>
          <w:szCs w:val="24"/>
          <w:highlight w:val="none"/>
        </w:rPr>
        <w:t>〔</w:t>
      </w:r>
      <w:r>
        <w:rPr>
          <w:rFonts w:ascii="宋体" w:hAnsi="宋体"/>
          <w:color w:val="000000"/>
          <w:kern w:val="0"/>
          <w:sz w:val="24"/>
          <w:szCs w:val="24"/>
          <w:highlight w:val="none"/>
        </w:rPr>
        <w:t>暂估价</w:t>
      </w:r>
      <w:r>
        <w:rPr>
          <w:rFonts w:hint="eastAsia" w:ascii="宋体" w:hAnsi="宋体"/>
          <w:color w:val="000000"/>
          <w:kern w:val="0"/>
          <w:sz w:val="24"/>
          <w:szCs w:val="24"/>
          <w:highlight w:val="none"/>
        </w:rPr>
        <w:t>〕</w:t>
      </w:r>
      <w:r>
        <w:rPr>
          <w:rFonts w:ascii="宋体" w:hAnsi="宋体"/>
          <w:color w:val="000000"/>
          <w:kern w:val="0"/>
          <w:sz w:val="24"/>
          <w:szCs w:val="24"/>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292FF2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3.5.3 分包管理</w:t>
      </w:r>
    </w:p>
    <w:p w14:paraId="1C53BA7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5325104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3.5.4 分包合同价款</w:t>
      </w:r>
    </w:p>
    <w:p w14:paraId="4FEED56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187DA73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（2）生效法律文书要求发包人向分包人支付分包合同价款的，发包人有权从应付承包人工程款中扣除该部分款项。</w:t>
      </w:r>
    </w:p>
    <w:p w14:paraId="27839CF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3.5.5 分包合同权益的转让</w:t>
      </w:r>
    </w:p>
    <w:p w14:paraId="7F28FF2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4" w:name="_Toc351203524"/>
    </w:p>
    <w:p w14:paraId="62D24693">
      <w:pPr>
        <w:pStyle w:val="8"/>
        <w:spacing w:before="120" w:after="120" w:line="360" w:lineRule="auto"/>
        <w:ind w:firstLine="480" w:firstLineChars="200"/>
        <w:rPr>
          <w:rFonts w:ascii="宋体" w:hAnsi="宋体"/>
          <w:b w:val="0"/>
          <w:color w:val="000000"/>
          <w:sz w:val="24"/>
          <w:szCs w:val="24"/>
          <w:highlight w:val="none"/>
        </w:rPr>
      </w:pPr>
      <w:r>
        <w:rPr>
          <w:rFonts w:ascii="宋体" w:hAnsi="宋体"/>
          <w:b w:val="0"/>
          <w:color w:val="000000"/>
          <w:sz w:val="24"/>
          <w:szCs w:val="24"/>
          <w:highlight w:val="none"/>
        </w:rPr>
        <w:t>3.6 工程照管与成品、半成品保护</w:t>
      </w:r>
      <w:bookmarkEnd w:id="124"/>
    </w:p>
    <w:p w14:paraId="37EA5E8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353934D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2</w:t>
      </w:r>
      <w:r>
        <w:rPr>
          <w:rFonts w:ascii="宋体" w:hAnsi="宋体"/>
          <w:color w:val="000000"/>
          <w:kern w:val="0"/>
          <w:sz w:val="24"/>
          <w:szCs w:val="24"/>
          <w:highlight w:val="none"/>
        </w:rPr>
        <w:t>）在承包人负责照管期间，因承包人原因造成工程、材料、工程设备损坏的，由承包人负责修复或更换，并承担由此增加的费用和（或）延误的工期。</w:t>
      </w:r>
    </w:p>
    <w:p w14:paraId="6EABEC3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3</w:t>
      </w:r>
      <w:r>
        <w:rPr>
          <w:rFonts w:ascii="宋体" w:hAnsi="宋体"/>
          <w:color w:val="000000"/>
          <w:kern w:val="0"/>
          <w:sz w:val="24"/>
          <w:szCs w:val="24"/>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5493212D">
      <w:pPr>
        <w:pStyle w:val="8"/>
        <w:spacing w:before="120" w:after="120" w:line="360" w:lineRule="auto"/>
        <w:ind w:firstLine="480" w:firstLineChars="200"/>
        <w:rPr>
          <w:rFonts w:ascii="宋体" w:hAnsi="宋体"/>
          <w:b w:val="0"/>
          <w:color w:val="000000"/>
          <w:sz w:val="24"/>
          <w:szCs w:val="24"/>
          <w:highlight w:val="none"/>
        </w:rPr>
      </w:pPr>
      <w:bookmarkStart w:id="125" w:name="_Toc351203525"/>
      <w:r>
        <w:rPr>
          <w:rFonts w:ascii="宋体" w:hAnsi="宋体"/>
          <w:b w:val="0"/>
          <w:color w:val="000000"/>
          <w:sz w:val="24"/>
          <w:szCs w:val="24"/>
          <w:highlight w:val="none"/>
        </w:rPr>
        <w:t>3</w:t>
      </w:r>
      <w:bookmarkStart w:id="126" w:name="_Toc337558752"/>
      <w:bookmarkStart w:id="127" w:name="_Toc296346553"/>
      <w:bookmarkStart w:id="128" w:name="_Toc296503052"/>
      <w:r>
        <w:rPr>
          <w:rFonts w:ascii="宋体" w:hAnsi="宋体"/>
          <w:b w:val="0"/>
          <w:color w:val="000000"/>
          <w:sz w:val="24"/>
          <w:szCs w:val="24"/>
          <w:highlight w:val="none"/>
        </w:rPr>
        <w:t>.7 履约担保</w:t>
      </w:r>
      <w:bookmarkEnd w:id="125"/>
    </w:p>
    <w:bookmarkEnd w:id="126"/>
    <w:bookmarkEnd w:id="127"/>
    <w:bookmarkEnd w:id="128"/>
    <w:p w14:paraId="2B6C919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发包人需要承包人提供履约担保的，由合同当事人在专用合同条款中约定履约担保的方式、金额及期限等。</w:t>
      </w:r>
      <w:r>
        <w:rPr>
          <w:rFonts w:ascii="宋体" w:hAnsi="宋体"/>
          <w:color w:val="000000"/>
          <w:kern w:val="0"/>
          <w:sz w:val="24"/>
          <w:szCs w:val="24"/>
          <w:highlight w:val="none"/>
        </w:rPr>
        <w:t>履约担保可以采用银行保函或担保公司担保等形式，具体由合同当事人在专用合同条款中约定。</w:t>
      </w:r>
    </w:p>
    <w:p w14:paraId="7F1A2A5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29D644D0">
      <w:pPr>
        <w:pStyle w:val="8"/>
        <w:spacing w:before="120" w:after="120" w:line="360" w:lineRule="auto"/>
        <w:ind w:firstLine="480" w:firstLineChars="200"/>
        <w:rPr>
          <w:rFonts w:ascii="宋体" w:hAnsi="宋体"/>
          <w:b w:val="0"/>
          <w:color w:val="000000"/>
          <w:sz w:val="24"/>
          <w:szCs w:val="24"/>
          <w:highlight w:val="none"/>
        </w:rPr>
      </w:pPr>
      <w:bookmarkStart w:id="129" w:name="_Toc351203526"/>
      <w:r>
        <w:rPr>
          <w:rFonts w:ascii="宋体" w:hAnsi="宋体"/>
          <w:b w:val="0"/>
          <w:color w:val="000000"/>
          <w:sz w:val="24"/>
          <w:szCs w:val="24"/>
          <w:highlight w:val="none"/>
        </w:rPr>
        <w:t>3.8 联合体</w:t>
      </w:r>
      <w:bookmarkEnd w:id="129"/>
    </w:p>
    <w:p w14:paraId="1C1A9BE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3.8.1 联合体各方应共同与发包人签订合同协议书。联合体各方应为履行合同</w:t>
      </w:r>
      <w:r>
        <w:rPr>
          <w:rFonts w:hint="eastAsia" w:ascii="宋体" w:hAnsi="宋体"/>
          <w:color w:val="000000"/>
          <w:kern w:val="0"/>
          <w:sz w:val="24"/>
          <w:szCs w:val="24"/>
          <w:highlight w:val="none"/>
        </w:rPr>
        <w:t>向发包人</w:t>
      </w:r>
      <w:r>
        <w:rPr>
          <w:rFonts w:ascii="宋体" w:hAnsi="宋体"/>
          <w:color w:val="000000"/>
          <w:kern w:val="0"/>
          <w:sz w:val="24"/>
          <w:szCs w:val="24"/>
          <w:highlight w:val="none"/>
        </w:rPr>
        <w:t>承担连带责任。</w:t>
      </w:r>
    </w:p>
    <w:p w14:paraId="43DAE90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3.8.2 联合体协议经发包人确认后作为合同附件。在履行合同过程中，未经发包人同意，不得修改联合体协议。</w:t>
      </w:r>
    </w:p>
    <w:p w14:paraId="402B30D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3.8.3 联合体牵头人负责与发包人和监理人联系，并接受指示，负责组织联合体各成员全面履行合同。</w:t>
      </w:r>
    </w:p>
    <w:p w14:paraId="53FCE2B9">
      <w:pPr>
        <w:pStyle w:val="7"/>
        <w:spacing w:before="120" w:after="120" w:line="360" w:lineRule="auto"/>
        <w:rPr>
          <w:rFonts w:ascii="宋体" w:hAnsi="宋体"/>
          <w:b w:val="0"/>
          <w:color w:val="000000"/>
          <w:szCs w:val="24"/>
          <w:highlight w:val="none"/>
        </w:rPr>
      </w:pPr>
      <w:bookmarkStart w:id="130" w:name="_Toc351203527"/>
      <w:r>
        <w:rPr>
          <w:rFonts w:ascii="宋体" w:hAnsi="宋体"/>
          <w:b w:val="0"/>
          <w:color w:val="000000"/>
          <w:szCs w:val="24"/>
          <w:highlight w:val="none"/>
        </w:rPr>
        <w:t>4</w:t>
      </w:r>
      <w:bookmarkStart w:id="131" w:name="_Toc296346554"/>
      <w:bookmarkStart w:id="132" w:name="_Toc296503053"/>
      <w:bookmarkStart w:id="133" w:name="_Toc337558753"/>
      <w:r>
        <w:rPr>
          <w:rFonts w:ascii="宋体" w:hAnsi="宋体"/>
          <w:b w:val="0"/>
          <w:color w:val="000000"/>
          <w:szCs w:val="24"/>
          <w:highlight w:val="none"/>
        </w:rPr>
        <w:t>. 监</w:t>
      </w:r>
      <w:bookmarkEnd w:id="131"/>
      <w:bookmarkEnd w:id="132"/>
      <w:r>
        <w:rPr>
          <w:rFonts w:ascii="宋体" w:hAnsi="宋体"/>
          <w:b w:val="0"/>
          <w:color w:val="000000"/>
          <w:szCs w:val="24"/>
          <w:highlight w:val="none"/>
        </w:rPr>
        <w:t>理人</w:t>
      </w:r>
      <w:bookmarkEnd w:id="130"/>
    </w:p>
    <w:bookmarkEnd w:id="133"/>
    <w:p w14:paraId="2792A568">
      <w:pPr>
        <w:pStyle w:val="8"/>
        <w:spacing w:before="120" w:after="120" w:line="360" w:lineRule="auto"/>
        <w:ind w:firstLine="480" w:firstLineChars="200"/>
        <w:rPr>
          <w:rFonts w:ascii="宋体" w:hAnsi="宋体"/>
          <w:b w:val="0"/>
          <w:color w:val="000000"/>
          <w:sz w:val="24"/>
          <w:szCs w:val="24"/>
          <w:highlight w:val="none"/>
        </w:rPr>
      </w:pPr>
      <w:bookmarkStart w:id="134" w:name="_Toc351203528"/>
      <w:r>
        <w:rPr>
          <w:rFonts w:ascii="宋体" w:hAnsi="宋体"/>
          <w:b w:val="0"/>
          <w:color w:val="000000"/>
          <w:sz w:val="24"/>
          <w:szCs w:val="24"/>
          <w:highlight w:val="none"/>
        </w:rPr>
        <w:t>4</w:t>
      </w:r>
      <w:bookmarkStart w:id="135" w:name="_Toc296503054"/>
      <w:bookmarkStart w:id="136" w:name="_Toc296346555"/>
      <w:bookmarkStart w:id="137" w:name="_Toc337558754"/>
      <w:r>
        <w:rPr>
          <w:rFonts w:ascii="宋体" w:hAnsi="宋体"/>
          <w:b w:val="0"/>
          <w:color w:val="000000"/>
          <w:sz w:val="24"/>
          <w:szCs w:val="24"/>
          <w:highlight w:val="none"/>
        </w:rPr>
        <w:t>.1监理人的一般规定</w:t>
      </w:r>
      <w:bookmarkEnd w:id="134"/>
    </w:p>
    <w:bookmarkEnd w:id="135"/>
    <w:bookmarkEnd w:id="136"/>
    <w:bookmarkEnd w:id="137"/>
    <w:p w14:paraId="3FE0443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9A6167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除专用合同条款另有约定外，监理人在施工现场的办公场所、生活场所由承包人提供，所发生的费用由发包人承担。</w:t>
      </w:r>
    </w:p>
    <w:p w14:paraId="13B80828">
      <w:pPr>
        <w:pStyle w:val="8"/>
        <w:spacing w:before="120" w:after="120" w:line="360" w:lineRule="auto"/>
        <w:ind w:firstLine="480" w:firstLineChars="200"/>
        <w:rPr>
          <w:rFonts w:ascii="宋体" w:hAnsi="宋体"/>
          <w:b w:val="0"/>
          <w:color w:val="000000"/>
          <w:sz w:val="24"/>
          <w:szCs w:val="24"/>
          <w:highlight w:val="none"/>
        </w:rPr>
      </w:pPr>
      <w:bookmarkStart w:id="138" w:name="_Toc351203529"/>
      <w:r>
        <w:rPr>
          <w:rFonts w:ascii="宋体" w:hAnsi="宋体"/>
          <w:b w:val="0"/>
          <w:color w:val="000000"/>
          <w:sz w:val="24"/>
          <w:szCs w:val="24"/>
          <w:highlight w:val="none"/>
        </w:rPr>
        <w:t>4</w:t>
      </w:r>
      <w:bookmarkStart w:id="139" w:name="_Toc337558755"/>
      <w:r>
        <w:rPr>
          <w:rFonts w:ascii="宋体" w:hAnsi="宋体"/>
          <w:b w:val="0"/>
          <w:color w:val="000000"/>
          <w:sz w:val="24"/>
          <w:szCs w:val="24"/>
          <w:highlight w:val="none"/>
        </w:rPr>
        <w:t>.2监理人员</w:t>
      </w:r>
      <w:bookmarkEnd w:id="138"/>
    </w:p>
    <w:bookmarkEnd w:id="139"/>
    <w:p w14:paraId="161D99D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8A450A9">
      <w:pPr>
        <w:pStyle w:val="8"/>
        <w:spacing w:before="120" w:after="120" w:line="360" w:lineRule="auto"/>
        <w:ind w:firstLine="480" w:firstLineChars="200"/>
        <w:rPr>
          <w:rFonts w:ascii="宋体" w:hAnsi="宋体"/>
          <w:b w:val="0"/>
          <w:color w:val="000000"/>
          <w:sz w:val="24"/>
          <w:szCs w:val="24"/>
          <w:highlight w:val="none"/>
        </w:rPr>
      </w:pPr>
      <w:bookmarkStart w:id="140" w:name="_Toc351203530"/>
      <w:r>
        <w:rPr>
          <w:rFonts w:ascii="宋体" w:hAnsi="宋体"/>
          <w:b w:val="0"/>
          <w:color w:val="000000"/>
          <w:sz w:val="24"/>
          <w:szCs w:val="24"/>
          <w:highlight w:val="none"/>
        </w:rPr>
        <w:t>4</w:t>
      </w:r>
      <w:bookmarkStart w:id="141" w:name="_Toc296503055"/>
      <w:bookmarkStart w:id="142" w:name="_Toc296346556"/>
      <w:bookmarkStart w:id="143" w:name="_Toc337558756"/>
      <w:r>
        <w:rPr>
          <w:rFonts w:ascii="宋体" w:hAnsi="宋体"/>
          <w:b w:val="0"/>
          <w:color w:val="000000"/>
          <w:sz w:val="24"/>
          <w:szCs w:val="24"/>
          <w:highlight w:val="none"/>
        </w:rPr>
        <w:t>.3</w:t>
      </w:r>
      <w:bookmarkEnd w:id="141"/>
      <w:bookmarkEnd w:id="142"/>
      <w:r>
        <w:rPr>
          <w:rFonts w:ascii="宋体" w:hAnsi="宋体"/>
          <w:b w:val="0"/>
          <w:color w:val="000000"/>
          <w:sz w:val="24"/>
          <w:szCs w:val="24"/>
          <w:highlight w:val="none"/>
        </w:rPr>
        <w:t>监理人的指</w:t>
      </w:r>
      <w:bookmarkEnd w:id="143"/>
      <w:r>
        <w:rPr>
          <w:rFonts w:ascii="宋体" w:hAnsi="宋体"/>
          <w:b w:val="0"/>
          <w:color w:val="000000"/>
          <w:sz w:val="24"/>
          <w:szCs w:val="24"/>
          <w:highlight w:val="none"/>
        </w:rPr>
        <w:t>示</w:t>
      </w:r>
      <w:bookmarkEnd w:id="140"/>
    </w:p>
    <w:p w14:paraId="22B71EA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6202D3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 w:val="24"/>
          <w:szCs w:val="24"/>
          <w:highlight w:val="none"/>
        </w:rPr>
        <w:t>相应</w:t>
      </w:r>
      <w:r>
        <w:rPr>
          <w:rFonts w:ascii="宋体" w:hAnsi="宋体"/>
          <w:color w:val="000000"/>
          <w:kern w:val="0"/>
          <w:sz w:val="24"/>
          <w:szCs w:val="24"/>
          <w:highlight w:val="none"/>
        </w:rPr>
        <w:t>责任。除专用合同条款另有约定外，总监理工程师不应将第4.4款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约定应由总监理工程师作出确定的权力授权或委托给其他监理人员。</w:t>
      </w:r>
    </w:p>
    <w:p w14:paraId="7B74299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326C7B0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6B93223">
      <w:pPr>
        <w:pStyle w:val="7"/>
        <w:spacing w:before="120" w:after="120" w:line="360" w:lineRule="auto"/>
        <w:ind w:firstLine="480" w:firstLineChars="200"/>
        <w:rPr>
          <w:rFonts w:ascii="宋体" w:hAnsi="宋体"/>
          <w:b w:val="0"/>
          <w:color w:val="000000"/>
          <w:szCs w:val="24"/>
          <w:highlight w:val="none"/>
        </w:rPr>
      </w:pPr>
      <w:bookmarkStart w:id="144" w:name="_Toc351203531"/>
      <w:r>
        <w:rPr>
          <w:rFonts w:ascii="宋体" w:hAnsi="宋体"/>
          <w:b w:val="0"/>
          <w:color w:val="000000"/>
          <w:szCs w:val="24"/>
          <w:highlight w:val="none"/>
        </w:rPr>
        <w:t>4</w:t>
      </w:r>
      <w:bookmarkStart w:id="145" w:name="_Toc296503057"/>
      <w:bookmarkStart w:id="146" w:name="_Toc296346558"/>
      <w:bookmarkStart w:id="147" w:name="_Toc337558757"/>
      <w:r>
        <w:rPr>
          <w:rFonts w:ascii="宋体" w:hAnsi="宋体"/>
          <w:b w:val="0"/>
          <w:color w:val="000000"/>
          <w:szCs w:val="24"/>
          <w:highlight w:val="none"/>
        </w:rPr>
        <w:t>.4 商定或确定</w:t>
      </w:r>
      <w:bookmarkEnd w:id="144"/>
    </w:p>
    <w:bookmarkEnd w:id="145"/>
    <w:bookmarkEnd w:id="146"/>
    <w:bookmarkEnd w:id="147"/>
    <w:p w14:paraId="09C513B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w:t>
      </w:r>
      <w:r>
        <w:rPr>
          <w:rFonts w:hint="eastAsia" w:ascii="宋体" w:hAnsi="宋体"/>
          <w:color w:val="000000"/>
          <w:kern w:val="0"/>
          <w:sz w:val="24"/>
          <w:szCs w:val="24"/>
          <w:highlight w:val="none"/>
        </w:rPr>
        <w:t>当事人</w:t>
      </w:r>
      <w:r>
        <w:rPr>
          <w:rFonts w:ascii="宋体" w:hAnsi="宋体"/>
          <w:color w:val="000000"/>
          <w:kern w:val="0"/>
          <w:sz w:val="24"/>
          <w:szCs w:val="24"/>
          <w:highlight w:val="none"/>
        </w:rPr>
        <w:t>进行</w:t>
      </w:r>
      <w:r>
        <w:rPr>
          <w:rFonts w:hint="eastAsia" w:ascii="宋体" w:hAnsi="宋体"/>
          <w:color w:val="000000"/>
          <w:kern w:val="0"/>
          <w:sz w:val="24"/>
          <w:szCs w:val="24"/>
          <w:highlight w:val="none"/>
        </w:rPr>
        <w:t>商定</w:t>
      </w:r>
      <w:r>
        <w:rPr>
          <w:rFonts w:ascii="宋体" w:hAnsi="宋体"/>
          <w:color w:val="000000"/>
          <w:kern w:val="0"/>
          <w:sz w:val="24"/>
          <w:szCs w:val="24"/>
          <w:highlight w:val="none"/>
        </w:rPr>
        <w:t>或确定时，总监理工程师应当会同合同当事人尽量通过协商达成一致，不能达成一致的，由总监理工程师按照合同约定审慎做出公正的确定。</w:t>
      </w:r>
    </w:p>
    <w:p w14:paraId="6892841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57E21EB3">
      <w:pPr>
        <w:pStyle w:val="7"/>
        <w:spacing w:before="120" w:after="120" w:line="360" w:lineRule="auto"/>
        <w:rPr>
          <w:rFonts w:ascii="宋体" w:hAnsi="宋体"/>
          <w:b w:val="0"/>
          <w:color w:val="000000"/>
          <w:szCs w:val="24"/>
          <w:highlight w:val="none"/>
        </w:rPr>
      </w:pPr>
      <w:bookmarkStart w:id="148" w:name="_Toc351203532"/>
      <w:r>
        <w:rPr>
          <w:rFonts w:ascii="宋体" w:hAnsi="宋体"/>
          <w:b w:val="0"/>
          <w:color w:val="000000"/>
          <w:szCs w:val="24"/>
          <w:highlight w:val="none"/>
        </w:rPr>
        <w:t>5</w:t>
      </w:r>
      <w:bookmarkStart w:id="149" w:name="_Toc337558758"/>
      <w:r>
        <w:rPr>
          <w:rFonts w:ascii="宋体" w:hAnsi="宋体"/>
          <w:b w:val="0"/>
          <w:color w:val="000000"/>
          <w:szCs w:val="24"/>
          <w:highlight w:val="none"/>
        </w:rPr>
        <w:t>. 工程质量</w:t>
      </w:r>
      <w:bookmarkEnd w:id="148"/>
    </w:p>
    <w:bookmarkEnd w:id="149"/>
    <w:p w14:paraId="18C0A9A6">
      <w:pPr>
        <w:pStyle w:val="8"/>
        <w:spacing w:before="120" w:after="120" w:line="360" w:lineRule="auto"/>
        <w:ind w:firstLine="480" w:firstLineChars="200"/>
        <w:rPr>
          <w:rFonts w:ascii="宋体" w:hAnsi="宋体"/>
          <w:b w:val="0"/>
          <w:color w:val="000000"/>
          <w:sz w:val="24"/>
          <w:szCs w:val="24"/>
          <w:highlight w:val="none"/>
        </w:rPr>
      </w:pPr>
      <w:bookmarkStart w:id="150" w:name="_Toc351203533"/>
      <w:r>
        <w:rPr>
          <w:rFonts w:ascii="宋体" w:hAnsi="宋体"/>
          <w:b w:val="0"/>
          <w:color w:val="000000"/>
          <w:sz w:val="24"/>
          <w:szCs w:val="24"/>
          <w:highlight w:val="none"/>
        </w:rPr>
        <w:t>5</w:t>
      </w:r>
      <w:bookmarkStart w:id="151" w:name="_Toc337558759"/>
      <w:r>
        <w:rPr>
          <w:rFonts w:ascii="宋体" w:hAnsi="宋体"/>
          <w:b w:val="0"/>
          <w:color w:val="000000"/>
          <w:sz w:val="24"/>
          <w:szCs w:val="24"/>
          <w:highlight w:val="none"/>
        </w:rPr>
        <w:t>.1质量要求</w:t>
      </w:r>
      <w:bookmarkEnd w:id="150"/>
    </w:p>
    <w:bookmarkEnd w:id="151"/>
    <w:p w14:paraId="3238F90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4EB581F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5.1.2 因发包人原因造成工程质量未达到合同约定标准的，由发包人承担由此增加的费用和（或）延误的工期，并支付承包人合理的利润。</w:t>
      </w:r>
    </w:p>
    <w:p w14:paraId="2446C79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4A63481D">
      <w:pPr>
        <w:pStyle w:val="8"/>
        <w:spacing w:before="120" w:after="120" w:line="360" w:lineRule="auto"/>
        <w:ind w:firstLine="480" w:firstLineChars="200"/>
        <w:rPr>
          <w:rFonts w:ascii="宋体" w:hAnsi="宋体"/>
          <w:b w:val="0"/>
          <w:color w:val="000000"/>
          <w:sz w:val="24"/>
          <w:szCs w:val="24"/>
          <w:highlight w:val="none"/>
        </w:rPr>
      </w:pPr>
      <w:bookmarkStart w:id="152" w:name="_Toc351203534"/>
      <w:r>
        <w:rPr>
          <w:rFonts w:ascii="宋体" w:hAnsi="宋体"/>
          <w:b w:val="0"/>
          <w:color w:val="000000"/>
          <w:sz w:val="24"/>
          <w:szCs w:val="24"/>
          <w:highlight w:val="none"/>
        </w:rPr>
        <w:t>5</w:t>
      </w:r>
      <w:bookmarkStart w:id="153" w:name="_Toc337558760"/>
      <w:r>
        <w:rPr>
          <w:rFonts w:ascii="宋体" w:hAnsi="宋体"/>
          <w:b w:val="0"/>
          <w:color w:val="000000"/>
          <w:sz w:val="24"/>
          <w:szCs w:val="24"/>
          <w:highlight w:val="none"/>
        </w:rPr>
        <w:t>.2质量保证措施</w:t>
      </w:r>
      <w:bookmarkEnd w:id="152"/>
    </w:p>
    <w:bookmarkEnd w:id="153"/>
    <w:p w14:paraId="5DD26816">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kern w:val="0"/>
          <w:sz w:val="24"/>
          <w:szCs w:val="24"/>
          <w:highlight w:val="none"/>
        </w:rPr>
        <w:t>5.2.1 发包人的质量管理</w:t>
      </w:r>
    </w:p>
    <w:p w14:paraId="6BEFEEE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发包人应按照法律规定及合同约定完成与工程质量有关的各项工作。</w:t>
      </w:r>
    </w:p>
    <w:p w14:paraId="6EAC143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5.2.2 承包人的质量管理</w:t>
      </w:r>
    </w:p>
    <w:p w14:paraId="5A91549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承包人按照第7.1款</w:t>
      </w:r>
      <w:r>
        <w:rPr>
          <w:rFonts w:hint="eastAsia" w:ascii="宋体" w:hAnsi="宋体"/>
          <w:color w:val="000000"/>
          <w:kern w:val="0"/>
          <w:sz w:val="24"/>
          <w:szCs w:val="24"/>
          <w:highlight w:val="none"/>
        </w:rPr>
        <w:t>〔</w:t>
      </w:r>
      <w:r>
        <w:rPr>
          <w:rFonts w:ascii="宋体" w:hAnsi="宋体"/>
          <w:color w:val="000000"/>
          <w:kern w:val="0"/>
          <w:sz w:val="24"/>
          <w:szCs w:val="24"/>
          <w:highlight w:val="none"/>
        </w:rPr>
        <w:t>施工组织设计</w:t>
      </w:r>
      <w:r>
        <w:rPr>
          <w:rFonts w:hint="eastAsia" w:ascii="宋体" w:hAnsi="宋体"/>
          <w:color w:val="000000"/>
          <w:kern w:val="0"/>
          <w:sz w:val="24"/>
          <w:szCs w:val="24"/>
          <w:highlight w:val="none"/>
        </w:rPr>
        <w:t>〕</w:t>
      </w:r>
      <w:r>
        <w:rPr>
          <w:rFonts w:ascii="宋体" w:hAnsi="宋体"/>
          <w:color w:val="000000"/>
          <w:kern w:val="0"/>
          <w:sz w:val="24"/>
          <w:szCs w:val="24"/>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1466ABA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承包人应对施工人员进行质量教育和技术培训，定期考核施工人员的劳动技能，严格执行施工规范和操作规程。</w:t>
      </w:r>
    </w:p>
    <w:p w14:paraId="41D4D3A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CC7A1C8">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kern w:val="0"/>
          <w:sz w:val="24"/>
          <w:szCs w:val="24"/>
          <w:highlight w:val="none"/>
        </w:rPr>
        <w:t>5.2.3 监理人的质量检查和检验</w:t>
      </w:r>
    </w:p>
    <w:p w14:paraId="3196246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7FFB72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822E375">
      <w:pPr>
        <w:pStyle w:val="8"/>
        <w:spacing w:before="120" w:after="120" w:line="360" w:lineRule="auto"/>
        <w:ind w:firstLine="480" w:firstLineChars="200"/>
        <w:rPr>
          <w:rFonts w:ascii="宋体" w:hAnsi="宋体"/>
          <w:b w:val="0"/>
          <w:color w:val="000000"/>
          <w:sz w:val="24"/>
          <w:szCs w:val="24"/>
          <w:highlight w:val="none"/>
        </w:rPr>
      </w:pPr>
      <w:bookmarkStart w:id="154" w:name="_Toc351203535"/>
      <w:r>
        <w:rPr>
          <w:rFonts w:ascii="宋体" w:hAnsi="宋体"/>
          <w:b w:val="0"/>
          <w:color w:val="000000"/>
          <w:sz w:val="24"/>
          <w:szCs w:val="24"/>
          <w:highlight w:val="none"/>
        </w:rPr>
        <w:t>5</w:t>
      </w:r>
      <w:bookmarkStart w:id="155" w:name="_Toc337558761"/>
      <w:r>
        <w:rPr>
          <w:rFonts w:ascii="宋体" w:hAnsi="宋体"/>
          <w:b w:val="0"/>
          <w:color w:val="000000"/>
          <w:sz w:val="24"/>
          <w:szCs w:val="24"/>
          <w:highlight w:val="none"/>
        </w:rPr>
        <w:t>.3 隐蔽工程检查</w:t>
      </w:r>
      <w:bookmarkEnd w:id="154"/>
    </w:p>
    <w:bookmarkEnd w:id="155"/>
    <w:p w14:paraId="4D7CDC7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5.3.1承包人自检</w:t>
      </w:r>
    </w:p>
    <w:p w14:paraId="4A23913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承包人应当对工程隐蔽部位进行自检，并经自检确认是否具备覆盖条件。</w:t>
      </w:r>
    </w:p>
    <w:p w14:paraId="51868A6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5.3.2检查程序</w:t>
      </w:r>
    </w:p>
    <w:p w14:paraId="317762D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除专用合同条款另有约定外，工程隐蔽部位经承包人自检确认具备覆盖条件的，承包人应在</w:t>
      </w:r>
      <w:r>
        <w:rPr>
          <w:rFonts w:hint="eastAsia" w:ascii="宋体" w:hAnsi="宋体"/>
          <w:color w:val="000000"/>
          <w:kern w:val="0"/>
          <w:sz w:val="24"/>
          <w:szCs w:val="24"/>
          <w:highlight w:val="none"/>
        </w:rPr>
        <w:t>共同</w:t>
      </w:r>
      <w:r>
        <w:rPr>
          <w:rFonts w:ascii="宋体" w:hAnsi="宋体"/>
          <w:color w:val="000000"/>
          <w:kern w:val="0"/>
          <w:sz w:val="24"/>
          <w:szCs w:val="24"/>
          <w:highlight w:val="none"/>
        </w:rPr>
        <w:t>检查前48小时书面通知监理人检查，通知中应载明隐蔽检查的内容、时间和地点，并应附有自检记录和必要的检查资料。</w:t>
      </w:r>
    </w:p>
    <w:p w14:paraId="4C177D0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C24C58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 w:val="24"/>
          <w:szCs w:val="24"/>
          <w:highlight w:val="none"/>
        </w:rPr>
        <w:t>〔</w:t>
      </w:r>
      <w:r>
        <w:rPr>
          <w:rFonts w:ascii="宋体" w:hAnsi="宋体"/>
          <w:color w:val="000000"/>
          <w:kern w:val="0"/>
          <w:sz w:val="24"/>
          <w:szCs w:val="24"/>
          <w:highlight w:val="none"/>
        </w:rPr>
        <w:t>重新检查</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的约定重新检查。</w:t>
      </w:r>
    </w:p>
    <w:p w14:paraId="69BB485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5.3.3 重新检查</w:t>
      </w:r>
    </w:p>
    <w:p w14:paraId="50D2886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7C7684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5.3.4 承包人私自覆盖</w:t>
      </w:r>
    </w:p>
    <w:p w14:paraId="77F8409C">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9D39231">
      <w:pPr>
        <w:pStyle w:val="8"/>
        <w:spacing w:before="120" w:after="120" w:line="360" w:lineRule="auto"/>
        <w:ind w:firstLine="480" w:firstLineChars="200"/>
        <w:rPr>
          <w:rFonts w:ascii="宋体" w:hAnsi="宋体"/>
          <w:b w:val="0"/>
          <w:color w:val="000000"/>
          <w:sz w:val="24"/>
          <w:szCs w:val="24"/>
          <w:highlight w:val="none"/>
        </w:rPr>
      </w:pPr>
      <w:bookmarkStart w:id="156" w:name="_Toc351203536"/>
      <w:r>
        <w:rPr>
          <w:rFonts w:ascii="宋体" w:hAnsi="宋体"/>
          <w:b w:val="0"/>
          <w:color w:val="000000"/>
          <w:sz w:val="24"/>
          <w:szCs w:val="24"/>
          <w:highlight w:val="none"/>
        </w:rPr>
        <w:t>5</w:t>
      </w:r>
      <w:bookmarkStart w:id="157" w:name="_Toc337558762"/>
      <w:r>
        <w:rPr>
          <w:rFonts w:ascii="宋体" w:hAnsi="宋体"/>
          <w:b w:val="0"/>
          <w:color w:val="000000"/>
          <w:sz w:val="24"/>
          <w:szCs w:val="24"/>
          <w:highlight w:val="none"/>
        </w:rPr>
        <w:t>.4不合格工程的处理</w:t>
      </w:r>
      <w:bookmarkEnd w:id="156"/>
    </w:p>
    <w:bookmarkEnd w:id="157"/>
    <w:p w14:paraId="149C1C7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 w:val="24"/>
          <w:szCs w:val="24"/>
          <w:highlight w:val="none"/>
        </w:rPr>
        <w:t>〔</w:t>
      </w:r>
      <w:r>
        <w:rPr>
          <w:rFonts w:ascii="宋体" w:hAnsi="宋体"/>
          <w:color w:val="000000"/>
          <w:kern w:val="0"/>
          <w:sz w:val="24"/>
          <w:szCs w:val="24"/>
          <w:highlight w:val="none"/>
        </w:rPr>
        <w:t>拒绝接收全部或部分工程</w:t>
      </w:r>
      <w:r>
        <w:rPr>
          <w:rFonts w:hint="eastAsia" w:ascii="宋体" w:hAnsi="宋体"/>
          <w:color w:val="000000"/>
          <w:kern w:val="0"/>
          <w:sz w:val="24"/>
          <w:szCs w:val="24"/>
          <w:highlight w:val="none"/>
        </w:rPr>
        <w:t>〕</w:t>
      </w:r>
      <w:r>
        <w:rPr>
          <w:rFonts w:ascii="宋体" w:hAnsi="宋体"/>
          <w:color w:val="000000"/>
          <w:kern w:val="0"/>
          <w:sz w:val="24"/>
          <w:szCs w:val="24"/>
          <w:highlight w:val="none"/>
        </w:rPr>
        <w:t xml:space="preserve">约定执行。 </w:t>
      </w:r>
    </w:p>
    <w:p w14:paraId="43FD0A0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5.4.2 因发包人原因造成工程不合格的，由此增加的费用和（或）延误的工期由发包人承担，并支付承包人合理的利润。</w:t>
      </w:r>
    </w:p>
    <w:p w14:paraId="5D77621F">
      <w:pPr>
        <w:pStyle w:val="8"/>
        <w:spacing w:before="120" w:after="120" w:line="360" w:lineRule="auto"/>
        <w:ind w:firstLine="480" w:firstLineChars="200"/>
        <w:rPr>
          <w:rFonts w:ascii="宋体" w:hAnsi="宋体"/>
          <w:b w:val="0"/>
          <w:color w:val="000000"/>
          <w:sz w:val="24"/>
          <w:szCs w:val="24"/>
          <w:highlight w:val="none"/>
        </w:rPr>
      </w:pPr>
      <w:bookmarkStart w:id="158" w:name="_Toc351203537"/>
      <w:r>
        <w:rPr>
          <w:rFonts w:ascii="宋体" w:hAnsi="宋体"/>
          <w:b w:val="0"/>
          <w:color w:val="000000"/>
          <w:sz w:val="24"/>
          <w:szCs w:val="24"/>
          <w:highlight w:val="none"/>
        </w:rPr>
        <w:t>5.5 质量争议检测</w:t>
      </w:r>
      <w:bookmarkEnd w:id="158"/>
    </w:p>
    <w:p w14:paraId="47FC317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合同当事人对工程质量有争议的，由双方协商确定的工程质量检测机构鉴定，由此产生的费用及因此造成的损失，由责任方承担。</w:t>
      </w:r>
    </w:p>
    <w:p w14:paraId="31020216">
      <w:pPr>
        <w:autoSpaceDE w:val="0"/>
        <w:autoSpaceDN w:val="0"/>
        <w:adjustRightInd w:val="0"/>
        <w:spacing w:line="360" w:lineRule="auto"/>
        <w:jc w:val="left"/>
        <w:rPr>
          <w:rFonts w:ascii="宋体" w:hAnsi="宋体"/>
          <w:color w:val="000000"/>
          <w:kern w:val="0"/>
          <w:sz w:val="24"/>
          <w:szCs w:val="24"/>
          <w:highlight w:val="none"/>
        </w:rPr>
      </w:pPr>
      <w:r>
        <w:rPr>
          <w:rFonts w:ascii="宋体" w:hAnsi="宋体"/>
          <w:color w:val="000000"/>
          <w:kern w:val="0"/>
          <w:sz w:val="24"/>
          <w:szCs w:val="24"/>
          <w:highlight w:val="none"/>
        </w:rPr>
        <w:t>合同当事人均有责任的，由双方根据其责任分别承担。合同当事人无法达成一致的，按照第4.4款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3516E2C1">
      <w:pPr>
        <w:pStyle w:val="7"/>
        <w:spacing w:before="120" w:after="120" w:line="360" w:lineRule="auto"/>
        <w:rPr>
          <w:rFonts w:ascii="宋体" w:hAnsi="宋体"/>
          <w:b w:val="0"/>
          <w:color w:val="000000"/>
          <w:szCs w:val="24"/>
          <w:highlight w:val="none"/>
        </w:rPr>
      </w:pPr>
      <w:bookmarkStart w:id="159" w:name="_Toc351203538"/>
      <w:r>
        <w:rPr>
          <w:rFonts w:ascii="宋体" w:hAnsi="宋体"/>
          <w:b w:val="0"/>
          <w:color w:val="000000"/>
          <w:szCs w:val="24"/>
          <w:highlight w:val="none"/>
        </w:rPr>
        <w:t>6</w:t>
      </w:r>
      <w:bookmarkStart w:id="160" w:name="_Toc337558763"/>
      <w:r>
        <w:rPr>
          <w:rFonts w:ascii="宋体" w:hAnsi="宋体"/>
          <w:b w:val="0"/>
          <w:color w:val="000000"/>
          <w:szCs w:val="24"/>
          <w:highlight w:val="none"/>
        </w:rPr>
        <w:t>. 安全文明施工与环境保护</w:t>
      </w:r>
      <w:bookmarkEnd w:id="159"/>
    </w:p>
    <w:bookmarkEnd w:id="160"/>
    <w:p w14:paraId="4A05DB02">
      <w:pPr>
        <w:pStyle w:val="8"/>
        <w:spacing w:before="120" w:after="120" w:line="360" w:lineRule="auto"/>
        <w:ind w:firstLine="480" w:firstLineChars="200"/>
        <w:rPr>
          <w:rFonts w:ascii="宋体" w:hAnsi="宋体"/>
          <w:b w:val="0"/>
          <w:color w:val="000000"/>
          <w:sz w:val="24"/>
          <w:szCs w:val="24"/>
          <w:highlight w:val="none"/>
        </w:rPr>
      </w:pPr>
      <w:bookmarkStart w:id="161" w:name="_Toc351203539"/>
      <w:r>
        <w:rPr>
          <w:rFonts w:ascii="宋体" w:hAnsi="宋体"/>
          <w:b w:val="0"/>
          <w:color w:val="000000"/>
          <w:sz w:val="24"/>
          <w:szCs w:val="24"/>
          <w:highlight w:val="none"/>
        </w:rPr>
        <w:t>6</w:t>
      </w:r>
      <w:bookmarkStart w:id="162" w:name="_Toc337558764"/>
      <w:r>
        <w:rPr>
          <w:rFonts w:ascii="宋体" w:hAnsi="宋体"/>
          <w:b w:val="0"/>
          <w:color w:val="000000"/>
          <w:sz w:val="24"/>
          <w:szCs w:val="24"/>
          <w:highlight w:val="none"/>
        </w:rPr>
        <w:t>.1安全文明施工</w:t>
      </w:r>
      <w:bookmarkEnd w:id="161"/>
    </w:p>
    <w:bookmarkEnd w:id="162"/>
    <w:p w14:paraId="5DAFADD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6.1.1安全生产要求</w:t>
      </w:r>
    </w:p>
    <w:p w14:paraId="37AD3AA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BB08DF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在施工过程中，如遇到突发的地质变动、事先未知的地下施工障碍等影响施工安全的紧急情况，</w:t>
      </w:r>
      <w:r>
        <w:rPr>
          <w:rFonts w:hint="eastAsia" w:ascii="宋体" w:hAnsi="宋体"/>
          <w:color w:val="000000"/>
          <w:sz w:val="24"/>
          <w:szCs w:val="24"/>
          <w:highlight w:val="none"/>
        </w:rPr>
        <w:t>承包人应及时报告监理人和发包人，</w:t>
      </w:r>
      <w:r>
        <w:rPr>
          <w:rFonts w:ascii="宋体" w:hAnsi="宋体"/>
          <w:color w:val="000000"/>
          <w:sz w:val="24"/>
          <w:szCs w:val="24"/>
          <w:highlight w:val="none"/>
        </w:rPr>
        <w:t>发包人应当及时下令停工并报</w:t>
      </w:r>
      <w:r>
        <w:rPr>
          <w:rFonts w:ascii="宋体" w:hAnsi="宋体"/>
          <w:color w:val="000000"/>
          <w:kern w:val="0"/>
          <w:sz w:val="24"/>
          <w:szCs w:val="24"/>
          <w:highlight w:val="none"/>
        </w:rPr>
        <w:t>政府有关行政管理部门</w:t>
      </w:r>
      <w:r>
        <w:rPr>
          <w:rFonts w:ascii="宋体" w:hAnsi="宋体"/>
          <w:color w:val="000000"/>
          <w:sz w:val="24"/>
          <w:szCs w:val="24"/>
          <w:highlight w:val="none"/>
        </w:rPr>
        <w:t>采取应急措施。</w:t>
      </w:r>
    </w:p>
    <w:p w14:paraId="0F43CA8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因安全生产需要暂停施工的，按照第7.8款</w:t>
      </w:r>
      <w:r>
        <w:rPr>
          <w:rFonts w:hint="eastAsia" w:ascii="宋体" w:hAnsi="宋体"/>
          <w:color w:val="000000"/>
          <w:sz w:val="24"/>
          <w:szCs w:val="24"/>
          <w:highlight w:val="none"/>
        </w:rPr>
        <w:t>〔</w:t>
      </w:r>
      <w:r>
        <w:rPr>
          <w:rFonts w:ascii="宋体" w:hAnsi="宋体"/>
          <w:color w:val="000000"/>
          <w:sz w:val="24"/>
          <w:szCs w:val="24"/>
          <w:highlight w:val="none"/>
        </w:rPr>
        <w:t>暂停施工</w:t>
      </w:r>
      <w:r>
        <w:rPr>
          <w:rFonts w:hint="eastAsia" w:ascii="宋体" w:hAnsi="宋体"/>
          <w:color w:val="000000"/>
          <w:sz w:val="24"/>
          <w:szCs w:val="24"/>
          <w:highlight w:val="none"/>
        </w:rPr>
        <w:t>〕</w:t>
      </w:r>
      <w:r>
        <w:rPr>
          <w:rFonts w:ascii="宋体" w:hAnsi="宋体"/>
          <w:color w:val="000000"/>
          <w:sz w:val="24"/>
          <w:szCs w:val="24"/>
          <w:highlight w:val="none"/>
        </w:rPr>
        <w:t>的约定执行。</w:t>
      </w:r>
    </w:p>
    <w:p w14:paraId="36BE3A1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6.1.2 安全生产保证措施</w:t>
      </w:r>
    </w:p>
    <w:p w14:paraId="3AC69CE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承包人应当按照有关</w:t>
      </w:r>
      <w:r>
        <w:rPr>
          <w:rFonts w:ascii="宋体" w:hAnsi="宋体"/>
          <w:color w:val="000000"/>
          <w:kern w:val="0"/>
          <w:sz w:val="24"/>
          <w:szCs w:val="24"/>
          <w:highlight w:val="none"/>
        </w:rPr>
        <w:t>规定编制安全技术措施或者专项施工方案，</w:t>
      </w:r>
      <w:r>
        <w:rPr>
          <w:rFonts w:ascii="宋体" w:hAnsi="宋体"/>
          <w:color w:val="000000"/>
          <w:sz w:val="24"/>
          <w:szCs w:val="24"/>
          <w:highlight w:val="none"/>
        </w:rPr>
        <w:t>建立安全生产责任制度、治安保卫制度及安全生产教育培训制度，并</w:t>
      </w:r>
      <w:r>
        <w:rPr>
          <w:rFonts w:ascii="宋体" w:hAnsi="宋体"/>
          <w:color w:val="000000"/>
          <w:kern w:val="0"/>
          <w:sz w:val="24"/>
          <w:szCs w:val="24"/>
          <w:highlight w:val="none"/>
        </w:rPr>
        <w:t>按安全生产法律规定及合同约定履行安全职责，</w:t>
      </w:r>
      <w:r>
        <w:rPr>
          <w:rFonts w:hint="eastAsia" w:ascii="宋体" w:hAnsi="宋体"/>
          <w:color w:val="000000"/>
          <w:kern w:val="0"/>
          <w:sz w:val="24"/>
          <w:szCs w:val="24"/>
          <w:highlight w:val="none"/>
        </w:rPr>
        <w:t>如实</w:t>
      </w:r>
      <w:r>
        <w:rPr>
          <w:rFonts w:ascii="宋体" w:hAnsi="宋体"/>
          <w:color w:val="000000"/>
          <w:sz w:val="24"/>
          <w:szCs w:val="24"/>
          <w:highlight w:val="none"/>
        </w:rPr>
        <w:t>编制工程安全生产的有关记录，</w:t>
      </w:r>
      <w:r>
        <w:rPr>
          <w:rFonts w:ascii="宋体" w:hAnsi="宋体"/>
          <w:color w:val="000000"/>
          <w:kern w:val="0"/>
          <w:sz w:val="24"/>
          <w:szCs w:val="24"/>
          <w:highlight w:val="none"/>
        </w:rPr>
        <w:t>接受发包人、监理人及政府安全监督部门的检查与监督。</w:t>
      </w:r>
    </w:p>
    <w:p w14:paraId="707D437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6.1.3特别安全生产事项</w:t>
      </w:r>
    </w:p>
    <w:p w14:paraId="10933E3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BC6D78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646AF6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0C3009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需单独编制危险性较大分部分项专项工程施工方案的，及要求进行专家论证的超过一定规模的危险性较大的分部分项工程，承包人应及时编制和组织论证。</w:t>
      </w:r>
    </w:p>
    <w:p w14:paraId="43F99CD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6.1.4 治安保卫</w:t>
      </w:r>
    </w:p>
    <w:p w14:paraId="5A026F4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2A73866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发包人和承包人除应协助现场治安管理机构或联防组织维护施工场地的社会治安外，还应做好包括生活区在内的各自管辖区的治安保卫工作。</w:t>
      </w:r>
    </w:p>
    <w:p w14:paraId="2CF708B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 w:val="24"/>
          <w:szCs w:val="24"/>
          <w:highlight w:val="none"/>
        </w:rPr>
        <w:t>和</w:t>
      </w:r>
      <w:r>
        <w:rPr>
          <w:rFonts w:ascii="宋体" w:hAnsi="宋体"/>
          <w:color w:val="000000"/>
          <w:sz w:val="24"/>
          <w:szCs w:val="24"/>
          <w:highlight w:val="none"/>
        </w:rPr>
        <w:t>财产损失。</w:t>
      </w:r>
    </w:p>
    <w:p w14:paraId="1C150C6D">
      <w:pPr>
        <w:spacing w:line="360" w:lineRule="auto"/>
        <w:ind w:firstLine="480" w:firstLineChars="200"/>
        <w:rPr>
          <w:rFonts w:ascii="宋体" w:hAnsi="宋体"/>
          <w:color w:val="000000"/>
          <w:kern w:val="0"/>
          <w:sz w:val="24"/>
          <w:szCs w:val="24"/>
          <w:highlight w:val="none"/>
        </w:rPr>
      </w:pPr>
      <w:r>
        <w:rPr>
          <w:rFonts w:ascii="宋体" w:hAnsi="宋体"/>
          <w:color w:val="000000"/>
          <w:sz w:val="24"/>
          <w:szCs w:val="24"/>
          <w:highlight w:val="none"/>
        </w:rPr>
        <w:t>6.1.5 文明施工</w:t>
      </w:r>
    </w:p>
    <w:p w14:paraId="6E8A65D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承包人在工程施工期间，应当采取措施保持施工现场平整，物料堆放整齐。工程所在地有关政府行政管理部门有特殊要求的，按照其要求执行。</w:t>
      </w:r>
      <w:r>
        <w:rPr>
          <w:rFonts w:hint="eastAsia" w:ascii="宋体" w:hAnsi="宋体"/>
          <w:color w:val="000000"/>
          <w:kern w:val="0"/>
          <w:sz w:val="24"/>
          <w:szCs w:val="24"/>
          <w:highlight w:val="none"/>
        </w:rPr>
        <w:t>合同当事人对文明施工有其他要求的，可以在专用合同条款中明确。</w:t>
      </w:r>
    </w:p>
    <w:p w14:paraId="4E711A4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40A12B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6.1.6 安全文明施工费</w:t>
      </w:r>
    </w:p>
    <w:p w14:paraId="717C2EF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4423E1E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F9E18B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5F27B88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1DE801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6.1.7 紧急情况</w:t>
      </w:r>
      <w:r>
        <w:rPr>
          <w:rFonts w:hint="eastAsia" w:ascii="宋体" w:hAnsi="宋体"/>
          <w:color w:val="000000"/>
          <w:kern w:val="0"/>
          <w:sz w:val="24"/>
          <w:szCs w:val="24"/>
          <w:highlight w:val="none"/>
        </w:rPr>
        <w:t>处理</w:t>
      </w:r>
    </w:p>
    <w:p w14:paraId="1FE4A78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1FCCB1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6.1.8 事故处理</w:t>
      </w:r>
    </w:p>
    <w:p w14:paraId="7A07859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D9D156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6.1.9 安全生产责任</w:t>
      </w:r>
    </w:p>
    <w:p w14:paraId="5E4BBE2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6.1.9.1 发包人的安全责任</w:t>
      </w:r>
    </w:p>
    <w:p w14:paraId="1ACAC9E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发包人应负责赔偿以下各种情况造成</w:t>
      </w:r>
      <w:r>
        <w:rPr>
          <w:rFonts w:hint="eastAsia" w:ascii="宋体" w:hAnsi="宋体"/>
          <w:color w:val="000000"/>
          <w:sz w:val="24"/>
          <w:szCs w:val="24"/>
          <w:highlight w:val="none"/>
        </w:rPr>
        <w:t>的</w:t>
      </w:r>
      <w:r>
        <w:rPr>
          <w:rFonts w:ascii="宋体" w:hAnsi="宋体"/>
          <w:color w:val="000000"/>
          <w:sz w:val="24"/>
          <w:szCs w:val="24"/>
          <w:highlight w:val="none"/>
        </w:rPr>
        <w:t>损失：</w:t>
      </w:r>
    </w:p>
    <w:p w14:paraId="70B0F77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（1）工程或工程的任何部分对土地的占用所造成的第三者财产损失；</w:t>
      </w:r>
    </w:p>
    <w:p w14:paraId="50135C5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（2）由于发包人原因在施工场地及其毗邻地带造成的第三者人身伤亡和财产损失</w:t>
      </w:r>
      <w:r>
        <w:rPr>
          <w:rFonts w:hint="eastAsia" w:ascii="宋体" w:hAnsi="宋体"/>
          <w:color w:val="000000"/>
          <w:sz w:val="24"/>
          <w:szCs w:val="24"/>
          <w:highlight w:val="none"/>
        </w:rPr>
        <w:t>；</w:t>
      </w:r>
    </w:p>
    <w:p w14:paraId="11C9441B">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（3）由于发包人原因对承包人、监理人造成的人员人身伤亡和财产损失；</w:t>
      </w:r>
    </w:p>
    <w:p w14:paraId="71466785">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（4）由于发包人原因造成的发包人自身人员的人身伤害以及财产损失。</w:t>
      </w:r>
    </w:p>
    <w:p w14:paraId="34FE3D7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6.1.9.2 承包人的安全责任</w:t>
      </w:r>
    </w:p>
    <w:p w14:paraId="188A056F">
      <w:pPr>
        <w:spacing w:line="360" w:lineRule="auto"/>
        <w:ind w:firstLine="480" w:firstLineChars="200"/>
        <w:rPr>
          <w:rFonts w:ascii="宋体" w:hAnsi="宋体"/>
          <w:color w:val="000000"/>
          <w:kern w:val="0"/>
          <w:sz w:val="24"/>
          <w:szCs w:val="24"/>
          <w:highlight w:val="none"/>
        </w:rPr>
      </w:pPr>
      <w:r>
        <w:rPr>
          <w:rFonts w:ascii="宋体" w:hAnsi="宋体"/>
          <w:color w:val="000000"/>
          <w:sz w:val="24"/>
          <w:szCs w:val="24"/>
          <w:highlight w:val="none"/>
        </w:rPr>
        <w:t>由于承包人原因在施工场地内及其毗邻地带造成的</w:t>
      </w:r>
      <w:r>
        <w:rPr>
          <w:rFonts w:hint="eastAsia" w:ascii="宋体" w:hAnsi="宋体"/>
          <w:color w:val="000000"/>
          <w:sz w:val="24"/>
          <w:szCs w:val="24"/>
          <w:highlight w:val="none"/>
        </w:rPr>
        <w:t>发包人、监理人以及</w:t>
      </w:r>
      <w:r>
        <w:rPr>
          <w:rFonts w:ascii="宋体" w:hAnsi="宋体"/>
          <w:color w:val="000000"/>
          <w:sz w:val="24"/>
          <w:szCs w:val="24"/>
          <w:highlight w:val="none"/>
        </w:rPr>
        <w:t>第三者人员伤亡和财产损失，由承包人负责赔偿。</w:t>
      </w:r>
    </w:p>
    <w:p w14:paraId="01FF3411">
      <w:pPr>
        <w:pStyle w:val="8"/>
        <w:spacing w:before="120" w:after="120" w:line="360" w:lineRule="auto"/>
        <w:ind w:firstLine="480" w:firstLineChars="200"/>
        <w:rPr>
          <w:rFonts w:ascii="宋体" w:hAnsi="宋体"/>
          <w:b w:val="0"/>
          <w:color w:val="000000"/>
          <w:sz w:val="24"/>
          <w:szCs w:val="24"/>
          <w:highlight w:val="none"/>
        </w:rPr>
      </w:pPr>
      <w:bookmarkStart w:id="163" w:name="_Toc351203540"/>
      <w:r>
        <w:rPr>
          <w:rFonts w:ascii="宋体" w:hAnsi="宋体"/>
          <w:b w:val="0"/>
          <w:color w:val="000000"/>
          <w:sz w:val="24"/>
          <w:szCs w:val="24"/>
          <w:highlight w:val="none"/>
        </w:rPr>
        <w:t>6</w:t>
      </w:r>
      <w:bookmarkStart w:id="164" w:name="_Toc337558765"/>
      <w:r>
        <w:rPr>
          <w:rFonts w:ascii="宋体" w:hAnsi="宋体"/>
          <w:b w:val="0"/>
          <w:color w:val="000000"/>
          <w:sz w:val="24"/>
          <w:szCs w:val="24"/>
          <w:highlight w:val="none"/>
        </w:rPr>
        <w:t>.2 职业健康</w:t>
      </w:r>
      <w:bookmarkEnd w:id="163"/>
    </w:p>
    <w:bookmarkEnd w:id="164"/>
    <w:p w14:paraId="367D214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6.2.1 劳动保护</w:t>
      </w:r>
    </w:p>
    <w:p w14:paraId="7971937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533B08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B06D7A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w:t>
      </w:r>
      <w:r>
        <w:rPr>
          <w:rFonts w:hint="eastAsia" w:ascii="宋体" w:hAnsi="宋体"/>
          <w:color w:val="000000"/>
          <w:kern w:val="0"/>
          <w:sz w:val="24"/>
          <w:szCs w:val="24"/>
          <w:highlight w:val="none"/>
        </w:rPr>
        <w:t>法律</w:t>
      </w:r>
      <w:r>
        <w:rPr>
          <w:rFonts w:ascii="宋体" w:hAnsi="宋体"/>
          <w:color w:val="000000"/>
          <w:kern w:val="0"/>
          <w:sz w:val="24"/>
          <w:szCs w:val="24"/>
          <w:highlight w:val="none"/>
        </w:rPr>
        <w:t>规定安排工作时间，保证其雇佣人员享有休息和休假的权利。因工程施工的特殊需要占用休假日或延长工作时间的，应不超过法律规定的限度，并按法律规定给予补休或付酬。</w:t>
      </w:r>
    </w:p>
    <w:p w14:paraId="508CABA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6.2.2 生活条件</w:t>
      </w:r>
    </w:p>
    <w:p w14:paraId="3FA26C0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51634A2">
      <w:pPr>
        <w:pStyle w:val="8"/>
        <w:spacing w:before="120" w:after="120" w:line="360" w:lineRule="auto"/>
        <w:ind w:firstLine="480" w:firstLineChars="200"/>
        <w:rPr>
          <w:rFonts w:ascii="宋体" w:hAnsi="宋体"/>
          <w:b w:val="0"/>
          <w:color w:val="000000"/>
          <w:sz w:val="24"/>
          <w:szCs w:val="24"/>
          <w:highlight w:val="none"/>
        </w:rPr>
      </w:pPr>
      <w:bookmarkStart w:id="165" w:name="_Toc351203541"/>
      <w:r>
        <w:rPr>
          <w:rFonts w:ascii="宋体" w:hAnsi="宋体"/>
          <w:b w:val="0"/>
          <w:color w:val="000000"/>
          <w:sz w:val="24"/>
          <w:szCs w:val="24"/>
          <w:highlight w:val="none"/>
        </w:rPr>
        <w:t>6</w:t>
      </w:r>
      <w:bookmarkStart w:id="166" w:name="_Toc337558766"/>
      <w:r>
        <w:rPr>
          <w:rFonts w:ascii="宋体" w:hAnsi="宋体"/>
          <w:b w:val="0"/>
          <w:color w:val="000000"/>
          <w:sz w:val="24"/>
          <w:szCs w:val="24"/>
          <w:highlight w:val="none"/>
        </w:rPr>
        <w:t>.3 环境保护</w:t>
      </w:r>
      <w:bookmarkEnd w:id="165"/>
    </w:p>
    <w:bookmarkEnd w:id="166"/>
    <w:p w14:paraId="4FEE15A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BC06EB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20656423">
      <w:pPr>
        <w:pStyle w:val="7"/>
        <w:spacing w:before="120" w:after="120" w:line="360" w:lineRule="auto"/>
        <w:rPr>
          <w:rFonts w:ascii="宋体" w:hAnsi="宋体"/>
          <w:b w:val="0"/>
          <w:color w:val="000000"/>
          <w:szCs w:val="24"/>
          <w:highlight w:val="none"/>
        </w:rPr>
      </w:pPr>
      <w:bookmarkStart w:id="167" w:name="_Toc351203542"/>
      <w:r>
        <w:rPr>
          <w:rFonts w:ascii="宋体" w:hAnsi="宋体"/>
          <w:b w:val="0"/>
          <w:color w:val="000000"/>
          <w:szCs w:val="24"/>
          <w:highlight w:val="none"/>
        </w:rPr>
        <w:t>7</w:t>
      </w:r>
      <w:bookmarkStart w:id="168" w:name="_Toc337558767"/>
      <w:r>
        <w:rPr>
          <w:rFonts w:ascii="宋体" w:hAnsi="宋体"/>
          <w:b w:val="0"/>
          <w:color w:val="000000"/>
          <w:szCs w:val="24"/>
          <w:highlight w:val="none"/>
        </w:rPr>
        <w:t>. 工期和进度</w:t>
      </w:r>
      <w:bookmarkEnd w:id="167"/>
    </w:p>
    <w:bookmarkEnd w:id="168"/>
    <w:p w14:paraId="6CBF68F4">
      <w:pPr>
        <w:pStyle w:val="8"/>
        <w:spacing w:before="120" w:after="120" w:line="360" w:lineRule="auto"/>
        <w:ind w:firstLine="480" w:firstLineChars="200"/>
        <w:rPr>
          <w:rFonts w:ascii="宋体" w:hAnsi="宋体"/>
          <w:b w:val="0"/>
          <w:color w:val="000000"/>
          <w:sz w:val="24"/>
          <w:szCs w:val="24"/>
          <w:highlight w:val="none"/>
        </w:rPr>
      </w:pPr>
      <w:bookmarkStart w:id="169" w:name="_Toc351203543"/>
      <w:r>
        <w:rPr>
          <w:rFonts w:ascii="宋体" w:hAnsi="宋体"/>
          <w:b w:val="0"/>
          <w:color w:val="000000"/>
          <w:sz w:val="24"/>
          <w:szCs w:val="24"/>
          <w:highlight w:val="none"/>
        </w:rPr>
        <w:t>7</w:t>
      </w:r>
      <w:bookmarkStart w:id="170" w:name="_Toc337558768"/>
      <w:bookmarkStart w:id="171" w:name="_Toc296503066"/>
      <w:bookmarkStart w:id="172" w:name="_Toc296346567"/>
      <w:r>
        <w:rPr>
          <w:rFonts w:ascii="宋体" w:hAnsi="宋体"/>
          <w:b w:val="0"/>
          <w:color w:val="000000"/>
          <w:sz w:val="24"/>
          <w:szCs w:val="24"/>
          <w:highlight w:val="none"/>
        </w:rPr>
        <w:t>.1施工组织设计</w:t>
      </w:r>
      <w:bookmarkEnd w:id="169"/>
    </w:p>
    <w:bookmarkEnd w:id="170"/>
    <w:p w14:paraId="062A5B7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sz w:val="24"/>
          <w:szCs w:val="24"/>
          <w:highlight w:val="none"/>
        </w:rPr>
        <w:t>7.1.1</w:t>
      </w:r>
      <w:r>
        <w:rPr>
          <w:rFonts w:ascii="宋体" w:hAnsi="宋体"/>
          <w:color w:val="000000"/>
          <w:sz w:val="24"/>
          <w:szCs w:val="24"/>
          <w:highlight w:val="none"/>
        </w:rPr>
        <w:t xml:space="preserve"> </w:t>
      </w:r>
      <w:r>
        <w:rPr>
          <w:rFonts w:ascii="宋体" w:hAnsi="宋体"/>
          <w:color w:val="000000"/>
          <w:kern w:val="0"/>
          <w:sz w:val="24"/>
          <w:szCs w:val="24"/>
          <w:highlight w:val="none"/>
        </w:rPr>
        <w:t>施工组织设计的内容</w:t>
      </w:r>
    </w:p>
    <w:p w14:paraId="2203C3C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施工组织设计应包含以下内容：</w:t>
      </w:r>
    </w:p>
    <w:p w14:paraId="057A006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（1）施工方案； </w:t>
      </w:r>
    </w:p>
    <w:p w14:paraId="346D82B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（2）施工现场平面布置图；</w:t>
      </w:r>
    </w:p>
    <w:p w14:paraId="683BD15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（3）施工进度计划和保证措施； </w:t>
      </w:r>
    </w:p>
    <w:p w14:paraId="59DBA97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（4）劳动力及材料供应计划；</w:t>
      </w:r>
    </w:p>
    <w:p w14:paraId="5B00008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（5）施工机械设备的选用；</w:t>
      </w:r>
    </w:p>
    <w:p w14:paraId="2A2243B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（6）质量保证体系及措施；</w:t>
      </w:r>
    </w:p>
    <w:p w14:paraId="7F8DA90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（7）安全生产、文明施工措施；</w:t>
      </w:r>
    </w:p>
    <w:p w14:paraId="789AB66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（8）环境保护、成本控制措施</w:t>
      </w:r>
      <w:r>
        <w:rPr>
          <w:rFonts w:hint="eastAsia" w:ascii="宋体" w:hAnsi="宋体"/>
          <w:color w:val="000000"/>
          <w:kern w:val="0"/>
          <w:sz w:val="24"/>
          <w:szCs w:val="24"/>
          <w:highlight w:val="none"/>
        </w:rPr>
        <w:t>；</w:t>
      </w:r>
    </w:p>
    <w:p w14:paraId="625387A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（9）合同当事人约定的其他内容</w:t>
      </w:r>
      <w:r>
        <w:rPr>
          <w:rFonts w:ascii="宋体" w:hAnsi="宋体"/>
          <w:color w:val="000000"/>
          <w:kern w:val="0"/>
          <w:sz w:val="24"/>
          <w:szCs w:val="24"/>
          <w:highlight w:val="none"/>
        </w:rPr>
        <w:t>。</w:t>
      </w:r>
    </w:p>
    <w:p w14:paraId="3988A2A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sz w:val="24"/>
          <w:szCs w:val="24"/>
          <w:highlight w:val="none"/>
        </w:rPr>
        <w:t>7.1.2</w:t>
      </w:r>
      <w:r>
        <w:rPr>
          <w:rFonts w:ascii="宋体" w:hAnsi="宋体"/>
          <w:color w:val="000000"/>
          <w:sz w:val="24"/>
          <w:szCs w:val="24"/>
          <w:highlight w:val="none"/>
        </w:rPr>
        <w:t xml:space="preserve"> </w:t>
      </w:r>
      <w:r>
        <w:rPr>
          <w:rFonts w:ascii="宋体" w:hAnsi="宋体"/>
          <w:color w:val="000000"/>
          <w:kern w:val="0"/>
          <w:sz w:val="24"/>
          <w:szCs w:val="24"/>
          <w:highlight w:val="none"/>
        </w:rPr>
        <w:t>施工组织设计的提交和修改</w:t>
      </w:r>
    </w:p>
    <w:p w14:paraId="49D3EFD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除专用合同条款另有约定外，承包人应在合同签订后14天内，但至迟不得晚于第7.3.2项</w:t>
      </w:r>
      <w:r>
        <w:rPr>
          <w:rFonts w:hint="eastAsia" w:ascii="宋体" w:hAnsi="宋体"/>
          <w:color w:val="000000"/>
          <w:kern w:val="0"/>
          <w:sz w:val="24"/>
          <w:szCs w:val="24"/>
          <w:highlight w:val="none"/>
        </w:rPr>
        <w:t>〔</w:t>
      </w:r>
      <w:r>
        <w:rPr>
          <w:rFonts w:ascii="宋体" w:hAnsi="宋体"/>
          <w:color w:val="000000"/>
          <w:kern w:val="0"/>
          <w:sz w:val="24"/>
          <w:szCs w:val="24"/>
          <w:highlight w:val="none"/>
        </w:rPr>
        <w:t>开工通知</w:t>
      </w:r>
      <w:r>
        <w:rPr>
          <w:rFonts w:hint="eastAsia" w:ascii="宋体" w:hAnsi="宋体"/>
          <w:color w:val="000000"/>
          <w:kern w:val="0"/>
          <w:sz w:val="24"/>
          <w:szCs w:val="24"/>
          <w:highlight w:val="none"/>
        </w:rPr>
        <w:t>〕</w:t>
      </w:r>
      <w:r>
        <w:rPr>
          <w:rFonts w:ascii="宋体" w:hAnsi="宋体"/>
          <w:color w:val="000000"/>
          <w:kern w:val="0"/>
          <w:sz w:val="24"/>
          <w:szCs w:val="24"/>
          <w:highlight w:val="none"/>
        </w:rPr>
        <w:t>载明的开工日期前7天，向监理人提交详细的施工组织设计，并由监理人报送发包人。</w:t>
      </w:r>
      <w:r>
        <w:rPr>
          <w:rFonts w:hint="eastAsia" w:ascii="宋体" w:hAnsi="宋体"/>
          <w:color w:val="000000"/>
          <w:kern w:val="0"/>
          <w:sz w:val="24"/>
          <w:szCs w:val="24"/>
          <w:highlight w:val="none"/>
        </w:rPr>
        <w:t>除专用合同条款另有约定外，发包人和监理人应在监理人收到施工组织设计后7天内确认或提出修改意见</w:t>
      </w:r>
      <w:r>
        <w:rPr>
          <w:rFonts w:ascii="宋体" w:hAnsi="宋体"/>
          <w:color w:val="000000"/>
          <w:kern w:val="0"/>
          <w:sz w:val="24"/>
          <w:szCs w:val="24"/>
          <w:highlight w:val="none"/>
        </w:rPr>
        <w:t>。对发包人和监理人提出的合理意见和要求，承包人应自费修改完善。根据工程实际情况需要修改施工组织设计的，承包人应向发包人和监理人提交修改后的施工组织设计。</w:t>
      </w:r>
    </w:p>
    <w:p w14:paraId="62A45CB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施工进度计划的编制和修改按照第7.2款</w:t>
      </w:r>
      <w:r>
        <w:rPr>
          <w:rFonts w:hint="eastAsia" w:ascii="宋体" w:hAnsi="宋体"/>
          <w:color w:val="000000"/>
          <w:kern w:val="0"/>
          <w:sz w:val="24"/>
          <w:szCs w:val="24"/>
          <w:highlight w:val="none"/>
        </w:rPr>
        <w:t>〔</w:t>
      </w:r>
      <w:r>
        <w:rPr>
          <w:rFonts w:ascii="宋体" w:hAnsi="宋体"/>
          <w:color w:val="000000"/>
          <w:kern w:val="0"/>
          <w:sz w:val="24"/>
          <w:szCs w:val="24"/>
          <w:highlight w:val="none"/>
        </w:rPr>
        <w:t>施工进度计划</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568614B3">
      <w:pPr>
        <w:pStyle w:val="8"/>
        <w:spacing w:before="120" w:after="120" w:line="360" w:lineRule="auto"/>
        <w:ind w:firstLine="480" w:firstLineChars="200"/>
        <w:rPr>
          <w:rFonts w:ascii="宋体" w:hAnsi="宋体"/>
          <w:b w:val="0"/>
          <w:color w:val="000000"/>
          <w:sz w:val="24"/>
          <w:szCs w:val="24"/>
          <w:highlight w:val="none"/>
        </w:rPr>
      </w:pPr>
      <w:bookmarkStart w:id="173" w:name="_Toc351203544"/>
      <w:r>
        <w:rPr>
          <w:rFonts w:ascii="宋体" w:hAnsi="宋体"/>
          <w:b w:val="0"/>
          <w:color w:val="000000"/>
          <w:sz w:val="24"/>
          <w:szCs w:val="24"/>
          <w:highlight w:val="none"/>
        </w:rPr>
        <w:t>7</w:t>
      </w:r>
      <w:bookmarkStart w:id="174" w:name="_Toc337558769"/>
      <w:r>
        <w:rPr>
          <w:rFonts w:ascii="宋体" w:hAnsi="宋体"/>
          <w:b w:val="0"/>
          <w:color w:val="000000"/>
          <w:sz w:val="24"/>
          <w:szCs w:val="24"/>
          <w:highlight w:val="none"/>
        </w:rPr>
        <w:t>.2 施工进度计划</w:t>
      </w:r>
      <w:bookmarkEnd w:id="173"/>
    </w:p>
    <w:bookmarkEnd w:id="174"/>
    <w:p w14:paraId="70D4FBA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7.2.1 施工进度计划的编制</w:t>
      </w:r>
    </w:p>
    <w:p w14:paraId="35C733B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承包人应按照第7.1款</w:t>
      </w:r>
      <w:r>
        <w:rPr>
          <w:rFonts w:hint="eastAsia" w:ascii="宋体" w:hAnsi="宋体"/>
          <w:color w:val="000000"/>
          <w:kern w:val="0"/>
          <w:sz w:val="24"/>
          <w:szCs w:val="24"/>
          <w:highlight w:val="none"/>
        </w:rPr>
        <w:t>〔</w:t>
      </w:r>
      <w:r>
        <w:rPr>
          <w:rFonts w:ascii="宋体" w:hAnsi="宋体"/>
          <w:color w:val="000000"/>
          <w:kern w:val="0"/>
          <w:sz w:val="24"/>
          <w:szCs w:val="24"/>
          <w:highlight w:val="none"/>
        </w:rPr>
        <w:t>施工组织设计</w:t>
      </w:r>
      <w:r>
        <w:rPr>
          <w:rFonts w:hint="eastAsia" w:ascii="宋体" w:hAnsi="宋体"/>
          <w:color w:val="000000"/>
          <w:kern w:val="0"/>
          <w:sz w:val="24"/>
          <w:szCs w:val="24"/>
          <w:highlight w:val="none"/>
        </w:rPr>
        <w:t>〕</w:t>
      </w:r>
      <w:r>
        <w:rPr>
          <w:rFonts w:ascii="宋体" w:hAnsi="宋体"/>
          <w:color w:val="000000"/>
          <w:kern w:val="0"/>
          <w:sz w:val="24"/>
          <w:szCs w:val="24"/>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617219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7.2.2 施工进度计划的修订</w:t>
      </w:r>
    </w:p>
    <w:p w14:paraId="30703CE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CDC3EDB">
      <w:pPr>
        <w:pStyle w:val="8"/>
        <w:spacing w:before="120" w:after="120" w:line="360" w:lineRule="auto"/>
        <w:ind w:firstLine="480" w:firstLineChars="200"/>
        <w:rPr>
          <w:rFonts w:ascii="宋体" w:hAnsi="宋体"/>
          <w:b w:val="0"/>
          <w:color w:val="000000"/>
          <w:sz w:val="24"/>
          <w:szCs w:val="24"/>
          <w:highlight w:val="none"/>
        </w:rPr>
      </w:pPr>
      <w:bookmarkStart w:id="175" w:name="_Toc351203545"/>
      <w:r>
        <w:rPr>
          <w:rFonts w:ascii="宋体" w:hAnsi="宋体"/>
          <w:b w:val="0"/>
          <w:color w:val="000000"/>
          <w:sz w:val="24"/>
          <w:szCs w:val="24"/>
          <w:highlight w:val="none"/>
        </w:rPr>
        <w:t>7</w:t>
      </w:r>
      <w:bookmarkStart w:id="176" w:name="_Toc337558770"/>
      <w:r>
        <w:rPr>
          <w:rFonts w:ascii="宋体" w:hAnsi="宋体"/>
          <w:b w:val="0"/>
          <w:color w:val="000000"/>
          <w:sz w:val="24"/>
          <w:szCs w:val="24"/>
          <w:highlight w:val="none"/>
        </w:rPr>
        <w:t>.3 开工</w:t>
      </w:r>
      <w:bookmarkEnd w:id="175"/>
    </w:p>
    <w:p w14:paraId="08643D77">
      <w:pPr>
        <w:spacing w:line="360" w:lineRule="auto"/>
        <w:ind w:firstLine="480" w:firstLineChars="200"/>
        <w:rPr>
          <w:rFonts w:ascii="宋体" w:hAnsi="宋体"/>
          <w:color w:val="000000"/>
          <w:sz w:val="24"/>
          <w:szCs w:val="24"/>
          <w:highlight w:val="none"/>
        </w:rPr>
      </w:pPr>
      <w:r>
        <w:rPr>
          <w:rFonts w:ascii="宋体" w:hAnsi="宋体"/>
          <w:color w:val="000000"/>
          <w:kern w:val="0"/>
          <w:sz w:val="24"/>
          <w:szCs w:val="24"/>
          <w:highlight w:val="none"/>
        </w:rPr>
        <w:t>7.3.1 开工准备</w:t>
      </w:r>
    </w:p>
    <w:p w14:paraId="0896B2E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除专用合同条款另有约定外，承包人应按照第7.1款</w:t>
      </w:r>
      <w:r>
        <w:rPr>
          <w:rFonts w:hint="eastAsia" w:ascii="宋体" w:hAnsi="宋体"/>
          <w:color w:val="000000"/>
          <w:kern w:val="0"/>
          <w:sz w:val="24"/>
          <w:szCs w:val="24"/>
          <w:highlight w:val="none"/>
        </w:rPr>
        <w:t>〔</w:t>
      </w:r>
      <w:r>
        <w:rPr>
          <w:rFonts w:ascii="宋体" w:hAnsi="宋体"/>
          <w:color w:val="000000"/>
          <w:kern w:val="0"/>
          <w:sz w:val="24"/>
          <w:szCs w:val="24"/>
          <w:highlight w:val="none"/>
        </w:rPr>
        <w:t>施工组织设计</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5A3C5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除专用合同条款另有约定外，合同当事人应按约定完成开工准备工作。</w:t>
      </w:r>
    </w:p>
    <w:p w14:paraId="58CA533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7.3.2 开工通知</w:t>
      </w:r>
    </w:p>
    <w:bookmarkEnd w:id="176"/>
    <w:p w14:paraId="64E81F6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08AC5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FC99413">
      <w:pPr>
        <w:pStyle w:val="8"/>
        <w:spacing w:before="120" w:after="120" w:line="360" w:lineRule="auto"/>
        <w:ind w:firstLine="480" w:firstLineChars="200"/>
        <w:rPr>
          <w:rFonts w:ascii="宋体" w:hAnsi="宋体"/>
          <w:b w:val="0"/>
          <w:color w:val="000000"/>
          <w:sz w:val="24"/>
          <w:szCs w:val="24"/>
          <w:highlight w:val="none"/>
        </w:rPr>
      </w:pPr>
      <w:bookmarkStart w:id="177" w:name="_Toc351203546"/>
      <w:r>
        <w:rPr>
          <w:rFonts w:ascii="宋体" w:hAnsi="宋体"/>
          <w:b w:val="0"/>
          <w:color w:val="000000"/>
          <w:sz w:val="24"/>
          <w:szCs w:val="24"/>
          <w:highlight w:val="none"/>
        </w:rPr>
        <w:t>7.4测量放线</w:t>
      </w:r>
      <w:bookmarkEnd w:id="177"/>
    </w:p>
    <w:p w14:paraId="3342756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7.4.1 除专用合同条款另有约定外，发包人应在至迟不得晚于第7.3.2项</w:t>
      </w:r>
      <w:r>
        <w:rPr>
          <w:rFonts w:hint="eastAsia" w:ascii="宋体" w:hAnsi="宋体"/>
          <w:color w:val="000000"/>
          <w:kern w:val="0"/>
          <w:sz w:val="24"/>
          <w:szCs w:val="24"/>
          <w:highlight w:val="none"/>
        </w:rPr>
        <w:t>〔</w:t>
      </w:r>
      <w:r>
        <w:rPr>
          <w:rFonts w:ascii="宋体" w:hAnsi="宋体"/>
          <w:color w:val="000000"/>
          <w:kern w:val="0"/>
          <w:sz w:val="24"/>
          <w:szCs w:val="24"/>
          <w:highlight w:val="none"/>
        </w:rPr>
        <w:t>开工通知</w:t>
      </w:r>
      <w:r>
        <w:rPr>
          <w:rFonts w:hint="eastAsia" w:ascii="宋体" w:hAnsi="宋体"/>
          <w:color w:val="000000"/>
          <w:kern w:val="0"/>
          <w:sz w:val="24"/>
          <w:szCs w:val="24"/>
          <w:highlight w:val="none"/>
        </w:rPr>
        <w:t>〕</w:t>
      </w:r>
      <w:r>
        <w:rPr>
          <w:rFonts w:ascii="宋体" w:hAnsi="宋体"/>
          <w:color w:val="000000"/>
          <w:kern w:val="0"/>
          <w:sz w:val="24"/>
          <w:szCs w:val="24"/>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179E6B0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37C9C0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E7A59A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施工过程中对施工现场内水准点等测量标志物的保护工作由承包人负责。</w:t>
      </w:r>
      <w:bookmarkStart w:id="178" w:name="_Toc351203547"/>
    </w:p>
    <w:p w14:paraId="46CE8D2C">
      <w:pPr>
        <w:pStyle w:val="8"/>
        <w:spacing w:before="120" w:after="120" w:line="360" w:lineRule="auto"/>
        <w:ind w:firstLine="480" w:firstLineChars="200"/>
        <w:rPr>
          <w:rFonts w:ascii="宋体" w:hAnsi="宋体"/>
          <w:b w:val="0"/>
          <w:color w:val="000000"/>
          <w:sz w:val="24"/>
          <w:szCs w:val="24"/>
          <w:highlight w:val="none"/>
        </w:rPr>
      </w:pPr>
      <w:r>
        <w:rPr>
          <w:rFonts w:ascii="宋体" w:hAnsi="宋体"/>
          <w:b w:val="0"/>
          <w:color w:val="000000"/>
          <w:sz w:val="24"/>
          <w:szCs w:val="24"/>
          <w:highlight w:val="none"/>
        </w:rPr>
        <w:t>7</w:t>
      </w:r>
      <w:bookmarkEnd w:id="171"/>
      <w:bookmarkEnd w:id="172"/>
      <w:bookmarkStart w:id="179" w:name="_Toc296346574"/>
      <w:bookmarkStart w:id="180" w:name="_Toc296503073"/>
      <w:bookmarkStart w:id="181" w:name="_Toc337558772"/>
      <w:r>
        <w:rPr>
          <w:rFonts w:ascii="宋体" w:hAnsi="宋体"/>
          <w:b w:val="0"/>
          <w:color w:val="000000"/>
          <w:sz w:val="24"/>
          <w:szCs w:val="24"/>
          <w:highlight w:val="none"/>
        </w:rPr>
        <w:t>.5</w:t>
      </w:r>
      <w:r>
        <w:rPr>
          <w:rFonts w:hint="eastAsia" w:ascii="宋体" w:hAnsi="宋体"/>
          <w:b w:val="0"/>
          <w:color w:val="000000"/>
          <w:sz w:val="24"/>
          <w:szCs w:val="24"/>
          <w:highlight w:val="none"/>
        </w:rPr>
        <w:t xml:space="preserve"> </w:t>
      </w:r>
      <w:r>
        <w:rPr>
          <w:rFonts w:ascii="宋体" w:hAnsi="宋体"/>
          <w:b w:val="0"/>
          <w:color w:val="000000"/>
          <w:sz w:val="24"/>
          <w:szCs w:val="24"/>
          <w:highlight w:val="none"/>
        </w:rPr>
        <w:t>工期延误</w:t>
      </w:r>
      <w:bookmarkEnd w:id="178"/>
    </w:p>
    <w:bookmarkEnd w:id="179"/>
    <w:bookmarkEnd w:id="180"/>
    <w:bookmarkEnd w:id="181"/>
    <w:p w14:paraId="7D0AB69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7.5.1 因发包人原因导致工期延误</w:t>
      </w:r>
    </w:p>
    <w:p w14:paraId="1F0B7E0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16EE647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（1）发包人未能按合同约定提供图纸或所提供图纸不符合合同约定的；</w:t>
      </w:r>
    </w:p>
    <w:p w14:paraId="5290796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（2）发包人未能按合同约定提供施工现场、施工条件、基础资料、许可、批准等开工条件的；</w:t>
      </w:r>
    </w:p>
    <w:p w14:paraId="0B8F28C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（3）发包人提供的测量基准点、基准线和水准点及其书面资料存在错误或疏漏的；</w:t>
      </w:r>
    </w:p>
    <w:p w14:paraId="0E1C66D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（4）发包人未能在计划开工日期之日起7天内同意下达开工通知的；</w:t>
      </w:r>
    </w:p>
    <w:p w14:paraId="72A2D67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（5）发包人未能按合同约定日期支付工程预付款、进度款或竣工结算款的；</w:t>
      </w:r>
    </w:p>
    <w:p w14:paraId="6C0A9D8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（6）监理人未按合同约定发出指示、批准等文件的；</w:t>
      </w:r>
    </w:p>
    <w:p w14:paraId="6E4AE9A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（7）专用合同条款中约定的其他情形。</w:t>
      </w:r>
    </w:p>
    <w:p w14:paraId="4AF3D91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 w:val="24"/>
          <w:szCs w:val="24"/>
          <w:highlight w:val="none"/>
        </w:rPr>
        <w:t>〔</w:t>
      </w:r>
      <w:r>
        <w:rPr>
          <w:rFonts w:ascii="宋体" w:hAnsi="宋体"/>
          <w:color w:val="000000"/>
          <w:kern w:val="0"/>
          <w:sz w:val="24"/>
          <w:szCs w:val="24"/>
          <w:highlight w:val="none"/>
        </w:rPr>
        <w:t>施工进度计划的修订</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07DBD3DF">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7.5.2 因承包人原因导致工期延误</w:t>
      </w:r>
    </w:p>
    <w:p w14:paraId="175BD24E">
      <w:pPr>
        <w:autoSpaceDE w:val="0"/>
        <w:autoSpaceDN w:val="0"/>
        <w:adjustRightInd w:val="0"/>
        <w:spacing w:line="360" w:lineRule="auto"/>
        <w:ind w:firstLine="480" w:firstLineChars="200"/>
        <w:jc w:val="left"/>
        <w:rPr>
          <w:rFonts w:ascii="宋体" w:hAnsi="宋体"/>
          <w:color w:val="000000"/>
          <w:kern w:val="0"/>
          <w:sz w:val="24"/>
          <w:szCs w:val="24"/>
          <w:highlight w:val="none"/>
        </w:rPr>
      </w:pPr>
      <w:bookmarkStart w:id="182" w:name="_Toc296346577"/>
      <w:bookmarkStart w:id="183" w:name="_Toc296503076"/>
      <w:r>
        <w:rPr>
          <w:rFonts w:ascii="宋体" w:hAnsi="宋体"/>
          <w:color w:val="000000"/>
          <w:kern w:val="0"/>
          <w:sz w:val="24"/>
          <w:szCs w:val="24"/>
          <w:highlight w:val="none"/>
        </w:rPr>
        <w:t>因</w:t>
      </w:r>
      <w:bookmarkEnd w:id="182"/>
      <w:bookmarkEnd w:id="183"/>
      <w:r>
        <w:rPr>
          <w:rFonts w:ascii="宋体" w:hAnsi="宋体"/>
          <w:color w:val="000000"/>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89FA7F8">
      <w:pPr>
        <w:pStyle w:val="8"/>
        <w:spacing w:before="120" w:after="120" w:line="360" w:lineRule="auto"/>
        <w:ind w:firstLine="480" w:firstLineChars="200"/>
        <w:rPr>
          <w:rFonts w:ascii="宋体" w:hAnsi="宋体"/>
          <w:b w:val="0"/>
          <w:color w:val="000000"/>
          <w:sz w:val="24"/>
          <w:szCs w:val="24"/>
          <w:highlight w:val="none"/>
        </w:rPr>
      </w:pPr>
      <w:bookmarkStart w:id="184" w:name="_Toc351203548"/>
      <w:r>
        <w:rPr>
          <w:rFonts w:ascii="宋体" w:hAnsi="宋体"/>
          <w:b w:val="0"/>
          <w:color w:val="000000"/>
          <w:sz w:val="24"/>
          <w:szCs w:val="24"/>
          <w:highlight w:val="none"/>
        </w:rPr>
        <w:t>7</w:t>
      </w:r>
      <w:bookmarkStart w:id="185" w:name="_Toc296346575"/>
      <w:bookmarkStart w:id="186" w:name="_Toc337558773"/>
      <w:bookmarkStart w:id="187" w:name="_Toc296503074"/>
      <w:bookmarkStart w:id="188" w:name="_Toc296503077"/>
      <w:bookmarkStart w:id="189" w:name="_Toc296346578"/>
      <w:r>
        <w:rPr>
          <w:rFonts w:ascii="宋体" w:hAnsi="宋体"/>
          <w:b w:val="0"/>
          <w:color w:val="000000"/>
          <w:sz w:val="24"/>
          <w:szCs w:val="24"/>
          <w:highlight w:val="none"/>
        </w:rPr>
        <w:t>.6 不利物质条件</w:t>
      </w:r>
      <w:bookmarkEnd w:id="184"/>
    </w:p>
    <w:bookmarkEnd w:id="185"/>
    <w:bookmarkEnd w:id="186"/>
    <w:bookmarkEnd w:id="187"/>
    <w:p w14:paraId="5FFBA05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34251B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 w:val="24"/>
          <w:szCs w:val="24"/>
          <w:highlight w:val="none"/>
        </w:rPr>
        <w:t>〔</w:t>
      </w:r>
      <w:r>
        <w:rPr>
          <w:rFonts w:ascii="宋体" w:hAnsi="宋体"/>
          <w:color w:val="000000"/>
          <w:kern w:val="0"/>
          <w:sz w:val="24"/>
          <w:szCs w:val="24"/>
          <w:highlight w:val="none"/>
        </w:rPr>
        <w:t>变更</w:t>
      </w:r>
      <w:r>
        <w:rPr>
          <w:rFonts w:hint="eastAsia" w:ascii="宋体" w:hAnsi="宋体"/>
          <w:color w:val="000000"/>
          <w:kern w:val="0"/>
          <w:sz w:val="24"/>
          <w:szCs w:val="24"/>
          <w:highlight w:val="none"/>
        </w:rPr>
        <w:t>〕</w:t>
      </w:r>
      <w:r>
        <w:rPr>
          <w:rFonts w:ascii="宋体" w:hAnsi="宋体"/>
          <w:color w:val="000000"/>
          <w:kern w:val="0"/>
          <w:sz w:val="24"/>
          <w:szCs w:val="24"/>
          <w:highlight w:val="none"/>
        </w:rPr>
        <w:t>约定执行。承包人因采取合理措施而增加的费用和（或）延误的工期由发包人承担。</w:t>
      </w:r>
    </w:p>
    <w:p w14:paraId="3245B0D9">
      <w:pPr>
        <w:pStyle w:val="8"/>
        <w:spacing w:before="120" w:after="120" w:line="360" w:lineRule="auto"/>
        <w:ind w:firstLine="480" w:firstLineChars="200"/>
        <w:rPr>
          <w:rFonts w:ascii="宋体" w:hAnsi="宋体"/>
          <w:b w:val="0"/>
          <w:color w:val="000000"/>
          <w:sz w:val="24"/>
          <w:szCs w:val="24"/>
          <w:highlight w:val="none"/>
        </w:rPr>
      </w:pPr>
      <w:bookmarkStart w:id="190" w:name="_Toc351203549"/>
      <w:r>
        <w:rPr>
          <w:rFonts w:ascii="宋体" w:hAnsi="宋体"/>
          <w:b w:val="0"/>
          <w:color w:val="000000"/>
          <w:sz w:val="24"/>
          <w:szCs w:val="24"/>
          <w:highlight w:val="none"/>
        </w:rPr>
        <w:t>7</w:t>
      </w:r>
      <w:bookmarkStart w:id="191" w:name="_Toc337558774"/>
      <w:bookmarkStart w:id="192" w:name="_Toc296503075"/>
      <w:bookmarkStart w:id="193" w:name="_Toc296346576"/>
      <w:r>
        <w:rPr>
          <w:rFonts w:ascii="宋体" w:hAnsi="宋体"/>
          <w:b w:val="0"/>
          <w:color w:val="000000"/>
          <w:sz w:val="24"/>
          <w:szCs w:val="24"/>
          <w:highlight w:val="none"/>
        </w:rPr>
        <w:t>.7</w:t>
      </w:r>
      <w:r>
        <w:rPr>
          <w:rFonts w:hint="eastAsia" w:ascii="宋体" w:hAnsi="宋体"/>
          <w:b w:val="0"/>
          <w:color w:val="000000"/>
          <w:sz w:val="24"/>
          <w:szCs w:val="24"/>
          <w:highlight w:val="none"/>
        </w:rPr>
        <w:t xml:space="preserve"> </w:t>
      </w:r>
      <w:r>
        <w:rPr>
          <w:rFonts w:ascii="宋体" w:hAnsi="宋体"/>
          <w:b w:val="0"/>
          <w:color w:val="000000"/>
          <w:sz w:val="24"/>
          <w:szCs w:val="24"/>
          <w:highlight w:val="none"/>
        </w:rPr>
        <w:t>异常恶劣的气候条件</w:t>
      </w:r>
      <w:bookmarkEnd w:id="190"/>
    </w:p>
    <w:bookmarkEnd w:id="191"/>
    <w:bookmarkEnd w:id="192"/>
    <w:bookmarkEnd w:id="193"/>
    <w:p w14:paraId="369E46B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10C3BD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 w:val="24"/>
          <w:szCs w:val="24"/>
          <w:highlight w:val="none"/>
        </w:rPr>
        <w:t>〔</w:t>
      </w:r>
      <w:r>
        <w:rPr>
          <w:rFonts w:ascii="宋体" w:hAnsi="宋体"/>
          <w:color w:val="000000"/>
          <w:kern w:val="0"/>
          <w:sz w:val="24"/>
          <w:szCs w:val="24"/>
          <w:highlight w:val="none"/>
        </w:rPr>
        <w:t>变更</w:t>
      </w:r>
      <w:r>
        <w:rPr>
          <w:rFonts w:hint="eastAsia" w:ascii="宋体" w:hAnsi="宋体"/>
          <w:color w:val="000000"/>
          <w:kern w:val="0"/>
          <w:sz w:val="24"/>
          <w:szCs w:val="24"/>
          <w:highlight w:val="none"/>
        </w:rPr>
        <w:t>〕</w:t>
      </w:r>
      <w:r>
        <w:rPr>
          <w:rFonts w:ascii="宋体" w:hAnsi="宋体"/>
          <w:color w:val="000000"/>
          <w:kern w:val="0"/>
          <w:sz w:val="24"/>
          <w:szCs w:val="24"/>
          <w:highlight w:val="none"/>
        </w:rPr>
        <w:t>约定办理。承包人因采取合理措施而增加的费用和（或）延误的工期由发包人承担。</w:t>
      </w:r>
      <w:bookmarkStart w:id="194" w:name="_Toc351203550"/>
    </w:p>
    <w:p w14:paraId="7D617582">
      <w:pPr>
        <w:autoSpaceDE w:val="0"/>
        <w:autoSpaceDN w:val="0"/>
        <w:adjustRightInd w:val="0"/>
        <w:spacing w:line="360" w:lineRule="auto"/>
        <w:ind w:firstLine="480" w:firstLineChars="200"/>
        <w:jc w:val="left"/>
        <w:outlineLvl w:val="0"/>
        <w:rPr>
          <w:rFonts w:ascii="宋体" w:hAnsi="宋体"/>
          <w:bCs/>
          <w:color w:val="000000"/>
          <w:sz w:val="24"/>
          <w:szCs w:val="24"/>
          <w:highlight w:val="none"/>
        </w:rPr>
      </w:pPr>
      <w:r>
        <w:rPr>
          <w:rFonts w:ascii="宋体" w:hAnsi="宋体"/>
          <w:bCs/>
          <w:color w:val="000000"/>
          <w:sz w:val="24"/>
          <w:szCs w:val="24"/>
          <w:highlight w:val="none"/>
        </w:rPr>
        <w:t>7</w:t>
      </w:r>
      <w:bookmarkStart w:id="195" w:name="_Toc337558775"/>
      <w:r>
        <w:rPr>
          <w:rFonts w:ascii="宋体" w:hAnsi="宋体"/>
          <w:bCs/>
          <w:color w:val="000000"/>
          <w:sz w:val="24"/>
          <w:szCs w:val="24"/>
          <w:highlight w:val="none"/>
        </w:rPr>
        <w:t>.8</w:t>
      </w:r>
      <w:r>
        <w:rPr>
          <w:rFonts w:hint="eastAsia" w:ascii="宋体" w:hAnsi="宋体"/>
          <w:bCs/>
          <w:color w:val="000000"/>
          <w:sz w:val="24"/>
          <w:szCs w:val="24"/>
          <w:highlight w:val="none"/>
        </w:rPr>
        <w:t xml:space="preserve"> </w:t>
      </w:r>
      <w:r>
        <w:rPr>
          <w:rFonts w:ascii="宋体" w:hAnsi="宋体"/>
          <w:bCs/>
          <w:color w:val="000000"/>
          <w:sz w:val="24"/>
          <w:szCs w:val="24"/>
          <w:highlight w:val="none"/>
        </w:rPr>
        <w:t>暂停施工</w:t>
      </w:r>
      <w:bookmarkEnd w:id="194"/>
    </w:p>
    <w:bookmarkEnd w:id="188"/>
    <w:bookmarkEnd w:id="189"/>
    <w:bookmarkEnd w:id="195"/>
    <w:p w14:paraId="1EE5EF8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7.8.1发包人原因引起的暂停施工</w:t>
      </w:r>
    </w:p>
    <w:p w14:paraId="76236FF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 w:val="24"/>
          <w:szCs w:val="24"/>
          <w:highlight w:val="none"/>
        </w:rPr>
        <w:t>〔</w:t>
      </w:r>
      <w:r>
        <w:rPr>
          <w:rFonts w:ascii="宋体" w:hAnsi="宋体"/>
          <w:color w:val="000000"/>
          <w:kern w:val="0"/>
          <w:sz w:val="24"/>
          <w:szCs w:val="24"/>
          <w:highlight w:val="none"/>
        </w:rPr>
        <w:t>紧急情况下的暂停施工</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488AAFE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因发包人原因引起的暂停施工，发包人应承担由此增加的费用和（或）延误的工期，</w:t>
      </w:r>
      <w:r>
        <w:rPr>
          <w:rFonts w:ascii="宋体" w:hAnsi="宋体"/>
          <w:kern w:val="0"/>
          <w:sz w:val="24"/>
          <w:szCs w:val="24"/>
          <w:highlight w:val="none"/>
        </w:rPr>
        <w:t>并支付承包人</w:t>
      </w:r>
      <w:r>
        <w:rPr>
          <w:rFonts w:ascii="宋体" w:hAnsi="宋体"/>
          <w:color w:val="000000"/>
          <w:kern w:val="0"/>
          <w:sz w:val="24"/>
          <w:szCs w:val="24"/>
          <w:highlight w:val="none"/>
        </w:rPr>
        <w:t>合理的利润。</w:t>
      </w:r>
    </w:p>
    <w:p w14:paraId="0B8BA0E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7.8.2 承包人原因引起的暂停施工</w:t>
      </w:r>
    </w:p>
    <w:p w14:paraId="06A902F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因承包人原因引起的暂停施工，承包人应承担由此增加的费用和（或）延误的工期，且承包人在收到监理人复工指示后</w:t>
      </w:r>
      <w:r>
        <w:rPr>
          <w:rFonts w:hint="eastAsia" w:ascii="宋体" w:hAnsi="宋体"/>
          <w:color w:val="000000"/>
          <w:kern w:val="0"/>
          <w:sz w:val="24"/>
          <w:szCs w:val="24"/>
          <w:highlight w:val="none"/>
        </w:rPr>
        <w:t>84</w:t>
      </w:r>
      <w:r>
        <w:rPr>
          <w:rFonts w:ascii="宋体" w:hAnsi="宋体"/>
          <w:color w:val="000000"/>
          <w:kern w:val="0"/>
          <w:sz w:val="24"/>
          <w:szCs w:val="24"/>
          <w:highlight w:val="none"/>
        </w:rPr>
        <w:t>天内仍未复工的，视为第16.2.1项</w:t>
      </w:r>
      <w:r>
        <w:rPr>
          <w:rFonts w:hint="eastAsia" w:ascii="宋体" w:hAnsi="宋体"/>
          <w:color w:val="000000"/>
          <w:kern w:val="0"/>
          <w:sz w:val="24"/>
          <w:szCs w:val="24"/>
          <w:highlight w:val="none"/>
        </w:rPr>
        <w:t>〔</w:t>
      </w:r>
      <w:r>
        <w:rPr>
          <w:rFonts w:ascii="宋体" w:hAnsi="宋体"/>
          <w:color w:val="000000"/>
          <w:kern w:val="0"/>
          <w:sz w:val="24"/>
          <w:szCs w:val="24"/>
          <w:highlight w:val="none"/>
        </w:rPr>
        <w:t>承包人违约的情形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第（7）目约定的承包人无法继续履行合同的情形。</w:t>
      </w:r>
    </w:p>
    <w:p w14:paraId="1CE4261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7.8.3 指示暂停施工</w:t>
      </w:r>
    </w:p>
    <w:p w14:paraId="7795D7B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监理人认为有必要时，并经发包人批准后，可向承包人作出暂停施工的指示，承包人应按监理人指示暂停施工。</w:t>
      </w:r>
    </w:p>
    <w:p w14:paraId="4A82148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7.8.4 紧急情况下的暂停施工</w:t>
      </w:r>
    </w:p>
    <w:p w14:paraId="7B5B232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约定处理。</w:t>
      </w:r>
    </w:p>
    <w:p w14:paraId="7261CA9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7.8.5 暂停施工后的复工</w:t>
      </w:r>
    </w:p>
    <w:p w14:paraId="2CA6014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78B2B4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承包人无故拖延和拒绝复工的，承包人承担由此增加的费用和（或）延误的工期；因发包人原因无法按时复工的，按照第7.5.1项</w:t>
      </w:r>
      <w:r>
        <w:rPr>
          <w:rFonts w:hint="eastAsia" w:ascii="宋体" w:hAnsi="宋体"/>
          <w:color w:val="000000"/>
          <w:kern w:val="0"/>
          <w:sz w:val="24"/>
          <w:szCs w:val="24"/>
          <w:highlight w:val="none"/>
        </w:rPr>
        <w:t>〔</w:t>
      </w:r>
      <w:r>
        <w:rPr>
          <w:rFonts w:ascii="宋体" w:hAnsi="宋体"/>
          <w:color w:val="000000"/>
          <w:kern w:val="0"/>
          <w:sz w:val="24"/>
          <w:szCs w:val="24"/>
          <w:highlight w:val="none"/>
        </w:rPr>
        <w:t>因发包人原因导致工期延误</w:t>
      </w:r>
      <w:r>
        <w:rPr>
          <w:rFonts w:hint="eastAsia" w:ascii="宋体" w:hAnsi="宋体"/>
          <w:color w:val="000000"/>
          <w:kern w:val="0"/>
          <w:sz w:val="24"/>
          <w:szCs w:val="24"/>
          <w:highlight w:val="none"/>
        </w:rPr>
        <w:t>〕</w:t>
      </w:r>
      <w:r>
        <w:rPr>
          <w:rFonts w:ascii="宋体" w:hAnsi="宋体"/>
          <w:color w:val="000000"/>
          <w:kern w:val="0"/>
          <w:sz w:val="24"/>
          <w:szCs w:val="24"/>
          <w:highlight w:val="none"/>
        </w:rPr>
        <w:t>约定办理。</w:t>
      </w:r>
    </w:p>
    <w:p w14:paraId="3108F92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7.8.6 暂停施工持续56天以上</w:t>
      </w:r>
    </w:p>
    <w:p w14:paraId="404AE811">
      <w:pPr>
        <w:spacing w:line="360" w:lineRule="auto"/>
        <w:ind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监理人发出暂停施工指示后56天内未向承包人发出复工通知，除该项停工属于第7.8.2项</w:t>
      </w:r>
      <w:r>
        <w:rPr>
          <w:rFonts w:hint="eastAsia" w:ascii="宋体" w:hAnsi="宋体"/>
          <w:color w:val="000000"/>
          <w:kern w:val="0"/>
          <w:sz w:val="24"/>
          <w:szCs w:val="24"/>
          <w:highlight w:val="none"/>
        </w:rPr>
        <w:t>〔</w:t>
      </w:r>
      <w:r>
        <w:rPr>
          <w:rFonts w:ascii="宋体" w:hAnsi="宋体"/>
          <w:color w:val="000000"/>
          <w:kern w:val="0"/>
          <w:sz w:val="24"/>
          <w:szCs w:val="24"/>
          <w:highlight w:val="none"/>
        </w:rPr>
        <w:t>承包人原因引起的暂停施工</w:t>
      </w:r>
      <w:r>
        <w:rPr>
          <w:rFonts w:hint="eastAsia" w:ascii="宋体" w:hAnsi="宋体"/>
          <w:color w:val="000000"/>
          <w:kern w:val="0"/>
          <w:sz w:val="24"/>
          <w:szCs w:val="24"/>
          <w:highlight w:val="none"/>
        </w:rPr>
        <w:t>〕</w:t>
      </w:r>
      <w:r>
        <w:rPr>
          <w:rFonts w:ascii="宋体" w:hAnsi="宋体"/>
          <w:color w:val="000000"/>
          <w:kern w:val="0"/>
          <w:sz w:val="24"/>
          <w:szCs w:val="24"/>
          <w:highlight w:val="none"/>
        </w:rPr>
        <w:t>及第17条</w:t>
      </w:r>
      <w:r>
        <w:rPr>
          <w:rFonts w:hint="eastAsia" w:ascii="宋体" w:hAnsi="宋体"/>
          <w:color w:val="000000"/>
          <w:kern w:val="0"/>
          <w:sz w:val="24"/>
          <w:szCs w:val="24"/>
          <w:highlight w:val="none"/>
        </w:rPr>
        <w:t>〔</w:t>
      </w:r>
      <w:r>
        <w:rPr>
          <w:rFonts w:ascii="宋体" w:hAnsi="宋体"/>
          <w:color w:val="000000"/>
          <w:kern w:val="0"/>
          <w:sz w:val="24"/>
          <w:szCs w:val="24"/>
          <w:highlight w:val="none"/>
        </w:rPr>
        <w:t>不可抗力</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 w:val="24"/>
          <w:szCs w:val="24"/>
          <w:highlight w:val="none"/>
        </w:rPr>
        <w:t>〔</w:t>
      </w:r>
      <w:r>
        <w:rPr>
          <w:rFonts w:ascii="宋体" w:hAnsi="宋体"/>
          <w:color w:val="000000"/>
          <w:kern w:val="0"/>
          <w:sz w:val="24"/>
          <w:szCs w:val="24"/>
          <w:highlight w:val="none"/>
        </w:rPr>
        <w:t>变更的范围</w:t>
      </w:r>
      <w:r>
        <w:rPr>
          <w:rFonts w:hint="eastAsia" w:ascii="宋体" w:hAnsi="宋体"/>
          <w:color w:val="000000"/>
          <w:kern w:val="0"/>
          <w:sz w:val="24"/>
          <w:szCs w:val="24"/>
          <w:highlight w:val="none"/>
        </w:rPr>
        <w:t>〕</w:t>
      </w:r>
      <w:r>
        <w:rPr>
          <w:rFonts w:ascii="宋体" w:hAnsi="宋体"/>
          <w:color w:val="000000"/>
          <w:kern w:val="0"/>
          <w:sz w:val="24"/>
          <w:szCs w:val="24"/>
          <w:highlight w:val="none"/>
        </w:rPr>
        <w:t>第（2）项的可取消工作。</w:t>
      </w:r>
    </w:p>
    <w:p w14:paraId="14B5B609">
      <w:pPr>
        <w:spacing w:line="360" w:lineRule="auto"/>
        <w:ind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暂停施工持续</w:t>
      </w:r>
      <w:r>
        <w:rPr>
          <w:rFonts w:hint="eastAsia" w:ascii="宋体" w:hAnsi="宋体"/>
          <w:color w:val="000000"/>
          <w:kern w:val="0"/>
          <w:sz w:val="24"/>
          <w:szCs w:val="24"/>
          <w:highlight w:val="none"/>
        </w:rPr>
        <w:t>84</w:t>
      </w:r>
      <w:r>
        <w:rPr>
          <w:rFonts w:ascii="宋体" w:hAnsi="宋体"/>
          <w:color w:val="000000"/>
          <w:kern w:val="0"/>
          <w:sz w:val="24"/>
          <w:szCs w:val="24"/>
          <w:highlight w:val="none"/>
        </w:rPr>
        <w:t>天以上不复工的，且不属于第7.8.2项</w:t>
      </w:r>
      <w:r>
        <w:rPr>
          <w:rFonts w:hint="eastAsia" w:ascii="宋体" w:hAnsi="宋体"/>
          <w:color w:val="000000"/>
          <w:kern w:val="0"/>
          <w:sz w:val="24"/>
          <w:szCs w:val="24"/>
          <w:highlight w:val="none"/>
        </w:rPr>
        <w:t>〔</w:t>
      </w:r>
      <w:r>
        <w:rPr>
          <w:rFonts w:ascii="宋体" w:hAnsi="宋体"/>
          <w:color w:val="000000"/>
          <w:kern w:val="0"/>
          <w:sz w:val="24"/>
          <w:szCs w:val="24"/>
          <w:highlight w:val="none"/>
        </w:rPr>
        <w:t>承包人原因引起的暂停施工</w:t>
      </w:r>
      <w:r>
        <w:rPr>
          <w:rFonts w:hint="eastAsia" w:ascii="宋体" w:hAnsi="宋体"/>
          <w:color w:val="000000"/>
          <w:kern w:val="0"/>
          <w:sz w:val="24"/>
          <w:szCs w:val="24"/>
          <w:highlight w:val="none"/>
        </w:rPr>
        <w:t>〕</w:t>
      </w:r>
      <w:r>
        <w:rPr>
          <w:rFonts w:ascii="宋体" w:hAnsi="宋体"/>
          <w:color w:val="000000"/>
          <w:kern w:val="0"/>
          <w:sz w:val="24"/>
          <w:szCs w:val="24"/>
          <w:highlight w:val="none"/>
        </w:rPr>
        <w:t>及第17条</w:t>
      </w:r>
      <w:r>
        <w:rPr>
          <w:rFonts w:hint="eastAsia" w:ascii="宋体" w:hAnsi="宋体"/>
          <w:color w:val="000000"/>
          <w:kern w:val="0"/>
          <w:sz w:val="24"/>
          <w:szCs w:val="24"/>
          <w:highlight w:val="none"/>
        </w:rPr>
        <w:t>〔</w:t>
      </w:r>
      <w:r>
        <w:rPr>
          <w:rFonts w:ascii="宋体" w:hAnsi="宋体"/>
          <w:color w:val="000000"/>
          <w:kern w:val="0"/>
          <w:sz w:val="24"/>
          <w:szCs w:val="24"/>
          <w:highlight w:val="none"/>
        </w:rPr>
        <w:t>不可抗力</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约定的情形，并影响到整个工程以及合同目的实现的，承包人有权提出价格调整要求，或者解除合同。解除合同的，按照第16.1.3项</w:t>
      </w:r>
      <w:r>
        <w:rPr>
          <w:rFonts w:hint="eastAsia" w:ascii="宋体" w:hAnsi="宋体"/>
          <w:color w:val="000000"/>
          <w:kern w:val="0"/>
          <w:sz w:val="24"/>
          <w:szCs w:val="24"/>
          <w:highlight w:val="none"/>
        </w:rPr>
        <w:t>〔</w:t>
      </w:r>
      <w:r>
        <w:rPr>
          <w:rFonts w:ascii="宋体" w:hAnsi="宋体"/>
          <w:color w:val="000000"/>
          <w:kern w:val="0"/>
          <w:sz w:val="24"/>
          <w:szCs w:val="24"/>
          <w:highlight w:val="none"/>
        </w:rPr>
        <w:t>因发包人违约解除合同</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1A15334A">
      <w:pPr>
        <w:spacing w:line="360" w:lineRule="auto"/>
        <w:ind w:left="16"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7.8.7 暂停施工期间的工程照管</w:t>
      </w:r>
    </w:p>
    <w:p w14:paraId="3A5D645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暂停施工期间，承包人应负责妥善照管工程并提供安全保障，由此增加的费用由责任方承担。</w:t>
      </w:r>
    </w:p>
    <w:p w14:paraId="2BDE476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7.8.8 暂停施工的措施</w:t>
      </w:r>
    </w:p>
    <w:p w14:paraId="0965007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暂停施工期间，发包人和承包人均应采取必要的措施确保工程质量及安全，防止因暂停施工扩大损失。</w:t>
      </w:r>
    </w:p>
    <w:p w14:paraId="02CEF5B3">
      <w:pPr>
        <w:pStyle w:val="8"/>
        <w:spacing w:before="120" w:after="120" w:line="360" w:lineRule="auto"/>
        <w:ind w:firstLine="480" w:firstLineChars="200"/>
        <w:rPr>
          <w:rFonts w:ascii="宋体" w:hAnsi="宋体"/>
          <w:b w:val="0"/>
          <w:color w:val="000000"/>
          <w:sz w:val="24"/>
          <w:szCs w:val="24"/>
          <w:highlight w:val="none"/>
        </w:rPr>
      </w:pPr>
      <w:bookmarkStart w:id="196" w:name="_Toc351203551"/>
      <w:r>
        <w:rPr>
          <w:rFonts w:ascii="宋体" w:hAnsi="宋体"/>
          <w:b w:val="0"/>
          <w:color w:val="000000"/>
          <w:sz w:val="24"/>
          <w:szCs w:val="24"/>
          <w:highlight w:val="none"/>
        </w:rPr>
        <w:t>7.9提前竣工</w:t>
      </w:r>
      <w:bookmarkEnd w:id="196"/>
    </w:p>
    <w:p w14:paraId="58B4972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 w:val="24"/>
          <w:szCs w:val="24"/>
          <w:highlight w:val="none"/>
        </w:rPr>
        <w:t>承包人认为提前竣工指示无法执行的，应向监理人和发包人提出书面异议，发包人和监理人应在收到异议后7天内予以答复。任何情况下，发包人不得压缩合理工期。</w:t>
      </w:r>
    </w:p>
    <w:p w14:paraId="2317F68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6958B84F">
      <w:pPr>
        <w:pStyle w:val="7"/>
        <w:spacing w:before="120" w:after="120" w:line="360" w:lineRule="auto"/>
        <w:rPr>
          <w:rFonts w:ascii="宋体" w:hAnsi="宋体"/>
          <w:b w:val="0"/>
          <w:color w:val="000000"/>
          <w:szCs w:val="24"/>
          <w:highlight w:val="none"/>
        </w:rPr>
      </w:pPr>
      <w:bookmarkStart w:id="197" w:name="_Toc351203552"/>
      <w:r>
        <w:rPr>
          <w:rFonts w:ascii="宋体" w:hAnsi="宋体"/>
          <w:b w:val="0"/>
          <w:color w:val="000000"/>
          <w:szCs w:val="24"/>
          <w:highlight w:val="none"/>
        </w:rPr>
        <w:t>8</w:t>
      </w:r>
      <w:bookmarkStart w:id="198" w:name="_Toc296503058"/>
      <w:bookmarkStart w:id="199" w:name="_Toc337558776"/>
      <w:bookmarkStart w:id="200" w:name="_Toc296346559"/>
      <w:r>
        <w:rPr>
          <w:rFonts w:ascii="宋体" w:hAnsi="宋体"/>
          <w:b w:val="0"/>
          <w:color w:val="000000"/>
          <w:szCs w:val="24"/>
          <w:highlight w:val="none"/>
        </w:rPr>
        <w:t>. 材料与设备</w:t>
      </w:r>
      <w:bookmarkEnd w:id="197"/>
    </w:p>
    <w:bookmarkEnd w:id="198"/>
    <w:bookmarkEnd w:id="199"/>
    <w:bookmarkEnd w:id="200"/>
    <w:p w14:paraId="0BA39BCC">
      <w:pPr>
        <w:pStyle w:val="8"/>
        <w:spacing w:before="120" w:after="120" w:line="360" w:lineRule="auto"/>
        <w:ind w:firstLine="480" w:firstLineChars="200"/>
        <w:rPr>
          <w:rFonts w:ascii="宋体" w:hAnsi="宋体"/>
          <w:b w:val="0"/>
          <w:color w:val="000000"/>
          <w:sz w:val="24"/>
          <w:szCs w:val="24"/>
          <w:highlight w:val="none"/>
        </w:rPr>
      </w:pPr>
      <w:bookmarkStart w:id="201" w:name="_Toc351203553"/>
      <w:r>
        <w:rPr>
          <w:rFonts w:ascii="宋体" w:hAnsi="宋体"/>
          <w:b w:val="0"/>
          <w:color w:val="000000"/>
          <w:sz w:val="24"/>
          <w:szCs w:val="24"/>
          <w:highlight w:val="none"/>
        </w:rPr>
        <w:t>8</w:t>
      </w:r>
      <w:bookmarkStart w:id="202" w:name="_Toc296503059"/>
      <w:bookmarkStart w:id="203" w:name="_Toc337558777"/>
      <w:bookmarkStart w:id="204" w:name="_Toc296346560"/>
      <w:bookmarkStart w:id="205" w:name="_Toc468936960"/>
      <w:r>
        <w:rPr>
          <w:rFonts w:ascii="宋体" w:hAnsi="宋体"/>
          <w:b w:val="0"/>
          <w:color w:val="000000"/>
          <w:sz w:val="24"/>
          <w:szCs w:val="24"/>
          <w:highlight w:val="none"/>
        </w:rPr>
        <w:t>.1发包人供应材料与工程设备</w:t>
      </w:r>
      <w:bookmarkEnd w:id="201"/>
    </w:p>
    <w:bookmarkEnd w:id="202"/>
    <w:bookmarkEnd w:id="203"/>
    <w:bookmarkEnd w:id="204"/>
    <w:p w14:paraId="1E9CA69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7AAEF11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承包人应提前30天通过监理人以书面形式通知发包人供应材料与工程设备进场。承包人按照第7.2.2项</w:t>
      </w:r>
      <w:r>
        <w:rPr>
          <w:rFonts w:hint="eastAsia" w:ascii="宋体" w:hAnsi="宋体"/>
          <w:color w:val="000000"/>
          <w:kern w:val="0"/>
          <w:sz w:val="24"/>
          <w:szCs w:val="24"/>
          <w:highlight w:val="none"/>
        </w:rPr>
        <w:t>〔</w:t>
      </w:r>
      <w:r>
        <w:rPr>
          <w:rFonts w:ascii="宋体" w:hAnsi="宋体"/>
          <w:color w:val="000000"/>
          <w:kern w:val="0"/>
          <w:sz w:val="24"/>
          <w:szCs w:val="24"/>
          <w:highlight w:val="none"/>
        </w:rPr>
        <w:t>施工进度计划的修订</w:t>
      </w:r>
      <w:r>
        <w:rPr>
          <w:rFonts w:hint="eastAsia" w:ascii="宋体" w:hAnsi="宋体"/>
          <w:color w:val="000000"/>
          <w:kern w:val="0"/>
          <w:sz w:val="24"/>
          <w:szCs w:val="24"/>
          <w:highlight w:val="none"/>
        </w:rPr>
        <w:t>〕</w:t>
      </w:r>
      <w:r>
        <w:rPr>
          <w:rFonts w:ascii="宋体" w:hAnsi="宋体"/>
          <w:color w:val="000000"/>
          <w:kern w:val="0"/>
          <w:sz w:val="24"/>
          <w:szCs w:val="24"/>
          <w:highlight w:val="none"/>
        </w:rPr>
        <w:t>约定修订施工进度计划时，需同时提交经修订后的发包人供应材料与工程设备的进场计划。</w:t>
      </w:r>
    </w:p>
    <w:p w14:paraId="24653A69">
      <w:pPr>
        <w:pStyle w:val="8"/>
        <w:spacing w:before="120" w:after="120" w:line="360" w:lineRule="auto"/>
        <w:ind w:firstLine="480" w:firstLineChars="200"/>
        <w:rPr>
          <w:rFonts w:ascii="宋体" w:hAnsi="宋体"/>
          <w:color w:val="000000"/>
          <w:sz w:val="24"/>
          <w:szCs w:val="24"/>
          <w:highlight w:val="none"/>
        </w:rPr>
      </w:pPr>
      <w:bookmarkStart w:id="206" w:name="_Toc351203554"/>
      <w:r>
        <w:rPr>
          <w:rFonts w:ascii="宋体" w:hAnsi="宋体"/>
          <w:b w:val="0"/>
          <w:color w:val="000000"/>
          <w:sz w:val="24"/>
          <w:szCs w:val="24"/>
          <w:highlight w:val="none"/>
        </w:rPr>
        <w:t>8</w:t>
      </w:r>
      <w:bookmarkStart w:id="207" w:name="_Toc296503060"/>
      <w:bookmarkStart w:id="208" w:name="_Toc337558778"/>
      <w:bookmarkStart w:id="209" w:name="_Toc296346561"/>
      <w:r>
        <w:rPr>
          <w:rFonts w:ascii="宋体" w:hAnsi="宋体"/>
          <w:b w:val="0"/>
          <w:color w:val="000000"/>
          <w:sz w:val="24"/>
          <w:szCs w:val="24"/>
          <w:highlight w:val="none"/>
        </w:rPr>
        <w:t>.2承包人采购材料与工程设备</w:t>
      </w:r>
      <w:bookmarkEnd w:id="206"/>
    </w:p>
    <w:bookmarkEnd w:id="207"/>
    <w:bookmarkEnd w:id="208"/>
    <w:bookmarkEnd w:id="209"/>
    <w:p w14:paraId="5A7E834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 w:val="24"/>
          <w:szCs w:val="24"/>
          <w:highlight w:val="none"/>
        </w:rPr>
        <w:t>相应责任</w:t>
      </w:r>
      <w:r>
        <w:rPr>
          <w:rFonts w:ascii="宋体" w:hAnsi="宋体"/>
          <w:color w:val="000000"/>
          <w:kern w:val="0"/>
          <w:sz w:val="24"/>
          <w:szCs w:val="24"/>
          <w:highlight w:val="none"/>
        </w:rPr>
        <w:t>。</w:t>
      </w:r>
    </w:p>
    <w:p w14:paraId="427EBF97">
      <w:pPr>
        <w:pStyle w:val="8"/>
        <w:spacing w:before="120" w:after="120" w:line="360" w:lineRule="auto"/>
        <w:ind w:firstLine="480" w:firstLineChars="200"/>
        <w:rPr>
          <w:rFonts w:ascii="宋体" w:hAnsi="宋体"/>
          <w:b w:val="0"/>
          <w:color w:val="000000"/>
          <w:sz w:val="24"/>
          <w:szCs w:val="24"/>
          <w:highlight w:val="none"/>
        </w:rPr>
      </w:pPr>
      <w:bookmarkStart w:id="210" w:name="_Toc351203555"/>
      <w:r>
        <w:rPr>
          <w:rFonts w:ascii="宋体" w:hAnsi="宋体"/>
          <w:b w:val="0"/>
          <w:color w:val="000000"/>
          <w:sz w:val="24"/>
          <w:szCs w:val="24"/>
          <w:highlight w:val="none"/>
        </w:rPr>
        <w:t>8</w:t>
      </w:r>
      <w:bookmarkStart w:id="211" w:name="_Toc296346562"/>
      <w:bookmarkStart w:id="212" w:name="_Toc337558779"/>
      <w:bookmarkStart w:id="213" w:name="_Toc296503061"/>
      <w:r>
        <w:rPr>
          <w:rFonts w:ascii="宋体" w:hAnsi="宋体"/>
          <w:b w:val="0"/>
          <w:color w:val="000000"/>
          <w:sz w:val="24"/>
          <w:szCs w:val="24"/>
          <w:highlight w:val="none"/>
        </w:rPr>
        <w:t>.3材料与工程设备的接收与拒收</w:t>
      </w:r>
      <w:bookmarkEnd w:id="210"/>
    </w:p>
    <w:bookmarkEnd w:id="211"/>
    <w:bookmarkEnd w:id="212"/>
    <w:bookmarkEnd w:id="213"/>
    <w:p w14:paraId="1388CF5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285E02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发包人违约</w:t>
      </w:r>
      <w:r>
        <w:rPr>
          <w:rFonts w:hint="eastAsia" w:ascii="宋体" w:hAnsi="宋体"/>
          <w:color w:val="000000"/>
          <w:kern w:val="0"/>
          <w:sz w:val="24"/>
          <w:szCs w:val="24"/>
          <w:highlight w:val="none"/>
        </w:rPr>
        <w:t>〕</w:t>
      </w:r>
      <w:r>
        <w:rPr>
          <w:rFonts w:ascii="宋体" w:hAnsi="宋体"/>
          <w:color w:val="000000"/>
          <w:kern w:val="0"/>
          <w:sz w:val="24"/>
          <w:szCs w:val="24"/>
          <w:highlight w:val="none"/>
        </w:rPr>
        <w:t>约定办理。</w:t>
      </w:r>
    </w:p>
    <w:p w14:paraId="64F59C9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8.3.2 承包人采购的材料和工程设备，应保证产品质量合格，承包人应在材料和工程设备到货前24小时通知监理人检验。承</w:t>
      </w:r>
      <w:bookmarkStart w:id="214" w:name="_Toc250655469"/>
      <w:r>
        <w:rPr>
          <w:rFonts w:ascii="宋体" w:hAnsi="宋体"/>
          <w:color w:val="000000"/>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14"/>
    <w:p w14:paraId="3D867926">
      <w:pPr>
        <w:autoSpaceDE w:val="0"/>
        <w:autoSpaceDN w:val="0"/>
        <w:adjustRightInd w:val="0"/>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AE27B2C">
      <w:pPr>
        <w:pStyle w:val="8"/>
        <w:spacing w:before="120" w:after="120" w:line="360" w:lineRule="auto"/>
        <w:ind w:firstLine="480" w:firstLineChars="200"/>
        <w:rPr>
          <w:rFonts w:ascii="宋体" w:hAnsi="宋体"/>
          <w:b w:val="0"/>
          <w:color w:val="000000"/>
          <w:sz w:val="24"/>
          <w:szCs w:val="24"/>
          <w:highlight w:val="none"/>
        </w:rPr>
      </w:pPr>
      <w:bookmarkStart w:id="215" w:name="_Toc351203556"/>
      <w:r>
        <w:rPr>
          <w:rFonts w:ascii="宋体" w:hAnsi="宋体"/>
          <w:b w:val="0"/>
          <w:color w:val="000000"/>
          <w:sz w:val="24"/>
          <w:szCs w:val="24"/>
          <w:highlight w:val="none"/>
        </w:rPr>
        <w:t>8</w:t>
      </w:r>
      <w:bookmarkStart w:id="216" w:name="_Toc296503062"/>
      <w:bookmarkStart w:id="217" w:name="_Toc337558780"/>
      <w:bookmarkStart w:id="218" w:name="_Toc296346563"/>
      <w:r>
        <w:rPr>
          <w:rFonts w:ascii="宋体" w:hAnsi="宋体"/>
          <w:b w:val="0"/>
          <w:color w:val="000000"/>
          <w:sz w:val="24"/>
          <w:szCs w:val="24"/>
          <w:highlight w:val="none"/>
        </w:rPr>
        <w:t>.4材料与工程设备的保管与使用</w:t>
      </w:r>
      <w:bookmarkEnd w:id="215"/>
    </w:p>
    <w:bookmarkEnd w:id="216"/>
    <w:bookmarkEnd w:id="217"/>
    <w:bookmarkEnd w:id="218"/>
    <w:p w14:paraId="0D9C350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8.4.1 发包人供应</w:t>
      </w:r>
      <w:r>
        <w:rPr>
          <w:rFonts w:ascii="宋体" w:hAnsi="宋体"/>
          <w:color w:val="000000"/>
          <w:sz w:val="24"/>
          <w:szCs w:val="24"/>
          <w:highlight w:val="none"/>
        </w:rPr>
        <w:t>材料与</w:t>
      </w:r>
      <w:r>
        <w:rPr>
          <w:rFonts w:ascii="宋体" w:hAnsi="宋体"/>
          <w:color w:val="000000"/>
          <w:kern w:val="0"/>
          <w:sz w:val="24"/>
          <w:szCs w:val="24"/>
          <w:highlight w:val="none"/>
        </w:rPr>
        <w:t>工程</w:t>
      </w:r>
      <w:r>
        <w:rPr>
          <w:rFonts w:ascii="宋体" w:hAnsi="宋体"/>
          <w:color w:val="000000"/>
          <w:sz w:val="24"/>
          <w:szCs w:val="24"/>
          <w:highlight w:val="none"/>
        </w:rPr>
        <w:t>设备的保管与使用</w:t>
      </w:r>
    </w:p>
    <w:p w14:paraId="3CAC2D7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459A7E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发包人供应的材料和工程设备使用前，由承包人负责检验，检验费用由发包人承担，不合格的不得使用。</w:t>
      </w:r>
    </w:p>
    <w:p w14:paraId="6E8AB85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8.4.2 承包人采购</w:t>
      </w:r>
      <w:r>
        <w:rPr>
          <w:rFonts w:ascii="宋体" w:hAnsi="宋体"/>
          <w:color w:val="000000"/>
          <w:sz w:val="24"/>
          <w:szCs w:val="24"/>
          <w:highlight w:val="none"/>
        </w:rPr>
        <w:t>材料与</w:t>
      </w:r>
      <w:r>
        <w:rPr>
          <w:rFonts w:ascii="宋体" w:hAnsi="宋体"/>
          <w:color w:val="000000"/>
          <w:kern w:val="0"/>
          <w:sz w:val="24"/>
          <w:szCs w:val="24"/>
          <w:highlight w:val="none"/>
        </w:rPr>
        <w:t>工程</w:t>
      </w:r>
      <w:r>
        <w:rPr>
          <w:rFonts w:ascii="宋体" w:hAnsi="宋体"/>
          <w:color w:val="000000"/>
          <w:sz w:val="24"/>
          <w:szCs w:val="24"/>
          <w:highlight w:val="none"/>
        </w:rPr>
        <w:t>设备的保管与使用</w:t>
      </w:r>
    </w:p>
    <w:p w14:paraId="5ACF75C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3E6B49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24AB5934">
      <w:pPr>
        <w:pStyle w:val="8"/>
        <w:spacing w:before="120" w:after="120" w:line="360" w:lineRule="auto"/>
        <w:ind w:firstLine="480" w:firstLineChars="200"/>
        <w:rPr>
          <w:rFonts w:ascii="宋体" w:hAnsi="宋体"/>
          <w:b w:val="0"/>
          <w:color w:val="000000"/>
          <w:sz w:val="24"/>
          <w:szCs w:val="24"/>
          <w:highlight w:val="none"/>
        </w:rPr>
      </w:pPr>
      <w:bookmarkStart w:id="219" w:name="_Toc351203557"/>
      <w:r>
        <w:rPr>
          <w:rFonts w:ascii="宋体" w:hAnsi="宋体"/>
          <w:b w:val="0"/>
          <w:color w:val="000000"/>
          <w:sz w:val="24"/>
          <w:szCs w:val="24"/>
          <w:highlight w:val="none"/>
        </w:rPr>
        <w:t>8.5禁止使用不合格的材料和工程设备</w:t>
      </w:r>
      <w:bookmarkEnd w:id="219"/>
    </w:p>
    <w:p w14:paraId="5C89F0E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32EB1BD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0098E09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8.5.3 发包人提供的材料或工程设备不符合合同要求的，承包人有权拒绝，并可要求发包人更换，由此增加的费用和（或）延误的工期由发包人承担</w:t>
      </w:r>
      <w:r>
        <w:rPr>
          <w:rFonts w:hint="eastAsia" w:ascii="宋体" w:hAnsi="宋体"/>
          <w:color w:val="000000"/>
          <w:kern w:val="0"/>
          <w:sz w:val="24"/>
          <w:szCs w:val="24"/>
          <w:highlight w:val="none"/>
        </w:rPr>
        <w:t>，并支付承包人合理的利润</w:t>
      </w:r>
      <w:r>
        <w:rPr>
          <w:rFonts w:ascii="宋体" w:hAnsi="宋体"/>
          <w:color w:val="000000"/>
          <w:kern w:val="0"/>
          <w:sz w:val="24"/>
          <w:szCs w:val="24"/>
          <w:highlight w:val="none"/>
        </w:rPr>
        <w:t>。</w:t>
      </w:r>
    </w:p>
    <w:p w14:paraId="03ED3C54">
      <w:pPr>
        <w:pStyle w:val="8"/>
        <w:spacing w:before="120" w:after="120" w:line="360" w:lineRule="auto"/>
        <w:ind w:firstLine="480" w:firstLineChars="200"/>
        <w:rPr>
          <w:rFonts w:ascii="宋体" w:hAnsi="宋体"/>
          <w:b w:val="0"/>
          <w:color w:val="000000"/>
          <w:sz w:val="24"/>
          <w:szCs w:val="24"/>
          <w:highlight w:val="none"/>
        </w:rPr>
      </w:pPr>
      <w:bookmarkStart w:id="220" w:name="_Toc351203558"/>
      <w:r>
        <w:rPr>
          <w:rFonts w:ascii="宋体" w:hAnsi="宋体"/>
          <w:b w:val="0"/>
          <w:color w:val="000000"/>
          <w:sz w:val="24"/>
          <w:szCs w:val="24"/>
          <w:highlight w:val="none"/>
        </w:rPr>
        <w:t>8.6 样品</w:t>
      </w:r>
      <w:bookmarkEnd w:id="220"/>
    </w:p>
    <w:p w14:paraId="3F3027D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8.6.1</w:t>
      </w:r>
      <w:r>
        <w:rPr>
          <w:rFonts w:ascii="宋体" w:hAnsi="宋体"/>
          <w:color w:val="000000"/>
          <w:kern w:val="0"/>
          <w:sz w:val="24"/>
          <w:szCs w:val="24"/>
          <w:highlight w:val="none"/>
        </w:rPr>
        <w:tab/>
      </w:r>
      <w:r>
        <w:rPr>
          <w:rFonts w:ascii="宋体" w:hAnsi="宋体"/>
          <w:color w:val="000000"/>
          <w:kern w:val="0"/>
          <w:sz w:val="24"/>
          <w:szCs w:val="24"/>
          <w:highlight w:val="none"/>
        </w:rPr>
        <w:t>样品的报送</w:t>
      </w:r>
      <w:r>
        <w:rPr>
          <w:rFonts w:hint="eastAsia" w:ascii="宋体" w:hAnsi="宋体"/>
          <w:color w:val="000000"/>
          <w:kern w:val="0"/>
          <w:sz w:val="24"/>
          <w:szCs w:val="24"/>
          <w:highlight w:val="none"/>
        </w:rPr>
        <w:t>与封存</w:t>
      </w:r>
    </w:p>
    <w:p w14:paraId="3574AFA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需要承包人报送样品的材料或工程设备，样品的种类、名称、规格、数量等要求均应在专用合同条款中约定。样品的报送程序如下：</w:t>
      </w:r>
    </w:p>
    <w:p w14:paraId="5883D77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4EDA76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C3B021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（3）经发包人和监理人审批确认的样品</w:t>
      </w:r>
      <w:r>
        <w:rPr>
          <w:rFonts w:hint="eastAsia" w:ascii="宋体" w:hAnsi="宋体"/>
          <w:color w:val="000000"/>
          <w:kern w:val="0"/>
          <w:sz w:val="24"/>
          <w:szCs w:val="24"/>
          <w:highlight w:val="none"/>
        </w:rPr>
        <w:t>应按约定的方法封样，封存的样品</w:t>
      </w:r>
      <w:r>
        <w:rPr>
          <w:rFonts w:ascii="宋体" w:hAnsi="宋体"/>
          <w:color w:val="000000"/>
          <w:kern w:val="0"/>
          <w:sz w:val="24"/>
          <w:szCs w:val="24"/>
          <w:highlight w:val="none"/>
        </w:rPr>
        <w:t>作为检验工程相关部分的标准之一。承包人在施工过程中不得使用与样品不符的材料或工程设备。</w:t>
      </w:r>
    </w:p>
    <w:p w14:paraId="3ECBFBA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 w:val="24"/>
          <w:szCs w:val="24"/>
          <w:highlight w:val="none"/>
        </w:rPr>
        <w:t>如果封存的样品修改或改变了合同约定，合同当事人应当以书面协议予以确认。</w:t>
      </w:r>
    </w:p>
    <w:p w14:paraId="3281301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8.6.2 样品的保管</w:t>
      </w:r>
    </w:p>
    <w:p w14:paraId="211E018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经批准的样品应由监理人负责封存于现场，承包人应在现场为保存样品提供适当和固定的场所并保持适当和良好的存储环境条件。</w:t>
      </w:r>
    </w:p>
    <w:p w14:paraId="172E3DFD">
      <w:pPr>
        <w:pStyle w:val="8"/>
        <w:spacing w:before="120" w:after="120" w:line="360" w:lineRule="auto"/>
        <w:ind w:firstLine="480" w:firstLineChars="200"/>
        <w:rPr>
          <w:rFonts w:ascii="宋体" w:hAnsi="宋体"/>
          <w:b w:val="0"/>
          <w:color w:val="000000"/>
          <w:sz w:val="24"/>
          <w:szCs w:val="24"/>
          <w:highlight w:val="none"/>
        </w:rPr>
      </w:pPr>
      <w:bookmarkStart w:id="221" w:name="_Toc351203559"/>
      <w:r>
        <w:rPr>
          <w:rFonts w:ascii="宋体" w:hAnsi="宋体"/>
          <w:b w:val="0"/>
          <w:color w:val="000000"/>
          <w:sz w:val="24"/>
          <w:szCs w:val="24"/>
          <w:highlight w:val="none"/>
        </w:rPr>
        <w:t>8.7材料与工程设备的替代</w:t>
      </w:r>
      <w:bookmarkEnd w:id="221"/>
    </w:p>
    <w:p w14:paraId="640CDC7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8.7.1 出现下列情况需要使用替代材料和工程设备的，承包人应按照第8.7.2项约定的程序执行：</w:t>
      </w:r>
    </w:p>
    <w:p w14:paraId="5C738F7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（1）基准日</w:t>
      </w:r>
      <w:r>
        <w:rPr>
          <w:rFonts w:hint="eastAsia" w:ascii="宋体" w:hAnsi="宋体"/>
          <w:color w:val="000000"/>
          <w:kern w:val="0"/>
          <w:sz w:val="24"/>
          <w:szCs w:val="24"/>
          <w:highlight w:val="none"/>
        </w:rPr>
        <w:t>期</w:t>
      </w:r>
      <w:r>
        <w:rPr>
          <w:rFonts w:ascii="宋体" w:hAnsi="宋体"/>
          <w:color w:val="000000"/>
          <w:kern w:val="0"/>
          <w:sz w:val="24"/>
          <w:szCs w:val="24"/>
          <w:highlight w:val="none"/>
        </w:rPr>
        <w:t>后生效的法律规定禁止使用的；</w:t>
      </w:r>
    </w:p>
    <w:p w14:paraId="58546D5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（2）发包人要求使用替代品的；</w:t>
      </w:r>
    </w:p>
    <w:p w14:paraId="39F3DF5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（3）因其他原因必须使用替代品的。</w:t>
      </w:r>
    </w:p>
    <w:p w14:paraId="5BCC486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8.7.2 承包人应在使用替代材料和工程设备28天前书面通知监理人，并附下列文件：</w:t>
      </w:r>
    </w:p>
    <w:p w14:paraId="47016C0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（1）被替代的材料和工程设备的名称、数量、规格、型号、品牌、性能、价格及其他相关资料；</w:t>
      </w:r>
    </w:p>
    <w:p w14:paraId="1C9B457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（2）替代品的名称、数量、规格、型号、品牌、性能、价格及其他相关资料；</w:t>
      </w:r>
    </w:p>
    <w:p w14:paraId="0BC544D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（3）替代品与被替代产品之间的差异以及使用替代品可能对工程产生的影响；</w:t>
      </w:r>
    </w:p>
    <w:p w14:paraId="29EEDF0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（4）替代品与被替代产品的价格差异；</w:t>
      </w:r>
    </w:p>
    <w:p w14:paraId="4BEF9B4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（5）使用替代品的理由和原因说明；</w:t>
      </w:r>
    </w:p>
    <w:p w14:paraId="4224334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（6）监理人要求的其他文件。</w:t>
      </w:r>
    </w:p>
    <w:p w14:paraId="01CF1D4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监理人应在收到通知后14天内向承包人发出经发包人签认的书面指示；监理人逾期发出书面指示的，视为发包人和监理人同意使用替代品。</w:t>
      </w:r>
    </w:p>
    <w:p w14:paraId="01A21BE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 w:val="24"/>
          <w:szCs w:val="24"/>
          <w:highlight w:val="none"/>
        </w:rPr>
        <w:t>既无</w:t>
      </w:r>
      <w:r>
        <w:rPr>
          <w:rFonts w:ascii="宋体" w:hAnsi="宋体"/>
          <w:color w:val="000000"/>
          <w:kern w:val="0"/>
          <w:sz w:val="24"/>
          <w:szCs w:val="24"/>
          <w:highlight w:val="none"/>
        </w:rPr>
        <w:t>相同项目</w:t>
      </w:r>
      <w:r>
        <w:rPr>
          <w:rFonts w:hint="eastAsia" w:ascii="宋体" w:hAnsi="宋体"/>
          <w:color w:val="000000"/>
          <w:kern w:val="0"/>
          <w:sz w:val="24"/>
          <w:szCs w:val="24"/>
          <w:highlight w:val="none"/>
        </w:rPr>
        <w:t>也</w:t>
      </w:r>
      <w:r>
        <w:rPr>
          <w:rFonts w:ascii="宋体" w:hAnsi="宋体"/>
          <w:color w:val="000000"/>
          <w:kern w:val="0"/>
          <w:sz w:val="24"/>
          <w:szCs w:val="24"/>
          <w:highlight w:val="none"/>
        </w:rPr>
        <w:t>无相似项目的，</w:t>
      </w:r>
      <w:r>
        <w:rPr>
          <w:rFonts w:hint="eastAsia" w:ascii="宋体" w:hAnsi="宋体"/>
          <w:color w:val="000000"/>
          <w:kern w:val="0"/>
          <w:sz w:val="24"/>
          <w:szCs w:val="24"/>
          <w:highlight w:val="none"/>
        </w:rPr>
        <w:t>按照合理的成本与利润构成的原则，</w:t>
      </w:r>
      <w:r>
        <w:rPr>
          <w:rFonts w:ascii="宋体" w:hAnsi="宋体"/>
          <w:color w:val="000000"/>
          <w:kern w:val="0"/>
          <w:sz w:val="24"/>
          <w:szCs w:val="24"/>
          <w:highlight w:val="none"/>
        </w:rPr>
        <w:t>由合同当事人按照第4.4款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确定价格。</w:t>
      </w:r>
    </w:p>
    <w:p w14:paraId="43147BB4">
      <w:pPr>
        <w:pStyle w:val="8"/>
        <w:spacing w:before="120" w:after="120" w:line="360" w:lineRule="auto"/>
        <w:ind w:firstLine="480" w:firstLineChars="200"/>
        <w:rPr>
          <w:rFonts w:ascii="宋体" w:hAnsi="宋体"/>
          <w:b w:val="0"/>
          <w:color w:val="000000"/>
          <w:sz w:val="24"/>
          <w:szCs w:val="24"/>
          <w:highlight w:val="none"/>
        </w:rPr>
      </w:pPr>
      <w:bookmarkStart w:id="222" w:name="_Toc351203560"/>
      <w:r>
        <w:rPr>
          <w:rFonts w:ascii="宋体" w:hAnsi="宋体"/>
          <w:b w:val="0"/>
          <w:color w:val="000000"/>
          <w:sz w:val="24"/>
          <w:szCs w:val="24"/>
          <w:highlight w:val="none"/>
        </w:rPr>
        <w:t>8.8施工设备和临时设施</w:t>
      </w:r>
      <w:bookmarkEnd w:id="222"/>
    </w:p>
    <w:p w14:paraId="03DA879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8.8.1 承包人提供的施工设备和临时设施</w:t>
      </w:r>
    </w:p>
    <w:p w14:paraId="7191A05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AC0678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除专用合同条款另有约定外，承包人应自行承担修建临时设施的费用，需要临时占地的，应由发包人办理申请手续并承担相应费用。</w:t>
      </w:r>
    </w:p>
    <w:p w14:paraId="42502B5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8.8.2发包人提供的施工设备和临时设施</w:t>
      </w:r>
    </w:p>
    <w:p w14:paraId="189C64B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发包人提供的施工设备或临时设施在专用合同条款中约定。</w:t>
      </w:r>
    </w:p>
    <w:p w14:paraId="42D11A8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8.8.3要求承包人增加或更换施工设备</w:t>
      </w:r>
    </w:p>
    <w:p w14:paraId="6AF3502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357FC2F">
      <w:pPr>
        <w:pStyle w:val="8"/>
        <w:spacing w:before="120" w:after="120" w:line="360" w:lineRule="auto"/>
        <w:ind w:firstLine="480" w:firstLineChars="200"/>
        <w:rPr>
          <w:rFonts w:ascii="宋体" w:hAnsi="宋体"/>
          <w:b w:val="0"/>
          <w:color w:val="000000"/>
          <w:sz w:val="24"/>
          <w:szCs w:val="24"/>
          <w:highlight w:val="none"/>
        </w:rPr>
      </w:pPr>
      <w:bookmarkStart w:id="223" w:name="_Toc351203561"/>
      <w:r>
        <w:rPr>
          <w:rFonts w:ascii="宋体" w:hAnsi="宋体"/>
          <w:b w:val="0"/>
          <w:color w:val="000000"/>
          <w:sz w:val="24"/>
          <w:szCs w:val="24"/>
          <w:highlight w:val="none"/>
        </w:rPr>
        <w:t>8</w:t>
      </w:r>
      <w:bookmarkStart w:id="224" w:name="_Toc296503063"/>
      <w:bookmarkStart w:id="225" w:name="_Toc337558781"/>
      <w:bookmarkStart w:id="226" w:name="_Toc296346564"/>
      <w:r>
        <w:rPr>
          <w:rFonts w:ascii="宋体" w:hAnsi="宋体"/>
          <w:b w:val="0"/>
          <w:color w:val="000000"/>
          <w:sz w:val="24"/>
          <w:szCs w:val="24"/>
          <w:highlight w:val="none"/>
        </w:rPr>
        <w:t>.9材料与设备专用</w:t>
      </w:r>
      <w:bookmarkEnd w:id="223"/>
      <w:r>
        <w:rPr>
          <w:rFonts w:hint="eastAsia" w:ascii="宋体" w:hAnsi="宋体"/>
          <w:b w:val="0"/>
          <w:color w:val="000000"/>
          <w:sz w:val="24"/>
          <w:szCs w:val="24"/>
          <w:highlight w:val="none"/>
        </w:rPr>
        <w:t>要求</w:t>
      </w:r>
    </w:p>
    <w:bookmarkEnd w:id="224"/>
    <w:bookmarkEnd w:id="225"/>
    <w:bookmarkEnd w:id="226"/>
    <w:p w14:paraId="31725A2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05"/>
      <w:r>
        <w:rPr>
          <w:rFonts w:ascii="宋体" w:hAnsi="宋体"/>
          <w:color w:val="000000"/>
          <w:kern w:val="0"/>
          <w:sz w:val="24"/>
          <w:szCs w:val="24"/>
          <w:highlight w:val="none"/>
        </w:rPr>
        <w:t>经发包人批准，承包人可以根据施工进度计划撤走闲置的施工设备和其他物品。</w:t>
      </w:r>
    </w:p>
    <w:p w14:paraId="0AF8BA00">
      <w:pPr>
        <w:pStyle w:val="7"/>
        <w:spacing w:before="120" w:after="120" w:line="360" w:lineRule="auto"/>
        <w:rPr>
          <w:rFonts w:ascii="宋体" w:hAnsi="宋体"/>
          <w:b w:val="0"/>
          <w:color w:val="000000"/>
          <w:szCs w:val="24"/>
          <w:highlight w:val="none"/>
        </w:rPr>
      </w:pPr>
      <w:bookmarkStart w:id="227" w:name="_Toc351203562"/>
      <w:r>
        <w:rPr>
          <w:rFonts w:ascii="宋体" w:hAnsi="宋体"/>
          <w:b w:val="0"/>
          <w:color w:val="000000"/>
          <w:szCs w:val="24"/>
          <w:highlight w:val="none"/>
        </w:rPr>
        <w:t>9</w:t>
      </w:r>
      <w:bookmarkStart w:id="228" w:name="_Toc337558782"/>
      <w:bookmarkStart w:id="229" w:name="_Toc296503083"/>
      <w:bookmarkStart w:id="230" w:name="_Toc296346584"/>
      <w:r>
        <w:rPr>
          <w:rFonts w:ascii="宋体" w:hAnsi="宋体"/>
          <w:b w:val="0"/>
          <w:color w:val="000000"/>
          <w:szCs w:val="24"/>
          <w:highlight w:val="none"/>
        </w:rPr>
        <w:t>. 试验与检验</w:t>
      </w:r>
      <w:bookmarkEnd w:id="227"/>
    </w:p>
    <w:bookmarkEnd w:id="228"/>
    <w:p w14:paraId="030437D8">
      <w:pPr>
        <w:pStyle w:val="8"/>
        <w:spacing w:before="120" w:after="120" w:line="360" w:lineRule="auto"/>
        <w:ind w:firstLine="480" w:firstLineChars="200"/>
        <w:rPr>
          <w:rFonts w:ascii="宋体" w:hAnsi="宋体"/>
          <w:b w:val="0"/>
          <w:color w:val="000000"/>
          <w:sz w:val="24"/>
          <w:szCs w:val="24"/>
          <w:highlight w:val="none"/>
        </w:rPr>
      </w:pPr>
      <w:bookmarkStart w:id="231" w:name="_Toc351203563"/>
      <w:r>
        <w:rPr>
          <w:rFonts w:ascii="宋体" w:hAnsi="宋体"/>
          <w:b w:val="0"/>
          <w:color w:val="000000"/>
          <w:sz w:val="24"/>
          <w:szCs w:val="24"/>
          <w:highlight w:val="none"/>
        </w:rPr>
        <w:t>9</w:t>
      </w:r>
      <w:bookmarkStart w:id="232" w:name="_Toc337558783"/>
      <w:r>
        <w:rPr>
          <w:rFonts w:ascii="宋体" w:hAnsi="宋体"/>
          <w:b w:val="0"/>
          <w:color w:val="000000"/>
          <w:sz w:val="24"/>
          <w:szCs w:val="24"/>
          <w:highlight w:val="none"/>
        </w:rPr>
        <w:t>.1试验设备与试验人员</w:t>
      </w:r>
      <w:bookmarkEnd w:id="231"/>
    </w:p>
    <w:bookmarkEnd w:id="232"/>
    <w:p w14:paraId="53DF028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D70E39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9.1.2 承包人应按专用合同条款的约定提供试验设备、取样装置、试验场所和试验条件，并向监理人提交相应进场计划表。</w:t>
      </w:r>
    </w:p>
    <w:p w14:paraId="5ED6F91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781E787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3FF4A69">
      <w:pPr>
        <w:pStyle w:val="8"/>
        <w:spacing w:before="120" w:after="120" w:line="360" w:lineRule="auto"/>
        <w:ind w:firstLine="480" w:firstLineChars="200"/>
        <w:rPr>
          <w:rFonts w:ascii="宋体" w:hAnsi="宋体"/>
          <w:b w:val="0"/>
          <w:color w:val="000000"/>
          <w:sz w:val="24"/>
          <w:szCs w:val="24"/>
          <w:highlight w:val="none"/>
        </w:rPr>
      </w:pPr>
      <w:bookmarkStart w:id="233" w:name="_Toc351203564"/>
      <w:r>
        <w:rPr>
          <w:rFonts w:ascii="宋体" w:hAnsi="宋体"/>
          <w:b w:val="0"/>
          <w:color w:val="000000"/>
          <w:sz w:val="24"/>
          <w:szCs w:val="24"/>
          <w:highlight w:val="none"/>
        </w:rPr>
        <w:t>9</w:t>
      </w:r>
      <w:bookmarkStart w:id="234" w:name="_Toc337558784"/>
      <w:r>
        <w:rPr>
          <w:rFonts w:ascii="宋体" w:hAnsi="宋体"/>
          <w:b w:val="0"/>
          <w:color w:val="000000"/>
          <w:sz w:val="24"/>
          <w:szCs w:val="24"/>
          <w:highlight w:val="none"/>
        </w:rPr>
        <w:t>.2取样</w:t>
      </w:r>
      <w:bookmarkEnd w:id="233"/>
    </w:p>
    <w:bookmarkEnd w:id="234"/>
    <w:p w14:paraId="33D6836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试验属于自检性质的，承包人可以单独取样。试验属于监理人抽检性质的，可由监理人取样，也可由承包人的试验人员在监理人的监督下取样。</w:t>
      </w:r>
    </w:p>
    <w:p w14:paraId="477ABC90">
      <w:pPr>
        <w:pStyle w:val="8"/>
        <w:spacing w:before="120" w:after="120" w:line="360" w:lineRule="auto"/>
        <w:ind w:firstLine="480" w:firstLineChars="200"/>
        <w:rPr>
          <w:rFonts w:ascii="宋体" w:hAnsi="宋体"/>
          <w:b w:val="0"/>
          <w:color w:val="000000"/>
          <w:sz w:val="24"/>
          <w:szCs w:val="24"/>
          <w:highlight w:val="none"/>
        </w:rPr>
      </w:pPr>
      <w:bookmarkStart w:id="235" w:name="_Toc351203565"/>
      <w:r>
        <w:rPr>
          <w:rFonts w:ascii="宋体" w:hAnsi="宋体"/>
          <w:b w:val="0"/>
          <w:color w:val="000000"/>
          <w:sz w:val="24"/>
          <w:szCs w:val="24"/>
          <w:highlight w:val="none"/>
        </w:rPr>
        <w:t>9</w:t>
      </w:r>
      <w:bookmarkStart w:id="236" w:name="_Toc337558785"/>
      <w:r>
        <w:rPr>
          <w:rFonts w:ascii="宋体" w:hAnsi="宋体"/>
          <w:b w:val="0"/>
          <w:color w:val="000000"/>
          <w:sz w:val="24"/>
          <w:szCs w:val="24"/>
          <w:highlight w:val="none"/>
        </w:rPr>
        <w:t>.3材料、工程设备和工程的试验和检验</w:t>
      </w:r>
      <w:bookmarkEnd w:id="235"/>
    </w:p>
    <w:bookmarkEnd w:id="236"/>
    <w:p w14:paraId="4AA0AD1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1E125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9B2878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105D314">
      <w:pPr>
        <w:pStyle w:val="8"/>
        <w:spacing w:before="120" w:after="120" w:line="360" w:lineRule="auto"/>
        <w:ind w:firstLine="480" w:firstLineChars="200"/>
        <w:rPr>
          <w:rFonts w:ascii="宋体" w:hAnsi="宋体"/>
          <w:b w:val="0"/>
          <w:color w:val="000000"/>
          <w:sz w:val="24"/>
          <w:szCs w:val="24"/>
          <w:highlight w:val="none"/>
        </w:rPr>
      </w:pPr>
      <w:bookmarkStart w:id="237" w:name="_Toc351203566"/>
      <w:r>
        <w:rPr>
          <w:rFonts w:ascii="宋体" w:hAnsi="宋体"/>
          <w:b w:val="0"/>
          <w:color w:val="000000"/>
          <w:sz w:val="24"/>
          <w:szCs w:val="24"/>
          <w:highlight w:val="none"/>
        </w:rPr>
        <w:t>9</w:t>
      </w:r>
      <w:bookmarkStart w:id="238" w:name="_Toc337558786"/>
      <w:r>
        <w:rPr>
          <w:rFonts w:ascii="宋体" w:hAnsi="宋体"/>
          <w:b w:val="0"/>
          <w:color w:val="000000"/>
          <w:sz w:val="24"/>
          <w:szCs w:val="24"/>
          <w:highlight w:val="none"/>
        </w:rPr>
        <w:t>.4现场工艺试验</w:t>
      </w:r>
      <w:bookmarkEnd w:id="237"/>
    </w:p>
    <w:bookmarkEnd w:id="238"/>
    <w:p w14:paraId="377F975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4DD7564">
      <w:pPr>
        <w:pStyle w:val="7"/>
        <w:spacing w:before="120" w:after="120" w:line="360" w:lineRule="auto"/>
        <w:rPr>
          <w:rFonts w:ascii="宋体" w:hAnsi="宋体"/>
          <w:b w:val="0"/>
          <w:color w:val="000000"/>
          <w:szCs w:val="24"/>
          <w:highlight w:val="none"/>
        </w:rPr>
      </w:pPr>
      <w:bookmarkStart w:id="239" w:name="_Toc351203567"/>
      <w:r>
        <w:rPr>
          <w:rFonts w:ascii="宋体" w:hAnsi="宋体"/>
          <w:b w:val="0"/>
          <w:color w:val="000000"/>
          <w:szCs w:val="24"/>
          <w:highlight w:val="none"/>
        </w:rPr>
        <w:t>1</w:t>
      </w:r>
      <w:bookmarkStart w:id="240" w:name="_Toc337558787"/>
      <w:r>
        <w:rPr>
          <w:rFonts w:ascii="宋体" w:hAnsi="宋体"/>
          <w:b w:val="0"/>
          <w:color w:val="000000"/>
          <w:szCs w:val="24"/>
          <w:highlight w:val="none"/>
        </w:rPr>
        <w:t>0. 变更</w:t>
      </w:r>
      <w:bookmarkEnd w:id="229"/>
      <w:bookmarkEnd w:id="230"/>
      <w:bookmarkEnd w:id="239"/>
    </w:p>
    <w:bookmarkEnd w:id="240"/>
    <w:p w14:paraId="2EED4B2E">
      <w:pPr>
        <w:pStyle w:val="8"/>
        <w:spacing w:before="120" w:after="120" w:line="360" w:lineRule="auto"/>
        <w:ind w:firstLine="480" w:firstLineChars="200"/>
        <w:rPr>
          <w:rFonts w:ascii="宋体" w:hAnsi="宋体"/>
          <w:b w:val="0"/>
          <w:color w:val="000000"/>
          <w:sz w:val="24"/>
          <w:szCs w:val="24"/>
          <w:highlight w:val="none"/>
        </w:rPr>
      </w:pPr>
      <w:bookmarkStart w:id="241" w:name="_Toc351203568"/>
      <w:r>
        <w:rPr>
          <w:rFonts w:ascii="宋体" w:hAnsi="宋体"/>
          <w:b w:val="0"/>
          <w:color w:val="000000"/>
          <w:sz w:val="24"/>
          <w:szCs w:val="24"/>
          <w:highlight w:val="none"/>
        </w:rPr>
        <w:t>1</w:t>
      </w:r>
      <w:bookmarkStart w:id="242" w:name="_Toc296503084"/>
      <w:bookmarkStart w:id="243" w:name="_Toc296346585"/>
      <w:bookmarkStart w:id="244" w:name="_Toc337558788"/>
      <w:r>
        <w:rPr>
          <w:rFonts w:ascii="宋体" w:hAnsi="宋体"/>
          <w:b w:val="0"/>
          <w:color w:val="000000"/>
          <w:sz w:val="24"/>
          <w:szCs w:val="24"/>
          <w:highlight w:val="none"/>
        </w:rPr>
        <w:t>0.1变更的范围</w:t>
      </w:r>
      <w:bookmarkEnd w:id="241"/>
    </w:p>
    <w:bookmarkEnd w:id="242"/>
    <w:bookmarkEnd w:id="243"/>
    <w:bookmarkEnd w:id="244"/>
    <w:p w14:paraId="6069F2F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除专用合同条款另有约定外，合同履行过程中发生以下情形的，应按照本条约定进行变更：</w:t>
      </w:r>
    </w:p>
    <w:p w14:paraId="5B9B8E2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（1）增加或减少合同中任何工作，或追加额外的工作；</w:t>
      </w:r>
    </w:p>
    <w:p w14:paraId="79A866F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（2）取消合同中任何工作，但转由他人实施的工作除外；</w:t>
      </w:r>
    </w:p>
    <w:p w14:paraId="4C842AC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（3）改变合同中任何工作的质量标准或其他特性；</w:t>
      </w:r>
    </w:p>
    <w:p w14:paraId="05696AD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（4）改变工程的基线、标高、位置和尺寸；</w:t>
      </w:r>
    </w:p>
    <w:p w14:paraId="3835429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（5）改变工程的时间安排或实施顺序。</w:t>
      </w:r>
    </w:p>
    <w:p w14:paraId="6E48EF20">
      <w:pPr>
        <w:pStyle w:val="8"/>
        <w:spacing w:before="120" w:after="120" w:line="360" w:lineRule="auto"/>
        <w:ind w:firstLine="480" w:firstLineChars="200"/>
        <w:rPr>
          <w:rFonts w:ascii="宋体" w:hAnsi="宋体"/>
          <w:b w:val="0"/>
          <w:color w:val="000000"/>
          <w:sz w:val="24"/>
          <w:szCs w:val="24"/>
          <w:highlight w:val="none"/>
        </w:rPr>
      </w:pPr>
      <w:bookmarkStart w:id="245" w:name="_Toc351203569"/>
      <w:r>
        <w:rPr>
          <w:rFonts w:ascii="宋体" w:hAnsi="宋体"/>
          <w:b w:val="0"/>
          <w:color w:val="000000"/>
          <w:sz w:val="24"/>
          <w:szCs w:val="24"/>
          <w:highlight w:val="none"/>
        </w:rPr>
        <w:t>1</w:t>
      </w:r>
      <w:bookmarkStart w:id="246" w:name="_Toc337558789"/>
      <w:bookmarkStart w:id="247" w:name="_Toc296503085"/>
      <w:bookmarkStart w:id="248" w:name="_Toc296346586"/>
      <w:r>
        <w:rPr>
          <w:rFonts w:ascii="宋体" w:hAnsi="宋体"/>
          <w:b w:val="0"/>
          <w:color w:val="000000"/>
          <w:sz w:val="24"/>
          <w:szCs w:val="24"/>
          <w:highlight w:val="none"/>
        </w:rPr>
        <w:t>0.2变更权</w:t>
      </w:r>
      <w:bookmarkEnd w:id="245"/>
    </w:p>
    <w:bookmarkEnd w:id="246"/>
    <w:bookmarkEnd w:id="247"/>
    <w:bookmarkEnd w:id="248"/>
    <w:p w14:paraId="7F0A8F0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31D77F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涉及设计变更的，应由设计人提供变更后的图纸和说明。如变更超过原设计标准或批准的建设规模时，发包人应及时办理规划、设计变更</w:t>
      </w:r>
      <w:r>
        <w:rPr>
          <w:rFonts w:hint="eastAsia" w:ascii="宋体" w:hAnsi="宋体"/>
          <w:color w:val="000000"/>
          <w:kern w:val="0"/>
          <w:sz w:val="24"/>
          <w:szCs w:val="24"/>
          <w:highlight w:val="none"/>
        </w:rPr>
        <w:t>等</w:t>
      </w:r>
      <w:r>
        <w:rPr>
          <w:rFonts w:ascii="宋体" w:hAnsi="宋体"/>
          <w:color w:val="000000"/>
          <w:kern w:val="0"/>
          <w:sz w:val="24"/>
          <w:szCs w:val="24"/>
          <w:highlight w:val="none"/>
        </w:rPr>
        <w:t>审批手续。</w:t>
      </w:r>
    </w:p>
    <w:p w14:paraId="2C907E79">
      <w:pPr>
        <w:pStyle w:val="8"/>
        <w:spacing w:before="120" w:after="120" w:line="360" w:lineRule="auto"/>
        <w:ind w:firstLine="480" w:firstLineChars="200"/>
        <w:rPr>
          <w:rFonts w:ascii="宋体" w:hAnsi="宋体"/>
          <w:b w:val="0"/>
          <w:color w:val="000000"/>
          <w:sz w:val="24"/>
          <w:szCs w:val="24"/>
          <w:highlight w:val="none"/>
        </w:rPr>
      </w:pPr>
      <w:bookmarkStart w:id="249" w:name="_Toc351203570"/>
      <w:r>
        <w:rPr>
          <w:rFonts w:ascii="宋体" w:hAnsi="宋体"/>
          <w:b w:val="0"/>
          <w:color w:val="000000"/>
          <w:sz w:val="24"/>
          <w:szCs w:val="24"/>
          <w:highlight w:val="none"/>
        </w:rPr>
        <w:t>1</w:t>
      </w:r>
      <w:bookmarkStart w:id="250" w:name="_Toc296346587"/>
      <w:bookmarkStart w:id="251" w:name="_Toc337558790"/>
      <w:bookmarkStart w:id="252" w:name="_Toc296503086"/>
      <w:r>
        <w:rPr>
          <w:rFonts w:ascii="宋体" w:hAnsi="宋体"/>
          <w:b w:val="0"/>
          <w:color w:val="000000"/>
          <w:sz w:val="24"/>
          <w:szCs w:val="24"/>
          <w:highlight w:val="none"/>
        </w:rPr>
        <w:t>0.3变更程序</w:t>
      </w:r>
      <w:bookmarkEnd w:id="249"/>
    </w:p>
    <w:bookmarkEnd w:id="250"/>
    <w:bookmarkEnd w:id="251"/>
    <w:bookmarkEnd w:id="252"/>
    <w:p w14:paraId="3E50BAD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10</w:t>
      </w:r>
      <w:r>
        <w:rPr>
          <w:rFonts w:ascii="宋体" w:hAnsi="宋体"/>
          <w:color w:val="000000"/>
          <w:kern w:val="0"/>
          <w:sz w:val="24"/>
          <w:szCs w:val="24"/>
          <w:highlight w:val="none"/>
        </w:rPr>
        <w:t>.3.1 发包人提出变更</w:t>
      </w:r>
    </w:p>
    <w:p w14:paraId="3A1C2CC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发包人提出变更的，应通过监理人向承包人发出变更指示，变更指示应说明计划变更的工程范围和变更的内容。</w:t>
      </w:r>
    </w:p>
    <w:p w14:paraId="65EFDA3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10</w:t>
      </w:r>
      <w:r>
        <w:rPr>
          <w:rFonts w:ascii="宋体" w:hAnsi="宋体"/>
          <w:color w:val="000000"/>
          <w:kern w:val="0"/>
          <w:sz w:val="24"/>
          <w:szCs w:val="24"/>
          <w:highlight w:val="none"/>
        </w:rPr>
        <w:t>.3.2 监理人提出变更建议</w:t>
      </w:r>
    </w:p>
    <w:p w14:paraId="3D9341B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54D5CED">
      <w:pPr>
        <w:autoSpaceDE w:val="0"/>
        <w:autoSpaceDN w:val="0"/>
        <w:adjustRightIn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10.3.3 变更执行</w:t>
      </w:r>
    </w:p>
    <w:p w14:paraId="13F2E09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承包人收到监理人下达的变更指示后，</w:t>
      </w:r>
      <w:r>
        <w:rPr>
          <w:rFonts w:hint="eastAsia" w:ascii="宋体" w:hAnsi="宋体"/>
          <w:color w:val="000000"/>
          <w:kern w:val="0"/>
          <w:sz w:val="24"/>
          <w:szCs w:val="24"/>
          <w:highlight w:val="none"/>
        </w:rPr>
        <w:t>认为不能执行，应立即</w:t>
      </w:r>
      <w:r>
        <w:rPr>
          <w:rFonts w:ascii="宋体" w:hAnsi="宋体"/>
          <w:color w:val="000000"/>
          <w:kern w:val="0"/>
          <w:sz w:val="24"/>
          <w:szCs w:val="24"/>
          <w:highlight w:val="none"/>
        </w:rPr>
        <w:t>提出不能执行该变更指示的理由。承包人</w:t>
      </w:r>
      <w:r>
        <w:rPr>
          <w:rFonts w:hint="eastAsia" w:ascii="宋体" w:hAnsi="宋体"/>
          <w:color w:val="000000"/>
          <w:kern w:val="0"/>
          <w:sz w:val="24"/>
          <w:szCs w:val="24"/>
          <w:highlight w:val="none"/>
        </w:rPr>
        <w:t>认为可以</w:t>
      </w:r>
      <w:r>
        <w:rPr>
          <w:rFonts w:ascii="宋体" w:hAnsi="宋体"/>
          <w:color w:val="000000"/>
          <w:kern w:val="0"/>
          <w:sz w:val="24"/>
          <w:szCs w:val="24"/>
          <w:highlight w:val="none"/>
        </w:rPr>
        <w:t>执行变更的，</w:t>
      </w:r>
      <w:r>
        <w:rPr>
          <w:rFonts w:hint="eastAsia" w:ascii="宋体" w:hAnsi="宋体"/>
          <w:color w:val="000000"/>
          <w:kern w:val="0"/>
          <w:sz w:val="24"/>
          <w:szCs w:val="24"/>
          <w:highlight w:val="none"/>
        </w:rPr>
        <w:t>应当书面说明实施该变更指示对合同价格和工期的影响，且合同当事人应当按照第10.4款〔变更估价〕约定确定变更估价</w:t>
      </w:r>
      <w:r>
        <w:rPr>
          <w:rFonts w:ascii="宋体" w:hAnsi="宋体"/>
          <w:color w:val="000000"/>
          <w:kern w:val="0"/>
          <w:sz w:val="24"/>
          <w:szCs w:val="24"/>
          <w:highlight w:val="none"/>
        </w:rPr>
        <w:t>。</w:t>
      </w:r>
    </w:p>
    <w:p w14:paraId="679DE6CD">
      <w:pPr>
        <w:pStyle w:val="8"/>
        <w:spacing w:before="120" w:after="120" w:line="360" w:lineRule="auto"/>
        <w:ind w:firstLine="480" w:firstLineChars="200"/>
        <w:rPr>
          <w:rFonts w:ascii="宋体" w:hAnsi="宋体"/>
          <w:b w:val="0"/>
          <w:color w:val="000000"/>
          <w:sz w:val="24"/>
          <w:szCs w:val="24"/>
          <w:highlight w:val="none"/>
        </w:rPr>
      </w:pPr>
      <w:bookmarkStart w:id="253" w:name="_Toc351203571"/>
      <w:r>
        <w:rPr>
          <w:rFonts w:ascii="宋体" w:hAnsi="宋体"/>
          <w:b w:val="0"/>
          <w:color w:val="000000"/>
          <w:sz w:val="24"/>
          <w:szCs w:val="24"/>
          <w:highlight w:val="none"/>
        </w:rPr>
        <w:t>1</w:t>
      </w:r>
      <w:bookmarkStart w:id="254" w:name="_Toc296346588"/>
      <w:bookmarkStart w:id="255" w:name="_Toc337558791"/>
      <w:bookmarkStart w:id="256" w:name="_Toc296503087"/>
      <w:r>
        <w:rPr>
          <w:rFonts w:ascii="宋体" w:hAnsi="宋体"/>
          <w:b w:val="0"/>
          <w:color w:val="000000"/>
          <w:sz w:val="24"/>
          <w:szCs w:val="24"/>
          <w:highlight w:val="none"/>
        </w:rPr>
        <w:t>0.4变更估价</w:t>
      </w:r>
      <w:bookmarkEnd w:id="253"/>
    </w:p>
    <w:bookmarkEnd w:id="254"/>
    <w:bookmarkEnd w:id="255"/>
    <w:bookmarkEnd w:id="256"/>
    <w:p w14:paraId="2FAC354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10.4.1 变更估价原则</w:t>
      </w:r>
    </w:p>
    <w:p w14:paraId="7C854A8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除专用合同条款另有约定外，变更估价按照本款约定处理：</w:t>
      </w:r>
    </w:p>
    <w:p w14:paraId="2088CD1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（1）已标价工程量清单或预算书有相同项目的，按照相同项目单价认定；</w:t>
      </w:r>
    </w:p>
    <w:p w14:paraId="3B30160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（2）已标价工程量清单或预算书中无相同项目，但有类似项目的，参照类似项目的单价认定；</w:t>
      </w:r>
    </w:p>
    <w:p w14:paraId="3EC94F3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确定变更工作的单价。</w:t>
      </w:r>
    </w:p>
    <w:p w14:paraId="4BF036C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10.4.2 变更估价程序</w:t>
      </w:r>
    </w:p>
    <w:p w14:paraId="5971AB8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 w:val="24"/>
          <w:szCs w:val="24"/>
          <w:highlight w:val="none"/>
        </w:rPr>
        <w:t>，通知承包人</w:t>
      </w:r>
      <w:r>
        <w:rPr>
          <w:rFonts w:hint="eastAsia" w:ascii="宋体" w:hAnsi="宋体"/>
          <w:color w:val="000000"/>
          <w:kern w:val="0"/>
          <w:sz w:val="24"/>
          <w:szCs w:val="24"/>
          <w:highlight w:val="none"/>
        </w:rPr>
        <w:t>修</w:t>
      </w:r>
      <w:r>
        <w:rPr>
          <w:rFonts w:ascii="宋体" w:hAnsi="宋体"/>
          <w:color w:val="000000"/>
          <w:kern w:val="0"/>
          <w:sz w:val="24"/>
          <w:szCs w:val="24"/>
          <w:highlight w:val="none"/>
        </w:rPr>
        <w:t>改</w:t>
      </w:r>
      <w:r>
        <w:rPr>
          <w:rFonts w:hint="eastAsia" w:ascii="宋体" w:hAnsi="宋体"/>
          <w:color w:val="000000"/>
          <w:kern w:val="0"/>
          <w:sz w:val="24"/>
          <w:szCs w:val="24"/>
          <w:highlight w:val="none"/>
        </w:rPr>
        <w:t>后重新提交</w:t>
      </w:r>
      <w:r>
        <w:rPr>
          <w:rFonts w:ascii="宋体" w:hAnsi="宋体"/>
          <w:color w:val="000000"/>
          <w:kern w:val="0"/>
          <w:sz w:val="24"/>
          <w:szCs w:val="24"/>
          <w:highlight w:val="none"/>
        </w:rPr>
        <w:t>。发包人应在</w:t>
      </w:r>
      <w:r>
        <w:rPr>
          <w:rFonts w:hint="eastAsia" w:ascii="宋体" w:hAnsi="宋体"/>
          <w:color w:val="000000"/>
          <w:kern w:val="0"/>
          <w:sz w:val="24"/>
          <w:szCs w:val="24"/>
          <w:highlight w:val="none"/>
        </w:rPr>
        <w:t>承包人提交变更估价申请</w:t>
      </w:r>
      <w:r>
        <w:rPr>
          <w:rFonts w:ascii="宋体" w:hAnsi="宋体"/>
          <w:color w:val="000000"/>
          <w:kern w:val="0"/>
          <w:sz w:val="24"/>
          <w:szCs w:val="24"/>
          <w:highlight w:val="none"/>
        </w:rPr>
        <w:t>后</w:t>
      </w:r>
      <w:r>
        <w:rPr>
          <w:rFonts w:hint="eastAsia" w:ascii="宋体" w:hAnsi="宋体"/>
          <w:color w:val="000000"/>
          <w:kern w:val="0"/>
          <w:sz w:val="24"/>
          <w:szCs w:val="24"/>
          <w:highlight w:val="none"/>
        </w:rPr>
        <w:t>14</w:t>
      </w:r>
      <w:r>
        <w:rPr>
          <w:rFonts w:ascii="宋体" w:hAnsi="宋体"/>
          <w:color w:val="000000"/>
          <w:kern w:val="0"/>
          <w:sz w:val="24"/>
          <w:szCs w:val="24"/>
          <w:highlight w:val="none"/>
        </w:rPr>
        <w:t>天内审批完毕。</w:t>
      </w:r>
      <w:r>
        <w:rPr>
          <w:rFonts w:hint="eastAsia" w:ascii="宋体" w:hAnsi="宋体"/>
          <w:color w:val="000000"/>
          <w:kern w:val="0"/>
          <w:sz w:val="24"/>
          <w:szCs w:val="24"/>
          <w:highlight w:val="none"/>
        </w:rPr>
        <w:t>发包人逾期未完成审批或未提出异议的，视为认可承包人提交的变更估价申请。</w:t>
      </w:r>
    </w:p>
    <w:p w14:paraId="78CD7DC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因变更引起的价格调整应计入最近一期的进度款中支付。</w:t>
      </w:r>
    </w:p>
    <w:p w14:paraId="7E603108">
      <w:pPr>
        <w:pStyle w:val="8"/>
        <w:spacing w:before="120" w:after="120" w:line="360" w:lineRule="auto"/>
        <w:ind w:firstLine="480" w:firstLineChars="200"/>
        <w:rPr>
          <w:rFonts w:ascii="宋体" w:hAnsi="宋体"/>
          <w:b w:val="0"/>
          <w:color w:val="000000"/>
          <w:sz w:val="24"/>
          <w:szCs w:val="24"/>
          <w:highlight w:val="none"/>
        </w:rPr>
      </w:pPr>
      <w:bookmarkStart w:id="257" w:name="_Toc351203572"/>
      <w:r>
        <w:rPr>
          <w:rFonts w:ascii="宋体" w:hAnsi="宋体"/>
          <w:b w:val="0"/>
          <w:color w:val="000000"/>
          <w:sz w:val="24"/>
          <w:szCs w:val="24"/>
          <w:highlight w:val="none"/>
        </w:rPr>
        <w:t>1</w:t>
      </w:r>
      <w:bookmarkStart w:id="258" w:name="_Toc296503094"/>
      <w:bookmarkStart w:id="259" w:name="_Toc296346595"/>
      <w:bookmarkStart w:id="260" w:name="_Toc337558792"/>
      <w:r>
        <w:rPr>
          <w:rFonts w:ascii="宋体" w:hAnsi="宋体"/>
          <w:b w:val="0"/>
          <w:color w:val="000000"/>
          <w:sz w:val="24"/>
          <w:szCs w:val="24"/>
          <w:highlight w:val="none"/>
        </w:rPr>
        <w:t>0.5承包人的合理化建议</w:t>
      </w:r>
      <w:bookmarkEnd w:id="257"/>
    </w:p>
    <w:bookmarkEnd w:id="258"/>
    <w:bookmarkEnd w:id="259"/>
    <w:bookmarkEnd w:id="260"/>
    <w:p w14:paraId="4B46010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承包人提出合理化建议的，应向监理人提交合理化建议说明，说明建议的内容和理由，以及实施该建议对合同价格和工期的影响。</w:t>
      </w:r>
    </w:p>
    <w:p w14:paraId="57A1825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 w:val="24"/>
          <w:szCs w:val="24"/>
          <w:highlight w:val="none"/>
        </w:rPr>
        <w:t>〔</w:t>
      </w:r>
      <w:r>
        <w:rPr>
          <w:rFonts w:ascii="宋体" w:hAnsi="宋体"/>
          <w:color w:val="000000"/>
          <w:kern w:val="0"/>
          <w:sz w:val="24"/>
          <w:szCs w:val="24"/>
          <w:highlight w:val="none"/>
        </w:rPr>
        <w:t>变更估价</w:t>
      </w:r>
      <w:r>
        <w:rPr>
          <w:rFonts w:hint="eastAsia" w:ascii="宋体" w:hAnsi="宋体"/>
          <w:color w:val="000000"/>
          <w:kern w:val="0"/>
          <w:sz w:val="24"/>
          <w:szCs w:val="24"/>
          <w:highlight w:val="none"/>
        </w:rPr>
        <w:t>〕</w:t>
      </w:r>
      <w:r>
        <w:rPr>
          <w:rFonts w:ascii="宋体" w:hAnsi="宋体"/>
          <w:color w:val="000000"/>
          <w:kern w:val="0"/>
          <w:sz w:val="24"/>
          <w:szCs w:val="24"/>
          <w:highlight w:val="none"/>
        </w:rPr>
        <w:t>约定执行。发包人不同意变更的，监理人应书面通知承包人。</w:t>
      </w:r>
    </w:p>
    <w:p w14:paraId="6A13256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合理化建议降低了合同价格或者提高了工程经济效益的，发包人可对承包人给予奖励，奖励的方法和金额在专用合同条款中约定。</w:t>
      </w:r>
    </w:p>
    <w:p w14:paraId="7B8F4878">
      <w:pPr>
        <w:pStyle w:val="8"/>
        <w:spacing w:before="120" w:after="120" w:line="360" w:lineRule="auto"/>
        <w:ind w:firstLine="480" w:firstLineChars="200"/>
        <w:rPr>
          <w:rFonts w:ascii="宋体" w:hAnsi="宋体"/>
          <w:color w:val="000000"/>
          <w:sz w:val="24"/>
          <w:szCs w:val="24"/>
          <w:highlight w:val="none"/>
        </w:rPr>
      </w:pPr>
      <w:bookmarkStart w:id="261" w:name="_Toc351203573"/>
      <w:r>
        <w:rPr>
          <w:rFonts w:ascii="宋体" w:hAnsi="宋体"/>
          <w:b w:val="0"/>
          <w:color w:val="000000"/>
          <w:sz w:val="24"/>
          <w:szCs w:val="24"/>
          <w:highlight w:val="none"/>
        </w:rPr>
        <w:t>1</w:t>
      </w:r>
      <w:bookmarkStart w:id="262" w:name="_Toc337558793"/>
      <w:r>
        <w:rPr>
          <w:rFonts w:ascii="宋体" w:hAnsi="宋体"/>
          <w:b w:val="0"/>
          <w:color w:val="000000"/>
          <w:sz w:val="24"/>
          <w:szCs w:val="24"/>
          <w:highlight w:val="none"/>
        </w:rPr>
        <w:t>0.6变更引起的工期调整</w:t>
      </w:r>
      <w:bookmarkEnd w:id="261"/>
      <w:r>
        <w:rPr>
          <w:rFonts w:ascii="宋体" w:hAnsi="宋体"/>
          <w:b w:val="0"/>
          <w:color w:val="000000"/>
          <w:sz w:val="24"/>
          <w:szCs w:val="24"/>
          <w:highlight w:val="none"/>
        </w:rPr>
        <w:t xml:space="preserve"> </w:t>
      </w:r>
      <w:bookmarkEnd w:id="262"/>
      <w:r>
        <w:rPr>
          <w:rFonts w:ascii="宋体" w:hAnsi="宋体"/>
          <w:b w:val="0"/>
          <w:color w:val="000000"/>
          <w:sz w:val="24"/>
          <w:szCs w:val="24"/>
          <w:highlight w:val="none"/>
        </w:rPr>
        <w:t xml:space="preserve"> </w:t>
      </w:r>
      <w:r>
        <w:rPr>
          <w:rFonts w:ascii="宋体" w:hAnsi="宋体"/>
          <w:color w:val="000000"/>
          <w:sz w:val="24"/>
          <w:szCs w:val="24"/>
          <w:highlight w:val="none"/>
        </w:rPr>
        <w:t xml:space="preserve"> </w:t>
      </w:r>
    </w:p>
    <w:p w14:paraId="42DC123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因变更引起工期变化的，合同当事人均可要求调整合同工期，由合同当事人按照第4.4款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并参考工程所在地的工期定额标准确定增减工期天数。</w:t>
      </w:r>
    </w:p>
    <w:p w14:paraId="0FB2992D">
      <w:pPr>
        <w:pStyle w:val="8"/>
        <w:spacing w:before="120" w:after="120" w:line="360" w:lineRule="auto"/>
        <w:ind w:firstLine="480" w:firstLineChars="200"/>
        <w:rPr>
          <w:rFonts w:ascii="宋体" w:hAnsi="宋体"/>
          <w:b w:val="0"/>
          <w:color w:val="000000"/>
          <w:sz w:val="24"/>
          <w:szCs w:val="24"/>
          <w:highlight w:val="none"/>
        </w:rPr>
      </w:pPr>
      <w:bookmarkStart w:id="263" w:name="_Toc351203574"/>
      <w:r>
        <w:rPr>
          <w:rFonts w:ascii="宋体" w:hAnsi="宋体"/>
          <w:b w:val="0"/>
          <w:color w:val="000000"/>
          <w:sz w:val="24"/>
          <w:szCs w:val="24"/>
          <w:highlight w:val="none"/>
        </w:rPr>
        <w:t>10.7暂估价</w:t>
      </w:r>
      <w:bookmarkEnd w:id="263"/>
    </w:p>
    <w:p w14:paraId="51AB0FB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暂估价专业分包工程、</w:t>
      </w:r>
      <w:r>
        <w:rPr>
          <w:rFonts w:hint="eastAsia" w:ascii="宋体" w:hAnsi="宋体"/>
          <w:color w:val="000000"/>
          <w:kern w:val="0"/>
          <w:sz w:val="24"/>
          <w:szCs w:val="24"/>
          <w:highlight w:val="none"/>
        </w:rPr>
        <w:t>服务、</w:t>
      </w:r>
      <w:r>
        <w:rPr>
          <w:rFonts w:ascii="宋体" w:hAnsi="宋体"/>
          <w:color w:val="000000"/>
          <w:kern w:val="0"/>
          <w:sz w:val="24"/>
          <w:szCs w:val="24"/>
          <w:highlight w:val="none"/>
        </w:rPr>
        <w:t>材料和工程设备的明细由合同当事人在专用合同条款中约定。</w:t>
      </w:r>
    </w:p>
    <w:p w14:paraId="2A87AEF0">
      <w:pPr>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10.7.1</w:t>
      </w:r>
      <w:r>
        <w:rPr>
          <w:rFonts w:ascii="宋体" w:hAnsi="宋体"/>
          <w:color w:val="000000"/>
          <w:kern w:val="0"/>
          <w:sz w:val="24"/>
          <w:szCs w:val="24"/>
          <w:highlight w:val="none"/>
        </w:rPr>
        <w:t xml:space="preserve"> 依法必须招标的暂估价项目</w:t>
      </w:r>
    </w:p>
    <w:p w14:paraId="324EE88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对于依法必须招标的暂估价项目，采取以下第1种方式确定</w:t>
      </w:r>
      <w:r>
        <w:rPr>
          <w:rFonts w:hint="eastAsia" w:ascii="宋体" w:hAnsi="宋体"/>
          <w:color w:val="000000"/>
          <w:kern w:val="0"/>
          <w:sz w:val="24"/>
          <w:szCs w:val="24"/>
          <w:highlight w:val="none"/>
        </w:rPr>
        <w:t>。合同当事人也可以在</w:t>
      </w:r>
      <w:r>
        <w:rPr>
          <w:rFonts w:ascii="宋体" w:hAnsi="宋体"/>
          <w:color w:val="000000"/>
          <w:kern w:val="0"/>
          <w:sz w:val="24"/>
          <w:szCs w:val="24"/>
          <w:highlight w:val="none"/>
        </w:rPr>
        <w:t>专用合同条款</w:t>
      </w:r>
      <w:r>
        <w:rPr>
          <w:rFonts w:hint="eastAsia" w:ascii="宋体" w:hAnsi="宋体"/>
          <w:color w:val="000000"/>
          <w:kern w:val="0"/>
          <w:sz w:val="24"/>
          <w:szCs w:val="24"/>
          <w:highlight w:val="none"/>
        </w:rPr>
        <w:t>中选择其他招标方式。</w:t>
      </w:r>
    </w:p>
    <w:p w14:paraId="183B7DD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第1种方式：对于依法必须招标的暂估价项目，由承包人招标，对该暂估价项目的确认和批准按照以下约定执行：</w:t>
      </w:r>
    </w:p>
    <w:p w14:paraId="3D57E2D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FA7543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（2）承包人应当根据施工进度计划，提前14天将谈判文件通过监理人报送发包人审批，发包人应当在收到承包人报送的相关文件后7天内完成审批或提出修改意见；发包人有权确定招标控制价</w:t>
      </w:r>
      <w:r>
        <w:rPr>
          <w:rFonts w:hint="eastAsia" w:ascii="宋体" w:hAnsi="宋体"/>
          <w:color w:val="000000"/>
          <w:kern w:val="0"/>
          <w:sz w:val="24"/>
          <w:szCs w:val="24"/>
          <w:highlight w:val="none"/>
        </w:rPr>
        <w:t>并按照法律规定参加评标</w:t>
      </w:r>
      <w:r>
        <w:rPr>
          <w:rFonts w:ascii="宋体" w:hAnsi="宋体"/>
          <w:color w:val="000000"/>
          <w:kern w:val="0"/>
          <w:sz w:val="24"/>
          <w:szCs w:val="24"/>
          <w:highlight w:val="none"/>
        </w:rPr>
        <w:t>；</w:t>
      </w:r>
    </w:p>
    <w:p w14:paraId="0156753C">
      <w:pPr>
        <w:spacing w:line="360" w:lineRule="auto"/>
        <w:jc w:val="left"/>
        <w:rPr>
          <w:rFonts w:ascii="宋体" w:hAnsi="宋体"/>
          <w:color w:val="000000"/>
          <w:kern w:val="0"/>
          <w:sz w:val="24"/>
          <w:szCs w:val="24"/>
          <w:highlight w:val="none"/>
        </w:rPr>
      </w:pPr>
      <w:r>
        <w:rPr>
          <w:rFonts w:ascii="宋体" w:hAnsi="宋体"/>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CDC3B9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7E5E911">
      <w:pPr>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10.7.2</w:t>
      </w:r>
      <w:r>
        <w:rPr>
          <w:rFonts w:ascii="宋体" w:hAnsi="宋体"/>
          <w:color w:val="000000"/>
          <w:kern w:val="0"/>
          <w:sz w:val="24"/>
          <w:szCs w:val="24"/>
          <w:highlight w:val="none"/>
        </w:rPr>
        <w:t>不属于依法必须招标的暂估价项目</w:t>
      </w:r>
    </w:p>
    <w:p w14:paraId="2A2B09D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除专用合同条款另有约定外，对于不属于依法必须招标的暂估价项目，采取以下第1种方式确定：</w:t>
      </w:r>
      <w:r>
        <w:rPr>
          <w:rFonts w:hint="eastAsia" w:ascii="宋体" w:hAnsi="宋体"/>
          <w:color w:val="000000"/>
          <w:kern w:val="0"/>
          <w:sz w:val="24"/>
          <w:szCs w:val="24"/>
          <w:highlight w:val="none"/>
        </w:rPr>
        <w:t xml:space="preserve"> </w:t>
      </w:r>
    </w:p>
    <w:p w14:paraId="50246C3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第1种方式：对于不属于依法必须招标的暂估价项目，按本项约定确认和批准：</w:t>
      </w:r>
    </w:p>
    <w:p w14:paraId="205788C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9268F6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（2）发包人认为承包人确定的供应商、分包人无法满足工程质量或合同要求的，发包人可以要求承包人重新确定暂估价项目的供应商、分包人;</w:t>
      </w:r>
    </w:p>
    <w:p w14:paraId="3759730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（3）承包人应当在签订暂估价合同后7天内，将暂估价合同副本报送发包人留存。</w:t>
      </w:r>
    </w:p>
    <w:p w14:paraId="7D9FE93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第2种方式：承包人按照第10.7.1项</w:t>
      </w:r>
      <w:r>
        <w:rPr>
          <w:rFonts w:hint="eastAsia" w:ascii="宋体" w:hAnsi="宋体"/>
          <w:color w:val="000000"/>
          <w:kern w:val="0"/>
          <w:sz w:val="24"/>
          <w:szCs w:val="24"/>
          <w:highlight w:val="none"/>
        </w:rPr>
        <w:t>〔</w:t>
      </w:r>
      <w:r>
        <w:rPr>
          <w:rFonts w:ascii="宋体" w:hAnsi="宋体"/>
          <w:color w:val="000000"/>
          <w:kern w:val="0"/>
          <w:sz w:val="24"/>
          <w:szCs w:val="24"/>
          <w:highlight w:val="none"/>
        </w:rPr>
        <w:t>依法必须招标的暂估价项目</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约定的第1种方式确定暂估价项目。</w:t>
      </w:r>
    </w:p>
    <w:p w14:paraId="7AC25929">
      <w:pPr>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第3种方式：</w:t>
      </w:r>
      <w:r>
        <w:rPr>
          <w:rFonts w:ascii="宋体" w:hAnsi="宋体"/>
          <w:color w:val="000000"/>
          <w:kern w:val="0"/>
          <w:sz w:val="24"/>
          <w:szCs w:val="24"/>
          <w:highlight w:val="none"/>
        </w:rPr>
        <w:t>承包人直接实施的暂估价项目</w:t>
      </w:r>
    </w:p>
    <w:p w14:paraId="0CE3820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0F00952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46597C9">
      <w:pPr>
        <w:pStyle w:val="8"/>
        <w:spacing w:before="120" w:after="120" w:line="360" w:lineRule="auto"/>
        <w:ind w:firstLine="480" w:firstLineChars="200"/>
        <w:rPr>
          <w:rFonts w:ascii="宋体" w:hAnsi="宋体"/>
          <w:b w:val="0"/>
          <w:color w:val="000000"/>
          <w:sz w:val="24"/>
          <w:szCs w:val="24"/>
          <w:highlight w:val="none"/>
        </w:rPr>
      </w:pPr>
      <w:bookmarkStart w:id="264" w:name="_Toc351203575"/>
      <w:r>
        <w:rPr>
          <w:rFonts w:ascii="宋体" w:hAnsi="宋体"/>
          <w:b w:val="0"/>
          <w:color w:val="000000"/>
          <w:sz w:val="24"/>
          <w:szCs w:val="24"/>
          <w:highlight w:val="none"/>
        </w:rPr>
        <w:t>1</w:t>
      </w:r>
      <w:bookmarkStart w:id="265" w:name="_Toc337558794"/>
      <w:bookmarkStart w:id="266" w:name="_Toc296503090"/>
      <w:bookmarkStart w:id="267" w:name="_Toc322522561"/>
      <w:bookmarkStart w:id="268" w:name="_Toc296346591"/>
      <w:r>
        <w:rPr>
          <w:rFonts w:ascii="宋体" w:hAnsi="宋体"/>
          <w:b w:val="0"/>
          <w:color w:val="000000"/>
          <w:sz w:val="24"/>
          <w:szCs w:val="24"/>
          <w:highlight w:val="none"/>
        </w:rPr>
        <w:t>0.8暂列金额</w:t>
      </w:r>
      <w:bookmarkEnd w:id="264"/>
    </w:p>
    <w:bookmarkEnd w:id="265"/>
    <w:p w14:paraId="687CC57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暂列金额应按照发包人的要求使用，发包人的要求应通过监理人发出。</w:t>
      </w:r>
      <w:r>
        <w:rPr>
          <w:rFonts w:hint="eastAsia" w:ascii="宋体" w:hAnsi="宋体"/>
          <w:color w:val="000000"/>
          <w:kern w:val="0"/>
          <w:sz w:val="24"/>
          <w:szCs w:val="24"/>
          <w:highlight w:val="none"/>
        </w:rPr>
        <w:t>合同当事人可以在专用合同条款中协商确定有关事项。</w:t>
      </w:r>
    </w:p>
    <w:bookmarkEnd w:id="266"/>
    <w:bookmarkEnd w:id="267"/>
    <w:bookmarkEnd w:id="268"/>
    <w:p w14:paraId="15B0896D">
      <w:pPr>
        <w:pStyle w:val="8"/>
        <w:spacing w:before="120" w:after="120" w:line="360" w:lineRule="auto"/>
        <w:ind w:firstLine="480" w:firstLineChars="200"/>
        <w:rPr>
          <w:rFonts w:ascii="宋体" w:hAnsi="宋体"/>
          <w:b w:val="0"/>
          <w:color w:val="000000"/>
          <w:sz w:val="24"/>
          <w:szCs w:val="24"/>
          <w:highlight w:val="none"/>
        </w:rPr>
      </w:pPr>
      <w:bookmarkStart w:id="269" w:name="_Toc351203576"/>
      <w:r>
        <w:rPr>
          <w:rFonts w:ascii="宋体" w:hAnsi="宋体"/>
          <w:b w:val="0"/>
          <w:color w:val="000000"/>
          <w:sz w:val="24"/>
          <w:szCs w:val="24"/>
          <w:highlight w:val="none"/>
        </w:rPr>
        <w:t>1</w:t>
      </w:r>
      <w:bookmarkStart w:id="270" w:name="_Toc296346592"/>
      <w:bookmarkStart w:id="271" w:name="_Toc296503091"/>
      <w:bookmarkStart w:id="272" w:name="_Toc337558796"/>
      <w:r>
        <w:rPr>
          <w:rFonts w:ascii="宋体" w:hAnsi="宋体"/>
          <w:b w:val="0"/>
          <w:color w:val="000000"/>
          <w:sz w:val="24"/>
          <w:szCs w:val="24"/>
          <w:highlight w:val="none"/>
        </w:rPr>
        <w:t>0.9计日工</w:t>
      </w:r>
      <w:bookmarkEnd w:id="269"/>
      <w:r>
        <w:rPr>
          <w:rFonts w:ascii="宋体" w:hAnsi="宋体"/>
          <w:b w:val="0"/>
          <w:color w:val="000000"/>
          <w:sz w:val="24"/>
          <w:szCs w:val="24"/>
          <w:highlight w:val="none"/>
        </w:rPr>
        <w:t xml:space="preserve"> </w:t>
      </w:r>
      <w:bookmarkEnd w:id="270"/>
      <w:bookmarkEnd w:id="271"/>
      <w:bookmarkEnd w:id="272"/>
    </w:p>
    <w:p w14:paraId="3094E59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需要采用计日工方式的，经发包人同意后</w:t>
      </w:r>
      <w:r>
        <w:rPr>
          <w:rFonts w:ascii="宋体" w:hAnsi="宋体"/>
          <w:color w:val="000000"/>
          <w:kern w:val="0"/>
          <w:sz w:val="24"/>
          <w:szCs w:val="24"/>
          <w:highlight w:val="none"/>
        </w:rPr>
        <w:t>，由监理人通知承包人以计日工计价方式实施</w:t>
      </w:r>
      <w:r>
        <w:rPr>
          <w:rFonts w:hint="eastAsia" w:ascii="宋体" w:hAnsi="宋体"/>
          <w:color w:val="000000"/>
          <w:kern w:val="0"/>
          <w:sz w:val="24"/>
          <w:szCs w:val="24"/>
          <w:highlight w:val="none"/>
        </w:rPr>
        <w:t>相应</w:t>
      </w:r>
      <w:r>
        <w:rPr>
          <w:rFonts w:ascii="宋体" w:hAnsi="宋体"/>
          <w:color w:val="000000"/>
          <w:kern w:val="0"/>
          <w:sz w:val="24"/>
          <w:szCs w:val="24"/>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确定</w:t>
      </w:r>
      <w:r>
        <w:rPr>
          <w:rFonts w:hint="eastAsia" w:ascii="宋体" w:hAnsi="宋体"/>
          <w:color w:val="000000"/>
          <w:kern w:val="0"/>
          <w:sz w:val="24"/>
          <w:szCs w:val="24"/>
          <w:highlight w:val="none"/>
        </w:rPr>
        <w:t>计日工</w:t>
      </w:r>
      <w:r>
        <w:rPr>
          <w:rFonts w:ascii="宋体" w:hAnsi="宋体"/>
          <w:color w:val="000000"/>
          <w:kern w:val="0"/>
          <w:sz w:val="24"/>
          <w:szCs w:val="24"/>
          <w:highlight w:val="none"/>
        </w:rPr>
        <w:t>的单价。</w:t>
      </w:r>
    </w:p>
    <w:p w14:paraId="5B3917F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采用计日工计价的任何一项工作，承包人应在该项工作实施过程中，每天提交以下报表和有关凭证报送监理人审查：</w:t>
      </w:r>
    </w:p>
    <w:p w14:paraId="38594276">
      <w:pPr>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（1）工作名称、内容和数量；</w:t>
      </w:r>
    </w:p>
    <w:p w14:paraId="535779A4">
      <w:pPr>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（2）投入该工作的所有人员的姓名、专业、工种、级别和耗用工时；</w:t>
      </w:r>
    </w:p>
    <w:p w14:paraId="5DE25B13">
      <w:pPr>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（3）投入该工作的材料类别和数量；</w:t>
      </w:r>
    </w:p>
    <w:p w14:paraId="4FCCC137">
      <w:pPr>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（4）投入该工作的施工设备型号、台数和耗用台时；</w:t>
      </w:r>
    </w:p>
    <w:p w14:paraId="7D1D4899">
      <w:pPr>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（5）其他有关资料和凭证。</w:t>
      </w:r>
    </w:p>
    <w:p w14:paraId="67770BD1">
      <w:pPr>
        <w:spacing w:line="360" w:lineRule="auto"/>
        <w:ind w:firstLine="360" w:firstLineChars="150"/>
        <w:jc w:val="left"/>
        <w:rPr>
          <w:rFonts w:ascii="宋体" w:hAnsi="宋体"/>
          <w:color w:val="000000"/>
          <w:kern w:val="0"/>
          <w:sz w:val="24"/>
          <w:szCs w:val="24"/>
          <w:highlight w:val="none"/>
        </w:rPr>
      </w:pPr>
      <w:r>
        <w:rPr>
          <w:rFonts w:ascii="宋体" w:hAnsi="宋体"/>
          <w:color w:val="000000"/>
          <w:kern w:val="0"/>
          <w:sz w:val="24"/>
          <w:szCs w:val="24"/>
          <w:highlight w:val="none"/>
        </w:rPr>
        <w:t xml:space="preserve"> 计日工由承包人汇总后，列入最近一期进度付款申请单，由监理人审查并经发包人批准后列入进度付款。</w:t>
      </w:r>
    </w:p>
    <w:p w14:paraId="5D0D430A">
      <w:pPr>
        <w:pStyle w:val="7"/>
        <w:spacing w:before="120" w:after="120" w:line="360" w:lineRule="auto"/>
        <w:rPr>
          <w:rFonts w:ascii="宋体" w:hAnsi="宋体"/>
          <w:b w:val="0"/>
          <w:color w:val="000000"/>
          <w:szCs w:val="24"/>
          <w:highlight w:val="none"/>
        </w:rPr>
      </w:pPr>
      <w:bookmarkStart w:id="273" w:name="_Toc351203577"/>
      <w:r>
        <w:rPr>
          <w:rFonts w:ascii="宋体" w:hAnsi="宋体"/>
          <w:b w:val="0"/>
          <w:color w:val="000000"/>
          <w:szCs w:val="24"/>
          <w:highlight w:val="none"/>
        </w:rPr>
        <w:t>11. 价格调整</w:t>
      </w:r>
      <w:bookmarkEnd w:id="273"/>
    </w:p>
    <w:p w14:paraId="60D1C8F9">
      <w:pPr>
        <w:pStyle w:val="8"/>
        <w:spacing w:before="120" w:after="120" w:line="360" w:lineRule="auto"/>
        <w:ind w:firstLine="480" w:firstLineChars="200"/>
        <w:rPr>
          <w:rFonts w:ascii="宋体" w:hAnsi="宋体"/>
          <w:b w:val="0"/>
          <w:color w:val="000000"/>
          <w:sz w:val="24"/>
          <w:szCs w:val="24"/>
          <w:highlight w:val="none"/>
        </w:rPr>
      </w:pPr>
      <w:bookmarkStart w:id="274" w:name="_Toc351203578"/>
      <w:bookmarkStart w:id="275" w:name="_Toc337558797"/>
      <w:bookmarkStart w:id="276" w:name="_Toc296503092"/>
      <w:bookmarkStart w:id="277" w:name="_Toc296346593"/>
      <w:r>
        <w:rPr>
          <w:rFonts w:ascii="宋体" w:hAnsi="宋体"/>
          <w:b w:val="0"/>
          <w:color w:val="000000"/>
          <w:sz w:val="24"/>
          <w:szCs w:val="24"/>
          <w:highlight w:val="none"/>
        </w:rPr>
        <w:t>11.1市场价格波动引起的调整</w:t>
      </w:r>
      <w:bookmarkEnd w:id="274"/>
    </w:p>
    <w:bookmarkEnd w:id="275"/>
    <w:bookmarkEnd w:id="276"/>
    <w:bookmarkEnd w:id="277"/>
    <w:p w14:paraId="6B17D95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0CF9B32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第1种方式：采用价格指数</w:t>
      </w:r>
      <w:r>
        <w:rPr>
          <w:rFonts w:hint="eastAsia" w:ascii="宋体" w:hAnsi="宋体"/>
          <w:color w:val="000000"/>
          <w:sz w:val="24"/>
          <w:szCs w:val="24"/>
          <w:highlight w:val="none"/>
        </w:rPr>
        <w:t>进行价格</w:t>
      </w:r>
      <w:r>
        <w:rPr>
          <w:rFonts w:ascii="宋体" w:hAnsi="宋体"/>
          <w:color w:val="000000"/>
          <w:sz w:val="24"/>
          <w:szCs w:val="24"/>
          <w:highlight w:val="none"/>
        </w:rPr>
        <w:t>调整。</w:t>
      </w:r>
    </w:p>
    <w:p w14:paraId="6259A844">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（1）价格调整公式</w:t>
      </w:r>
    </w:p>
    <w:p w14:paraId="24992A26">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因人工、材料和设备等价格波动影响合同价格时，根据专用合同条款中约定的数据，按以下公式计算差额并调整合同价格：</w:t>
      </w:r>
    </w:p>
    <w:p w14:paraId="22F2A76F">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hint="eastAsia" w:ascii="宋体" w:hAnsi="宋体"/>
          <w:color w:val="000000"/>
          <w:position w:val="-30"/>
          <w:sz w:val="24"/>
          <w:szCs w:val="24"/>
          <w:highlight w:val="none"/>
        </w:rPr>
        <w:object>
          <v:shape id="_x0000_i1025" o:spt="75" type="#_x0000_t75" style="height:46.3pt;width:360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520E0692">
      <w:pPr>
        <w:tabs>
          <w:tab w:val="left" w:pos="0"/>
          <w:tab w:val="left" w:pos="360"/>
          <w:tab w:val="left" w:pos="540"/>
        </w:tabs>
        <w:spacing w:line="360" w:lineRule="auto"/>
        <w:ind w:firstLine="640"/>
        <w:rPr>
          <w:rFonts w:ascii="宋体" w:hAnsi="宋体"/>
          <w:color w:val="000000"/>
          <w:sz w:val="24"/>
          <w:szCs w:val="24"/>
          <w:highlight w:val="none"/>
        </w:rPr>
      </w:pPr>
      <w:r>
        <w:rPr>
          <w:rFonts w:ascii="宋体" w:hAnsi="宋体"/>
          <w:color w:val="000000"/>
          <w:sz w:val="24"/>
          <w:szCs w:val="24"/>
          <w:highlight w:val="none"/>
        </w:rPr>
        <w:t>公式中：ΔP——需调整的价格差额；</w:t>
      </w:r>
    </w:p>
    <w:p w14:paraId="7F1EE02F">
      <w:pPr>
        <w:tabs>
          <w:tab w:val="left" w:pos="0"/>
          <w:tab w:val="left" w:pos="360"/>
          <w:tab w:val="left" w:pos="540"/>
        </w:tabs>
        <w:spacing w:line="360" w:lineRule="auto"/>
        <w:ind w:firstLine="1440" w:firstLineChars="600"/>
        <w:rPr>
          <w:rFonts w:ascii="宋体" w:hAnsi="宋体"/>
          <w:color w:val="000000"/>
          <w:sz w:val="24"/>
          <w:szCs w:val="24"/>
          <w:highlight w:val="none"/>
        </w:rPr>
      </w:pPr>
      <w:r>
        <w:rPr>
          <w:rFonts w:ascii="宋体" w:hAnsi="宋体"/>
          <w:color w:val="000000"/>
          <w:position w:val="-6"/>
          <w:sz w:val="24"/>
          <w:szCs w:val="24"/>
          <w:highlight w:val="none"/>
        </w:rPr>
        <w:object>
          <v:shape id="_x0000_i1026" o:spt="75" type="#_x0000_t75" style="height:15.45pt;width:15.4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ascii="宋体" w:hAnsi="宋体"/>
          <w:color w:val="00000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E8B6069">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A——定值权重（即不调部分的权重）；</w:t>
      </w:r>
    </w:p>
    <w:p w14:paraId="23FE875E">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position w:val="-10"/>
          <w:sz w:val="24"/>
          <w:szCs w:val="24"/>
          <w:highlight w:val="none"/>
        </w:rPr>
        <w:object>
          <v:shape id="_x0000_i1027" o:spt="75" type="#_x0000_t75" style="height:20.55pt;width:102.8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ascii="宋体" w:hAnsi="宋体"/>
          <w:color w:val="000000"/>
          <w:sz w:val="24"/>
          <w:szCs w:val="24"/>
          <w:highlight w:val="none"/>
        </w:rPr>
        <w:t>——各可调因子的变值权重（即可调部分的权重），为各可调因子在签约合同价中所占的比例；</w:t>
      </w:r>
    </w:p>
    <w:p w14:paraId="769BF836">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position w:val="-10"/>
          <w:sz w:val="24"/>
          <w:szCs w:val="24"/>
          <w:highlight w:val="none"/>
        </w:rPr>
        <w:object>
          <v:shape id="_x0000_i1028" o:spt="75" type="#_x0000_t75" style="height:20.55pt;width:102.8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ascii="宋体" w:hAnsi="宋体"/>
          <w:color w:val="000000"/>
          <w:sz w:val="24"/>
          <w:szCs w:val="24"/>
          <w:highlight w:val="none"/>
        </w:rPr>
        <w:t>——各可调因子的现行价格指数，指约定的付款证书相关周期最后一天的前42天的各可调因子的价格指数；</w:t>
      </w:r>
    </w:p>
    <w:p w14:paraId="588E325E">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position w:val="-10"/>
          <w:sz w:val="24"/>
          <w:szCs w:val="24"/>
          <w:highlight w:val="none"/>
        </w:rPr>
        <w:object>
          <v:shape id="_x0000_i1029" o:spt="75" type="#_x0000_t75" style="height:20.55pt;width:108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ascii="宋体" w:hAnsi="宋体"/>
          <w:color w:val="000000"/>
          <w:sz w:val="24"/>
          <w:szCs w:val="24"/>
          <w:highlight w:val="none"/>
        </w:rPr>
        <w:t>——各可调因子的基本价格指数，指基准日期的各可调因子的价格指数。</w:t>
      </w:r>
    </w:p>
    <w:p w14:paraId="622F18A3">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以上价格调整公式中的各可调因子、定值和变值权重，以及基本价格指数及其来源在报价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3D112E9">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（2）暂时确定调整差额</w:t>
      </w:r>
    </w:p>
    <w:p w14:paraId="46CF4B7D">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在计算调整差额时无现行价格指数的，合同当事人同意暂用前次价格指数计算。实际价格指数有调整的，合同当事人进行相应调整。</w:t>
      </w:r>
    </w:p>
    <w:p w14:paraId="198FC1E5">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（3）权重的调整</w:t>
      </w:r>
    </w:p>
    <w:p w14:paraId="3B0E2C9B">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因变更导致合同约定的权重不合理时，按照第4.4款</w:t>
      </w:r>
      <w:r>
        <w:rPr>
          <w:rFonts w:hint="eastAsia" w:ascii="宋体" w:hAnsi="宋体"/>
          <w:color w:val="000000"/>
          <w:sz w:val="24"/>
          <w:szCs w:val="24"/>
          <w:highlight w:val="none"/>
        </w:rPr>
        <w:t>〔</w:t>
      </w:r>
      <w:r>
        <w:rPr>
          <w:rFonts w:ascii="宋体" w:hAnsi="宋体"/>
          <w:color w:val="000000"/>
          <w:sz w:val="24"/>
          <w:szCs w:val="24"/>
          <w:highlight w:val="none"/>
        </w:rPr>
        <w:t>商定或确定</w:t>
      </w:r>
      <w:r>
        <w:rPr>
          <w:rFonts w:hint="eastAsia" w:ascii="宋体" w:hAnsi="宋体"/>
          <w:color w:val="000000"/>
          <w:sz w:val="24"/>
          <w:szCs w:val="24"/>
          <w:highlight w:val="none"/>
        </w:rPr>
        <w:t>〕</w:t>
      </w:r>
      <w:r>
        <w:rPr>
          <w:rFonts w:ascii="宋体" w:hAnsi="宋体"/>
          <w:color w:val="000000"/>
          <w:sz w:val="24"/>
          <w:szCs w:val="24"/>
          <w:highlight w:val="none"/>
        </w:rPr>
        <w:t>执行。</w:t>
      </w:r>
    </w:p>
    <w:p w14:paraId="29D21BEA">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（4）因承包人原因工期延误后的价格调整</w:t>
      </w:r>
    </w:p>
    <w:p w14:paraId="7C859F2B">
      <w:pPr>
        <w:tabs>
          <w:tab w:val="left" w:pos="0"/>
          <w:tab w:val="left" w:pos="360"/>
          <w:tab w:val="left" w:pos="540"/>
        </w:tabs>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D38398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第2种方式：采用造价信息</w:t>
      </w:r>
      <w:r>
        <w:rPr>
          <w:rFonts w:hint="eastAsia" w:ascii="宋体" w:hAnsi="宋体"/>
          <w:color w:val="000000"/>
          <w:sz w:val="24"/>
          <w:szCs w:val="24"/>
          <w:highlight w:val="none"/>
        </w:rPr>
        <w:t>进行价格</w:t>
      </w:r>
      <w:r>
        <w:rPr>
          <w:rFonts w:ascii="宋体" w:hAnsi="宋体"/>
          <w:color w:val="000000"/>
          <w:sz w:val="24"/>
          <w:szCs w:val="24"/>
          <w:highlight w:val="none"/>
        </w:rPr>
        <w:t>调整。</w:t>
      </w:r>
    </w:p>
    <w:p w14:paraId="61046C5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 w:val="24"/>
          <w:szCs w:val="24"/>
          <w:highlight w:val="none"/>
        </w:rPr>
        <w:t>量</w:t>
      </w:r>
      <w:r>
        <w:rPr>
          <w:rFonts w:ascii="宋体" w:hAnsi="宋体"/>
          <w:color w:val="000000"/>
          <w:sz w:val="24"/>
          <w:szCs w:val="24"/>
          <w:highlight w:val="none"/>
        </w:rPr>
        <w:t>应由发包人审批，发包人确认需调整的材料单价及数量，作为调整合同价格的依据。</w:t>
      </w:r>
    </w:p>
    <w:p w14:paraId="01BC9C6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BC8AC4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（2）材料、工程设备价格变化的价款调整按照发包人提供的基准价格，按以下风险范围规定执行:</w:t>
      </w:r>
    </w:p>
    <w:p w14:paraId="1C85F49E">
      <w:pP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highlight w:val="none"/>
        </w:rPr>
        <w:t>①</w:t>
      </w:r>
      <w:r>
        <w:rPr>
          <w:rFonts w:ascii="宋体" w:hAnsi="宋体"/>
          <w:color w:val="000000"/>
          <w:sz w:val="24"/>
          <w:szCs w:val="24"/>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A060D31">
      <w:pP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highlight w:val="none"/>
        </w:rPr>
        <w:t>②</w:t>
      </w:r>
      <w:r>
        <w:rPr>
          <w:rFonts w:ascii="宋体" w:hAnsi="宋体"/>
          <w:color w:val="000000"/>
          <w:sz w:val="24"/>
          <w:szCs w:val="24"/>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534E8B1">
      <w:pP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highlight w:val="none"/>
        </w:rPr>
        <w:t>③</w:t>
      </w:r>
      <w:r>
        <w:rPr>
          <w:rFonts w:ascii="宋体" w:hAnsi="宋体"/>
          <w:color w:val="000000"/>
          <w:sz w:val="24"/>
          <w:szCs w:val="24"/>
          <w:highlight w:val="none"/>
        </w:rPr>
        <w:t>承包人在已标价工程量清单或预算书中载明材料单价等于基准价格的：除专用合同条款另有约定外，合同履行期间材料单价涨跌幅以基准价格为基础超过±5%时，其超过部分据实调整。</w:t>
      </w:r>
    </w:p>
    <w:p w14:paraId="49CFAA9D">
      <w:pPr>
        <w:spacing w:line="360" w:lineRule="auto"/>
        <w:ind w:firstLine="480" w:firstLineChars="200"/>
        <w:rPr>
          <w:rFonts w:ascii="宋体" w:hAnsi="宋体"/>
          <w:color w:val="000000"/>
          <w:sz w:val="24"/>
          <w:szCs w:val="24"/>
          <w:highlight w:val="none"/>
        </w:rPr>
      </w:pPr>
      <w:r>
        <w:rPr>
          <w:rFonts w:hint="eastAsia" w:ascii="宋体" w:hAnsi="宋体" w:cs="宋体"/>
          <w:color w:val="000000"/>
          <w:sz w:val="24"/>
          <w:szCs w:val="24"/>
          <w:highlight w:val="none"/>
        </w:rPr>
        <w:t>④</w:t>
      </w:r>
      <w:r>
        <w:rPr>
          <w:rFonts w:ascii="宋体" w:hAnsi="宋体"/>
          <w:color w:val="000000"/>
          <w:sz w:val="24"/>
          <w:szCs w:val="24"/>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ED11A7C">
      <w:pPr>
        <w:spacing w:line="360" w:lineRule="auto"/>
        <w:ind w:firstLine="480" w:firstLineChars="200"/>
        <w:rPr>
          <w:rFonts w:ascii="宋体" w:hAnsi="宋体"/>
          <w:color w:val="000000"/>
          <w:sz w:val="24"/>
          <w:szCs w:val="24"/>
          <w:highlight w:val="none"/>
        </w:rPr>
      </w:pPr>
      <w:bookmarkStart w:id="278" w:name="OLE_LINK3"/>
      <w:r>
        <w:rPr>
          <w:rFonts w:ascii="宋体" w:hAnsi="宋体"/>
          <w:color w:val="000000"/>
          <w:sz w:val="24"/>
          <w:szCs w:val="24"/>
          <w:highlight w:val="none"/>
        </w:rPr>
        <w:t>前述基准价格是指由发包人在谈判文件或专用合同条款中给定的材料、工程设备的价格，该价格原则上应当按照省级或行业建设主管部门或其授权的工程造价管理机构发布的信息价编制。</w:t>
      </w:r>
    </w:p>
    <w:p w14:paraId="76F1CB8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（3）施工机械台班单价或施工机械使用费发生变化超过省级或行业建设主管部门或其授权的工程造价管理机构规定的范围时，按规定调整合同价格。</w:t>
      </w:r>
    </w:p>
    <w:p w14:paraId="3519FAF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第3种方式：专用合同条款约定的其他方式。</w:t>
      </w:r>
    </w:p>
    <w:p w14:paraId="40BED357">
      <w:pPr>
        <w:pStyle w:val="8"/>
        <w:spacing w:before="120" w:after="120" w:line="360" w:lineRule="auto"/>
        <w:ind w:firstLine="480" w:firstLineChars="200"/>
        <w:rPr>
          <w:rFonts w:ascii="宋体" w:hAnsi="宋体"/>
          <w:b w:val="0"/>
          <w:color w:val="000000"/>
          <w:sz w:val="24"/>
          <w:szCs w:val="24"/>
          <w:highlight w:val="none"/>
        </w:rPr>
      </w:pPr>
      <w:bookmarkStart w:id="279" w:name="_Toc351203579"/>
      <w:bookmarkStart w:id="280" w:name="_Toc296346594"/>
      <w:bookmarkStart w:id="281" w:name="_Toc337558798"/>
      <w:bookmarkStart w:id="282" w:name="_Toc296503093"/>
      <w:r>
        <w:rPr>
          <w:rFonts w:ascii="宋体" w:hAnsi="宋体"/>
          <w:b w:val="0"/>
          <w:color w:val="000000"/>
          <w:sz w:val="24"/>
          <w:szCs w:val="24"/>
          <w:highlight w:val="none"/>
        </w:rPr>
        <w:t>11.2法律变化引起的调整</w:t>
      </w:r>
      <w:bookmarkEnd w:id="279"/>
    </w:p>
    <w:bookmarkEnd w:id="280"/>
    <w:bookmarkEnd w:id="281"/>
    <w:bookmarkEnd w:id="282"/>
    <w:p w14:paraId="73BE8E1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基准日</w:t>
      </w:r>
      <w:r>
        <w:rPr>
          <w:rFonts w:hint="eastAsia" w:ascii="宋体" w:hAnsi="宋体"/>
          <w:color w:val="000000"/>
          <w:sz w:val="24"/>
          <w:szCs w:val="24"/>
          <w:highlight w:val="none"/>
        </w:rPr>
        <w:t>期</w:t>
      </w:r>
      <w:r>
        <w:rPr>
          <w:rFonts w:ascii="宋体" w:hAnsi="宋体"/>
          <w:color w:val="000000"/>
          <w:sz w:val="24"/>
          <w:szCs w:val="24"/>
          <w:highlight w:val="none"/>
        </w:rPr>
        <w:t>后，法律变化</w:t>
      </w:r>
      <w:r>
        <w:rPr>
          <w:rFonts w:hint="eastAsia" w:ascii="宋体" w:hAnsi="宋体"/>
          <w:color w:val="000000"/>
          <w:sz w:val="24"/>
          <w:szCs w:val="24"/>
          <w:highlight w:val="none"/>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 w:val="24"/>
          <w:szCs w:val="24"/>
          <w:highlight w:val="none"/>
        </w:rPr>
        <w:t>基准日</w:t>
      </w:r>
      <w:r>
        <w:rPr>
          <w:rFonts w:hint="eastAsia" w:ascii="宋体" w:hAnsi="宋体"/>
          <w:color w:val="000000"/>
          <w:sz w:val="24"/>
          <w:szCs w:val="24"/>
          <w:highlight w:val="none"/>
        </w:rPr>
        <w:t>期</w:t>
      </w:r>
      <w:r>
        <w:rPr>
          <w:rFonts w:ascii="宋体" w:hAnsi="宋体"/>
          <w:color w:val="000000"/>
          <w:sz w:val="24"/>
          <w:szCs w:val="24"/>
          <w:highlight w:val="none"/>
        </w:rPr>
        <w:t>后，</w:t>
      </w:r>
      <w:r>
        <w:rPr>
          <w:rFonts w:hint="eastAsia" w:ascii="宋体" w:hAnsi="宋体"/>
          <w:color w:val="000000"/>
          <w:sz w:val="24"/>
          <w:szCs w:val="24"/>
          <w:highlight w:val="none"/>
        </w:rPr>
        <w:t>因</w:t>
      </w:r>
      <w:r>
        <w:rPr>
          <w:rFonts w:ascii="宋体" w:hAnsi="宋体"/>
          <w:color w:val="000000"/>
          <w:sz w:val="24"/>
          <w:szCs w:val="24"/>
          <w:highlight w:val="none"/>
        </w:rPr>
        <w:t>法律变化</w:t>
      </w:r>
      <w:r>
        <w:rPr>
          <w:rFonts w:hint="eastAsia" w:ascii="宋体" w:hAnsi="宋体"/>
          <w:color w:val="000000"/>
          <w:sz w:val="24"/>
          <w:szCs w:val="24"/>
          <w:highlight w:val="none"/>
        </w:rPr>
        <w:t>造成工期延误时，工期应予以顺延。</w:t>
      </w:r>
    </w:p>
    <w:p w14:paraId="705EE2BF">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因法律变化引起的合同价格和工期调整，合同当事人无法达成一致的，由总监理工程师按第4.4款〔商定或确定〕的约定处理。</w:t>
      </w:r>
    </w:p>
    <w:p w14:paraId="032DAF1A">
      <w:pPr>
        <w:spacing w:line="360" w:lineRule="auto"/>
        <w:ind w:firstLine="480" w:firstLineChars="200"/>
        <w:rPr>
          <w:rFonts w:ascii="宋体" w:hAnsi="宋体"/>
          <w:color w:val="000000"/>
          <w:sz w:val="24"/>
          <w:szCs w:val="24"/>
          <w:highlight w:val="none"/>
        </w:rPr>
      </w:pPr>
      <w:r>
        <w:rPr>
          <w:rFonts w:ascii="宋体" w:hAnsi="宋体"/>
          <w:color w:val="000000"/>
          <w:kern w:val="0"/>
          <w:sz w:val="24"/>
          <w:szCs w:val="24"/>
          <w:highlight w:val="none"/>
        </w:rPr>
        <w:t>因承包人原因造成工期延误，在工期延误期间出现法律变化的，由此增加的费用和（或）延误的工期由承包人承担。</w:t>
      </w:r>
    </w:p>
    <w:p w14:paraId="0AA339B6">
      <w:pPr>
        <w:pStyle w:val="7"/>
        <w:spacing w:before="120" w:after="120" w:line="360" w:lineRule="auto"/>
        <w:rPr>
          <w:rFonts w:ascii="宋体" w:hAnsi="宋体"/>
          <w:b w:val="0"/>
          <w:color w:val="000000"/>
          <w:szCs w:val="24"/>
          <w:highlight w:val="none"/>
        </w:rPr>
      </w:pPr>
      <w:bookmarkStart w:id="283" w:name="_Toc351203580"/>
      <w:bookmarkStart w:id="284" w:name="_Toc337558799"/>
      <w:bookmarkStart w:id="285" w:name="_Toc296503096"/>
      <w:bookmarkStart w:id="286" w:name="_Toc296346597"/>
      <w:r>
        <w:rPr>
          <w:rFonts w:ascii="宋体" w:hAnsi="宋体"/>
          <w:b w:val="0"/>
          <w:color w:val="000000"/>
          <w:szCs w:val="24"/>
          <w:highlight w:val="none"/>
        </w:rPr>
        <w:t>12. 合同价格、计量与支付</w:t>
      </w:r>
      <w:bookmarkEnd w:id="283"/>
    </w:p>
    <w:bookmarkEnd w:id="284"/>
    <w:p w14:paraId="32E9B69D">
      <w:pPr>
        <w:pStyle w:val="8"/>
        <w:spacing w:before="120" w:after="120" w:line="360" w:lineRule="auto"/>
        <w:ind w:firstLine="480" w:firstLineChars="200"/>
        <w:rPr>
          <w:rFonts w:ascii="宋体" w:hAnsi="宋体"/>
          <w:b w:val="0"/>
          <w:color w:val="000000"/>
          <w:sz w:val="24"/>
          <w:szCs w:val="24"/>
          <w:highlight w:val="none"/>
        </w:rPr>
      </w:pPr>
      <w:bookmarkStart w:id="287" w:name="_Toc351203581"/>
      <w:bookmarkStart w:id="288" w:name="_Toc337558800"/>
      <w:r>
        <w:rPr>
          <w:rFonts w:ascii="宋体" w:hAnsi="宋体"/>
          <w:b w:val="0"/>
          <w:color w:val="000000"/>
          <w:sz w:val="24"/>
          <w:szCs w:val="24"/>
          <w:highlight w:val="none"/>
        </w:rPr>
        <w:t>12.1 合同价</w:t>
      </w:r>
      <w:bookmarkEnd w:id="285"/>
      <w:bookmarkEnd w:id="286"/>
      <w:r>
        <w:rPr>
          <w:rFonts w:ascii="宋体" w:hAnsi="宋体"/>
          <w:b w:val="0"/>
          <w:color w:val="000000"/>
          <w:sz w:val="24"/>
          <w:szCs w:val="24"/>
          <w:highlight w:val="none"/>
        </w:rPr>
        <w:t>格形式</w:t>
      </w:r>
      <w:bookmarkEnd w:id="287"/>
    </w:p>
    <w:bookmarkEnd w:id="288"/>
    <w:p w14:paraId="4B0F780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发包人和承包人应在合同协议书中</w:t>
      </w:r>
      <w:r>
        <w:rPr>
          <w:rFonts w:hint="eastAsia" w:ascii="宋体" w:hAnsi="宋体"/>
          <w:color w:val="000000"/>
          <w:kern w:val="0"/>
          <w:sz w:val="24"/>
          <w:szCs w:val="24"/>
          <w:highlight w:val="none"/>
        </w:rPr>
        <w:t>选择</w:t>
      </w:r>
      <w:r>
        <w:rPr>
          <w:rFonts w:ascii="宋体" w:hAnsi="宋体"/>
          <w:color w:val="000000"/>
          <w:kern w:val="0"/>
          <w:sz w:val="24"/>
          <w:szCs w:val="24"/>
          <w:highlight w:val="none"/>
        </w:rPr>
        <w:t xml:space="preserve">下列一种合同价格形式： </w:t>
      </w:r>
    </w:p>
    <w:p w14:paraId="2B7D38D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单价合同</w:t>
      </w:r>
    </w:p>
    <w:p w14:paraId="7DFA756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单价合同是指合同当事人约定以工程量清单及其综合单价进行合同价格计算、调整和确认的建设工程施工合同，</w:t>
      </w:r>
      <w:r>
        <w:rPr>
          <w:rFonts w:ascii="宋体" w:hAnsi="宋体"/>
          <w:sz w:val="24"/>
          <w:szCs w:val="24"/>
          <w:highlight w:val="none"/>
        </w:rPr>
        <w:t>在约定的范围内合同单价不作调整</w:t>
      </w:r>
      <w:r>
        <w:rPr>
          <w:rFonts w:ascii="宋体" w:hAnsi="宋体"/>
          <w:color w:val="000000"/>
          <w:kern w:val="0"/>
          <w:sz w:val="24"/>
          <w:szCs w:val="24"/>
          <w:highlight w:val="none"/>
        </w:rPr>
        <w:t>。合同当事人应在专用合同条款中约定综合单价包含的风险范围和风险费用的计算方法</w:t>
      </w:r>
      <w:r>
        <w:rPr>
          <w:rFonts w:ascii="宋体" w:hAnsi="宋体"/>
          <w:sz w:val="24"/>
          <w:szCs w:val="24"/>
          <w:highlight w:val="none"/>
        </w:rPr>
        <w:t>，</w:t>
      </w:r>
      <w:r>
        <w:rPr>
          <w:rFonts w:ascii="宋体" w:hAnsi="宋体"/>
          <w:color w:val="000000"/>
          <w:kern w:val="0"/>
          <w:sz w:val="24"/>
          <w:szCs w:val="24"/>
          <w:highlight w:val="none"/>
        </w:rPr>
        <w:t>并约定风险范围以外的合同价格的调整方法，其中因市场价格波动引起的调整按第11.1款</w:t>
      </w:r>
      <w:r>
        <w:rPr>
          <w:rFonts w:hint="eastAsia" w:ascii="宋体" w:hAnsi="宋体"/>
          <w:color w:val="000000"/>
          <w:kern w:val="0"/>
          <w:sz w:val="24"/>
          <w:szCs w:val="24"/>
          <w:highlight w:val="none"/>
        </w:rPr>
        <w:t>〔</w:t>
      </w:r>
      <w:r>
        <w:rPr>
          <w:rFonts w:ascii="宋体" w:hAnsi="宋体"/>
          <w:color w:val="000000"/>
          <w:kern w:val="0"/>
          <w:sz w:val="24"/>
          <w:szCs w:val="24"/>
          <w:highlight w:val="none"/>
        </w:rPr>
        <w:t>市场价格波动引起的调整</w:t>
      </w:r>
      <w:r>
        <w:rPr>
          <w:rFonts w:hint="eastAsia" w:ascii="宋体" w:hAnsi="宋体"/>
          <w:color w:val="000000"/>
          <w:kern w:val="0"/>
          <w:sz w:val="24"/>
          <w:szCs w:val="24"/>
          <w:highlight w:val="none"/>
        </w:rPr>
        <w:t>〕</w:t>
      </w:r>
      <w:r>
        <w:rPr>
          <w:rFonts w:ascii="宋体" w:hAnsi="宋体"/>
          <w:color w:val="000000"/>
          <w:kern w:val="0"/>
          <w:sz w:val="24"/>
          <w:szCs w:val="24"/>
          <w:highlight w:val="none"/>
        </w:rPr>
        <w:t>约定执行。</w:t>
      </w:r>
    </w:p>
    <w:p w14:paraId="0C7706C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总价合同</w:t>
      </w:r>
    </w:p>
    <w:p w14:paraId="4D4CAF3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总价合同是指合同当事人约定以施工图、已标价工程量清单或预算书及有关条件进行合同价格计算、调整和确认的建设工程施工合同，</w:t>
      </w:r>
      <w:r>
        <w:rPr>
          <w:rFonts w:ascii="宋体" w:hAnsi="宋体"/>
          <w:sz w:val="24"/>
          <w:szCs w:val="24"/>
          <w:highlight w:val="none"/>
        </w:rPr>
        <w:t>在约定的范围内合同总价不作调整</w:t>
      </w:r>
      <w:r>
        <w:rPr>
          <w:rFonts w:ascii="宋体" w:hAnsi="宋体"/>
          <w:color w:val="000000"/>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 w:val="24"/>
          <w:szCs w:val="24"/>
          <w:highlight w:val="none"/>
        </w:rPr>
        <w:t>〔</w:t>
      </w:r>
      <w:r>
        <w:rPr>
          <w:rFonts w:ascii="宋体" w:hAnsi="宋体"/>
          <w:color w:val="000000"/>
          <w:kern w:val="0"/>
          <w:sz w:val="24"/>
          <w:szCs w:val="24"/>
          <w:highlight w:val="none"/>
        </w:rPr>
        <w:t>市场价格波动引起的调整</w:t>
      </w:r>
      <w:r>
        <w:rPr>
          <w:rFonts w:hint="eastAsia" w:ascii="宋体" w:hAnsi="宋体"/>
          <w:color w:val="000000"/>
          <w:kern w:val="0"/>
          <w:sz w:val="24"/>
          <w:szCs w:val="24"/>
          <w:highlight w:val="none"/>
        </w:rPr>
        <w:t>〕</w:t>
      </w:r>
      <w:r>
        <w:rPr>
          <w:rFonts w:ascii="宋体" w:hAnsi="宋体"/>
          <w:color w:val="000000"/>
          <w:kern w:val="0"/>
          <w:sz w:val="24"/>
          <w:szCs w:val="24"/>
          <w:highlight w:val="none"/>
        </w:rPr>
        <w:t>、因法律变化引起的调整按第11.2款</w:t>
      </w:r>
      <w:r>
        <w:rPr>
          <w:rFonts w:hint="eastAsia" w:ascii="宋体" w:hAnsi="宋体"/>
          <w:color w:val="000000"/>
          <w:kern w:val="0"/>
          <w:sz w:val="24"/>
          <w:szCs w:val="24"/>
          <w:highlight w:val="none"/>
        </w:rPr>
        <w:t>〔</w:t>
      </w:r>
      <w:r>
        <w:rPr>
          <w:rFonts w:ascii="宋体" w:hAnsi="宋体"/>
          <w:color w:val="000000"/>
          <w:kern w:val="0"/>
          <w:sz w:val="24"/>
          <w:szCs w:val="24"/>
          <w:highlight w:val="none"/>
        </w:rPr>
        <w:t>法律变化引起的调整</w:t>
      </w:r>
      <w:r>
        <w:rPr>
          <w:rFonts w:hint="eastAsia" w:ascii="宋体" w:hAnsi="宋体"/>
          <w:color w:val="000000"/>
          <w:kern w:val="0"/>
          <w:sz w:val="24"/>
          <w:szCs w:val="24"/>
          <w:highlight w:val="none"/>
        </w:rPr>
        <w:t>〕</w:t>
      </w:r>
      <w:r>
        <w:rPr>
          <w:rFonts w:ascii="宋体" w:hAnsi="宋体"/>
          <w:color w:val="000000"/>
          <w:kern w:val="0"/>
          <w:sz w:val="24"/>
          <w:szCs w:val="24"/>
          <w:highlight w:val="none"/>
        </w:rPr>
        <w:t>约定执行。</w:t>
      </w:r>
    </w:p>
    <w:p w14:paraId="11EB2C3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w:t>
      </w:r>
      <w:r>
        <w:rPr>
          <w:rFonts w:ascii="宋体" w:hAnsi="宋体"/>
          <w:color w:val="000000"/>
          <w:kern w:val="0"/>
          <w:sz w:val="24"/>
          <w:szCs w:val="24"/>
          <w:highlight w:val="none"/>
        </w:rPr>
        <w:t>其它价格形式</w:t>
      </w:r>
    </w:p>
    <w:p w14:paraId="060C4C9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合同当事人可在专用合同条款中约定其他合同价格形式。</w:t>
      </w:r>
    </w:p>
    <w:p w14:paraId="20E40EEF">
      <w:pPr>
        <w:pStyle w:val="8"/>
        <w:spacing w:before="120" w:after="120" w:line="360" w:lineRule="auto"/>
        <w:ind w:firstLine="480" w:firstLineChars="200"/>
        <w:rPr>
          <w:rFonts w:ascii="宋体" w:hAnsi="宋体"/>
          <w:b w:val="0"/>
          <w:color w:val="000000"/>
          <w:sz w:val="24"/>
          <w:szCs w:val="24"/>
          <w:highlight w:val="none"/>
        </w:rPr>
      </w:pPr>
      <w:bookmarkStart w:id="289" w:name="_Toc296503097"/>
      <w:bookmarkStart w:id="290" w:name="_Toc296346598"/>
      <w:bookmarkStart w:id="291" w:name="_Toc351203582"/>
      <w:bookmarkStart w:id="292" w:name="_Toc337558801"/>
      <w:r>
        <w:rPr>
          <w:rFonts w:ascii="宋体" w:hAnsi="宋体"/>
          <w:b w:val="0"/>
          <w:color w:val="000000"/>
          <w:sz w:val="24"/>
          <w:szCs w:val="24"/>
          <w:highlight w:val="none"/>
        </w:rPr>
        <w:t>12.2预</w:t>
      </w:r>
      <w:bookmarkEnd w:id="289"/>
      <w:bookmarkEnd w:id="290"/>
      <w:bookmarkStart w:id="293" w:name="_Toc296346601"/>
      <w:bookmarkStart w:id="294" w:name="_Toc296503100"/>
      <w:r>
        <w:rPr>
          <w:rFonts w:ascii="宋体" w:hAnsi="宋体"/>
          <w:b w:val="0"/>
          <w:color w:val="000000"/>
          <w:sz w:val="24"/>
          <w:szCs w:val="24"/>
          <w:highlight w:val="none"/>
        </w:rPr>
        <w:t>付款</w:t>
      </w:r>
      <w:bookmarkEnd w:id="291"/>
    </w:p>
    <w:bookmarkEnd w:id="292"/>
    <w:bookmarkEnd w:id="293"/>
    <w:bookmarkEnd w:id="294"/>
    <w:p w14:paraId="681DAFE1">
      <w:pPr>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12.2.</w:t>
      </w:r>
      <w:r>
        <w:rPr>
          <w:rFonts w:ascii="宋体" w:hAnsi="宋体"/>
          <w:color w:val="000000"/>
          <w:kern w:val="0"/>
          <w:sz w:val="24"/>
          <w:szCs w:val="24"/>
          <w:highlight w:val="none"/>
        </w:rPr>
        <w:t>1预付款的支付</w:t>
      </w:r>
    </w:p>
    <w:p w14:paraId="55F1286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1FA7ACD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除专用合同条款另有约定外，预付款在进度付款中同比例扣回。</w:t>
      </w:r>
      <w:bookmarkEnd w:id="278"/>
      <w:r>
        <w:rPr>
          <w:rFonts w:ascii="宋体" w:hAnsi="宋体"/>
          <w:color w:val="000000"/>
          <w:kern w:val="0"/>
          <w:sz w:val="24"/>
          <w:szCs w:val="24"/>
          <w:highlight w:val="none"/>
        </w:rPr>
        <w:t>在颁发工程接收证书前，提前解除合同的，尚未扣完的预付款应与合同价款一并结算。</w:t>
      </w:r>
    </w:p>
    <w:p w14:paraId="7E9EA17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执行。</w:t>
      </w:r>
    </w:p>
    <w:p w14:paraId="26A68CD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12.2.2 预付款担保</w:t>
      </w:r>
    </w:p>
    <w:p w14:paraId="5E759F6B">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发包人要求承包人提供预付款担保的</w:t>
      </w:r>
      <w:r>
        <w:rPr>
          <w:rFonts w:ascii="宋体" w:hAnsi="宋体"/>
          <w:color w:val="000000"/>
          <w:kern w:val="0"/>
          <w:sz w:val="24"/>
          <w:szCs w:val="24"/>
          <w:highlight w:val="none"/>
        </w:rPr>
        <w:t>，承包人应在发包人支付预付款7天前提供预付款担保</w:t>
      </w:r>
      <w:r>
        <w:rPr>
          <w:rFonts w:hint="eastAsia" w:ascii="宋体" w:hAnsi="宋体"/>
          <w:color w:val="000000"/>
          <w:kern w:val="0"/>
          <w:sz w:val="24"/>
          <w:szCs w:val="24"/>
          <w:highlight w:val="none"/>
        </w:rPr>
        <w:t>，</w:t>
      </w:r>
      <w:r>
        <w:rPr>
          <w:rFonts w:ascii="宋体" w:hAnsi="宋体"/>
          <w:color w:val="000000"/>
          <w:kern w:val="0"/>
          <w:sz w:val="24"/>
          <w:szCs w:val="24"/>
          <w:highlight w:val="none"/>
        </w:rPr>
        <w:t>专用合同条款另有约定</w:t>
      </w:r>
      <w:r>
        <w:rPr>
          <w:rFonts w:hint="eastAsia" w:ascii="宋体" w:hAnsi="宋体"/>
          <w:color w:val="000000"/>
          <w:kern w:val="0"/>
          <w:sz w:val="24"/>
          <w:szCs w:val="24"/>
          <w:highlight w:val="none"/>
        </w:rPr>
        <w:t>除</w:t>
      </w:r>
      <w:r>
        <w:rPr>
          <w:rFonts w:ascii="宋体" w:hAnsi="宋体"/>
          <w:color w:val="000000"/>
          <w:kern w:val="0"/>
          <w:sz w:val="24"/>
          <w:szCs w:val="24"/>
          <w:highlight w:val="none"/>
        </w:rPr>
        <w:t>外。预付款担保可采用银行保函、担保公司担保等形式，具体由合同当事人在专用合同条款中约定。在预付款完全扣回之前，承包人应保证预付款担保持续有效。</w:t>
      </w:r>
    </w:p>
    <w:p w14:paraId="6171B61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发包人在工程款中逐期扣回预付款后，预付款担保额度应相应减少，但剩余的预付款担保金额不得低于未被扣回的预付款金额。</w:t>
      </w:r>
    </w:p>
    <w:p w14:paraId="62648C77">
      <w:pPr>
        <w:pStyle w:val="8"/>
        <w:spacing w:before="120" w:after="120" w:line="360" w:lineRule="auto"/>
        <w:ind w:firstLine="480" w:firstLineChars="200"/>
        <w:rPr>
          <w:rFonts w:ascii="宋体" w:hAnsi="宋体"/>
          <w:b w:val="0"/>
          <w:color w:val="000000"/>
          <w:sz w:val="24"/>
          <w:szCs w:val="24"/>
          <w:highlight w:val="none"/>
        </w:rPr>
      </w:pPr>
      <w:bookmarkStart w:id="295" w:name="_Toc351203583"/>
      <w:bookmarkStart w:id="296" w:name="_Toc337558802"/>
      <w:r>
        <w:rPr>
          <w:rFonts w:ascii="宋体" w:hAnsi="宋体"/>
          <w:b w:val="0"/>
          <w:color w:val="000000"/>
          <w:sz w:val="24"/>
          <w:szCs w:val="24"/>
          <w:highlight w:val="none"/>
        </w:rPr>
        <w:t>12.3计量</w:t>
      </w:r>
      <w:bookmarkEnd w:id="295"/>
    </w:p>
    <w:bookmarkEnd w:id="296"/>
    <w:p w14:paraId="466D9CD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12.3.1 计量原则</w:t>
      </w:r>
    </w:p>
    <w:p w14:paraId="7626448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工程量计量按照合同约定的工程量计算规则、图纸及变更指示</w:t>
      </w:r>
      <w:r>
        <w:rPr>
          <w:rFonts w:hint="eastAsia" w:ascii="宋体" w:hAnsi="宋体"/>
          <w:color w:val="000000"/>
          <w:kern w:val="0"/>
          <w:sz w:val="24"/>
          <w:szCs w:val="24"/>
          <w:highlight w:val="none"/>
        </w:rPr>
        <w:t>等</w:t>
      </w:r>
      <w:r>
        <w:rPr>
          <w:rFonts w:ascii="宋体" w:hAnsi="宋体"/>
          <w:color w:val="000000"/>
          <w:kern w:val="0"/>
          <w:sz w:val="24"/>
          <w:szCs w:val="24"/>
          <w:highlight w:val="none"/>
        </w:rPr>
        <w:t>进行计量。工程量计算规则应以相关的国家标准、行业标准</w:t>
      </w:r>
      <w:r>
        <w:rPr>
          <w:rFonts w:hint="eastAsia" w:ascii="宋体" w:hAnsi="宋体"/>
          <w:color w:val="000000"/>
          <w:kern w:val="0"/>
          <w:sz w:val="24"/>
          <w:szCs w:val="24"/>
          <w:highlight w:val="none"/>
        </w:rPr>
        <w:t>等</w:t>
      </w:r>
      <w:r>
        <w:rPr>
          <w:rFonts w:ascii="宋体" w:hAnsi="宋体"/>
          <w:color w:val="000000"/>
          <w:kern w:val="0"/>
          <w:sz w:val="24"/>
          <w:szCs w:val="24"/>
          <w:highlight w:val="none"/>
        </w:rPr>
        <w:t>为依据，由合同当事人在专用合同条款中约定。</w:t>
      </w:r>
    </w:p>
    <w:p w14:paraId="3521101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12.3.2 计量周期</w:t>
      </w:r>
    </w:p>
    <w:p w14:paraId="5073432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除专用合同条款另有约定外，工程量的计量按月进行。</w:t>
      </w:r>
    </w:p>
    <w:p w14:paraId="70E4389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12.3.3 单价合同的计量</w:t>
      </w:r>
    </w:p>
    <w:p w14:paraId="7E5BB14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除专用合同条款另有约定外，单价合同的计量按照本项约定执行：</w:t>
      </w:r>
    </w:p>
    <w:p w14:paraId="1EACC21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（1）承包人应于每月25日向监理人报送上月20日至当月19日已完成的工程量报告，并附具进度付款申请单、已完成工程量报表和有关资料。</w:t>
      </w:r>
    </w:p>
    <w:p w14:paraId="649EC95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A9EF86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FAC738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12.3.4 总价合同的计量</w:t>
      </w:r>
    </w:p>
    <w:p w14:paraId="15D9531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除专用合同条款另有约定外，按</w:t>
      </w:r>
      <w:r>
        <w:rPr>
          <w:rFonts w:hint="eastAsia" w:ascii="宋体" w:hAnsi="宋体"/>
          <w:color w:val="000000"/>
          <w:kern w:val="0"/>
          <w:sz w:val="24"/>
          <w:szCs w:val="24"/>
          <w:highlight w:val="none"/>
        </w:rPr>
        <w:t>月计量支付</w:t>
      </w:r>
      <w:r>
        <w:rPr>
          <w:rFonts w:ascii="宋体" w:hAnsi="宋体"/>
          <w:color w:val="000000"/>
          <w:kern w:val="0"/>
          <w:sz w:val="24"/>
          <w:szCs w:val="24"/>
          <w:highlight w:val="none"/>
        </w:rPr>
        <w:t>的总价合同，按照本项约定执行：</w:t>
      </w:r>
    </w:p>
    <w:p w14:paraId="4D55912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（1）承包人应于每月25日向监理人报送上月20日至当月19日已完成的工程量报告，并附具进度付款申请单、已完成工程量报表和有关资料。</w:t>
      </w:r>
    </w:p>
    <w:p w14:paraId="66AEE31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E4B5D6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（3）监理人未在收到承包人提交的工程量报表后的7天内完成复核的，承包人提交的工程量报告中的工程量视为承包人实际完成的工程量。</w:t>
      </w:r>
    </w:p>
    <w:p w14:paraId="0C4ADCB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12.3.5 总价合同采用支付分解表计量支付的，可以按照第12.3.4项</w:t>
      </w:r>
      <w:r>
        <w:rPr>
          <w:rFonts w:hint="eastAsia" w:ascii="宋体" w:hAnsi="宋体"/>
          <w:color w:val="000000"/>
          <w:kern w:val="0"/>
          <w:sz w:val="24"/>
          <w:szCs w:val="24"/>
          <w:highlight w:val="none"/>
        </w:rPr>
        <w:t>〔</w:t>
      </w:r>
      <w:r>
        <w:rPr>
          <w:rFonts w:ascii="宋体" w:hAnsi="宋体"/>
          <w:color w:val="000000"/>
          <w:kern w:val="0"/>
          <w:sz w:val="24"/>
          <w:szCs w:val="24"/>
          <w:highlight w:val="none"/>
        </w:rPr>
        <w:t>总价合同的计量</w:t>
      </w:r>
      <w:r>
        <w:rPr>
          <w:rFonts w:hint="eastAsia" w:ascii="宋体" w:hAnsi="宋体"/>
          <w:color w:val="000000"/>
          <w:kern w:val="0"/>
          <w:sz w:val="24"/>
          <w:szCs w:val="24"/>
          <w:highlight w:val="none"/>
        </w:rPr>
        <w:t>〕</w:t>
      </w:r>
      <w:r>
        <w:rPr>
          <w:rFonts w:ascii="宋体" w:hAnsi="宋体"/>
          <w:color w:val="000000"/>
          <w:kern w:val="0"/>
          <w:sz w:val="24"/>
          <w:szCs w:val="24"/>
          <w:highlight w:val="none"/>
        </w:rPr>
        <w:t>约定进行计量，但合同价款按照支付分解表进行支付。</w:t>
      </w:r>
    </w:p>
    <w:p w14:paraId="2F00FC1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12.3.6 其他价格形式合同的计量</w:t>
      </w:r>
    </w:p>
    <w:p w14:paraId="53D4DCD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合同当事人可在专用合同条款中约定其他价格形式合同的计量方式和程序。</w:t>
      </w:r>
    </w:p>
    <w:p w14:paraId="282A25EA">
      <w:pPr>
        <w:pStyle w:val="8"/>
        <w:spacing w:before="120" w:after="120" w:line="360" w:lineRule="auto"/>
        <w:ind w:firstLine="480" w:firstLineChars="200"/>
        <w:rPr>
          <w:rFonts w:ascii="宋体" w:hAnsi="宋体"/>
          <w:b w:val="0"/>
          <w:color w:val="000000"/>
          <w:sz w:val="24"/>
          <w:szCs w:val="24"/>
          <w:highlight w:val="none"/>
        </w:rPr>
      </w:pPr>
      <w:bookmarkStart w:id="297" w:name="_Toc296346602"/>
      <w:bookmarkStart w:id="298" w:name="_Toc296503101"/>
      <w:bookmarkStart w:id="299" w:name="_Toc351203584"/>
      <w:bookmarkStart w:id="300" w:name="_Toc337558803"/>
      <w:r>
        <w:rPr>
          <w:rFonts w:ascii="宋体" w:hAnsi="宋体"/>
          <w:b w:val="0"/>
          <w:color w:val="000000"/>
          <w:sz w:val="24"/>
          <w:szCs w:val="24"/>
          <w:highlight w:val="none"/>
        </w:rPr>
        <w:t>12.4工程进度款支</w:t>
      </w:r>
      <w:bookmarkEnd w:id="297"/>
      <w:bookmarkEnd w:id="298"/>
      <w:r>
        <w:rPr>
          <w:rFonts w:ascii="宋体" w:hAnsi="宋体"/>
          <w:b w:val="0"/>
          <w:color w:val="000000"/>
          <w:sz w:val="24"/>
          <w:szCs w:val="24"/>
          <w:highlight w:val="none"/>
        </w:rPr>
        <w:t>付</w:t>
      </w:r>
      <w:bookmarkEnd w:id="299"/>
    </w:p>
    <w:bookmarkEnd w:id="300"/>
    <w:p w14:paraId="73FD3FBF">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sz w:val="24"/>
          <w:szCs w:val="24"/>
          <w:highlight w:val="none"/>
        </w:rPr>
        <w:t>12.4</w:t>
      </w:r>
      <w:r>
        <w:rPr>
          <w:rFonts w:ascii="宋体" w:hAnsi="宋体"/>
          <w:color w:val="000000"/>
          <w:kern w:val="0"/>
          <w:sz w:val="24"/>
          <w:szCs w:val="24"/>
          <w:highlight w:val="none"/>
        </w:rPr>
        <w:t>.1 付款周期</w:t>
      </w:r>
    </w:p>
    <w:p w14:paraId="5583760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除专用合同条款另有约定外，付款周期应按照第12.3.2</w:t>
      </w:r>
      <w:r>
        <w:rPr>
          <w:rFonts w:hint="eastAsia" w:ascii="宋体" w:hAnsi="宋体"/>
          <w:color w:val="000000"/>
          <w:kern w:val="0"/>
          <w:sz w:val="24"/>
          <w:szCs w:val="24"/>
          <w:highlight w:val="none"/>
        </w:rPr>
        <w:t>项〔</w:t>
      </w:r>
      <w:r>
        <w:rPr>
          <w:rFonts w:ascii="宋体" w:hAnsi="宋体"/>
          <w:color w:val="000000"/>
          <w:kern w:val="0"/>
          <w:sz w:val="24"/>
          <w:szCs w:val="24"/>
          <w:highlight w:val="none"/>
        </w:rPr>
        <w:t>计量周期</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的约定与计量周期保持一致。</w:t>
      </w:r>
    </w:p>
    <w:p w14:paraId="2F52C25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12.4</w:t>
      </w:r>
      <w:r>
        <w:rPr>
          <w:rFonts w:ascii="宋体" w:hAnsi="宋体"/>
          <w:color w:val="000000"/>
          <w:kern w:val="0"/>
          <w:sz w:val="24"/>
          <w:szCs w:val="24"/>
          <w:highlight w:val="none"/>
        </w:rPr>
        <w:t>.2 进度付款申请单的编制</w:t>
      </w:r>
    </w:p>
    <w:p w14:paraId="14F5F2A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除专用合同条款另有约定外，进度付款申请单应包括下列内容：</w:t>
      </w:r>
    </w:p>
    <w:p w14:paraId="3A6B886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（1）截至本次付款周期已完成工作对应的金额；</w:t>
      </w:r>
    </w:p>
    <w:p w14:paraId="4A5BA73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（2）根据第10条</w:t>
      </w:r>
      <w:r>
        <w:rPr>
          <w:rFonts w:hint="eastAsia" w:ascii="宋体" w:hAnsi="宋体"/>
          <w:color w:val="000000"/>
          <w:kern w:val="0"/>
          <w:sz w:val="24"/>
          <w:szCs w:val="24"/>
          <w:highlight w:val="none"/>
        </w:rPr>
        <w:t>〔</w:t>
      </w:r>
      <w:r>
        <w:rPr>
          <w:rFonts w:ascii="宋体" w:hAnsi="宋体"/>
          <w:color w:val="000000"/>
          <w:kern w:val="0"/>
          <w:sz w:val="24"/>
          <w:szCs w:val="24"/>
          <w:highlight w:val="none"/>
        </w:rPr>
        <w:t>变更</w:t>
      </w:r>
      <w:r>
        <w:rPr>
          <w:rFonts w:hint="eastAsia" w:ascii="宋体" w:hAnsi="宋体"/>
          <w:color w:val="000000"/>
          <w:kern w:val="0"/>
          <w:sz w:val="24"/>
          <w:szCs w:val="24"/>
          <w:highlight w:val="none"/>
        </w:rPr>
        <w:t>〕</w:t>
      </w:r>
      <w:r>
        <w:rPr>
          <w:rFonts w:ascii="宋体" w:hAnsi="宋体"/>
          <w:color w:val="000000"/>
          <w:kern w:val="0"/>
          <w:sz w:val="24"/>
          <w:szCs w:val="24"/>
          <w:highlight w:val="none"/>
        </w:rPr>
        <w:t>应增加和扣减的变更金额；</w:t>
      </w:r>
    </w:p>
    <w:p w14:paraId="3929ADE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（3）根据第12.2款</w:t>
      </w:r>
      <w:r>
        <w:rPr>
          <w:rFonts w:hint="eastAsia" w:ascii="宋体" w:hAnsi="宋体"/>
          <w:color w:val="000000"/>
          <w:kern w:val="0"/>
          <w:sz w:val="24"/>
          <w:szCs w:val="24"/>
          <w:highlight w:val="none"/>
        </w:rPr>
        <w:t>〔</w:t>
      </w:r>
      <w:r>
        <w:rPr>
          <w:rFonts w:ascii="宋体" w:hAnsi="宋体"/>
          <w:color w:val="000000"/>
          <w:kern w:val="0"/>
          <w:sz w:val="24"/>
          <w:szCs w:val="24"/>
          <w:highlight w:val="none"/>
        </w:rPr>
        <w:t>预付款</w:t>
      </w:r>
      <w:r>
        <w:rPr>
          <w:rFonts w:hint="eastAsia" w:ascii="宋体" w:hAnsi="宋体"/>
          <w:color w:val="000000"/>
          <w:kern w:val="0"/>
          <w:sz w:val="24"/>
          <w:szCs w:val="24"/>
          <w:highlight w:val="none"/>
        </w:rPr>
        <w:t>〕</w:t>
      </w:r>
      <w:r>
        <w:rPr>
          <w:rFonts w:ascii="宋体" w:hAnsi="宋体"/>
          <w:color w:val="000000"/>
          <w:kern w:val="0"/>
          <w:sz w:val="24"/>
          <w:szCs w:val="24"/>
          <w:highlight w:val="none"/>
        </w:rPr>
        <w:t>约定应支付的预付款和扣减的返还预付款；</w:t>
      </w:r>
    </w:p>
    <w:p w14:paraId="0F00A1F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（4）根据第15.3款</w:t>
      </w:r>
      <w:r>
        <w:rPr>
          <w:rFonts w:hint="eastAsia" w:ascii="宋体" w:hAnsi="宋体"/>
          <w:color w:val="000000"/>
          <w:kern w:val="0"/>
          <w:sz w:val="24"/>
          <w:szCs w:val="24"/>
          <w:highlight w:val="none"/>
        </w:rPr>
        <w:t>〔</w:t>
      </w:r>
      <w:r>
        <w:rPr>
          <w:rFonts w:ascii="宋体" w:hAnsi="宋体"/>
          <w:color w:val="000000"/>
          <w:kern w:val="0"/>
          <w:sz w:val="24"/>
          <w:szCs w:val="24"/>
          <w:highlight w:val="none"/>
        </w:rPr>
        <w:t>质量保证金</w:t>
      </w:r>
      <w:r>
        <w:rPr>
          <w:rFonts w:hint="eastAsia" w:ascii="宋体" w:hAnsi="宋体"/>
          <w:color w:val="000000"/>
          <w:kern w:val="0"/>
          <w:sz w:val="24"/>
          <w:szCs w:val="24"/>
          <w:highlight w:val="none"/>
        </w:rPr>
        <w:t>〕</w:t>
      </w:r>
      <w:r>
        <w:rPr>
          <w:rFonts w:ascii="宋体" w:hAnsi="宋体"/>
          <w:color w:val="000000"/>
          <w:kern w:val="0"/>
          <w:sz w:val="24"/>
          <w:szCs w:val="24"/>
          <w:highlight w:val="none"/>
        </w:rPr>
        <w:t>约定应扣减的质量保证金；</w:t>
      </w:r>
    </w:p>
    <w:p w14:paraId="2651C1D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（5）根据第19条</w:t>
      </w:r>
      <w:r>
        <w:rPr>
          <w:rFonts w:hint="eastAsia" w:ascii="宋体" w:hAnsi="宋体"/>
          <w:color w:val="000000"/>
          <w:kern w:val="0"/>
          <w:sz w:val="24"/>
          <w:szCs w:val="24"/>
          <w:highlight w:val="none"/>
        </w:rPr>
        <w:t>〔</w:t>
      </w:r>
      <w:r>
        <w:rPr>
          <w:rFonts w:ascii="宋体" w:hAnsi="宋体"/>
          <w:color w:val="000000"/>
          <w:kern w:val="0"/>
          <w:sz w:val="24"/>
          <w:szCs w:val="24"/>
          <w:highlight w:val="none"/>
        </w:rPr>
        <w:t>索赔</w:t>
      </w:r>
      <w:r>
        <w:rPr>
          <w:rFonts w:hint="eastAsia" w:ascii="宋体" w:hAnsi="宋体"/>
          <w:color w:val="000000"/>
          <w:kern w:val="0"/>
          <w:sz w:val="24"/>
          <w:szCs w:val="24"/>
          <w:highlight w:val="none"/>
        </w:rPr>
        <w:t>〕</w:t>
      </w:r>
      <w:r>
        <w:rPr>
          <w:rFonts w:ascii="宋体" w:hAnsi="宋体"/>
          <w:color w:val="000000"/>
          <w:kern w:val="0"/>
          <w:sz w:val="24"/>
          <w:szCs w:val="24"/>
          <w:highlight w:val="none"/>
        </w:rPr>
        <w:t>应增加和扣减的索赔金额；</w:t>
      </w:r>
    </w:p>
    <w:p w14:paraId="29872C4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（6）对已签发的进度款支付证书中出现错误的修正，应在本次进度付款中支付或扣除的金额；</w:t>
      </w:r>
    </w:p>
    <w:p w14:paraId="41BA765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（7）根据合同约定应增加和扣减的其他金额。</w:t>
      </w:r>
    </w:p>
    <w:p w14:paraId="295A9337">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kern w:val="0"/>
          <w:sz w:val="24"/>
          <w:szCs w:val="24"/>
          <w:highlight w:val="none"/>
        </w:rPr>
        <w:t>12.4.3 进度付款申请单的提交</w:t>
      </w:r>
    </w:p>
    <w:p w14:paraId="12CE73E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（1）单价合同进度付款申请单的提交</w:t>
      </w:r>
    </w:p>
    <w:p w14:paraId="154062D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单价合同的进度付款申请单，按照第12.3.3项</w:t>
      </w:r>
      <w:r>
        <w:rPr>
          <w:rFonts w:hint="eastAsia" w:ascii="宋体" w:hAnsi="宋体"/>
          <w:color w:val="000000"/>
          <w:kern w:val="0"/>
          <w:sz w:val="24"/>
          <w:szCs w:val="24"/>
          <w:highlight w:val="none"/>
        </w:rPr>
        <w:t>〔</w:t>
      </w:r>
      <w:r>
        <w:rPr>
          <w:rFonts w:ascii="宋体" w:hAnsi="宋体"/>
          <w:color w:val="000000"/>
          <w:kern w:val="0"/>
          <w:sz w:val="24"/>
          <w:szCs w:val="24"/>
          <w:highlight w:val="none"/>
        </w:rPr>
        <w:t>单价合同的计量</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约定的时间按月向监理人提交，并附上已完成工程量报表和有关资料。单价合同中的总价项目按月进行支付分解，并汇总列入当期进度付款申请单。</w:t>
      </w:r>
    </w:p>
    <w:p w14:paraId="621CC5B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（2）总价合同进度付款申请单的提交</w:t>
      </w:r>
    </w:p>
    <w:p w14:paraId="04DA081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总价合同按</w:t>
      </w:r>
      <w:r>
        <w:rPr>
          <w:rFonts w:hint="eastAsia" w:ascii="宋体" w:hAnsi="宋体"/>
          <w:color w:val="000000"/>
          <w:kern w:val="0"/>
          <w:sz w:val="24"/>
          <w:szCs w:val="24"/>
          <w:highlight w:val="none"/>
        </w:rPr>
        <w:t>月计量支付的</w:t>
      </w:r>
      <w:r>
        <w:rPr>
          <w:rFonts w:ascii="宋体" w:hAnsi="宋体"/>
          <w:color w:val="000000"/>
          <w:kern w:val="0"/>
          <w:sz w:val="24"/>
          <w:szCs w:val="24"/>
          <w:highlight w:val="none"/>
        </w:rPr>
        <w:t>，承包人按照第12.3.4项</w:t>
      </w:r>
      <w:r>
        <w:rPr>
          <w:rFonts w:hint="eastAsia" w:ascii="宋体" w:hAnsi="宋体"/>
          <w:color w:val="000000"/>
          <w:kern w:val="0"/>
          <w:sz w:val="24"/>
          <w:szCs w:val="24"/>
          <w:highlight w:val="none"/>
        </w:rPr>
        <w:t>〔</w:t>
      </w:r>
      <w:r>
        <w:rPr>
          <w:rFonts w:ascii="宋体" w:hAnsi="宋体"/>
          <w:color w:val="000000"/>
          <w:kern w:val="0"/>
          <w:sz w:val="24"/>
          <w:szCs w:val="24"/>
          <w:highlight w:val="none"/>
        </w:rPr>
        <w:t>总价合同的计量</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约定的时间按月向监理人提交进度付款申请单，并附上已完成工程量报表和有关资料。</w:t>
      </w:r>
    </w:p>
    <w:p w14:paraId="3B75824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总价合同按支付分解表支付的，承包人应按照第12.4.6项</w:t>
      </w:r>
      <w:r>
        <w:rPr>
          <w:rFonts w:hint="eastAsia" w:ascii="宋体" w:hAnsi="宋体"/>
          <w:color w:val="000000"/>
          <w:kern w:val="0"/>
          <w:sz w:val="24"/>
          <w:szCs w:val="24"/>
          <w:highlight w:val="none"/>
        </w:rPr>
        <w:t>〔</w:t>
      </w:r>
      <w:r>
        <w:rPr>
          <w:rFonts w:ascii="宋体" w:hAnsi="宋体"/>
          <w:color w:val="000000"/>
          <w:kern w:val="0"/>
          <w:sz w:val="24"/>
          <w:szCs w:val="24"/>
          <w:highlight w:val="none"/>
        </w:rPr>
        <w:t>支付分解表</w:t>
      </w:r>
      <w:r>
        <w:rPr>
          <w:rFonts w:hint="eastAsia" w:ascii="宋体" w:hAnsi="宋体"/>
          <w:color w:val="000000"/>
          <w:kern w:val="0"/>
          <w:sz w:val="24"/>
          <w:szCs w:val="24"/>
          <w:highlight w:val="none"/>
        </w:rPr>
        <w:t>〕</w:t>
      </w:r>
      <w:r>
        <w:rPr>
          <w:rFonts w:ascii="宋体" w:hAnsi="宋体"/>
          <w:color w:val="000000"/>
          <w:kern w:val="0"/>
          <w:sz w:val="24"/>
          <w:szCs w:val="24"/>
          <w:highlight w:val="none"/>
        </w:rPr>
        <w:t>及第12.4.2项</w:t>
      </w:r>
      <w:r>
        <w:rPr>
          <w:rFonts w:hint="eastAsia" w:ascii="宋体" w:hAnsi="宋体"/>
          <w:color w:val="000000"/>
          <w:kern w:val="0"/>
          <w:sz w:val="24"/>
          <w:szCs w:val="24"/>
          <w:highlight w:val="none"/>
        </w:rPr>
        <w:t>〔</w:t>
      </w:r>
      <w:r>
        <w:rPr>
          <w:rFonts w:ascii="宋体" w:hAnsi="宋体"/>
          <w:color w:val="000000"/>
          <w:kern w:val="0"/>
          <w:sz w:val="24"/>
          <w:szCs w:val="24"/>
          <w:highlight w:val="none"/>
        </w:rPr>
        <w:t>进度付款申请单的编制</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的约定向监理人提交进度付款申请单。</w:t>
      </w:r>
    </w:p>
    <w:p w14:paraId="26136D1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（3）其他价格形式合同的进度付款申请单的提交</w:t>
      </w:r>
    </w:p>
    <w:p w14:paraId="524C743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合同当事人可在专用合同条款中约定其他价格形式合同的进度付款申请单的编制和提交程序。</w:t>
      </w:r>
    </w:p>
    <w:p w14:paraId="5A12C3D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12.4</w:t>
      </w:r>
      <w:r>
        <w:rPr>
          <w:rFonts w:ascii="宋体" w:hAnsi="宋体"/>
          <w:color w:val="000000"/>
          <w:kern w:val="0"/>
          <w:sz w:val="24"/>
          <w:szCs w:val="24"/>
          <w:highlight w:val="none"/>
        </w:rPr>
        <w:t>.4 进度款审核和支付</w:t>
      </w:r>
    </w:p>
    <w:p w14:paraId="1CF0A80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 w:val="24"/>
          <w:szCs w:val="24"/>
          <w:highlight w:val="none"/>
        </w:rPr>
        <w:t>审批</w:t>
      </w:r>
      <w:r>
        <w:rPr>
          <w:rFonts w:ascii="宋体" w:hAnsi="宋体"/>
          <w:color w:val="000000"/>
          <w:kern w:val="0"/>
          <w:sz w:val="24"/>
          <w:szCs w:val="24"/>
          <w:highlight w:val="none"/>
        </w:rPr>
        <w:t>且未提出异议的，视为已签发进度款支付证书。</w:t>
      </w:r>
    </w:p>
    <w:p w14:paraId="576A53C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的约定处理。</w:t>
      </w:r>
    </w:p>
    <w:p w14:paraId="251DE21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676BD6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（3）发包人签发进度款支付证书或临时进度款支付证书，不表明发包人已同意、批准或接受了承包人完成的相应部分的工作。</w:t>
      </w:r>
    </w:p>
    <w:p w14:paraId="144C213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12.4.5 进度付款的修正</w:t>
      </w:r>
    </w:p>
    <w:p w14:paraId="47A2C87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AF171B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12.4.6 支付分解表</w:t>
      </w:r>
    </w:p>
    <w:p w14:paraId="2BA5712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w:t>
      </w:r>
      <w:r>
        <w:rPr>
          <w:rFonts w:hint="eastAsia" w:ascii="宋体" w:hAnsi="宋体"/>
          <w:color w:val="000000"/>
          <w:kern w:val="0"/>
          <w:sz w:val="24"/>
          <w:szCs w:val="24"/>
          <w:highlight w:val="none"/>
        </w:rPr>
        <w:t>.</w:t>
      </w:r>
      <w:r>
        <w:rPr>
          <w:rFonts w:ascii="宋体" w:hAnsi="宋体"/>
          <w:color w:val="000000"/>
          <w:kern w:val="0"/>
          <w:sz w:val="24"/>
          <w:szCs w:val="24"/>
          <w:highlight w:val="none"/>
        </w:rPr>
        <w:t>支付分解表的编制要求</w:t>
      </w:r>
    </w:p>
    <w:p w14:paraId="04F3751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（1）支付分解表中所列的每期付款金额，应为第12.4.2项</w:t>
      </w:r>
      <w:r>
        <w:rPr>
          <w:rFonts w:hint="eastAsia" w:ascii="宋体" w:hAnsi="宋体"/>
          <w:color w:val="000000"/>
          <w:kern w:val="0"/>
          <w:sz w:val="24"/>
          <w:szCs w:val="24"/>
          <w:highlight w:val="none"/>
        </w:rPr>
        <w:t>〔</w:t>
      </w:r>
      <w:r>
        <w:rPr>
          <w:rFonts w:ascii="宋体" w:hAnsi="宋体"/>
          <w:color w:val="000000"/>
          <w:kern w:val="0"/>
          <w:sz w:val="24"/>
          <w:szCs w:val="24"/>
          <w:highlight w:val="none"/>
        </w:rPr>
        <w:t>进度付款申请单的编制</w:t>
      </w:r>
      <w:r>
        <w:rPr>
          <w:rFonts w:hint="eastAsia" w:ascii="宋体" w:hAnsi="宋体"/>
          <w:color w:val="000000"/>
          <w:kern w:val="0"/>
          <w:sz w:val="24"/>
          <w:szCs w:val="24"/>
          <w:highlight w:val="none"/>
        </w:rPr>
        <w:t>〕</w:t>
      </w:r>
      <w:r>
        <w:rPr>
          <w:rFonts w:ascii="宋体" w:hAnsi="宋体"/>
          <w:color w:val="000000"/>
          <w:kern w:val="0"/>
          <w:sz w:val="24"/>
          <w:szCs w:val="24"/>
          <w:highlight w:val="none"/>
        </w:rPr>
        <w:t>第（1）</w:t>
      </w:r>
      <w:r>
        <w:rPr>
          <w:rFonts w:hint="eastAsia" w:ascii="宋体" w:hAnsi="宋体"/>
          <w:color w:val="000000"/>
          <w:kern w:val="0"/>
          <w:sz w:val="24"/>
          <w:szCs w:val="24"/>
          <w:highlight w:val="none"/>
        </w:rPr>
        <w:t>目</w:t>
      </w:r>
      <w:r>
        <w:rPr>
          <w:rFonts w:ascii="宋体" w:hAnsi="宋体"/>
          <w:color w:val="000000"/>
          <w:kern w:val="0"/>
          <w:sz w:val="24"/>
          <w:szCs w:val="24"/>
          <w:highlight w:val="none"/>
        </w:rPr>
        <w:t>的估算金额；</w:t>
      </w:r>
    </w:p>
    <w:p w14:paraId="0ADF872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（2）实际进度与施工进度计划不一致的，合同当事人可按照第4.4款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修改支付分解表；</w:t>
      </w:r>
    </w:p>
    <w:p w14:paraId="3C5021C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（3）不采用支付分解表的，承包人应向发包人和监理人提交按季度编制的支付估算分解表，用于支付参考。</w:t>
      </w:r>
    </w:p>
    <w:p w14:paraId="692BD35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w:t>
      </w:r>
      <w:r>
        <w:rPr>
          <w:rFonts w:hint="eastAsia" w:ascii="宋体" w:hAnsi="宋体"/>
          <w:color w:val="000000"/>
          <w:kern w:val="0"/>
          <w:sz w:val="24"/>
          <w:szCs w:val="24"/>
          <w:highlight w:val="none"/>
        </w:rPr>
        <w:t>.</w:t>
      </w:r>
      <w:r>
        <w:rPr>
          <w:rFonts w:ascii="宋体" w:hAnsi="宋体"/>
          <w:color w:val="000000"/>
          <w:kern w:val="0"/>
          <w:sz w:val="24"/>
          <w:szCs w:val="24"/>
          <w:highlight w:val="none"/>
        </w:rPr>
        <w:t>总价合同支付分解表的编制与审批</w:t>
      </w:r>
    </w:p>
    <w:p w14:paraId="51585FF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（1）除专用合同条款另有约定外，承包人应根据第7.2款</w:t>
      </w:r>
      <w:r>
        <w:rPr>
          <w:rFonts w:hint="eastAsia" w:ascii="宋体" w:hAnsi="宋体"/>
          <w:color w:val="000000"/>
          <w:kern w:val="0"/>
          <w:sz w:val="24"/>
          <w:szCs w:val="24"/>
          <w:highlight w:val="none"/>
        </w:rPr>
        <w:t>〔</w:t>
      </w:r>
      <w:r>
        <w:rPr>
          <w:rFonts w:ascii="宋体" w:hAnsi="宋体"/>
          <w:color w:val="000000"/>
          <w:kern w:val="0"/>
          <w:sz w:val="24"/>
          <w:szCs w:val="24"/>
          <w:highlight w:val="none"/>
        </w:rPr>
        <w:t>施工进度计划</w:t>
      </w:r>
      <w:r>
        <w:rPr>
          <w:rFonts w:hint="eastAsia" w:ascii="宋体" w:hAnsi="宋体"/>
          <w:color w:val="000000"/>
          <w:kern w:val="0"/>
          <w:sz w:val="24"/>
          <w:szCs w:val="24"/>
          <w:highlight w:val="none"/>
        </w:rPr>
        <w:t>〕</w:t>
      </w:r>
      <w:r>
        <w:rPr>
          <w:rFonts w:ascii="宋体" w:hAnsi="宋体"/>
          <w:color w:val="000000"/>
          <w:kern w:val="0"/>
          <w:sz w:val="24"/>
          <w:szCs w:val="24"/>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667588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05BB46C7">
      <w:pPr>
        <w:spacing w:line="360" w:lineRule="auto"/>
        <w:jc w:val="left"/>
        <w:rPr>
          <w:rFonts w:ascii="宋体" w:hAnsi="宋体"/>
          <w:color w:val="000000"/>
          <w:kern w:val="0"/>
          <w:sz w:val="24"/>
          <w:szCs w:val="24"/>
          <w:highlight w:val="none"/>
        </w:rPr>
      </w:pPr>
      <w:r>
        <w:rPr>
          <w:rFonts w:ascii="宋体" w:hAnsi="宋体"/>
          <w:color w:val="000000"/>
          <w:kern w:val="0"/>
          <w:sz w:val="24"/>
          <w:szCs w:val="24"/>
          <w:highlight w:val="none"/>
        </w:rPr>
        <w:t xml:space="preserve">    （3）发包人逾期未完成支付分解表</w:t>
      </w:r>
      <w:r>
        <w:rPr>
          <w:rFonts w:hint="eastAsia" w:ascii="宋体" w:hAnsi="宋体"/>
          <w:color w:val="000000"/>
          <w:kern w:val="0"/>
          <w:sz w:val="24"/>
          <w:szCs w:val="24"/>
          <w:highlight w:val="none"/>
        </w:rPr>
        <w:t>审批</w:t>
      </w:r>
      <w:r>
        <w:rPr>
          <w:rFonts w:ascii="宋体" w:hAnsi="宋体"/>
          <w:color w:val="000000"/>
          <w:kern w:val="0"/>
          <w:sz w:val="24"/>
          <w:szCs w:val="24"/>
          <w:highlight w:val="none"/>
        </w:rPr>
        <w:t>的，也未及时要求承包人进行修正和提供补充资料的，则承包人提交的支付分解表视为已经获得发包人批准。</w:t>
      </w:r>
    </w:p>
    <w:p w14:paraId="7C96E1B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w:t>
      </w:r>
      <w:r>
        <w:rPr>
          <w:rFonts w:hint="eastAsia" w:ascii="宋体" w:hAnsi="宋体"/>
          <w:color w:val="000000"/>
          <w:kern w:val="0"/>
          <w:sz w:val="24"/>
          <w:szCs w:val="24"/>
          <w:highlight w:val="none"/>
        </w:rPr>
        <w:t>.</w:t>
      </w:r>
      <w:r>
        <w:rPr>
          <w:rFonts w:ascii="宋体" w:hAnsi="宋体"/>
          <w:color w:val="000000"/>
          <w:kern w:val="0"/>
          <w:sz w:val="24"/>
          <w:szCs w:val="24"/>
          <w:highlight w:val="none"/>
        </w:rPr>
        <w:t>单价合同的总价项目支付分解表的编制与审批</w:t>
      </w:r>
    </w:p>
    <w:p w14:paraId="435DDD6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303B3FB">
      <w:pPr>
        <w:pStyle w:val="8"/>
        <w:spacing w:before="120" w:after="120" w:line="360" w:lineRule="auto"/>
        <w:ind w:firstLine="480" w:firstLineChars="200"/>
        <w:rPr>
          <w:rFonts w:ascii="宋体" w:hAnsi="宋体"/>
          <w:b w:val="0"/>
          <w:color w:val="000000"/>
          <w:sz w:val="24"/>
          <w:szCs w:val="24"/>
          <w:highlight w:val="none"/>
        </w:rPr>
      </w:pPr>
      <w:bookmarkStart w:id="301" w:name="_Toc351203585"/>
      <w:r>
        <w:rPr>
          <w:rFonts w:ascii="宋体" w:hAnsi="宋体"/>
          <w:b w:val="0"/>
          <w:color w:val="000000"/>
          <w:sz w:val="24"/>
          <w:szCs w:val="24"/>
          <w:highlight w:val="none"/>
        </w:rPr>
        <w:t>12.5支付账户</w:t>
      </w:r>
      <w:bookmarkEnd w:id="301"/>
    </w:p>
    <w:p w14:paraId="401C457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发包人应将合同价款支付至合同协议书中约定的承包人账户。</w:t>
      </w:r>
    </w:p>
    <w:p w14:paraId="17A13F7F">
      <w:pPr>
        <w:pStyle w:val="7"/>
        <w:spacing w:before="120" w:after="120" w:line="360" w:lineRule="auto"/>
        <w:rPr>
          <w:rFonts w:ascii="宋体" w:hAnsi="宋体"/>
          <w:b w:val="0"/>
          <w:color w:val="000000"/>
          <w:szCs w:val="24"/>
          <w:highlight w:val="none"/>
        </w:rPr>
      </w:pPr>
      <w:bookmarkStart w:id="302" w:name="_Toc351203586"/>
      <w:bookmarkStart w:id="303" w:name="_Toc296503106"/>
      <w:bookmarkStart w:id="304" w:name="_Toc322522574"/>
      <w:bookmarkStart w:id="305" w:name="_Toc296346607"/>
      <w:bookmarkStart w:id="306" w:name="_Toc337558804"/>
      <w:r>
        <w:rPr>
          <w:rFonts w:ascii="宋体" w:hAnsi="宋体"/>
          <w:b w:val="0"/>
          <w:color w:val="000000"/>
          <w:szCs w:val="24"/>
          <w:highlight w:val="none"/>
        </w:rPr>
        <w:t>13. 验收和工程试车</w:t>
      </w:r>
      <w:bookmarkEnd w:id="302"/>
    </w:p>
    <w:bookmarkEnd w:id="303"/>
    <w:bookmarkEnd w:id="304"/>
    <w:bookmarkEnd w:id="305"/>
    <w:bookmarkEnd w:id="306"/>
    <w:p w14:paraId="200DB924">
      <w:pPr>
        <w:pStyle w:val="8"/>
        <w:spacing w:before="120" w:after="120" w:line="360" w:lineRule="auto"/>
        <w:ind w:firstLine="480" w:firstLineChars="200"/>
        <w:rPr>
          <w:rFonts w:ascii="宋体" w:hAnsi="宋体"/>
          <w:b w:val="0"/>
          <w:color w:val="000000"/>
          <w:sz w:val="24"/>
          <w:szCs w:val="24"/>
          <w:highlight w:val="none"/>
        </w:rPr>
      </w:pPr>
      <w:bookmarkStart w:id="307" w:name="_Toc351203587"/>
      <w:bookmarkStart w:id="308" w:name="_Toc337558805"/>
      <w:bookmarkStart w:id="309" w:name="_Toc296503110"/>
      <w:bookmarkStart w:id="310" w:name="_Toc296346611"/>
      <w:r>
        <w:rPr>
          <w:rFonts w:ascii="宋体" w:hAnsi="宋体"/>
          <w:b w:val="0"/>
          <w:color w:val="000000"/>
          <w:sz w:val="24"/>
          <w:szCs w:val="24"/>
          <w:highlight w:val="none"/>
        </w:rPr>
        <w:t>13.1分部分项工程验收</w:t>
      </w:r>
      <w:bookmarkEnd w:id="307"/>
    </w:p>
    <w:bookmarkEnd w:id="308"/>
    <w:p w14:paraId="498450E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13.1.1 分部分项工程质量应符合国家有关工程施工验收规范、标准及合同约定，承包人应按照施工组织设计的要求完成分部分项工程施工。</w:t>
      </w:r>
    </w:p>
    <w:p w14:paraId="74216C6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13.1.2 除专用合同条款另有约定外，分部分项工程经承包人自检合格并具备验收条件的，承包人应提前48小时通知监理人进行验收。</w:t>
      </w:r>
      <w:r>
        <w:rPr>
          <w:rFonts w:ascii="宋体" w:hAnsi="宋体"/>
          <w:color w:val="000000"/>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 w:val="24"/>
          <w:szCs w:val="24"/>
          <w:highlight w:val="none"/>
        </w:rPr>
        <w:t>分部分项工程未经验收的，不得进入下一道工序施工。</w:t>
      </w:r>
    </w:p>
    <w:p w14:paraId="4149E47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分部分项工程的验收资料应当作为竣工资料的组成部分。</w:t>
      </w:r>
    </w:p>
    <w:p w14:paraId="4ACDC8A6">
      <w:pPr>
        <w:pStyle w:val="8"/>
        <w:spacing w:before="120" w:after="120" w:line="360" w:lineRule="auto"/>
        <w:ind w:firstLine="480" w:firstLineChars="200"/>
        <w:rPr>
          <w:rFonts w:ascii="宋体" w:hAnsi="宋体"/>
          <w:b w:val="0"/>
          <w:color w:val="000000"/>
          <w:sz w:val="24"/>
          <w:szCs w:val="24"/>
          <w:highlight w:val="none"/>
        </w:rPr>
      </w:pPr>
      <w:bookmarkStart w:id="311" w:name="_Toc351203588"/>
      <w:bookmarkStart w:id="312" w:name="_Toc337558806"/>
      <w:r>
        <w:rPr>
          <w:rFonts w:ascii="宋体" w:hAnsi="宋体"/>
          <w:b w:val="0"/>
          <w:color w:val="000000"/>
          <w:sz w:val="24"/>
          <w:szCs w:val="24"/>
          <w:highlight w:val="none"/>
        </w:rPr>
        <w:t>13.2竣工验收</w:t>
      </w:r>
      <w:bookmarkEnd w:id="311"/>
    </w:p>
    <w:bookmarkEnd w:id="309"/>
    <w:bookmarkEnd w:id="310"/>
    <w:bookmarkEnd w:id="312"/>
    <w:p w14:paraId="53975CF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13.2.1竣工验收条件</w:t>
      </w:r>
    </w:p>
    <w:p w14:paraId="70D6A00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工程具备以下条件的，承包人可以申请竣工验收：</w:t>
      </w:r>
    </w:p>
    <w:p w14:paraId="74C6627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（1）除发包人同意的甩项</w:t>
      </w:r>
      <w:r>
        <w:rPr>
          <w:rFonts w:hint="eastAsia" w:ascii="宋体" w:hAnsi="宋体"/>
          <w:color w:val="000000"/>
          <w:kern w:val="0"/>
          <w:sz w:val="24"/>
          <w:szCs w:val="24"/>
          <w:highlight w:val="none"/>
        </w:rPr>
        <w:t>工作</w:t>
      </w:r>
      <w:r>
        <w:rPr>
          <w:rFonts w:ascii="宋体" w:hAnsi="宋体"/>
          <w:color w:val="000000"/>
          <w:kern w:val="0"/>
          <w:sz w:val="24"/>
          <w:szCs w:val="24"/>
          <w:highlight w:val="none"/>
        </w:rPr>
        <w:t>和缺陷修补工作外，合同范围内的全部工程以及有关工作，包括合同要求的试验、试运行以及检验均已完成，并符合合同要求；</w:t>
      </w:r>
    </w:p>
    <w:p w14:paraId="79BC705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（2）已按合同约定编制了甩项</w:t>
      </w:r>
      <w:r>
        <w:rPr>
          <w:rFonts w:hint="eastAsia" w:ascii="宋体" w:hAnsi="宋体"/>
          <w:color w:val="000000"/>
          <w:kern w:val="0"/>
          <w:sz w:val="24"/>
          <w:szCs w:val="24"/>
          <w:highlight w:val="none"/>
        </w:rPr>
        <w:t>工作</w:t>
      </w:r>
      <w:r>
        <w:rPr>
          <w:rFonts w:ascii="宋体" w:hAnsi="宋体"/>
          <w:color w:val="000000"/>
          <w:kern w:val="0"/>
          <w:sz w:val="24"/>
          <w:szCs w:val="24"/>
          <w:highlight w:val="none"/>
        </w:rPr>
        <w:t>和缺陷修补工作清单以及相应的施工计划；</w:t>
      </w:r>
    </w:p>
    <w:p w14:paraId="4D2E458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（3）已按合同约定的内容和份数备齐竣工资料。</w:t>
      </w:r>
    </w:p>
    <w:p w14:paraId="032DD4A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13.2.2竣工验收程序</w:t>
      </w:r>
    </w:p>
    <w:p w14:paraId="10442CF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除专用合同条款另有约定外，承包人申请竣工验收的，应当按照以下程序进行：</w:t>
      </w:r>
    </w:p>
    <w:p w14:paraId="227DC3D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DCF043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（2）监理人审查后认为已具备竣工验收条件的，应将竣工验收申请报告提交发包人，发包人应在收到</w:t>
      </w:r>
      <w:r>
        <w:rPr>
          <w:rFonts w:hint="eastAsia" w:ascii="宋体" w:hAnsi="宋体"/>
          <w:color w:val="000000"/>
          <w:kern w:val="0"/>
          <w:sz w:val="24"/>
          <w:szCs w:val="24"/>
          <w:highlight w:val="none"/>
        </w:rPr>
        <w:t>经</w:t>
      </w:r>
      <w:r>
        <w:rPr>
          <w:rFonts w:ascii="宋体" w:hAnsi="宋体"/>
          <w:color w:val="000000"/>
          <w:kern w:val="0"/>
          <w:sz w:val="24"/>
          <w:szCs w:val="24"/>
          <w:highlight w:val="none"/>
        </w:rPr>
        <w:t>监理人审核的竣工验收申请报告后28天内</w:t>
      </w:r>
      <w:r>
        <w:rPr>
          <w:rFonts w:hint="eastAsia" w:ascii="宋体" w:hAnsi="宋体"/>
          <w:color w:val="000000"/>
          <w:kern w:val="0"/>
          <w:sz w:val="24"/>
          <w:szCs w:val="24"/>
          <w:highlight w:val="none"/>
        </w:rPr>
        <w:t>审批</w:t>
      </w:r>
      <w:r>
        <w:rPr>
          <w:rFonts w:ascii="宋体" w:hAnsi="宋体"/>
          <w:color w:val="000000"/>
          <w:kern w:val="0"/>
          <w:sz w:val="24"/>
          <w:szCs w:val="24"/>
          <w:highlight w:val="none"/>
        </w:rPr>
        <w:t>完毕并组织监理人、承包人、设计人等相关单位完成竣工验收。</w:t>
      </w:r>
    </w:p>
    <w:p w14:paraId="19E1AE8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1F0AD1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92CE22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9EC149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0DE8DF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13.2.3竣工日期</w:t>
      </w:r>
    </w:p>
    <w:p w14:paraId="44F9BC6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 w:val="24"/>
          <w:szCs w:val="24"/>
          <w:highlight w:val="none"/>
        </w:rPr>
        <w:t>竣工</w:t>
      </w:r>
      <w:r>
        <w:rPr>
          <w:rFonts w:ascii="宋体" w:hAnsi="宋体"/>
          <w:color w:val="000000"/>
          <w:kern w:val="0"/>
          <w:sz w:val="24"/>
          <w:szCs w:val="24"/>
          <w:highlight w:val="none"/>
        </w:rPr>
        <w:t>验收</w:t>
      </w:r>
      <w:r>
        <w:rPr>
          <w:rFonts w:hint="eastAsia" w:ascii="宋体" w:hAnsi="宋体"/>
          <w:color w:val="000000"/>
          <w:kern w:val="0"/>
          <w:sz w:val="24"/>
          <w:szCs w:val="24"/>
          <w:highlight w:val="none"/>
        </w:rPr>
        <w:t>，或完成竣工验收不予签发工程接收证书</w:t>
      </w:r>
      <w:r>
        <w:rPr>
          <w:rFonts w:ascii="宋体" w:hAnsi="宋体"/>
          <w:color w:val="000000"/>
          <w:kern w:val="0"/>
          <w:sz w:val="24"/>
          <w:szCs w:val="24"/>
          <w:highlight w:val="none"/>
        </w:rPr>
        <w:t>的，以提交竣工验</w:t>
      </w:r>
      <w:bookmarkStart w:id="313" w:name="#go14"/>
      <w:bookmarkEnd w:id="313"/>
      <w:r>
        <w:rPr>
          <w:rFonts w:ascii="宋体" w:hAnsi="宋体"/>
          <w:color w:val="000000"/>
          <w:kern w:val="0"/>
          <w:sz w:val="24"/>
          <w:szCs w:val="24"/>
          <w:highlight w:val="none"/>
        </w:rPr>
        <w:t>收申请报告的日期为实际竣工日期；工程未经竣工验收，发包人擅自使用的，以转移占有工程之日为实际竣工日期。</w:t>
      </w:r>
    </w:p>
    <w:p w14:paraId="3BBE6273">
      <w:pPr>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kern w:val="0"/>
          <w:sz w:val="24"/>
          <w:szCs w:val="24"/>
          <w:highlight w:val="none"/>
        </w:rPr>
        <w:t>13.2.4 拒绝接收全部或部分工程</w:t>
      </w:r>
    </w:p>
    <w:p w14:paraId="11D3A47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对于竣工验收不合格的工程，承包人完成整改后，</w:t>
      </w:r>
      <w:r>
        <w:rPr>
          <w:rFonts w:hint="eastAsia" w:ascii="宋体" w:hAnsi="宋体"/>
          <w:color w:val="000000"/>
          <w:kern w:val="0"/>
          <w:sz w:val="24"/>
          <w:szCs w:val="24"/>
          <w:highlight w:val="none"/>
        </w:rPr>
        <w:t>应当</w:t>
      </w:r>
      <w:r>
        <w:rPr>
          <w:rFonts w:ascii="宋体" w:hAnsi="宋体"/>
          <w:color w:val="000000"/>
          <w:kern w:val="0"/>
          <w:sz w:val="24"/>
          <w:szCs w:val="24"/>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F58C55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13.2.5 移交、接收全部与部分工程</w:t>
      </w:r>
    </w:p>
    <w:p w14:paraId="0B97743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除专用合同条款另有约定外，</w:t>
      </w:r>
      <w:r>
        <w:rPr>
          <w:rFonts w:ascii="宋体" w:hAnsi="宋体"/>
          <w:color w:val="000000"/>
          <w:kern w:val="0"/>
          <w:sz w:val="24"/>
          <w:szCs w:val="24"/>
          <w:highlight w:val="none"/>
        </w:rPr>
        <w:t>合同当事人应当在颁发工程接收证书</w:t>
      </w:r>
      <w:r>
        <w:rPr>
          <w:rFonts w:hint="eastAsia" w:ascii="宋体" w:hAnsi="宋体"/>
          <w:color w:val="000000"/>
          <w:kern w:val="0"/>
          <w:sz w:val="24"/>
          <w:szCs w:val="24"/>
          <w:highlight w:val="none"/>
        </w:rPr>
        <w:t>后7天内</w:t>
      </w:r>
      <w:r>
        <w:rPr>
          <w:rFonts w:ascii="宋体" w:hAnsi="宋体"/>
          <w:color w:val="000000"/>
          <w:kern w:val="0"/>
          <w:sz w:val="24"/>
          <w:szCs w:val="24"/>
          <w:highlight w:val="none"/>
        </w:rPr>
        <w:t>完成工程的移交。</w:t>
      </w:r>
    </w:p>
    <w:p w14:paraId="4C526B7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发包人无正当理由不接收工程的，发包人自</w:t>
      </w:r>
      <w:r>
        <w:rPr>
          <w:rFonts w:hint="eastAsia" w:ascii="宋体" w:hAnsi="宋体"/>
          <w:color w:val="000000"/>
          <w:kern w:val="0"/>
          <w:sz w:val="24"/>
          <w:szCs w:val="24"/>
          <w:highlight w:val="none"/>
        </w:rPr>
        <w:t>应当接收工程</w:t>
      </w:r>
      <w:r>
        <w:rPr>
          <w:rFonts w:ascii="宋体" w:hAnsi="宋体"/>
          <w:color w:val="000000"/>
          <w:kern w:val="0"/>
          <w:sz w:val="24"/>
          <w:szCs w:val="24"/>
          <w:highlight w:val="none"/>
        </w:rPr>
        <w:t>之日起，承担工程照管、成品保护、保管等与工程有关的各项费用</w:t>
      </w:r>
      <w:r>
        <w:rPr>
          <w:rFonts w:hint="eastAsia" w:ascii="宋体" w:hAnsi="宋体"/>
          <w:color w:val="000000"/>
          <w:kern w:val="0"/>
          <w:sz w:val="24"/>
          <w:szCs w:val="24"/>
          <w:highlight w:val="none"/>
        </w:rPr>
        <w:t>，合同当事人可以在专用合同条款中另行约定发包人逾期接收工程的违约责任</w:t>
      </w:r>
      <w:r>
        <w:rPr>
          <w:rFonts w:ascii="宋体" w:hAnsi="宋体"/>
          <w:color w:val="000000"/>
          <w:kern w:val="0"/>
          <w:sz w:val="24"/>
          <w:szCs w:val="24"/>
          <w:highlight w:val="none"/>
        </w:rPr>
        <w:t>。</w:t>
      </w:r>
    </w:p>
    <w:p w14:paraId="10F1E6B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承包人无正当理由不移交工程的，</w:t>
      </w:r>
      <w:r>
        <w:rPr>
          <w:rFonts w:hint="eastAsia" w:ascii="宋体" w:hAnsi="宋体"/>
          <w:color w:val="000000"/>
          <w:kern w:val="0"/>
          <w:sz w:val="24"/>
          <w:szCs w:val="24"/>
          <w:highlight w:val="none"/>
        </w:rPr>
        <w:t>承包人应承担</w:t>
      </w:r>
      <w:r>
        <w:rPr>
          <w:rFonts w:ascii="宋体" w:hAnsi="宋体"/>
          <w:color w:val="000000"/>
          <w:kern w:val="0"/>
          <w:sz w:val="24"/>
          <w:szCs w:val="24"/>
          <w:highlight w:val="none"/>
        </w:rPr>
        <w:t>工程照管、成品保护、保管等与工程有关的各项费用</w:t>
      </w:r>
      <w:r>
        <w:rPr>
          <w:rFonts w:hint="eastAsia" w:ascii="宋体" w:hAnsi="宋体"/>
          <w:color w:val="000000"/>
          <w:kern w:val="0"/>
          <w:sz w:val="24"/>
          <w:szCs w:val="24"/>
          <w:highlight w:val="none"/>
        </w:rPr>
        <w:t>，合同当事人可以在专用合同条款中另行约定承包人无正当理由不移交工程的违约责任</w:t>
      </w:r>
      <w:r>
        <w:rPr>
          <w:rFonts w:ascii="宋体" w:hAnsi="宋体"/>
          <w:color w:val="000000"/>
          <w:kern w:val="0"/>
          <w:sz w:val="24"/>
          <w:szCs w:val="24"/>
          <w:highlight w:val="none"/>
        </w:rPr>
        <w:t>。</w:t>
      </w:r>
    </w:p>
    <w:p w14:paraId="2B2CA138">
      <w:pPr>
        <w:pStyle w:val="8"/>
        <w:spacing w:before="120" w:after="120" w:line="360" w:lineRule="auto"/>
        <w:ind w:firstLine="480" w:firstLineChars="200"/>
        <w:rPr>
          <w:rFonts w:ascii="宋体" w:hAnsi="宋体"/>
          <w:b w:val="0"/>
          <w:color w:val="000000"/>
          <w:sz w:val="24"/>
          <w:szCs w:val="24"/>
          <w:highlight w:val="none"/>
        </w:rPr>
      </w:pPr>
      <w:bookmarkStart w:id="314" w:name="_Toc351203589"/>
      <w:bookmarkStart w:id="315" w:name="_Toc337558807"/>
      <w:bookmarkStart w:id="316" w:name="_Toc296346612"/>
      <w:bookmarkStart w:id="317" w:name="_Toc296503111"/>
      <w:r>
        <w:rPr>
          <w:rFonts w:ascii="宋体" w:hAnsi="宋体"/>
          <w:b w:val="0"/>
          <w:color w:val="000000"/>
          <w:sz w:val="24"/>
          <w:szCs w:val="24"/>
          <w:highlight w:val="none"/>
        </w:rPr>
        <w:t>13.3工程试车</w:t>
      </w:r>
      <w:bookmarkEnd w:id="314"/>
    </w:p>
    <w:bookmarkEnd w:id="315"/>
    <w:bookmarkEnd w:id="316"/>
    <w:bookmarkEnd w:id="317"/>
    <w:p w14:paraId="6A31B7A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13.3.1试车程序</w:t>
      </w:r>
    </w:p>
    <w:p w14:paraId="105FB1D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工程需要试车的，除专用合同条款另有约定外，试车内容应与承包人承包范围相一致，试车费用由承包人承担。工程试车应按如下程序进行：</w:t>
      </w:r>
    </w:p>
    <w:p w14:paraId="4235C6E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41CE1F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3167EB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1087AE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13.3.2 试车中的责任</w:t>
      </w:r>
    </w:p>
    <w:p w14:paraId="0D60389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F6760E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BFC6CC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13.3.3 投料试车</w:t>
      </w:r>
    </w:p>
    <w:p w14:paraId="1DE614B7">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如需进行投料试车的，</w:t>
      </w:r>
      <w:r>
        <w:rPr>
          <w:rFonts w:ascii="宋体" w:hAnsi="宋体"/>
          <w:color w:val="000000"/>
          <w:kern w:val="0"/>
          <w:sz w:val="24"/>
          <w:szCs w:val="24"/>
          <w:highlight w:val="none"/>
        </w:rPr>
        <w:t>发包人</w:t>
      </w:r>
      <w:r>
        <w:rPr>
          <w:rFonts w:hint="eastAsia" w:ascii="宋体" w:hAnsi="宋体"/>
          <w:color w:val="000000"/>
          <w:kern w:val="0"/>
          <w:sz w:val="24"/>
          <w:szCs w:val="24"/>
          <w:highlight w:val="none"/>
        </w:rPr>
        <w:t>应在</w:t>
      </w:r>
      <w:r>
        <w:rPr>
          <w:rFonts w:ascii="宋体" w:hAnsi="宋体"/>
          <w:color w:val="000000"/>
          <w:kern w:val="0"/>
          <w:sz w:val="24"/>
          <w:szCs w:val="24"/>
          <w:highlight w:val="none"/>
        </w:rPr>
        <w:t>工程竣工验收后</w:t>
      </w:r>
      <w:r>
        <w:rPr>
          <w:rFonts w:hint="eastAsia" w:ascii="宋体" w:hAnsi="宋体"/>
          <w:color w:val="000000"/>
          <w:kern w:val="0"/>
          <w:sz w:val="24"/>
          <w:szCs w:val="24"/>
          <w:highlight w:val="none"/>
        </w:rPr>
        <w:t>组织</w:t>
      </w:r>
      <w:r>
        <w:rPr>
          <w:rFonts w:ascii="宋体" w:hAnsi="宋体"/>
          <w:color w:val="000000"/>
          <w:kern w:val="0"/>
          <w:sz w:val="24"/>
          <w:szCs w:val="24"/>
          <w:highlight w:val="none"/>
        </w:rPr>
        <w:t>投料试车</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发包人要求在工程竣工验收前进行或需要承包人配合时，应征得承包人同意</w:t>
      </w:r>
      <w:r>
        <w:rPr>
          <w:rFonts w:hint="eastAsia" w:ascii="宋体" w:hAnsi="宋体"/>
          <w:color w:val="000000"/>
          <w:kern w:val="0"/>
          <w:sz w:val="24"/>
          <w:szCs w:val="24"/>
          <w:highlight w:val="none"/>
        </w:rPr>
        <w:t>，并在专用合同条款中约定有关事项</w:t>
      </w:r>
      <w:r>
        <w:rPr>
          <w:rFonts w:ascii="宋体" w:hAnsi="宋体"/>
          <w:color w:val="000000"/>
          <w:kern w:val="0"/>
          <w:sz w:val="24"/>
          <w:szCs w:val="24"/>
          <w:highlight w:val="none"/>
        </w:rPr>
        <w:t>。</w:t>
      </w:r>
    </w:p>
    <w:p w14:paraId="1EB5853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 w:val="24"/>
          <w:szCs w:val="24"/>
          <w:highlight w:val="none"/>
        </w:rPr>
        <w:t>如</w:t>
      </w:r>
      <w:r>
        <w:rPr>
          <w:rFonts w:ascii="宋体" w:hAnsi="宋体"/>
          <w:color w:val="000000"/>
          <w:kern w:val="0"/>
          <w:sz w:val="24"/>
          <w:szCs w:val="24"/>
          <w:highlight w:val="none"/>
        </w:rPr>
        <w:t>发包人要求承包人进行整改</w:t>
      </w:r>
      <w:r>
        <w:rPr>
          <w:rFonts w:hint="eastAsia" w:ascii="宋体" w:hAnsi="宋体"/>
          <w:color w:val="000000"/>
          <w:kern w:val="0"/>
          <w:sz w:val="24"/>
          <w:szCs w:val="24"/>
          <w:highlight w:val="none"/>
        </w:rPr>
        <w:t>的</w:t>
      </w:r>
      <w:r>
        <w:rPr>
          <w:rFonts w:ascii="宋体" w:hAnsi="宋体"/>
          <w:color w:val="000000"/>
          <w:kern w:val="0"/>
          <w:sz w:val="24"/>
          <w:szCs w:val="24"/>
          <w:highlight w:val="none"/>
        </w:rPr>
        <w:t>，由此产生的费用由发包人承担。</w:t>
      </w:r>
    </w:p>
    <w:p w14:paraId="34C4C642">
      <w:pPr>
        <w:pStyle w:val="8"/>
        <w:spacing w:before="120" w:after="120" w:line="360" w:lineRule="auto"/>
        <w:rPr>
          <w:rFonts w:ascii="宋体" w:hAnsi="宋体"/>
          <w:b w:val="0"/>
          <w:color w:val="000000"/>
          <w:sz w:val="24"/>
          <w:szCs w:val="24"/>
          <w:highlight w:val="none"/>
        </w:rPr>
      </w:pPr>
      <w:bookmarkStart w:id="318" w:name="_Toc337558808"/>
      <w:r>
        <w:rPr>
          <w:rFonts w:ascii="宋体" w:hAnsi="宋体"/>
          <w:b w:val="0"/>
          <w:color w:val="000000"/>
          <w:sz w:val="24"/>
          <w:szCs w:val="24"/>
          <w:highlight w:val="none"/>
        </w:rPr>
        <w:t xml:space="preserve">    </w:t>
      </w:r>
      <w:bookmarkStart w:id="319" w:name="_Toc351203590"/>
      <w:r>
        <w:rPr>
          <w:rFonts w:ascii="宋体" w:hAnsi="宋体"/>
          <w:b w:val="0"/>
          <w:color w:val="000000"/>
          <w:sz w:val="24"/>
          <w:szCs w:val="24"/>
          <w:highlight w:val="none"/>
        </w:rPr>
        <w:t>13.4提前交付单位工程的验收</w:t>
      </w:r>
      <w:bookmarkEnd w:id="319"/>
    </w:p>
    <w:bookmarkEnd w:id="318"/>
    <w:p w14:paraId="7BF690B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 w:val="24"/>
          <w:szCs w:val="24"/>
          <w:highlight w:val="none"/>
        </w:rPr>
        <w:t>〔</w:t>
      </w:r>
      <w:r>
        <w:rPr>
          <w:rFonts w:ascii="宋体" w:hAnsi="宋体"/>
          <w:color w:val="000000"/>
          <w:kern w:val="0"/>
          <w:sz w:val="24"/>
          <w:szCs w:val="24"/>
          <w:highlight w:val="none"/>
        </w:rPr>
        <w:t>竣工验收</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的约定进行。</w:t>
      </w:r>
    </w:p>
    <w:p w14:paraId="3D19B16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DB8048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37937548">
      <w:pPr>
        <w:pStyle w:val="8"/>
        <w:spacing w:before="120" w:after="120" w:line="360" w:lineRule="auto"/>
        <w:ind w:firstLine="480" w:firstLineChars="200"/>
        <w:rPr>
          <w:rFonts w:ascii="宋体" w:hAnsi="宋体"/>
          <w:b w:val="0"/>
          <w:color w:val="000000"/>
          <w:sz w:val="24"/>
          <w:szCs w:val="24"/>
          <w:highlight w:val="none"/>
        </w:rPr>
      </w:pPr>
      <w:bookmarkStart w:id="320" w:name="_Toc351203591"/>
      <w:r>
        <w:rPr>
          <w:rFonts w:ascii="宋体" w:hAnsi="宋体"/>
          <w:b w:val="0"/>
          <w:color w:val="000000"/>
          <w:sz w:val="24"/>
          <w:szCs w:val="24"/>
          <w:highlight w:val="none"/>
        </w:rPr>
        <w:t>13.5 施工期运行</w:t>
      </w:r>
      <w:bookmarkEnd w:id="320"/>
    </w:p>
    <w:p w14:paraId="2F071FC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 w:val="24"/>
          <w:szCs w:val="24"/>
          <w:highlight w:val="none"/>
        </w:rPr>
        <w:t>〔</w:t>
      </w:r>
      <w:r>
        <w:rPr>
          <w:rFonts w:ascii="宋体" w:hAnsi="宋体"/>
          <w:color w:val="000000"/>
          <w:kern w:val="0"/>
          <w:sz w:val="24"/>
          <w:szCs w:val="24"/>
          <w:highlight w:val="none"/>
        </w:rPr>
        <w:t>提前交付单位工程的验收</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的约定验收合格，证明能确保安全后，才能在施工期投入运行。</w:t>
      </w:r>
    </w:p>
    <w:p w14:paraId="3F59E55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13.5.2 在施工期运行中发现工程或工程设备损坏或存在缺陷的，由承包人按第15.2款</w:t>
      </w:r>
      <w:r>
        <w:rPr>
          <w:rFonts w:hint="eastAsia" w:ascii="宋体" w:hAnsi="宋体"/>
          <w:color w:val="000000"/>
          <w:kern w:val="0"/>
          <w:sz w:val="24"/>
          <w:szCs w:val="24"/>
          <w:highlight w:val="none"/>
        </w:rPr>
        <w:t>〔</w:t>
      </w:r>
      <w:r>
        <w:rPr>
          <w:rFonts w:ascii="宋体" w:hAnsi="宋体"/>
          <w:color w:val="000000"/>
          <w:kern w:val="0"/>
          <w:sz w:val="24"/>
          <w:szCs w:val="24"/>
          <w:highlight w:val="none"/>
        </w:rPr>
        <w:t>缺陷责任期</w:t>
      </w:r>
      <w:r>
        <w:rPr>
          <w:rFonts w:hint="eastAsia" w:ascii="宋体" w:hAnsi="宋体"/>
          <w:color w:val="000000"/>
          <w:kern w:val="0"/>
          <w:sz w:val="24"/>
          <w:szCs w:val="24"/>
          <w:highlight w:val="none"/>
        </w:rPr>
        <w:t>〕</w:t>
      </w:r>
      <w:r>
        <w:rPr>
          <w:rFonts w:ascii="宋体" w:hAnsi="宋体"/>
          <w:color w:val="000000"/>
          <w:kern w:val="0"/>
          <w:sz w:val="24"/>
          <w:szCs w:val="24"/>
          <w:highlight w:val="none"/>
        </w:rPr>
        <w:t>约定进行修复。</w:t>
      </w:r>
    </w:p>
    <w:p w14:paraId="76C0E7BD">
      <w:pPr>
        <w:pStyle w:val="8"/>
        <w:spacing w:before="120" w:after="120" w:line="360" w:lineRule="auto"/>
        <w:ind w:firstLine="480" w:firstLineChars="200"/>
        <w:rPr>
          <w:rFonts w:ascii="宋体" w:hAnsi="宋体"/>
          <w:b w:val="0"/>
          <w:color w:val="000000"/>
          <w:sz w:val="24"/>
          <w:szCs w:val="24"/>
          <w:highlight w:val="none"/>
        </w:rPr>
      </w:pPr>
      <w:bookmarkStart w:id="321" w:name="_Toc296503112"/>
      <w:bookmarkStart w:id="322" w:name="_Toc296346613"/>
      <w:bookmarkStart w:id="323" w:name="_Toc351203592"/>
      <w:bookmarkStart w:id="324" w:name="_Toc337558809"/>
      <w:r>
        <w:rPr>
          <w:rFonts w:ascii="宋体" w:hAnsi="宋体"/>
          <w:b w:val="0"/>
          <w:color w:val="000000"/>
          <w:sz w:val="24"/>
          <w:szCs w:val="24"/>
          <w:highlight w:val="none"/>
        </w:rPr>
        <w:t>13.6 竣工退</w:t>
      </w:r>
      <w:bookmarkEnd w:id="321"/>
      <w:bookmarkEnd w:id="322"/>
      <w:r>
        <w:rPr>
          <w:rFonts w:ascii="宋体" w:hAnsi="宋体"/>
          <w:b w:val="0"/>
          <w:color w:val="000000"/>
          <w:sz w:val="24"/>
          <w:szCs w:val="24"/>
          <w:highlight w:val="none"/>
        </w:rPr>
        <w:t>场</w:t>
      </w:r>
      <w:bookmarkEnd w:id="323"/>
    </w:p>
    <w:bookmarkEnd w:id="324"/>
    <w:p w14:paraId="61873E6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13.6.1 竣工退场</w:t>
      </w:r>
    </w:p>
    <w:p w14:paraId="1C71383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颁发工程接收证书后，承包人应按以下要求对施工现场进行清理：</w:t>
      </w:r>
    </w:p>
    <w:p w14:paraId="3E85ED5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（1）施工现场内残留的垃圾已全部清除出场；</w:t>
      </w:r>
    </w:p>
    <w:p w14:paraId="32F01E1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（2）临时工程已拆除，场地已进行清理、平整或复原；</w:t>
      </w:r>
    </w:p>
    <w:p w14:paraId="40C03F1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（3）按合同约定应撤离的人员、承包人施工设备和剩余的材料，包括废弃的施工设备和材料，已按计划撤离施工现场；</w:t>
      </w:r>
    </w:p>
    <w:p w14:paraId="2A4209B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（4）施工现场周边及其附近道路、河道的施工堆积物，已全部清理；</w:t>
      </w:r>
    </w:p>
    <w:p w14:paraId="427A69B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（5）施工现场其他场地清理工作已全部完成。</w:t>
      </w:r>
    </w:p>
    <w:p w14:paraId="6D36AE4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5C9C6D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13.6.2 地表还原</w:t>
      </w:r>
    </w:p>
    <w:p w14:paraId="08DE248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D2B7979">
      <w:pPr>
        <w:pStyle w:val="7"/>
        <w:spacing w:before="120" w:after="120" w:line="360" w:lineRule="auto"/>
        <w:rPr>
          <w:rFonts w:ascii="宋体" w:hAnsi="宋体"/>
          <w:b w:val="0"/>
          <w:color w:val="000000"/>
          <w:szCs w:val="24"/>
          <w:highlight w:val="none"/>
        </w:rPr>
      </w:pPr>
      <w:bookmarkStart w:id="325" w:name="_Toc351203593"/>
      <w:bookmarkStart w:id="326" w:name="_Toc337558810"/>
      <w:bookmarkStart w:id="327" w:name="_Toc296503113"/>
      <w:bookmarkStart w:id="328" w:name="_Toc296346614"/>
      <w:r>
        <w:rPr>
          <w:rFonts w:ascii="宋体" w:hAnsi="宋体"/>
          <w:b w:val="0"/>
          <w:color w:val="000000"/>
          <w:szCs w:val="24"/>
          <w:highlight w:val="none"/>
        </w:rPr>
        <w:t>14. 竣工结算</w:t>
      </w:r>
      <w:bookmarkEnd w:id="325"/>
    </w:p>
    <w:bookmarkEnd w:id="326"/>
    <w:p w14:paraId="17E00687">
      <w:pPr>
        <w:pStyle w:val="8"/>
        <w:spacing w:before="120" w:after="120" w:line="360" w:lineRule="auto"/>
        <w:ind w:firstLine="480" w:firstLineChars="200"/>
        <w:rPr>
          <w:rFonts w:ascii="宋体" w:hAnsi="宋体"/>
          <w:b w:val="0"/>
          <w:color w:val="000000"/>
          <w:sz w:val="24"/>
          <w:szCs w:val="24"/>
          <w:highlight w:val="none"/>
        </w:rPr>
      </w:pPr>
      <w:bookmarkStart w:id="329" w:name="_Toc351203594"/>
      <w:bookmarkStart w:id="330" w:name="_Toc337558811"/>
      <w:r>
        <w:rPr>
          <w:rFonts w:ascii="宋体" w:hAnsi="宋体"/>
          <w:b w:val="0"/>
          <w:color w:val="000000"/>
          <w:sz w:val="24"/>
          <w:szCs w:val="24"/>
          <w:highlight w:val="none"/>
        </w:rPr>
        <w:t>14.1 竣工结算申请</w:t>
      </w:r>
      <w:bookmarkEnd w:id="329"/>
    </w:p>
    <w:bookmarkEnd w:id="330"/>
    <w:p w14:paraId="08672E48">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除专用合同条款另有约定外，</w:t>
      </w:r>
      <w:r>
        <w:rPr>
          <w:rFonts w:ascii="宋体" w:hAnsi="宋体"/>
          <w:color w:val="000000"/>
          <w:sz w:val="24"/>
          <w:szCs w:val="24"/>
          <w:highlight w:val="none"/>
        </w:rPr>
        <w:t>承包人应在工程竣工验收合格后28天内向发包人和监理人提交竣工结算申请单，并提交完整的结算资料，</w:t>
      </w:r>
      <w:r>
        <w:rPr>
          <w:rFonts w:hint="eastAsia" w:ascii="宋体" w:hAnsi="宋体"/>
          <w:color w:val="000000"/>
          <w:sz w:val="24"/>
          <w:szCs w:val="24"/>
          <w:highlight w:val="none"/>
        </w:rPr>
        <w:t>有关</w:t>
      </w:r>
      <w:r>
        <w:rPr>
          <w:rFonts w:ascii="宋体" w:hAnsi="宋体"/>
          <w:color w:val="000000"/>
          <w:sz w:val="24"/>
          <w:szCs w:val="24"/>
          <w:highlight w:val="none"/>
        </w:rPr>
        <w:t>竣工结算申请单</w:t>
      </w:r>
      <w:r>
        <w:rPr>
          <w:rFonts w:hint="eastAsia" w:ascii="宋体" w:hAnsi="宋体"/>
          <w:color w:val="000000"/>
          <w:sz w:val="24"/>
          <w:szCs w:val="24"/>
          <w:highlight w:val="none"/>
        </w:rPr>
        <w:t>的资料清单和</w:t>
      </w:r>
      <w:r>
        <w:rPr>
          <w:rFonts w:ascii="宋体" w:hAnsi="宋体"/>
          <w:color w:val="000000"/>
          <w:sz w:val="24"/>
          <w:szCs w:val="24"/>
          <w:highlight w:val="none"/>
        </w:rPr>
        <w:t>份数</w:t>
      </w:r>
      <w:r>
        <w:rPr>
          <w:rFonts w:hint="eastAsia" w:ascii="宋体" w:hAnsi="宋体"/>
          <w:color w:val="000000"/>
          <w:sz w:val="24"/>
          <w:szCs w:val="24"/>
          <w:highlight w:val="none"/>
        </w:rPr>
        <w:t>等要求</w:t>
      </w:r>
      <w:r>
        <w:rPr>
          <w:rFonts w:ascii="宋体" w:hAnsi="宋体"/>
          <w:color w:val="000000"/>
          <w:sz w:val="24"/>
          <w:szCs w:val="24"/>
          <w:highlight w:val="none"/>
        </w:rPr>
        <w:t>由合同当事人在专用合同条款中约定。</w:t>
      </w:r>
    </w:p>
    <w:p w14:paraId="79672D56">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除专用合同条款另有约定外，竣工结算申请单应包括以下内容：</w:t>
      </w:r>
    </w:p>
    <w:p w14:paraId="06432A64">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（1）竣工结算合同价格；</w:t>
      </w:r>
    </w:p>
    <w:p w14:paraId="59BDF267">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（2）发包人已支付承包人的款项；</w:t>
      </w:r>
    </w:p>
    <w:p w14:paraId="67093C79">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（3）应扣留的质量保证金</w:t>
      </w:r>
      <w:r>
        <w:rPr>
          <w:rFonts w:hint="eastAsia" w:ascii="宋体" w:hAnsi="宋体"/>
          <w:color w:val="000000"/>
          <w:sz w:val="24"/>
          <w:szCs w:val="24"/>
          <w:highlight w:val="none"/>
        </w:rPr>
        <w:t>。已缴纳履约保证金的或提供其他工程质量担保方式的除外</w:t>
      </w:r>
      <w:r>
        <w:rPr>
          <w:rFonts w:ascii="宋体" w:hAnsi="宋体"/>
          <w:color w:val="000000"/>
          <w:sz w:val="24"/>
          <w:szCs w:val="24"/>
          <w:highlight w:val="none"/>
        </w:rPr>
        <w:t xml:space="preserve">； </w:t>
      </w:r>
    </w:p>
    <w:p w14:paraId="6861CCBD">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（4）发包人应支付承包人的合同价款。</w:t>
      </w:r>
    </w:p>
    <w:p w14:paraId="0AF86640">
      <w:pPr>
        <w:pStyle w:val="8"/>
        <w:spacing w:before="120" w:after="120" w:line="360" w:lineRule="auto"/>
        <w:ind w:firstLine="480" w:firstLineChars="200"/>
        <w:rPr>
          <w:rFonts w:ascii="宋体" w:hAnsi="宋体"/>
          <w:b w:val="0"/>
          <w:color w:val="000000"/>
          <w:sz w:val="24"/>
          <w:szCs w:val="24"/>
          <w:highlight w:val="none"/>
        </w:rPr>
      </w:pPr>
      <w:bookmarkStart w:id="331" w:name="_Toc351203595"/>
      <w:bookmarkStart w:id="332" w:name="_Toc337558812"/>
      <w:r>
        <w:rPr>
          <w:rFonts w:ascii="宋体" w:hAnsi="宋体"/>
          <w:b w:val="0"/>
          <w:color w:val="000000"/>
          <w:sz w:val="24"/>
          <w:szCs w:val="24"/>
          <w:highlight w:val="none"/>
        </w:rPr>
        <w:t>14.2 竣工结算审核</w:t>
      </w:r>
      <w:bookmarkEnd w:id="331"/>
    </w:p>
    <w:bookmarkEnd w:id="332"/>
    <w:p w14:paraId="767754D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 w:val="24"/>
          <w:szCs w:val="24"/>
          <w:highlight w:val="none"/>
        </w:rPr>
        <w:t>审批</w:t>
      </w:r>
      <w:r>
        <w:rPr>
          <w:rFonts w:ascii="宋体" w:hAnsi="宋体"/>
          <w:color w:val="000000"/>
          <w:kern w:val="0"/>
          <w:sz w:val="24"/>
          <w:szCs w:val="24"/>
          <w:highlight w:val="none"/>
        </w:rPr>
        <w:t>，并由监理人向承包人签发经发包人签认的竣工付款证书。监理人或</w:t>
      </w:r>
      <w:r>
        <w:rPr>
          <w:rFonts w:ascii="宋体" w:hAnsi="宋体"/>
          <w:color w:val="000000"/>
          <w:sz w:val="24"/>
          <w:szCs w:val="24"/>
          <w:highlight w:val="none"/>
        </w:rPr>
        <w:t>发包人对竣工</w:t>
      </w:r>
      <w:r>
        <w:rPr>
          <w:rFonts w:ascii="宋体" w:hAnsi="宋体"/>
          <w:color w:val="000000"/>
          <w:kern w:val="0"/>
          <w:sz w:val="24"/>
          <w:szCs w:val="24"/>
          <w:highlight w:val="none"/>
        </w:rPr>
        <w:t>结算</w:t>
      </w:r>
      <w:r>
        <w:rPr>
          <w:rFonts w:ascii="宋体" w:hAnsi="宋体"/>
          <w:color w:val="000000"/>
          <w:sz w:val="24"/>
          <w:szCs w:val="24"/>
          <w:highlight w:val="none"/>
        </w:rPr>
        <w:t>申请单有异议的，有权要求承包人进行修正和提供补充资料，承包人应提交修正后的竣工</w:t>
      </w:r>
      <w:r>
        <w:rPr>
          <w:rFonts w:ascii="宋体" w:hAnsi="宋体"/>
          <w:color w:val="000000"/>
          <w:kern w:val="0"/>
          <w:sz w:val="24"/>
          <w:szCs w:val="24"/>
          <w:highlight w:val="none"/>
        </w:rPr>
        <w:t>结算</w:t>
      </w:r>
      <w:r>
        <w:rPr>
          <w:rFonts w:ascii="宋体" w:hAnsi="宋体"/>
          <w:color w:val="000000"/>
          <w:sz w:val="24"/>
          <w:szCs w:val="24"/>
          <w:highlight w:val="none"/>
        </w:rPr>
        <w:t>申请单。</w:t>
      </w:r>
    </w:p>
    <w:p w14:paraId="5AFE2FF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发包人在收到承包人提交竣工结算申请书后28天</w:t>
      </w:r>
      <w:r>
        <w:rPr>
          <w:rFonts w:hint="eastAsia" w:ascii="宋体" w:hAnsi="宋体"/>
          <w:color w:val="000000"/>
          <w:kern w:val="0"/>
          <w:sz w:val="24"/>
          <w:szCs w:val="24"/>
          <w:highlight w:val="none"/>
        </w:rPr>
        <w:t>内</w:t>
      </w:r>
      <w:r>
        <w:rPr>
          <w:rFonts w:ascii="宋体" w:hAnsi="宋体"/>
          <w:color w:val="000000"/>
          <w:kern w:val="0"/>
          <w:sz w:val="24"/>
          <w:szCs w:val="24"/>
          <w:highlight w:val="none"/>
        </w:rPr>
        <w:t>未完成</w:t>
      </w:r>
      <w:r>
        <w:rPr>
          <w:rFonts w:hint="eastAsia" w:ascii="宋体" w:hAnsi="宋体"/>
          <w:color w:val="000000"/>
          <w:kern w:val="0"/>
          <w:sz w:val="24"/>
          <w:szCs w:val="24"/>
          <w:highlight w:val="none"/>
        </w:rPr>
        <w:t>审批</w:t>
      </w:r>
      <w:r>
        <w:rPr>
          <w:rFonts w:ascii="宋体" w:hAnsi="宋体"/>
          <w:color w:val="000000"/>
          <w:kern w:val="0"/>
          <w:sz w:val="24"/>
          <w:szCs w:val="24"/>
          <w:highlight w:val="none"/>
        </w:rPr>
        <w:t>且未提出异议的，视为发包人认可承包人提交的竣工结算申请单，并自发包人收到承包人提交的竣工结算申请单后第29天起视为已签发竣工付款证书。</w:t>
      </w:r>
    </w:p>
    <w:p w14:paraId="648306B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1A6BC6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 w:val="24"/>
          <w:szCs w:val="24"/>
          <w:highlight w:val="none"/>
        </w:rPr>
        <w:t>的方式和程序</w:t>
      </w:r>
      <w:r>
        <w:rPr>
          <w:rFonts w:ascii="宋体" w:hAnsi="宋体"/>
          <w:color w:val="000000"/>
          <w:kern w:val="0"/>
          <w:sz w:val="24"/>
          <w:szCs w:val="24"/>
          <w:highlight w:val="none"/>
        </w:rPr>
        <w:t>进行复核，或按照第20条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约定处理。对于无异议部分，发包人应签发临时竣工付款证书，并按本款第（2）项完成付款</w:t>
      </w:r>
      <w:r>
        <w:rPr>
          <w:rFonts w:hint="eastAsia" w:ascii="宋体" w:hAnsi="宋体"/>
          <w:color w:val="000000"/>
          <w:kern w:val="0"/>
          <w:sz w:val="24"/>
          <w:szCs w:val="24"/>
          <w:highlight w:val="none"/>
        </w:rPr>
        <w:t>。</w:t>
      </w:r>
      <w:r>
        <w:rPr>
          <w:rFonts w:ascii="宋体" w:hAnsi="宋体"/>
          <w:color w:val="000000"/>
          <w:kern w:val="0"/>
          <w:sz w:val="24"/>
          <w:szCs w:val="24"/>
          <w:highlight w:val="none"/>
        </w:rPr>
        <w:t>承包人逾期未提出异议的，视为认可发包人的</w:t>
      </w:r>
      <w:r>
        <w:rPr>
          <w:rFonts w:hint="eastAsia" w:ascii="宋体" w:hAnsi="宋体"/>
          <w:color w:val="000000"/>
          <w:kern w:val="0"/>
          <w:sz w:val="24"/>
          <w:szCs w:val="24"/>
          <w:highlight w:val="none"/>
        </w:rPr>
        <w:t>审批</w:t>
      </w:r>
      <w:r>
        <w:rPr>
          <w:rFonts w:ascii="宋体" w:hAnsi="宋体"/>
          <w:color w:val="000000"/>
          <w:kern w:val="0"/>
          <w:sz w:val="24"/>
          <w:szCs w:val="24"/>
          <w:highlight w:val="none"/>
        </w:rPr>
        <w:t>结果。</w:t>
      </w:r>
    </w:p>
    <w:p w14:paraId="4497A925">
      <w:pPr>
        <w:pStyle w:val="8"/>
        <w:spacing w:before="120" w:after="120" w:line="360" w:lineRule="auto"/>
        <w:ind w:firstLine="480" w:firstLineChars="200"/>
        <w:rPr>
          <w:rFonts w:ascii="宋体" w:hAnsi="宋体"/>
          <w:b w:val="0"/>
          <w:color w:val="000000"/>
          <w:sz w:val="24"/>
          <w:szCs w:val="24"/>
          <w:highlight w:val="none"/>
        </w:rPr>
      </w:pPr>
      <w:bookmarkStart w:id="333" w:name="_Toc351203596"/>
      <w:bookmarkStart w:id="334" w:name="_Toc337558813"/>
      <w:r>
        <w:rPr>
          <w:rFonts w:ascii="宋体" w:hAnsi="宋体"/>
          <w:b w:val="0"/>
          <w:color w:val="000000"/>
          <w:sz w:val="24"/>
          <w:szCs w:val="24"/>
          <w:highlight w:val="none"/>
        </w:rPr>
        <w:t>14.3 甩项竣工协议</w:t>
      </w:r>
      <w:bookmarkEnd w:id="333"/>
    </w:p>
    <w:bookmarkEnd w:id="334"/>
    <w:p w14:paraId="0940BA79">
      <w:pPr>
        <w:autoSpaceDE w:val="0"/>
        <w:autoSpaceDN w:val="0"/>
        <w:adjustRightInd w:val="0"/>
        <w:spacing w:line="360" w:lineRule="auto"/>
        <w:ind w:firstLine="470" w:firstLineChars="196"/>
        <w:jc w:val="left"/>
        <w:rPr>
          <w:rFonts w:ascii="宋体" w:hAnsi="宋体"/>
          <w:color w:val="000000"/>
          <w:kern w:val="0"/>
          <w:sz w:val="24"/>
          <w:szCs w:val="24"/>
          <w:highlight w:val="none"/>
        </w:rPr>
      </w:pPr>
      <w:r>
        <w:rPr>
          <w:rFonts w:ascii="宋体" w:hAnsi="宋体"/>
          <w:sz w:val="24"/>
          <w:szCs w:val="24"/>
          <w:highlight w:val="none"/>
        </w:rPr>
        <w:t>发包人要求甩项竣工的，合同当事人应签订甩项竣工协议。在甩项竣工协议中应明确，合同当事人按照第14.1款</w:t>
      </w:r>
      <w:r>
        <w:rPr>
          <w:rFonts w:hint="eastAsia" w:ascii="宋体" w:hAnsi="宋体"/>
          <w:sz w:val="24"/>
          <w:szCs w:val="24"/>
          <w:highlight w:val="none"/>
        </w:rPr>
        <w:t>〔</w:t>
      </w:r>
      <w:r>
        <w:rPr>
          <w:rFonts w:ascii="宋体" w:hAnsi="宋体"/>
          <w:sz w:val="24"/>
          <w:szCs w:val="24"/>
          <w:highlight w:val="none"/>
        </w:rPr>
        <w:t>竣工</w:t>
      </w:r>
      <w:r>
        <w:rPr>
          <w:rFonts w:hint="eastAsia" w:ascii="宋体" w:hAnsi="宋体"/>
          <w:sz w:val="24"/>
          <w:szCs w:val="24"/>
          <w:highlight w:val="none"/>
        </w:rPr>
        <w:t>结算</w:t>
      </w:r>
      <w:r>
        <w:rPr>
          <w:rFonts w:ascii="宋体" w:hAnsi="宋体"/>
          <w:sz w:val="24"/>
          <w:szCs w:val="24"/>
          <w:highlight w:val="none"/>
        </w:rPr>
        <w:t>申请</w:t>
      </w:r>
      <w:r>
        <w:rPr>
          <w:rFonts w:hint="eastAsia" w:ascii="宋体" w:hAnsi="宋体"/>
          <w:sz w:val="24"/>
          <w:szCs w:val="24"/>
          <w:highlight w:val="none"/>
        </w:rPr>
        <w:t>〕</w:t>
      </w:r>
      <w:r>
        <w:rPr>
          <w:rFonts w:ascii="宋体" w:hAnsi="宋体"/>
          <w:sz w:val="24"/>
          <w:szCs w:val="24"/>
          <w:highlight w:val="none"/>
        </w:rPr>
        <w:t>及14.2款</w:t>
      </w:r>
      <w:r>
        <w:rPr>
          <w:rFonts w:hint="eastAsia" w:ascii="宋体" w:hAnsi="宋体"/>
          <w:sz w:val="24"/>
          <w:szCs w:val="24"/>
          <w:highlight w:val="none"/>
        </w:rPr>
        <w:t>〔</w:t>
      </w:r>
      <w:r>
        <w:rPr>
          <w:rFonts w:ascii="宋体" w:hAnsi="宋体"/>
          <w:sz w:val="24"/>
          <w:szCs w:val="24"/>
          <w:highlight w:val="none"/>
        </w:rPr>
        <w:t>竣工结算审核</w:t>
      </w:r>
      <w:r>
        <w:rPr>
          <w:rFonts w:hint="eastAsia" w:ascii="宋体" w:hAnsi="宋体"/>
          <w:sz w:val="24"/>
          <w:szCs w:val="24"/>
          <w:highlight w:val="none"/>
        </w:rPr>
        <w:t>〕</w:t>
      </w:r>
      <w:r>
        <w:rPr>
          <w:rFonts w:ascii="宋体" w:hAnsi="宋体"/>
          <w:sz w:val="24"/>
          <w:szCs w:val="24"/>
          <w:highlight w:val="none"/>
        </w:rPr>
        <w:t>的约定，</w:t>
      </w:r>
      <w:r>
        <w:rPr>
          <w:rFonts w:hint="eastAsia" w:ascii="宋体" w:hAnsi="宋体"/>
          <w:sz w:val="24"/>
          <w:szCs w:val="24"/>
          <w:highlight w:val="none"/>
        </w:rPr>
        <w:t>对已</w:t>
      </w:r>
      <w:r>
        <w:rPr>
          <w:rFonts w:ascii="宋体" w:hAnsi="宋体"/>
          <w:sz w:val="24"/>
          <w:szCs w:val="24"/>
          <w:highlight w:val="none"/>
        </w:rPr>
        <w:t>完合格工程</w:t>
      </w:r>
      <w:r>
        <w:rPr>
          <w:rFonts w:hint="eastAsia" w:ascii="宋体" w:hAnsi="宋体"/>
          <w:sz w:val="24"/>
          <w:szCs w:val="24"/>
          <w:highlight w:val="none"/>
        </w:rPr>
        <w:t>进行</w:t>
      </w:r>
      <w:r>
        <w:rPr>
          <w:rFonts w:ascii="宋体" w:hAnsi="宋体"/>
          <w:sz w:val="24"/>
          <w:szCs w:val="24"/>
          <w:highlight w:val="none"/>
        </w:rPr>
        <w:t>结算，并支付相应</w:t>
      </w:r>
      <w:r>
        <w:rPr>
          <w:rFonts w:hint="eastAsia" w:ascii="宋体" w:hAnsi="宋体"/>
          <w:sz w:val="24"/>
          <w:szCs w:val="24"/>
          <w:highlight w:val="none"/>
        </w:rPr>
        <w:t>合同</w:t>
      </w:r>
      <w:r>
        <w:rPr>
          <w:rFonts w:ascii="宋体" w:hAnsi="宋体"/>
          <w:sz w:val="24"/>
          <w:szCs w:val="24"/>
          <w:highlight w:val="none"/>
        </w:rPr>
        <w:t>价款。</w:t>
      </w:r>
    </w:p>
    <w:p w14:paraId="133E791E">
      <w:pPr>
        <w:pStyle w:val="8"/>
        <w:spacing w:before="120" w:after="120" w:line="360" w:lineRule="auto"/>
        <w:ind w:firstLine="480" w:firstLineChars="200"/>
        <w:rPr>
          <w:rFonts w:ascii="宋体" w:hAnsi="宋体"/>
          <w:b w:val="0"/>
          <w:color w:val="000000"/>
          <w:sz w:val="24"/>
          <w:szCs w:val="24"/>
          <w:highlight w:val="none"/>
        </w:rPr>
      </w:pPr>
      <w:bookmarkStart w:id="335" w:name="_Toc351203597"/>
      <w:bookmarkStart w:id="336" w:name="_Toc337558814"/>
      <w:r>
        <w:rPr>
          <w:rFonts w:ascii="宋体" w:hAnsi="宋体"/>
          <w:b w:val="0"/>
          <w:color w:val="000000"/>
          <w:sz w:val="24"/>
          <w:szCs w:val="24"/>
          <w:highlight w:val="none"/>
        </w:rPr>
        <w:t>14.4 最终结清</w:t>
      </w:r>
      <w:bookmarkEnd w:id="335"/>
    </w:p>
    <w:bookmarkEnd w:id="336"/>
    <w:p w14:paraId="5EB9407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14.4.1 最终结清申请单</w:t>
      </w:r>
    </w:p>
    <w:p w14:paraId="03EB543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760AE89E">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除专用合同条款另有约定外，</w:t>
      </w:r>
      <w:r>
        <w:rPr>
          <w:rFonts w:ascii="宋体" w:hAnsi="宋体"/>
          <w:color w:val="000000"/>
          <w:kern w:val="0"/>
          <w:sz w:val="24"/>
          <w:szCs w:val="24"/>
          <w:highlight w:val="none"/>
        </w:rPr>
        <w:t>最终结清申请单</w:t>
      </w:r>
      <w:r>
        <w:rPr>
          <w:rFonts w:ascii="宋体" w:hAnsi="宋体"/>
          <w:color w:val="000000"/>
          <w:sz w:val="24"/>
          <w:szCs w:val="24"/>
          <w:highlight w:val="none"/>
        </w:rPr>
        <w:t>应列明质量保证金、应扣除的质量保证金、缺陷责任期内发生的增减费用。</w:t>
      </w:r>
    </w:p>
    <w:p w14:paraId="1B8AF46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（2）发包人对最终结清申请单内容有异议的，有权要求承包人进行修正和提供补充资料，承包人应向发包人提交修正后的最终结清申请单。</w:t>
      </w:r>
    </w:p>
    <w:p w14:paraId="3CCEE8C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14.4.2 最终结清证书和支付</w:t>
      </w:r>
    </w:p>
    <w:p w14:paraId="68C4566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 w:val="24"/>
          <w:szCs w:val="24"/>
          <w:highlight w:val="none"/>
        </w:rPr>
        <w:t>审批</w:t>
      </w:r>
      <w:r>
        <w:rPr>
          <w:rFonts w:ascii="宋体" w:hAnsi="宋体"/>
          <w:color w:val="000000"/>
          <w:kern w:val="0"/>
          <w:sz w:val="24"/>
          <w:szCs w:val="24"/>
          <w:highlight w:val="none"/>
        </w:rPr>
        <w:t>，又未提出修改意见的，视为发包人同意承包人提交的最终结清申请单，且自发包人收到承包人提交的最终结清申请单后15天起视为已颁发最终结清证书。</w:t>
      </w:r>
    </w:p>
    <w:p w14:paraId="4F33BE4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F16A1B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（3）承包人对发包人颁发的最终结清证书有异议的，按第20条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的约定办理。</w:t>
      </w:r>
    </w:p>
    <w:p w14:paraId="72471570">
      <w:pPr>
        <w:pStyle w:val="7"/>
        <w:spacing w:before="120" w:after="120" w:line="360" w:lineRule="auto"/>
        <w:rPr>
          <w:rFonts w:ascii="宋体" w:hAnsi="宋体"/>
          <w:b w:val="0"/>
          <w:color w:val="000000"/>
          <w:szCs w:val="24"/>
          <w:highlight w:val="none"/>
        </w:rPr>
      </w:pPr>
      <w:bookmarkStart w:id="337" w:name="_Toc351203598"/>
      <w:bookmarkStart w:id="338" w:name="_Toc337558815"/>
      <w:r>
        <w:rPr>
          <w:rFonts w:ascii="宋体" w:hAnsi="宋体"/>
          <w:b w:val="0"/>
          <w:color w:val="000000"/>
          <w:szCs w:val="24"/>
          <w:highlight w:val="none"/>
        </w:rPr>
        <w:t>15. 缺陷责任与保修</w:t>
      </w:r>
      <w:bookmarkEnd w:id="337"/>
    </w:p>
    <w:bookmarkEnd w:id="327"/>
    <w:bookmarkEnd w:id="328"/>
    <w:bookmarkEnd w:id="338"/>
    <w:p w14:paraId="2C0E64B9">
      <w:pPr>
        <w:pStyle w:val="8"/>
        <w:spacing w:before="120" w:after="120" w:line="360" w:lineRule="auto"/>
        <w:ind w:firstLine="480" w:firstLineChars="200"/>
        <w:rPr>
          <w:rFonts w:ascii="宋体" w:hAnsi="宋体"/>
          <w:b w:val="0"/>
          <w:color w:val="000000"/>
          <w:sz w:val="24"/>
          <w:szCs w:val="24"/>
          <w:highlight w:val="none"/>
        </w:rPr>
      </w:pPr>
      <w:bookmarkStart w:id="339" w:name="_Toc351203599"/>
      <w:bookmarkStart w:id="340" w:name="_Toc337558816"/>
      <w:bookmarkStart w:id="341" w:name="_Toc296503114"/>
      <w:bookmarkStart w:id="342" w:name="_Toc296346615"/>
      <w:r>
        <w:rPr>
          <w:rFonts w:ascii="宋体" w:hAnsi="宋体"/>
          <w:b w:val="0"/>
          <w:color w:val="000000"/>
          <w:sz w:val="24"/>
          <w:szCs w:val="24"/>
          <w:highlight w:val="none"/>
        </w:rPr>
        <w:t>15.1 工程保修的原则</w:t>
      </w:r>
      <w:bookmarkEnd w:id="339"/>
    </w:p>
    <w:bookmarkEnd w:id="340"/>
    <w:p w14:paraId="3F3ACA9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4D7A3A2D">
      <w:pPr>
        <w:pStyle w:val="8"/>
        <w:spacing w:before="120" w:after="120" w:line="360" w:lineRule="auto"/>
        <w:ind w:firstLine="480" w:firstLineChars="200"/>
        <w:rPr>
          <w:rFonts w:ascii="宋体" w:hAnsi="宋体"/>
          <w:b w:val="0"/>
          <w:color w:val="000000"/>
          <w:sz w:val="24"/>
          <w:szCs w:val="24"/>
          <w:highlight w:val="none"/>
        </w:rPr>
      </w:pPr>
      <w:bookmarkStart w:id="343" w:name="_Toc351203600"/>
      <w:bookmarkStart w:id="344" w:name="_Toc337558817"/>
      <w:r>
        <w:rPr>
          <w:rFonts w:ascii="宋体" w:hAnsi="宋体"/>
          <w:b w:val="0"/>
          <w:color w:val="000000"/>
          <w:sz w:val="24"/>
          <w:szCs w:val="24"/>
          <w:highlight w:val="none"/>
        </w:rPr>
        <w:t>15.2 缺陷责任期</w:t>
      </w:r>
      <w:bookmarkEnd w:id="341"/>
      <w:bookmarkEnd w:id="342"/>
      <w:bookmarkEnd w:id="343"/>
    </w:p>
    <w:bookmarkEnd w:id="344"/>
    <w:p w14:paraId="6516A2D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15.2.1 缺陷责任期</w:t>
      </w:r>
      <w:r>
        <w:rPr>
          <w:rFonts w:hint="eastAsia" w:ascii="宋体" w:hAnsi="宋体"/>
          <w:color w:val="000000"/>
          <w:kern w:val="0"/>
          <w:sz w:val="24"/>
          <w:szCs w:val="24"/>
          <w:highlight w:val="none"/>
        </w:rPr>
        <w:t>从工程通过竣工验收之日</w:t>
      </w:r>
      <w:r>
        <w:rPr>
          <w:rFonts w:ascii="宋体" w:hAnsi="宋体"/>
          <w:color w:val="000000"/>
          <w:kern w:val="0"/>
          <w:sz w:val="24"/>
          <w:szCs w:val="24"/>
          <w:highlight w:val="none"/>
        </w:rPr>
        <w:t>起计算，合同当事人应在专用合同条款约定缺陷责任期的具体期限，但该期限最长不超过24个月。</w:t>
      </w:r>
    </w:p>
    <w:p w14:paraId="307211C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单位工程先于全部工程进行验收，经验收合格并交付使用的，该单位工程缺陷责任期自单位工程验收合格之日起算。</w:t>
      </w:r>
      <w:r>
        <w:rPr>
          <w:rFonts w:hint="eastAsia" w:ascii="宋体" w:hAnsi="宋体"/>
          <w:color w:val="000000"/>
          <w:kern w:val="0"/>
          <w:sz w:val="24"/>
          <w:szCs w:val="24"/>
          <w:highlight w:val="none"/>
        </w:rPr>
        <w:t>因承包人原因导致工程无法按合同约定期限进行竣工验收的，缺陷责任期从实际通过竣工验收之日起计算。</w:t>
      </w:r>
      <w:r>
        <w:rPr>
          <w:rFonts w:ascii="宋体" w:hAnsi="宋体"/>
          <w:color w:val="000000"/>
          <w:kern w:val="0"/>
          <w:sz w:val="24"/>
          <w:szCs w:val="24"/>
          <w:highlight w:val="none"/>
        </w:rPr>
        <w:t>因发包人原因导致工程无法按合同约定期限进行竣工验收的，</w:t>
      </w:r>
      <w:r>
        <w:rPr>
          <w:rFonts w:hint="eastAsia" w:ascii="宋体" w:hAnsi="宋体"/>
          <w:color w:val="000000"/>
          <w:kern w:val="0"/>
          <w:sz w:val="24"/>
          <w:szCs w:val="24"/>
          <w:highlight w:val="none"/>
        </w:rPr>
        <w:t>在承包人提交竣工验收报告90天后，工程自动进入缺陷责任期</w:t>
      </w:r>
      <w:r>
        <w:rPr>
          <w:rFonts w:ascii="宋体" w:hAnsi="宋体"/>
          <w:color w:val="000000"/>
          <w:kern w:val="0"/>
          <w:sz w:val="24"/>
          <w:szCs w:val="24"/>
          <w:highlight w:val="none"/>
        </w:rPr>
        <w:t>；发包人未经竣工验收擅自使用工程的，缺陷责任期自工程转移占有之日起开始计算。</w:t>
      </w:r>
    </w:p>
    <w:p w14:paraId="2321134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15.2.2</w:t>
      </w:r>
      <w:r>
        <w:rPr>
          <w:rFonts w:hint="eastAsia" w:ascii="宋体" w:hAnsi="宋体"/>
          <w:color w:val="000000"/>
          <w:kern w:val="0"/>
          <w:sz w:val="24"/>
          <w:szCs w:val="24"/>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olor w:val="000000"/>
          <w:kern w:val="0"/>
          <w:sz w:val="24"/>
          <w:szCs w:val="24"/>
          <w:highlight w:val="none"/>
        </w:rPr>
        <w:t>发包人有权要求承</w:t>
      </w:r>
      <w:r>
        <w:rPr>
          <w:rFonts w:ascii="宋体" w:hAnsi="宋体"/>
          <w:bCs/>
          <w:color w:val="000000"/>
          <w:sz w:val="24"/>
          <w:szCs w:val="24"/>
          <w:highlight w:val="none"/>
        </w:rPr>
        <w:t>包人延长缺陷责任期，</w:t>
      </w:r>
      <w:r>
        <w:rPr>
          <w:rFonts w:ascii="宋体" w:hAnsi="宋体"/>
          <w:color w:val="000000"/>
          <w:kern w:val="0"/>
          <w:sz w:val="24"/>
          <w:szCs w:val="24"/>
          <w:highlight w:val="none"/>
        </w:rPr>
        <w:t>并应在原缺陷责任期届满前发出延长通知</w:t>
      </w:r>
      <w:r>
        <w:rPr>
          <w:rFonts w:hint="eastAsia" w:ascii="宋体" w:hAnsi="宋体"/>
          <w:color w:val="000000"/>
          <w:kern w:val="0"/>
          <w:sz w:val="24"/>
          <w:szCs w:val="24"/>
          <w:highlight w:val="none"/>
        </w:rPr>
        <w:t>。</w:t>
      </w:r>
      <w:r>
        <w:rPr>
          <w:rFonts w:ascii="宋体" w:hAnsi="宋体"/>
          <w:bCs/>
          <w:color w:val="000000"/>
          <w:sz w:val="24"/>
          <w:szCs w:val="24"/>
          <w:highlight w:val="none"/>
        </w:rPr>
        <w:t>但缺陷责任期</w:t>
      </w:r>
      <w:r>
        <w:rPr>
          <w:rFonts w:hint="eastAsia" w:ascii="宋体" w:hAnsi="宋体"/>
          <w:bCs/>
          <w:color w:val="000000"/>
          <w:sz w:val="24"/>
          <w:szCs w:val="24"/>
          <w:highlight w:val="none"/>
        </w:rPr>
        <w:t>（含延长部分）</w:t>
      </w:r>
      <w:r>
        <w:rPr>
          <w:rFonts w:ascii="宋体" w:hAnsi="宋体"/>
          <w:bCs/>
          <w:color w:val="000000"/>
          <w:sz w:val="24"/>
          <w:szCs w:val="24"/>
          <w:highlight w:val="none"/>
        </w:rPr>
        <w:t>最长</w:t>
      </w:r>
      <w:r>
        <w:rPr>
          <w:rFonts w:ascii="宋体" w:hAnsi="宋体"/>
          <w:color w:val="000000"/>
          <w:kern w:val="0"/>
          <w:sz w:val="24"/>
          <w:szCs w:val="24"/>
          <w:highlight w:val="none"/>
        </w:rPr>
        <w:t>不能超过24个月。</w:t>
      </w:r>
    </w:p>
    <w:p w14:paraId="46ED5AA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由他人原因造成的缺陷，发包人负责组织维修，承包人不承担费用，且发包人不得从保证金中扣除费用。</w:t>
      </w:r>
    </w:p>
    <w:p w14:paraId="1ABC1DB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3DCD269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15.2.4</w:t>
      </w:r>
      <w:r>
        <w:rPr>
          <w:rFonts w:hint="eastAsia" w:ascii="宋体" w:hAnsi="宋体"/>
          <w:color w:val="000000"/>
          <w:kern w:val="0"/>
          <w:sz w:val="24"/>
          <w:szCs w:val="24"/>
          <w:highlight w:val="none"/>
        </w:rPr>
        <w:t xml:space="preserve"> </w:t>
      </w:r>
      <w:r>
        <w:rPr>
          <w:rFonts w:ascii="宋体" w:hAnsi="宋体"/>
          <w:color w:val="000000"/>
          <w:kern w:val="0"/>
          <w:sz w:val="24"/>
          <w:szCs w:val="24"/>
          <w:highlight w:val="none"/>
        </w:rPr>
        <w:t>除专用合同条款另有约定外，承包人应于缺陷责任期届满后7天内向发包人发出缺陷责任期</w:t>
      </w:r>
      <w:r>
        <w:rPr>
          <w:rFonts w:hint="eastAsia" w:ascii="宋体" w:hAnsi="宋体"/>
          <w:color w:val="000000"/>
          <w:kern w:val="0"/>
          <w:sz w:val="24"/>
          <w:szCs w:val="24"/>
          <w:highlight w:val="none"/>
        </w:rPr>
        <w:t>届</w:t>
      </w:r>
      <w:r>
        <w:rPr>
          <w:rFonts w:ascii="宋体" w:hAnsi="宋体"/>
          <w:color w:val="000000"/>
          <w:kern w:val="0"/>
          <w:sz w:val="24"/>
          <w:szCs w:val="24"/>
          <w:highlight w:val="none"/>
        </w:rPr>
        <w:t>满通知，发包人应在</w:t>
      </w:r>
      <w:r>
        <w:rPr>
          <w:rFonts w:hint="eastAsia" w:ascii="宋体" w:hAnsi="宋体"/>
          <w:color w:val="000000"/>
          <w:kern w:val="0"/>
          <w:sz w:val="24"/>
          <w:szCs w:val="24"/>
          <w:highlight w:val="none"/>
        </w:rPr>
        <w:t>收</w:t>
      </w:r>
      <w:r>
        <w:rPr>
          <w:rFonts w:ascii="宋体" w:hAnsi="宋体"/>
          <w:color w:val="000000"/>
          <w:kern w:val="0"/>
          <w:sz w:val="24"/>
          <w:szCs w:val="24"/>
          <w:highlight w:val="none"/>
        </w:rPr>
        <w:t>到缺陷责任期满通知后14天内核实承包人是否履行缺陷</w:t>
      </w:r>
      <w:r>
        <w:rPr>
          <w:rFonts w:hint="eastAsia" w:ascii="宋体" w:hAnsi="宋体"/>
          <w:color w:val="000000"/>
          <w:kern w:val="0"/>
          <w:sz w:val="24"/>
          <w:szCs w:val="24"/>
          <w:highlight w:val="none"/>
        </w:rPr>
        <w:t>修复</w:t>
      </w:r>
      <w:r>
        <w:rPr>
          <w:rFonts w:ascii="宋体" w:hAnsi="宋体"/>
          <w:color w:val="000000"/>
          <w:kern w:val="0"/>
          <w:sz w:val="24"/>
          <w:szCs w:val="24"/>
          <w:highlight w:val="none"/>
        </w:rPr>
        <w:t>义务，承包人未能履行缺陷</w:t>
      </w:r>
      <w:r>
        <w:rPr>
          <w:rFonts w:hint="eastAsia" w:ascii="宋体" w:hAnsi="宋体"/>
          <w:color w:val="000000"/>
          <w:kern w:val="0"/>
          <w:sz w:val="24"/>
          <w:szCs w:val="24"/>
          <w:highlight w:val="none"/>
        </w:rPr>
        <w:t>修复</w:t>
      </w:r>
      <w:r>
        <w:rPr>
          <w:rFonts w:ascii="宋体" w:hAnsi="宋体"/>
          <w:color w:val="000000"/>
          <w:kern w:val="0"/>
          <w:sz w:val="24"/>
          <w:szCs w:val="24"/>
          <w:highlight w:val="none"/>
        </w:rPr>
        <w:t>义务的，发包人有权扣除相应金额的维修费用。发包人应在</w:t>
      </w:r>
      <w:r>
        <w:rPr>
          <w:rFonts w:hint="eastAsia" w:ascii="宋体" w:hAnsi="宋体"/>
          <w:color w:val="000000"/>
          <w:kern w:val="0"/>
          <w:sz w:val="24"/>
          <w:szCs w:val="24"/>
          <w:highlight w:val="none"/>
        </w:rPr>
        <w:t>收到</w:t>
      </w:r>
      <w:r>
        <w:rPr>
          <w:rFonts w:ascii="宋体" w:hAnsi="宋体"/>
          <w:color w:val="000000"/>
          <w:kern w:val="0"/>
          <w:sz w:val="24"/>
          <w:szCs w:val="24"/>
          <w:highlight w:val="none"/>
        </w:rPr>
        <w:t>缺陷责任期</w:t>
      </w:r>
      <w:r>
        <w:rPr>
          <w:rFonts w:hint="eastAsia" w:ascii="宋体" w:hAnsi="宋体"/>
          <w:color w:val="000000"/>
          <w:kern w:val="0"/>
          <w:sz w:val="24"/>
          <w:szCs w:val="24"/>
          <w:highlight w:val="none"/>
        </w:rPr>
        <w:t>届</w:t>
      </w:r>
      <w:r>
        <w:rPr>
          <w:rFonts w:ascii="宋体" w:hAnsi="宋体"/>
          <w:color w:val="000000"/>
          <w:kern w:val="0"/>
          <w:sz w:val="24"/>
          <w:szCs w:val="24"/>
          <w:highlight w:val="none"/>
        </w:rPr>
        <w:t>满</w:t>
      </w:r>
      <w:r>
        <w:rPr>
          <w:rFonts w:hint="eastAsia" w:ascii="宋体" w:hAnsi="宋体"/>
          <w:color w:val="000000"/>
          <w:kern w:val="0"/>
          <w:sz w:val="24"/>
          <w:szCs w:val="24"/>
          <w:highlight w:val="none"/>
        </w:rPr>
        <w:t>通知后</w:t>
      </w:r>
      <w:r>
        <w:rPr>
          <w:rFonts w:ascii="宋体" w:hAnsi="宋体"/>
          <w:color w:val="000000"/>
          <w:kern w:val="0"/>
          <w:sz w:val="24"/>
          <w:szCs w:val="24"/>
          <w:highlight w:val="none"/>
        </w:rPr>
        <w:t>14天内，向承包人颁发缺陷责任期终止证</w:t>
      </w:r>
      <w:r>
        <w:rPr>
          <w:rFonts w:hint="eastAsia" w:ascii="宋体" w:hAnsi="宋体"/>
          <w:color w:val="000000"/>
          <w:kern w:val="0"/>
          <w:sz w:val="24"/>
          <w:szCs w:val="24"/>
          <w:highlight w:val="none"/>
        </w:rPr>
        <w:t>书</w:t>
      </w:r>
      <w:r>
        <w:rPr>
          <w:rFonts w:ascii="宋体" w:hAnsi="宋体"/>
          <w:color w:val="000000"/>
          <w:kern w:val="0"/>
          <w:sz w:val="24"/>
          <w:szCs w:val="24"/>
          <w:highlight w:val="none"/>
        </w:rPr>
        <w:t>。</w:t>
      </w:r>
    </w:p>
    <w:p w14:paraId="024F17CD">
      <w:pPr>
        <w:pStyle w:val="8"/>
        <w:spacing w:before="120" w:after="120" w:line="360" w:lineRule="auto"/>
        <w:ind w:firstLine="480" w:firstLineChars="200"/>
        <w:rPr>
          <w:rFonts w:ascii="宋体" w:hAnsi="宋体"/>
          <w:b w:val="0"/>
          <w:color w:val="000000"/>
          <w:sz w:val="24"/>
          <w:szCs w:val="24"/>
          <w:highlight w:val="none"/>
        </w:rPr>
      </w:pPr>
      <w:bookmarkStart w:id="345" w:name="_Toc351203601"/>
      <w:bookmarkStart w:id="346" w:name="_Toc337558818"/>
      <w:bookmarkStart w:id="347" w:name="_Toc296503115"/>
      <w:bookmarkStart w:id="348" w:name="_Toc296346616"/>
      <w:r>
        <w:rPr>
          <w:rFonts w:ascii="宋体" w:hAnsi="宋体"/>
          <w:b w:val="0"/>
          <w:color w:val="000000"/>
          <w:sz w:val="24"/>
          <w:szCs w:val="24"/>
          <w:highlight w:val="none"/>
        </w:rPr>
        <w:t>15.3 质量保证金</w:t>
      </w:r>
      <w:bookmarkEnd w:id="345"/>
    </w:p>
    <w:bookmarkEnd w:id="346"/>
    <w:p w14:paraId="2F50C0E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经合同当事人协商一致扣留质量保证金的，应在专用合同条款中予以明确。</w:t>
      </w:r>
    </w:p>
    <w:p w14:paraId="4804546D">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在工程项目竣工前，承包人已经提供履约担保的，发包人不得同时预留工程质量保证金。</w:t>
      </w:r>
    </w:p>
    <w:p w14:paraId="6927BE86">
      <w:pPr>
        <w:autoSpaceDE w:val="0"/>
        <w:autoSpaceDN w:val="0"/>
        <w:adjustRightInd w:val="0"/>
        <w:spacing w:line="360" w:lineRule="auto"/>
        <w:ind w:firstLine="480" w:firstLineChars="200"/>
        <w:jc w:val="left"/>
        <w:rPr>
          <w:rFonts w:ascii="宋体" w:hAnsi="宋体"/>
          <w:color w:val="000000"/>
          <w:kern w:val="0"/>
          <w:sz w:val="24"/>
          <w:szCs w:val="24"/>
          <w:highlight w:val="none"/>
        </w:rPr>
      </w:pPr>
    </w:p>
    <w:p w14:paraId="34C50E3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15.3.1 </w:t>
      </w:r>
      <w:r>
        <w:rPr>
          <w:rFonts w:hint="eastAsia" w:ascii="宋体" w:hAnsi="宋体"/>
          <w:color w:val="000000"/>
          <w:kern w:val="0"/>
          <w:sz w:val="24"/>
          <w:szCs w:val="24"/>
          <w:highlight w:val="none"/>
        </w:rPr>
        <w:t>承包人提供</w:t>
      </w:r>
      <w:r>
        <w:rPr>
          <w:rFonts w:ascii="宋体" w:hAnsi="宋体"/>
          <w:color w:val="000000"/>
          <w:kern w:val="0"/>
          <w:sz w:val="24"/>
          <w:szCs w:val="24"/>
          <w:highlight w:val="none"/>
        </w:rPr>
        <w:t>质量保证金的</w:t>
      </w:r>
      <w:r>
        <w:rPr>
          <w:rFonts w:hint="eastAsia" w:ascii="宋体" w:hAnsi="宋体"/>
          <w:color w:val="000000"/>
          <w:kern w:val="0"/>
          <w:sz w:val="24"/>
          <w:szCs w:val="24"/>
          <w:highlight w:val="none"/>
        </w:rPr>
        <w:t>方</w:t>
      </w:r>
      <w:r>
        <w:rPr>
          <w:rFonts w:ascii="宋体" w:hAnsi="宋体"/>
          <w:color w:val="000000"/>
          <w:kern w:val="0"/>
          <w:sz w:val="24"/>
          <w:szCs w:val="24"/>
          <w:highlight w:val="none"/>
        </w:rPr>
        <w:t>式</w:t>
      </w:r>
    </w:p>
    <w:p w14:paraId="06BF57A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承包人提供</w:t>
      </w:r>
      <w:r>
        <w:rPr>
          <w:rFonts w:ascii="宋体" w:hAnsi="宋体"/>
          <w:color w:val="000000"/>
          <w:kern w:val="0"/>
          <w:sz w:val="24"/>
          <w:szCs w:val="24"/>
          <w:highlight w:val="none"/>
        </w:rPr>
        <w:t>质量保证金</w:t>
      </w:r>
      <w:r>
        <w:rPr>
          <w:rFonts w:hint="eastAsia" w:ascii="宋体" w:hAnsi="宋体"/>
          <w:color w:val="000000"/>
          <w:kern w:val="0"/>
          <w:sz w:val="24"/>
          <w:szCs w:val="24"/>
          <w:highlight w:val="none"/>
        </w:rPr>
        <w:t>有</w:t>
      </w:r>
      <w:r>
        <w:rPr>
          <w:rFonts w:ascii="宋体" w:hAnsi="宋体"/>
          <w:color w:val="000000"/>
          <w:kern w:val="0"/>
          <w:sz w:val="24"/>
          <w:szCs w:val="24"/>
          <w:highlight w:val="none"/>
        </w:rPr>
        <w:t>以下</w:t>
      </w:r>
      <w:r>
        <w:rPr>
          <w:rFonts w:hint="eastAsia" w:ascii="宋体" w:hAnsi="宋体"/>
          <w:color w:val="000000"/>
          <w:kern w:val="0"/>
          <w:sz w:val="24"/>
          <w:szCs w:val="24"/>
          <w:highlight w:val="none"/>
        </w:rPr>
        <w:t>三种方</w:t>
      </w:r>
      <w:r>
        <w:rPr>
          <w:rFonts w:ascii="宋体" w:hAnsi="宋体"/>
          <w:color w:val="000000"/>
          <w:kern w:val="0"/>
          <w:sz w:val="24"/>
          <w:szCs w:val="24"/>
          <w:highlight w:val="none"/>
        </w:rPr>
        <w:t>式：</w:t>
      </w:r>
    </w:p>
    <w:p w14:paraId="75919AC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（1）质量保证金保函； </w:t>
      </w:r>
    </w:p>
    <w:p w14:paraId="6DEC5FB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2）相应比例的工程款；</w:t>
      </w:r>
    </w:p>
    <w:p w14:paraId="202201E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（3）双方约定的其他</w:t>
      </w:r>
      <w:r>
        <w:rPr>
          <w:rFonts w:hint="eastAsia" w:ascii="宋体" w:hAnsi="宋体"/>
          <w:color w:val="000000"/>
          <w:kern w:val="0"/>
          <w:sz w:val="24"/>
          <w:szCs w:val="24"/>
          <w:highlight w:val="none"/>
        </w:rPr>
        <w:t>方</w:t>
      </w:r>
      <w:r>
        <w:rPr>
          <w:rFonts w:ascii="宋体" w:hAnsi="宋体"/>
          <w:color w:val="000000"/>
          <w:kern w:val="0"/>
          <w:sz w:val="24"/>
          <w:szCs w:val="24"/>
          <w:highlight w:val="none"/>
        </w:rPr>
        <w:t>式。</w:t>
      </w:r>
    </w:p>
    <w:p w14:paraId="53B084F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除专用合同条款另有约定外，质量保证金</w:t>
      </w:r>
      <w:r>
        <w:rPr>
          <w:rFonts w:hint="eastAsia" w:ascii="宋体" w:hAnsi="宋体"/>
          <w:color w:val="000000"/>
          <w:kern w:val="0"/>
          <w:sz w:val="24"/>
          <w:szCs w:val="24"/>
          <w:highlight w:val="none"/>
        </w:rPr>
        <w:t>原则上</w:t>
      </w:r>
      <w:r>
        <w:rPr>
          <w:rFonts w:ascii="宋体" w:hAnsi="宋体"/>
          <w:color w:val="000000"/>
          <w:kern w:val="0"/>
          <w:sz w:val="24"/>
          <w:szCs w:val="24"/>
          <w:highlight w:val="none"/>
        </w:rPr>
        <w:t>采</w:t>
      </w:r>
      <w:r>
        <w:rPr>
          <w:rFonts w:hint="eastAsia" w:ascii="宋体" w:hAnsi="宋体"/>
          <w:color w:val="000000"/>
          <w:kern w:val="0"/>
          <w:sz w:val="24"/>
          <w:szCs w:val="24"/>
          <w:highlight w:val="none"/>
        </w:rPr>
        <w:t>用上述</w:t>
      </w:r>
      <w:r>
        <w:rPr>
          <w:rFonts w:ascii="宋体" w:hAnsi="宋体"/>
          <w:color w:val="000000"/>
          <w:kern w:val="0"/>
          <w:sz w:val="24"/>
          <w:szCs w:val="24"/>
          <w:highlight w:val="none"/>
        </w:rPr>
        <w:t>第（1）种</w:t>
      </w:r>
      <w:r>
        <w:rPr>
          <w:rFonts w:hint="eastAsia" w:ascii="宋体" w:hAnsi="宋体"/>
          <w:color w:val="000000"/>
          <w:kern w:val="0"/>
          <w:sz w:val="24"/>
          <w:szCs w:val="24"/>
          <w:highlight w:val="none"/>
        </w:rPr>
        <w:t>方式。</w:t>
      </w:r>
    </w:p>
    <w:p w14:paraId="35EAB7F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15.3.2 质量保证金的扣留</w:t>
      </w:r>
    </w:p>
    <w:p w14:paraId="08A0B20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质量保证金</w:t>
      </w:r>
      <w:r>
        <w:rPr>
          <w:rFonts w:hint="eastAsia" w:ascii="宋体" w:hAnsi="宋体"/>
          <w:color w:val="000000"/>
          <w:kern w:val="0"/>
          <w:sz w:val="24"/>
          <w:szCs w:val="24"/>
          <w:highlight w:val="none"/>
        </w:rPr>
        <w:t>的</w:t>
      </w:r>
      <w:r>
        <w:rPr>
          <w:rFonts w:ascii="宋体" w:hAnsi="宋体"/>
          <w:color w:val="000000"/>
          <w:kern w:val="0"/>
          <w:sz w:val="24"/>
          <w:szCs w:val="24"/>
          <w:highlight w:val="none"/>
        </w:rPr>
        <w:t>扣留</w:t>
      </w:r>
      <w:r>
        <w:rPr>
          <w:rFonts w:hint="eastAsia" w:ascii="宋体" w:hAnsi="宋体"/>
          <w:color w:val="000000"/>
          <w:kern w:val="0"/>
          <w:sz w:val="24"/>
          <w:szCs w:val="24"/>
          <w:highlight w:val="none"/>
        </w:rPr>
        <w:t>有</w:t>
      </w:r>
      <w:r>
        <w:rPr>
          <w:rFonts w:ascii="宋体" w:hAnsi="宋体"/>
          <w:color w:val="000000"/>
          <w:kern w:val="0"/>
          <w:sz w:val="24"/>
          <w:szCs w:val="24"/>
          <w:highlight w:val="none"/>
        </w:rPr>
        <w:t>以下</w:t>
      </w:r>
      <w:r>
        <w:rPr>
          <w:rFonts w:hint="eastAsia" w:ascii="宋体" w:hAnsi="宋体"/>
          <w:color w:val="000000"/>
          <w:kern w:val="0"/>
          <w:sz w:val="24"/>
          <w:szCs w:val="24"/>
          <w:highlight w:val="none"/>
        </w:rPr>
        <w:t>三</w:t>
      </w:r>
      <w:r>
        <w:rPr>
          <w:rFonts w:ascii="宋体" w:hAnsi="宋体"/>
          <w:color w:val="000000"/>
          <w:kern w:val="0"/>
          <w:sz w:val="24"/>
          <w:szCs w:val="24"/>
          <w:highlight w:val="none"/>
        </w:rPr>
        <w:t>种</w:t>
      </w:r>
      <w:r>
        <w:rPr>
          <w:rFonts w:hint="eastAsia" w:ascii="宋体" w:hAnsi="宋体"/>
          <w:color w:val="000000"/>
          <w:kern w:val="0"/>
          <w:sz w:val="24"/>
          <w:szCs w:val="24"/>
          <w:highlight w:val="none"/>
        </w:rPr>
        <w:t>方式</w:t>
      </w:r>
      <w:r>
        <w:rPr>
          <w:rFonts w:ascii="宋体" w:hAnsi="宋体"/>
          <w:color w:val="000000"/>
          <w:kern w:val="0"/>
          <w:sz w:val="24"/>
          <w:szCs w:val="24"/>
          <w:highlight w:val="none"/>
        </w:rPr>
        <w:t>：</w:t>
      </w:r>
    </w:p>
    <w:p w14:paraId="17DAD04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（1）在支付工程进度款时逐次扣留，在此情形下，质量保证金的计算基数不包括预付款的支付、扣回以及价格调整的金额；</w:t>
      </w:r>
    </w:p>
    <w:p w14:paraId="4075C2F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（2）工</w:t>
      </w:r>
      <w:bookmarkStart w:id="349" w:name="#go6"/>
      <w:bookmarkEnd w:id="349"/>
      <w:r>
        <w:rPr>
          <w:rFonts w:ascii="宋体" w:hAnsi="宋体"/>
          <w:color w:val="000000"/>
          <w:kern w:val="0"/>
          <w:sz w:val="24"/>
          <w:szCs w:val="24"/>
          <w:highlight w:val="none"/>
        </w:rPr>
        <w:t>程竣工结算时一次性扣留质量保证金；</w:t>
      </w:r>
    </w:p>
    <w:p w14:paraId="00C5188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（3）双方约定的其他扣留方式。</w:t>
      </w:r>
    </w:p>
    <w:p w14:paraId="244BDA7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除专用合同条款另有约定外，质量保证金</w:t>
      </w:r>
      <w:r>
        <w:rPr>
          <w:rFonts w:hint="eastAsia" w:ascii="宋体" w:hAnsi="宋体"/>
          <w:color w:val="000000"/>
          <w:kern w:val="0"/>
          <w:sz w:val="24"/>
          <w:szCs w:val="24"/>
          <w:highlight w:val="none"/>
        </w:rPr>
        <w:t>的</w:t>
      </w:r>
      <w:r>
        <w:rPr>
          <w:rFonts w:ascii="宋体" w:hAnsi="宋体"/>
          <w:color w:val="000000"/>
          <w:kern w:val="0"/>
          <w:sz w:val="24"/>
          <w:szCs w:val="24"/>
          <w:highlight w:val="none"/>
        </w:rPr>
        <w:t>扣留</w:t>
      </w:r>
      <w:r>
        <w:rPr>
          <w:rFonts w:hint="eastAsia" w:ascii="宋体" w:hAnsi="宋体"/>
          <w:color w:val="000000"/>
          <w:kern w:val="0"/>
          <w:sz w:val="24"/>
          <w:szCs w:val="24"/>
          <w:highlight w:val="none"/>
        </w:rPr>
        <w:t>原则上</w:t>
      </w:r>
      <w:r>
        <w:rPr>
          <w:rFonts w:ascii="宋体" w:hAnsi="宋体"/>
          <w:color w:val="000000"/>
          <w:kern w:val="0"/>
          <w:sz w:val="24"/>
          <w:szCs w:val="24"/>
          <w:highlight w:val="none"/>
        </w:rPr>
        <w:t>采</w:t>
      </w:r>
      <w:r>
        <w:rPr>
          <w:rFonts w:hint="eastAsia" w:ascii="宋体" w:hAnsi="宋体"/>
          <w:color w:val="000000"/>
          <w:kern w:val="0"/>
          <w:sz w:val="24"/>
          <w:szCs w:val="24"/>
          <w:highlight w:val="none"/>
        </w:rPr>
        <w:t>用上述</w:t>
      </w:r>
      <w:r>
        <w:rPr>
          <w:rFonts w:ascii="宋体" w:hAnsi="宋体"/>
          <w:color w:val="000000"/>
          <w:kern w:val="0"/>
          <w:sz w:val="24"/>
          <w:szCs w:val="24"/>
          <w:highlight w:val="none"/>
        </w:rPr>
        <w:t>第（1）种方式</w:t>
      </w:r>
      <w:r>
        <w:rPr>
          <w:rFonts w:hint="eastAsia" w:ascii="宋体" w:hAnsi="宋体"/>
          <w:color w:val="000000"/>
          <w:kern w:val="0"/>
          <w:sz w:val="24"/>
          <w:szCs w:val="24"/>
          <w:highlight w:val="none"/>
        </w:rPr>
        <w:t>。</w:t>
      </w:r>
    </w:p>
    <w:p w14:paraId="0D093A7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w:t>
      </w:r>
      <w:bookmarkStart w:id="350" w:name="#go4"/>
      <w:bookmarkEnd w:id="350"/>
      <w:r>
        <w:rPr>
          <w:rFonts w:ascii="宋体" w:hAnsi="宋体"/>
          <w:color w:val="000000"/>
          <w:kern w:val="0"/>
          <w:sz w:val="24"/>
          <w:szCs w:val="24"/>
          <w:highlight w:val="none"/>
        </w:rPr>
        <w:t>包人累计扣留的质量保证金不得超过</w:t>
      </w:r>
      <w:r>
        <w:rPr>
          <w:rFonts w:hint="eastAsia" w:ascii="宋体" w:hAnsi="宋体"/>
          <w:color w:val="000000"/>
          <w:kern w:val="0"/>
          <w:sz w:val="24"/>
          <w:szCs w:val="24"/>
          <w:highlight w:val="none"/>
        </w:rPr>
        <w:t>工程价款结算总额</w:t>
      </w:r>
      <w:r>
        <w:rPr>
          <w:rFonts w:ascii="宋体" w:hAnsi="宋体"/>
          <w:color w:val="000000"/>
          <w:kern w:val="0"/>
          <w:sz w:val="24"/>
          <w:szCs w:val="24"/>
          <w:highlight w:val="none"/>
        </w:rPr>
        <w:t>的3%</w:t>
      </w:r>
      <w:r>
        <w:rPr>
          <w:rFonts w:hint="eastAsia" w:ascii="宋体" w:hAnsi="宋体"/>
          <w:color w:val="000000"/>
          <w:kern w:val="0"/>
          <w:sz w:val="24"/>
          <w:szCs w:val="24"/>
          <w:highlight w:val="none"/>
        </w:rPr>
        <w:t>。如</w:t>
      </w:r>
      <w:r>
        <w:rPr>
          <w:rFonts w:ascii="宋体" w:hAnsi="宋体"/>
          <w:color w:val="000000"/>
          <w:kern w:val="0"/>
          <w:sz w:val="24"/>
          <w:szCs w:val="24"/>
          <w:highlight w:val="none"/>
        </w:rPr>
        <w:t>承包人在发包人签发竣工付款证书后28天内提交质量保证金保函，发包人应同时退还扣留的作为质量保证金的工程价款</w:t>
      </w:r>
      <w:r>
        <w:rPr>
          <w:rFonts w:hint="eastAsia" w:ascii="宋体" w:hAnsi="宋体"/>
          <w:color w:val="000000"/>
          <w:kern w:val="0"/>
          <w:sz w:val="24"/>
          <w:szCs w:val="24"/>
          <w:highlight w:val="none"/>
        </w:rPr>
        <w:t>；保函金额不得超过工程价款结算总额的3%</w:t>
      </w:r>
      <w:r>
        <w:rPr>
          <w:rFonts w:ascii="宋体" w:hAnsi="宋体"/>
          <w:color w:val="000000"/>
          <w:kern w:val="0"/>
          <w:sz w:val="24"/>
          <w:szCs w:val="24"/>
          <w:highlight w:val="none"/>
        </w:rPr>
        <w:t>。</w:t>
      </w:r>
    </w:p>
    <w:p w14:paraId="3614926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发包人在退还质量保证金的同时</w:t>
      </w:r>
      <w:r>
        <w:rPr>
          <w:rFonts w:ascii="宋体" w:hAnsi="宋体"/>
          <w:color w:val="000000"/>
          <w:kern w:val="0"/>
          <w:sz w:val="24"/>
          <w:szCs w:val="24"/>
          <w:highlight w:val="none"/>
        </w:rPr>
        <w:t>按照中国人民银行发布的同期同类贷款基准利率支付</w:t>
      </w:r>
      <w:r>
        <w:rPr>
          <w:rFonts w:hint="eastAsia" w:ascii="宋体" w:hAnsi="宋体"/>
          <w:color w:val="000000"/>
          <w:kern w:val="0"/>
          <w:sz w:val="24"/>
          <w:szCs w:val="24"/>
          <w:highlight w:val="none"/>
        </w:rPr>
        <w:t>利息。</w:t>
      </w:r>
    </w:p>
    <w:p w14:paraId="4E4241B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15.3.3 </w:t>
      </w:r>
      <w:r>
        <w:rPr>
          <w:rFonts w:ascii="宋体" w:hAnsi="宋体"/>
          <w:color w:val="000000"/>
          <w:sz w:val="24"/>
          <w:szCs w:val="24"/>
          <w:highlight w:val="none"/>
        </w:rPr>
        <w:t>质量保证金</w:t>
      </w:r>
      <w:r>
        <w:rPr>
          <w:rFonts w:ascii="宋体" w:hAnsi="宋体"/>
          <w:color w:val="000000"/>
          <w:kern w:val="0"/>
          <w:sz w:val="24"/>
          <w:szCs w:val="24"/>
          <w:highlight w:val="none"/>
        </w:rPr>
        <w:t>的退还</w:t>
      </w:r>
    </w:p>
    <w:p w14:paraId="5EDFF10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缺陷责任期内，承包人认真履行合同约定的责任，到期后，承包人可向发包人申请返还保证金。</w:t>
      </w:r>
    </w:p>
    <w:p w14:paraId="502E9AC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6F5444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发包人和承包人对保证金预留、返还以及工程维修质量、费用有争议的，按本合同第20条约定的争议和纠纷解决程序处理</w:t>
      </w:r>
      <w:r>
        <w:rPr>
          <w:rFonts w:ascii="宋体" w:hAnsi="宋体"/>
          <w:color w:val="000000"/>
          <w:kern w:val="0"/>
          <w:sz w:val="24"/>
          <w:szCs w:val="24"/>
          <w:highlight w:val="none"/>
        </w:rPr>
        <w:t>。</w:t>
      </w:r>
    </w:p>
    <w:p w14:paraId="2A48114F">
      <w:pPr>
        <w:pStyle w:val="8"/>
        <w:spacing w:before="120" w:after="120" w:line="360" w:lineRule="auto"/>
        <w:ind w:firstLine="480" w:firstLineChars="200"/>
        <w:rPr>
          <w:rFonts w:ascii="宋体" w:hAnsi="宋体"/>
          <w:b w:val="0"/>
          <w:color w:val="000000"/>
          <w:sz w:val="24"/>
          <w:szCs w:val="24"/>
          <w:highlight w:val="none"/>
        </w:rPr>
      </w:pPr>
      <w:bookmarkStart w:id="351" w:name="_Toc351203602"/>
      <w:bookmarkStart w:id="352" w:name="_Toc337558819"/>
      <w:r>
        <w:rPr>
          <w:rFonts w:ascii="宋体" w:hAnsi="宋体"/>
          <w:b w:val="0"/>
          <w:color w:val="000000"/>
          <w:sz w:val="24"/>
          <w:szCs w:val="24"/>
          <w:highlight w:val="none"/>
        </w:rPr>
        <w:t>15.4 保修</w:t>
      </w:r>
      <w:bookmarkEnd w:id="351"/>
    </w:p>
    <w:bookmarkEnd w:id="347"/>
    <w:bookmarkEnd w:id="348"/>
    <w:bookmarkEnd w:id="352"/>
    <w:p w14:paraId="29CCD72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15.4.1保修责任</w:t>
      </w:r>
    </w:p>
    <w:p w14:paraId="326773C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5D2378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发包人未经竣工验收擅自使用工程的，保修期自</w:t>
      </w:r>
      <w:r>
        <w:rPr>
          <w:rFonts w:ascii="宋体" w:hAnsi="宋体"/>
          <w:color w:val="000000"/>
          <w:kern w:val="0"/>
          <w:sz w:val="24"/>
          <w:szCs w:val="24"/>
          <w:highlight w:val="none"/>
        </w:rPr>
        <w:t>转移占有之日起算</w:t>
      </w:r>
      <w:r>
        <w:rPr>
          <w:rFonts w:ascii="宋体" w:hAnsi="宋体"/>
          <w:color w:val="000000"/>
          <w:sz w:val="24"/>
          <w:szCs w:val="24"/>
          <w:highlight w:val="none"/>
        </w:rPr>
        <w:t>。</w:t>
      </w:r>
    </w:p>
    <w:p w14:paraId="2CA8BE1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15.4.2 修复费用</w:t>
      </w:r>
    </w:p>
    <w:p w14:paraId="60902FF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保修期内，修复的费用按照以下约定处理：</w:t>
      </w:r>
    </w:p>
    <w:p w14:paraId="168E2EB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（1）保修期内，因承包人原因造成工程的缺陷、损坏，承包人应负责修复，并承担修复的费用以及因工程的缺陷、损坏造成的人身伤害和财产损失；</w:t>
      </w:r>
    </w:p>
    <w:p w14:paraId="67A2FD9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（2）保修期内，因发包人使用不当造成工程的缺陷、损坏，可以委托承包人修复，但发包人应承担修复的费用，并支付承包人合理利润；</w:t>
      </w:r>
    </w:p>
    <w:p w14:paraId="72E7854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36F03B6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15.4.3 修复通知</w:t>
      </w:r>
    </w:p>
    <w:p w14:paraId="39238CC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3DD58A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15.4.4 未能修复</w:t>
      </w:r>
    </w:p>
    <w:p w14:paraId="7D9F0A1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 w:val="24"/>
          <w:szCs w:val="24"/>
          <w:highlight w:val="none"/>
        </w:rPr>
        <w:t>但修复范围超出缺陷或损坏范围的，超出范围部分的修复费用由发包人承担。</w:t>
      </w:r>
    </w:p>
    <w:p w14:paraId="5953AF4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15.4.5 承包人出入权</w:t>
      </w:r>
    </w:p>
    <w:p w14:paraId="7A78588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5EA6C5E">
      <w:pPr>
        <w:pStyle w:val="7"/>
        <w:spacing w:before="120" w:after="120" w:line="360" w:lineRule="auto"/>
        <w:rPr>
          <w:rFonts w:ascii="宋体" w:hAnsi="宋体"/>
          <w:b w:val="0"/>
          <w:color w:val="000000"/>
          <w:szCs w:val="24"/>
          <w:highlight w:val="none"/>
        </w:rPr>
      </w:pPr>
      <w:bookmarkStart w:id="353" w:name="_Toc351203603"/>
      <w:bookmarkStart w:id="354" w:name="_Toc337558820"/>
      <w:r>
        <w:rPr>
          <w:rFonts w:ascii="宋体" w:hAnsi="宋体"/>
          <w:b w:val="0"/>
          <w:color w:val="000000"/>
          <w:szCs w:val="24"/>
          <w:highlight w:val="none"/>
        </w:rPr>
        <w:t>16. 违约</w:t>
      </w:r>
      <w:bookmarkEnd w:id="353"/>
    </w:p>
    <w:bookmarkEnd w:id="354"/>
    <w:p w14:paraId="3D4C4D42">
      <w:pPr>
        <w:pStyle w:val="8"/>
        <w:spacing w:before="120" w:after="120" w:line="360" w:lineRule="auto"/>
        <w:ind w:firstLine="480" w:firstLineChars="200"/>
        <w:rPr>
          <w:rFonts w:ascii="宋体" w:hAnsi="宋体"/>
          <w:b w:val="0"/>
          <w:color w:val="000000"/>
          <w:sz w:val="24"/>
          <w:szCs w:val="24"/>
          <w:highlight w:val="none"/>
        </w:rPr>
      </w:pPr>
      <w:bookmarkStart w:id="355" w:name="_Toc296346630"/>
      <w:bookmarkStart w:id="356" w:name="_Toc296503129"/>
      <w:bookmarkStart w:id="357" w:name="_Toc351203604"/>
      <w:bookmarkStart w:id="358" w:name="_Toc337558821"/>
      <w:r>
        <w:rPr>
          <w:rFonts w:ascii="宋体" w:hAnsi="宋体"/>
          <w:b w:val="0"/>
          <w:color w:val="000000"/>
          <w:sz w:val="24"/>
          <w:szCs w:val="24"/>
          <w:highlight w:val="none"/>
        </w:rPr>
        <w:t>16.1 发</w:t>
      </w:r>
      <w:bookmarkEnd w:id="355"/>
      <w:bookmarkEnd w:id="356"/>
      <w:r>
        <w:rPr>
          <w:rFonts w:ascii="宋体" w:hAnsi="宋体"/>
          <w:b w:val="0"/>
          <w:color w:val="000000"/>
          <w:sz w:val="24"/>
          <w:szCs w:val="24"/>
          <w:highlight w:val="none"/>
        </w:rPr>
        <w:t>包人违约</w:t>
      </w:r>
      <w:bookmarkEnd w:id="357"/>
    </w:p>
    <w:bookmarkEnd w:id="358"/>
    <w:p w14:paraId="333CA13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16.1.1 发包人违约的情形</w:t>
      </w:r>
    </w:p>
    <w:p w14:paraId="380266D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在合同履行过程中发生的下列情形，属于发包人违约：</w:t>
      </w:r>
    </w:p>
    <w:p w14:paraId="4F30437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（1）因发包人原因未能在计划开工日期前7天内下达开工通知的；</w:t>
      </w:r>
    </w:p>
    <w:p w14:paraId="0998DB4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（2）因发包人原因未能按合同约定支付合同价款的；</w:t>
      </w:r>
    </w:p>
    <w:p w14:paraId="48215C0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（3）发包人违反第10.1款</w:t>
      </w:r>
      <w:r>
        <w:rPr>
          <w:rFonts w:hint="eastAsia" w:ascii="宋体" w:hAnsi="宋体"/>
          <w:color w:val="000000"/>
          <w:kern w:val="0"/>
          <w:sz w:val="24"/>
          <w:szCs w:val="24"/>
          <w:highlight w:val="none"/>
        </w:rPr>
        <w:t>〔</w:t>
      </w:r>
      <w:r>
        <w:rPr>
          <w:rFonts w:ascii="宋体" w:hAnsi="宋体"/>
          <w:color w:val="000000"/>
          <w:kern w:val="0"/>
          <w:sz w:val="24"/>
          <w:szCs w:val="24"/>
          <w:highlight w:val="none"/>
        </w:rPr>
        <w:t>变更的范围</w:t>
      </w:r>
      <w:r>
        <w:rPr>
          <w:rFonts w:hint="eastAsia" w:ascii="宋体" w:hAnsi="宋体"/>
          <w:color w:val="000000"/>
          <w:kern w:val="0"/>
          <w:sz w:val="24"/>
          <w:szCs w:val="24"/>
          <w:highlight w:val="none"/>
        </w:rPr>
        <w:t>〕</w:t>
      </w:r>
      <w:r>
        <w:rPr>
          <w:rFonts w:ascii="宋体" w:hAnsi="宋体"/>
          <w:color w:val="000000"/>
          <w:kern w:val="0"/>
          <w:sz w:val="24"/>
          <w:szCs w:val="24"/>
          <w:highlight w:val="none"/>
        </w:rPr>
        <w:t>第（2）项约定，自行实施被取消的工作或转由他人实施的；</w:t>
      </w:r>
    </w:p>
    <w:p w14:paraId="42D56B7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（4）发包人提供的材料、工程设备的规格、数量或质量不符合合同约定，或因发包人原因导致交货日期延误或交货地点变更等情况的；</w:t>
      </w:r>
    </w:p>
    <w:p w14:paraId="1087862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（5）因发包人违反合同约定造成暂停施工的；</w:t>
      </w:r>
    </w:p>
    <w:p w14:paraId="3A3321B3">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（6）发包人无正当理由没有在约定期限内发出复工指示，导致承包人无法复工的；</w:t>
      </w:r>
    </w:p>
    <w:p w14:paraId="56A0901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（7）发包人明确表示或者以其行为表明不履行合同主要义务的；</w:t>
      </w:r>
    </w:p>
    <w:p w14:paraId="68C4A7C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（8）发包人未能按照合同约定履行其他义务的。</w:t>
      </w:r>
    </w:p>
    <w:p w14:paraId="5B6687C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774373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16.1.2 发包人违约的责任</w:t>
      </w:r>
    </w:p>
    <w:p w14:paraId="1075E80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165257B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16.1.3 因发包人违约解除合同</w:t>
      </w:r>
    </w:p>
    <w:p w14:paraId="6FFBC9C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除专用合同条款另有约定外，承包人按第16.1.1项</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约定暂停施工满28天后</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发包人仍不纠正其违约行为并致使合同目的不能实现的，</w:t>
      </w:r>
      <w:r>
        <w:rPr>
          <w:rFonts w:hint="eastAsia" w:ascii="宋体" w:hAnsi="宋体"/>
          <w:color w:val="000000"/>
          <w:kern w:val="0"/>
          <w:sz w:val="24"/>
          <w:szCs w:val="24"/>
          <w:highlight w:val="none"/>
        </w:rPr>
        <w:t>或</w:t>
      </w:r>
      <w:r>
        <w:rPr>
          <w:rFonts w:ascii="宋体" w:hAnsi="宋体"/>
          <w:color w:val="000000"/>
          <w:kern w:val="0"/>
          <w:sz w:val="24"/>
          <w:szCs w:val="24"/>
          <w:highlight w:val="none"/>
        </w:rPr>
        <w:t>出现第16.1.1项</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第（7）目约定的违约情况，承包人有权解除合同，发包人应承担由此增加的费用，并支付承包人合理的利润。</w:t>
      </w:r>
    </w:p>
    <w:p w14:paraId="29794112">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16.1.4 因发包人违约解除合同后的付款</w:t>
      </w:r>
    </w:p>
    <w:p w14:paraId="2BC21E9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承包人按照本款约定解除合同的，发包人应在解除合同后28天内支付下列款项，并解除履约担保：</w:t>
      </w:r>
    </w:p>
    <w:p w14:paraId="511C528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（1）合同解除前所完成工作的价款；</w:t>
      </w:r>
    </w:p>
    <w:p w14:paraId="469716C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（2）承包人为工程施工订购并已付款的材料、工程设备和其他物品的价款；</w:t>
      </w:r>
    </w:p>
    <w:p w14:paraId="2D51B54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（3）承包人撤离施工现场以及遣散承包人人员的款项；</w:t>
      </w:r>
    </w:p>
    <w:p w14:paraId="32A4F8C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（4）按照合同约定在合同解除前应支付的违约金；</w:t>
      </w:r>
    </w:p>
    <w:p w14:paraId="7DE7DD4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（5）按照合同约定应当支付给承包人的其他款项；</w:t>
      </w:r>
    </w:p>
    <w:p w14:paraId="4320CC7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（6）按照合同约定应退还的质量保证金；</w:t>
      </w:r>
    </w:p>
    <w:p w14:paraId="5C513C8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（7）因解除合同给承包人造成的损失。</w:t>
      </w:r>
    </w:p>
    <w:p w14:paraId="338B3F6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合同当事人未能就解除合同后的结清达成一致的，按照第20条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的约定处理。</w:t>
      </w:r>
    </w:p>
    <w:p w14:paraId="000C867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7B8F95F0">
      <w:pPr>
        <w:pStyle w:val="8"/>
        <w:spacing w:before="120" w:after="120" w:line="360" w:lineRule="auto"/>
        <w:ind w:firstLine="480" w:firstLineChars="200"/>
        <w:rPr>
          <w:rFonts w:ascii="宋体" w:hAnsi="宋体"/>
          <w:b w:val="0"/>
          <w:color w:val="000000"/>
          <w:sz w:val="24"/>
          <w:szCs w:val="24"/>
          <w:highlight w:val="none"/>
        </w:rPr>
      </w:pPr>
      <w:bookmarkStart w:id="359" w:name="_Toc351203605"/>
      <w:bookmarkStart w:id="360" w:name="_Toc337558822"/>
      <w:bookmarkStart w:id="361" w:name="_Toc296346632"/>
      <w:bookmarkStart w:id="362" w:name="_Toc296503131"/>
      <w:r>
        <w:rPr>
          <w:rFonts w:ascii="宋体" w:hAnsi="宋体"/>
          <w:b w:val="0"/>
          <w:color w:val="000000"/>
          <w:sz w:val="24"/>
          <w:szCs w:val="24"/>
          <w:highlight w:val="none"/>
        </w:rPr>
        <w:t>16.2 承包人违约</w:t>
      </w:r>
      <w:bookmarkEnd w:id="359"/>
    </w:p>
    <w:bookmarkEnd w:id="360"/>
    <w:bookmarkEnd w:id="361"/>
    <w:bookmarkEnd w:id="362"/>
    <w:p w14:paraId="4E780B0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16.2.1 承包人违约的情形</w:t>
      </w:r>
    </w:p>
    <w:p w14:paraId="6E4CEAB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在合同履行过程中发生的下列情形，属于承包人违约：</w:t>
      </w:r>
    </w:p>
    <w:p w14:paraId="17D5EF3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（1）承包人违反合同约定进行转包或违法分包的；</w:t>
      </w:r>
    </w:p>
    <w:p w14:paraId="0545C39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（2）承包人违反合同约定采购和使用不合格的材料和工程设备的；</w:t>
      </w:r>
    </w:p>
    <w:p w14:paraId="606DC98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（3）因承包人原因导致工程质量不符合合同要求的； </w:t>
      </w:r>
    </w:p>
    <w:p w14:paraId="6ED83C8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（4）承包人违反第8.9款</w:t>
      </w:r>
      <w:r>
        <w:rPr>
          <w:rFonts w:hint="eastAsia" w:ascii="宋体" w:hAnsi="宋体"/>
          <w:color w:val="000000"/>
          <w:kern w:val="0"/>
          <w:sz w:val="24"/>
          <w:szCs w:val="24"/>
          <w:highlight w:val="none"/>
        </w:rPr>
        <w:t>〔</w:t>
      </w:r>
      <w:r>
        <w:rPr>
          <w:rFonts w:ascii="宋体" w:hAnsi="宋体"/>
          <w:color w:val="000000"/>
          <w:kern w:val="0"/>
          <w:sz w:val="24"/>
          <w:szCs w:val="24"/>
          <w:highlight w:val="none"/>
        </w:rPr>
        <w:t>材料与设备专用</w:t>
      </w:r>
      <w:r>
        <w:rPr>
          <w:rFonts w:hint="eastAsia" w:ascii="宋体" w:hAnsi="宋体"/>
          <w:color w:val="000000"/>
          <w:kern w:val="0"/>
          <w:sz w:val="24"/>
          <w:szCs w:val="24"/>
          <w:highlight w:val="none"/>
        </w:rPr>
        <w:t>要求〕</w:t>
      </w:r>
      <w:r>
        <w:rPr>
          <w:rFonts w:ascii="宋体" w:hAnsi="宋体"/>
          <w:color w:val="000000"/>
          <w:kern w:val="0"/>
          <w:sz w:val="24"/>
          <w:szCs w:val="24"/>
          <w:highlight w:val="none"/>
        </w:rPr>
        <w:t>的约定，未经批准，私自将已按照合同约定进入施工现场的材料或设备撤离施工现场的；</w:t>
      </w:r>
    </w:p>
    <w:p w14:paraId="789782C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（5）承包人未能按施工进度计划及时完成合同约定的工作，造成工期延误的；</w:t>
      </w:r>
    </w:p>
    <w:p w14:paraId="6781D84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（6）承包人在缺陷责任期及保修期内，未能在合理期限对工程缺陷进行修复，或拒绝按发包人要求进行修复的；</w:t>
      </w:r>
    </w:p>
    <w:p w14:paraId="7B53D61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（7）承包人明确表示或者以其行为表明不履行合同主要义务的；</w:t>
      </w:r>
    </w:p>
    <w:p w14:paraId="5A4A161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（8）承包人未能按照合同约定履行其他义务的。</w:t>
      </w:r>
    </w:p>
    <w:p w14:paraId="673D43A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承包人发生除本项第（7）目约定以外的其他违约情况时，监理人可向承包人发出整改通知，要求其在指定的期限内改正。</w:t>
      </w:r>
    </w:p>
    <w:p w14:paraId="3458F6F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16.2.2 承包人违约的责任</w:t>
      </w:r>
    </w:p>
    <w:p w14:paraId="5408573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承包人应承担因其违约行为而增加的费用</w:t>
      </w:r>
      <w:r>
        <w:rPr>
          <w:rFonts w:hint="eastAsia" w:ascii="宋体" w:hAnsi="宋体"/>
          <w:color w:val="000000"/>
          <w:kern w:val="0"/>
          <w:sz w:val="24"/>
          <w:szCs w:val="24"/>
          <w:highlight w:val="none"/>
        </w:rPr>
        <w:t>和（或）延误的</w:t>
      </w:r>
      <w:r>
        <w:rPr>
          <w:rFonts w:ascii="宋体" w:hAnsi="宋体"/>
          <w:color w:val="000000"/>
          <w:kern w:val="0"/>
          <w:sz w:val="24"/>
          <w:szCs w:val="24"/>
          <w:highlight w:val="none"/>
        </w:rPr>
        <w:t>工期。此外，合同当事人可在专用合同条款中另行约定承包人违约责任的承担方式和计算方法。</w:t>
      </w:r>
    </w:p>
    <w:p w14:paraId="5F07F81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16.2.3 因承包人违约解除合同</w:t>
      </w:r>
    </w:p>
    <w:p w14:paraId="4FC5228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除专用合同条款另有约定外，出现第16.2.1项</w:t>
      </w:r>
      <w:r>
        <w:rPr>
          <w:rFonts w:hint="eastAsia" w:ascii="宋体" w:hAnsi="宋体"/>
          <w:color w:val="000000"/>
          <w:kern w:val="0"/>
          <w:sz w:val="24"/>
          <w:szCs w:val="24"/>
          <w:highlight w:val="none"/>
        </w:rPr>
        <w:t>〔</w:t>
      </w:r>
      <w:r>
        <w:rPr>
          <w:rFonts w:ascii="宋体" w:hAnsi="宋体"/>
          <w:color w:val="000000"/>
          <w:kern w:val="0"/>
          <w:sz w:val="24"/>
          <w:szCs w:val="24"/>
          <w:highlight w:val="none"/>
        </w:rPr>
        <w:t>承包人违约的情形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 w:val="24"/>
          <w:szCs w:val="24"/>
          <w:highlight w:val="none"/>
        </w:rPr>
        <w:t>合同当事人应在专用合同条款约定相应费用的承担方式。</w:t>
      </w:r>
      <w:r>
        <w:rPr>
          <w:rFonts w:ascii="宋体" w:hAnsi="宋体"/>
          <w:color w:val="000000"/>
          <w:kern w:val="0"/>
          <w:sz w:val="24"/>
          <w:szCs w:val="24"/>
          <w:highlight w:val="none"/>
        </w:rPr>
        <w:t>发包人</w:t>
      </w:r>
      <w:r>
        <w:rPr>
          <w:rFonts w:hint="eastAsia" w:ascii="宋体" w:hAnsi="宋体"/>
          <w:color w:val="000000"/>
          <w:kern w:val="0"/>
          <w:sz w:val="24"/>
          <w:szCs w:val="24"/>
          <w:highlight w:val="none"/>
        </w:rPr>
        <w:t>继续使用的</w:t>
      </w:r>
      <w:r>
        <w:rPr>
          <w:rFonts w:ascii="宋体" w:hAnsi="宋体"/>
          <w:color w:val="000000"/>
          <w:kern w:val="0"/>
          <w:sz w:val="24"/>
          <w:szCs w:val="24"/>
          <w:highlight w:val="none"/>
        </w:rPr>
        <w:t>行为不免除或减轻承包人应承担的违约责任。</w:t>
      </w:r>
    </w:p>
    <w:p w14:paraId="58CB952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16.2.4因承包人违约解除合同后的处理</w:t>
      </w:r>
    </w:p>
    <w:p w14:paraId="1524C9E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因承包人原因导致合同解除的，则合同当事人应在合同解除后28天内完成估价、付款和清算，并按以下约定执行：</w:t>
      </w:r>
    </w:p>
    <w:p w14:paraId="3F62CEF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（1）合同解除后，按第4.4款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商定或确定承包人实际完成工作对应的合同价款，以及承包人已提供的材料、工程设备、施工设备和临时工程等的价值；</w:t>
      </w:r>
    </w:p>
    <w:p w14:paraId="4CAA424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（2）合同解除后，承包人应支付的违约金；</w:t>
      </w:r>
    </w:p>
    <w:p w14:paraId="3ABD7D4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（3）合同解除后，因解除合同给发包人造成的损失；</w:t>
      </w:r>
    </w:p>
    <w:p w14:paraId="127AE9D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（4）合同解除后，承包人应按照发包人要求和监理人的指示完成现场的清理和撤离；</w:t>
      </w:r>
    </w:p>
    <w:p w14:paraId="10691ADF">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（5）发包人和承包人应在合同解除后进行清算，出具最终结清付款证书，结清全部款项。</w:t>
      </w:r>
    </w:p>
    <w:p w14:paraId="2B38A0F9">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因承包人违约解除合同的，</w:t>
      </w:r>
      <w:r>
        <w:rPr>
          <w:rFonts w:ascii="宋体" w:hAnsi="宋体"/>
          <w:color w:val="000000"/>
          <w:kern w:val="0"/>
          <w:sz w:val="24"/>
          <w:szCs w:val="24"/>
          <w:highlight w:val="none"/>
        </w:rPr>
        <w:t>发包人有权暂停对承包人的付款，查清各项付款和已扣款项。发包人和承包人未能就合同解除后的清算和款项支付达成一致的，按照第20条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的约定处理。</w:t>
      </w:r>
    </w:p>
    <w:p w14:paraId="368440A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16.2.5采购合同权益转让</w:t>
      </w:r>
    </w:p>
    <w:p w14:paraId="0AB047F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7C5A2A7">
      <w:pPr>
        <w:pStyle w:val="8"/>
        <w:spacing w:before="120" w:after="120" w:line="360" w:lineRule="auto"/>
        <w:ind w:firstLine="480" w:firstLineChars="200"/>
        <w:rPr>
          <w:rFonts w:ascii="宋体" w:hAnsi="宋体"/>
          <w:b w:val="0"/>
          <w:color w:val="000000"/>
          <w:sz w:val="24"/>
          <w:szCs w:val="24"/>
          <w:highlight w:val="none"/>
        </w:rPr>
      </w:pPr>
      <w:bookmarkStart w:id="363" w:name="_Toc351203606"/>
      <w:r>
        <w:rPr>
          <w:rFonts w:ascii="宋体" w:hAnsi="宋体"/>
          <w:b w:val="0"/>
          <w:color w:val="000000"/>
          <w:sz w:val="24"/>
          <w:szCs w:val="24"/>
          <w:highlight w:val="none"/>
        </w:rPr>
        <w:t>16.3 第三人造成的违约</w:t>
      </w:r>
      <w:bookmarkEnd w:id="363"/>
    </w:p>
    <w:p w14:paraId="63FDA4E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14AD0426">
      <w:pPr>
        <w:pStyle w:val="7"/>
        <w:spacing w:before="120" w:after="120" w:line="360" w:lineRule="auto"/>
        <w:rPr>
          <w:rFonts w:ascii="宋体" w:hAnsi="宋体"/>
          <w:b w:val="0"/>
          <w:color w:val="000000"/>
          <w:szCs w:val="24"/>
          <w:highlight w:val="none"/>
        </w:rPr>
      </w:pPr>
      <w:bookmarkStart w:id="364" w:name="_Toc351203607"/>
      <w:bookmarkStart w:id="365" w:name="_Toc296503116"/>
      <w:bookmarkStart w:id="366" w:name="_Toc296346617"/>
      <w:bookmarkStart w:id="367" w:name="_Toc337558823"/>
      <w:r>
        <w:rPr>
          <w:rFonts w:ascii="宋体" w:hAnsi="宋体"/>
          <w:b w:val="0"/>
          <w:color w:val="000000"/>
          <w:szCs w:val="24"/>
          <w:highlight w:val="none"/>
        </w:rPr>
        <w:t>17. 不可抗力</w:t>
      </w:r>
      <w:bookmarkEnd w:id="364"/>
      <w:r>
        <w:rPr>
          <w:rFonts w:ascii="宋体" w:hAnsi="宋体"/>
          <w:b w:val="0"/>
          <w:color w:val="000000"/>
          <w:szCs w:val="24"/>
          <w:highlight w:val="none"/>
        </w:rPr>
        <w:t xml:space="preserve"> </w:t>
      </w:r>
      <w:bookmarkEnd w:id="365"/>
      <w:bookmarkEnd w:id="366"/>
      <w:bookmarkEnd w:id="367"/>
    </w:p>
    <w:p w14:paraId="4C84D66F">
      <w:pPr>
        <w:pStyle w:val="8"/>
        <w:spacing w:before="120" w:after="120" w:line="360" w:lineRule="auto"/>
        <w:ind w:firstLine="480" w:firstLineChars="200"/>
        <w:rPr>
          <w:rFonts w:ascii="宋体" w:hAnsi="宋体"/>
          <w:b w:val="0"/>
          <w:color w:val="000000"/>
          <w:sz w:val="24"/>
          <w:szCs w:val="24"/>
          <w:highlight w:val="none"/>
        </w:rPr>
      </w:pPr>
      <w:bookmarkStart w:id="368" w:name="_Toc351203608"/>
      <w:bookmarkStart w:id="369" w:name="_Toc296503117"/>
      <w:bookmarkStart w:id="370" w:name="_Toc337558824"/>
      <w:bookmarkStart w:id="371" w:name="_Toc296346618"/>
      <w:r>
        <w:rPr>
          <w:rFonts w:ascii="宋体" w:hAnsi="宋体"/>
          <w:b w:val="0"/>
          <w:color w:val="000000"/>
          <w:sz w:val="24"/>
          <w:szCs w:val="24"/>
          <w:highlight w:val="none"/>
        </w:rPr>
        <w:t>17.1 不可抗力的确认</w:t>
      </w:r>
      <w:bookmarkEnd w:id="368"/>
    </w:p>
    <w:bookmarkEnd w:id="369"/>
    <w:bookmarkEnd w:id="370"/>
    <w:bookmarkEnd w:id="371"/>
    <w:p w14:paraId="1F2335B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24D1969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的约定处理。发生争议时，按第20条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的约定处理。</w:t>
      </w:r>
    </w:p>
    <w:p w14:paraId="1789D24E">
      <w:pPr>
        <w:pStyle w:val="8"/>
        <w:spacing w:before="120" w:after="120" w:line="360" w:lineRule="auto"/>
        <w:ind w:firstLine="480" w:firstLineChars="200"/>
        <w:rPr>
          <w:rFonts w:ascii="宋体" w:hAnsi="宋体"/>
          <w:b w:val="0"/>
          <w:color w:val="000000"/>
          <w:sz w:val="24"/>
          <w:szCs w:val="24"/>
          <w:highlight w:val="none"/>
        </w:rPr>
      </w:pPr>
      <w:bookmarkStart w:id="372" w:name="_Toc351203609"/>
      <w:bookmarkStart w:id="373" w:name="_Toc337558825"/>
      <w:bookmarkStart w:id="374" w:name="_Toc296503118"/>
      <w:bookmarkStart w:id="375" w:name="_Toc296346619"/>
      <w:r>
        <w:rPr>
          <w:rFonts w:ascii="宋体" w:hAnsi="宋体"/>
          <w:b w:val="0"/>
          <w:color w:val="000000"/>
          <w:sz w:val="24"/>
          <w:szCs w:val="24"/>
          <w:highlight w:val="none"/>
        </w:rPr>
        <w:t>17.2 不可抗力的通知</w:t>
      </w:r>
      <w:bookmarkEnd w:id="372"/>
    </w:p>
    <w:bookmarkEnd w:id="373"/>
    <w:bookmarkEnd w:id="374"/>
    <w:bookmarkEnd w:id="375"/>
    <w:p w14:paraId="1D55B27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合同</w:t>
      </w:r>
      <w:r>
        <w:rPr>
          <w:rFonts w:ascii="宋体" w:hAnsi="宋体"/>
          <w:color w:val="000000"/>
          <w:kern w:val="0"/>
          <w:sz w:val="24"/>
          <w:szCs w:val="24"/>
          <w:highlight w:val="none"/>
        </w:rPr>
        <w:t>一方当事人遇到不可抗力事件，使其履行合同义务受到阻碍时，应立即通知合同另一方当事人和监理人，书面说明不可抗力和受阻碍的详细情况，并提供必要的证明。</w:t>
      </w:r>
    </w:p>
    <w:p w14:paraId="7BAC0E3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2AA3A69">
      <w:pPr>
        <w:pStyle w:val="8"/>
        <w:spacing w:before="120" w:after="120" w:line="360" w:lineRule="auto"/>
        <w:ind w:firstLine="480" w:firstLineChars="200"/>
        <w:rPr>
          <w:rFonts w:ascii="宋体" w:hAnsi="宋体"/>
          <w:b w:val="0"/>
          <w:color w:val="000000"/>
          <w:sz w:val="24"/>
          <w:szCs w:val="24"/>
          <w:highlight w:val="none"/>
        </w:rPr>
      </w:pPr>
      <w:bookmarkStart w:id="376" w:name="_Toc351203610"/>
      <w:bookmarkStart w:id="377" w:name="_Toc296503119"/>
      <w:bookmarkStart w:id="378" w:name="_Toc337558826"/>
      <w:bookmarkStart w:id="379" w:name="_Toc296346620"/>
      <w:r>
        <w:rPr>
          <w:rFonts w:ascii="宋体" w:hAnsi="宋体"/>
          <w:b w:val="0"/>
          <w:color w:val="000000"/>
          <w:sz w:val="24"/>
          <w:szCs w:val="24"/>
          <w:highlight w:val="none"/>
        </w:rPr>
        <w:t>17.3 不可抗力后果的承担</w:t>
      </w:r>
      <w:bookmarkEnd w:id="376"/>
    </w:p>
    <w:bookmarkEnd w:id="377"/>
    <w:bookmarkEnd w:id="378"/>
    <w:bookmarkEnd w:id="379"/>
    <w:p w14:paraId="278F8D50">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17.3.1 </w:t>
      </w:r>
      <w:r>
        <w:rPr>
          <w:rFonts w:hint="eastAsia" w:ascii="宋体" w:hAnsi="宋体"/>
          <w:color w:val="000000"/>
          <w:kern w:val="0"/>
          <w:sz w:val="24"/>
          <w:szCs w:val="24"/>
          <w:highlight w:val="none"/>
        </w:rPr>
        <w:t>不可抗力引起的后果及造成的损失由合同当事人按照法律规定及合同约定各自承担。</w:t>
      </w:r>
      <w:r>
        <w:rPr>
          <w:rFonts w:ascii="宋体" w:hAnsi="宋体"/>
          <w:color w:val="000000"/>
          <w:kern w:val="0"/>
          <w:sz w:val="24"/>
          <w:szCs w:val="24"/>
          <w:highlight w:val="none"/>
        </w:rPr>
        <w:t>不可抗力发生前已完</w:t>
      </w:r>
      <w:r>
        <w:rPr>
          <w:rFonts w:hint="eastAsia" w:ascii="宋体" w:hAnsi="宋体"/>
          <w:color w:val="000000"/>
          <w:kern w:val="0"/>
          <w:sz w:val="24"/>
          <w:szCs w:val="24"/>
          <w:highlight w:val="none"/>
        </w:rPr>
        <w:t>成的</w:t>
      </w:r>
      <w:r>
        <w:rPr>
          <w:rFonts w:ascii="宋体" w:hAnsi="宋体"/>
          <w:color w:val="000000"/>
          <w:kern w:val="0"/>
          <w:sz w:val="24"/>
          <w:szCs w:val="24"/>
          <w:highlight w:val="none"/>
        </w:rPr>
        <w:t>工程应当按照合同约定进行计量</w:t>
      </w:r>
      <w:r>
        <w:rPr>
          <w:rFonts w:hint="eastAsia" w:ascii="宋体" w:hAnsi="宋体"/>
          <w:color w:val="000000"/>
          <w:kern w:val="0"/>
          <w:sz w:val="24"/>
          <w:szCs w:val="24"/>
          <w:highlight w:val="none"/>
        </w:rPr>
        <w:t>支付</w:t>
      </w:r>
      <w:r>
        <w:rPr>
          <w:rFonts w:ascii="宋体" w:hAnsi="宋体"/>
          <w:color w:val="000000"/>
          <w:kern w:val="0"/>
          <w:sz w:val="24"/>
          <w:szCs w:val="24"/>
          <w:highlight w:val="none"/>
        </w:rPr>
        <w:t>。</w:t>
      </w:r>
    </w:p>
    <w:p w14:paraId="492CEE4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17.3.2 不可抗力导致的人员伤亡、财产损失、费用增加和（或）工期延误等后果，由合同当事人按以下原则承担：</w:t>
      </w:r>
    </w:p>
    <w:p w14:paraId="5BBD3CA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（1）永久工程、已运至施工现场的材料和工程设备的损坏，以及因工程损坏造成的第三人人员伤亡和财产损失由发包人承担；</w:t>
      </w:r>
    </w:p>
    <w:p w14:paraId="05CCDB5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（2）承包人施工设备的损坏由承包人承担；</w:t>
      </w:r>
    </w:p>
    <w:p w14:paraId="1F07581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（3）发包人和承包人承担各自人员伤亡和财产的损失；</w:t>
      </w:r>
    </w:p>
    <w:p w14:paraId="77CA7E9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E67F8D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（5）因不可抗力引起或将引起工期延误，发包人要求赶工的，由此增加的赶工费用由发包人承担；</w:t>
      </w:r>
    </w:p>
    <w:p w14:paraId="65C3408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（6）承包人在停工期间按照发包人要求照管、清理和修复工程的费用由发包人承担。</w:t>
      </w:r>
    </w:p>
    <w:p w14:paraId="0E8F59C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2C730B5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因合同一方迟延履行合同义务，在迟延履行期间遭遇不可抗力的，不免除其违约责任。</w:t>
      </w:r>
    </w:p>
    <w:p w14:paraId="5487EF36">
      <w:pPr>
        <w:pStyle w:val="8"/>
        <w:spacing w:before="120" w:after="120" w:line="360" w:lineRule="auto"/>
        <w:ind w:firstLine="480" w:firstLineChars="200"/>
        <w:rPr>
          <w:rFonts w:ascii="宋体" w:hAnsi="宋体"/>
          <w:b w:val="0"/>
          <w:color w:val="000000"/>
          <w:sz w:val="24"/>
          <w:szCs w:val="24"/>
          <w:highlight w:val="none"/>
        </w:rPr>
      </w:pPr>
      <w:bookmarkStart w:id="380" w:name="_Toc351203611"/>
      <w:bookmarkStart w:id="381" w:name="_Toc337558827"/>
      <w:r>
        <w:rPr>
          <w:rFonts w:ascii="宋体" w:hAnsi="宋体"/>
          <w:b w:val="0"/>
          <w:color w:val="000000"/>
          <w:sz w:val="24"/>
          <w:szCs w:val="24"/>
          <w:highlight w:val="none"/>
        </w:rPr>
        <w:t>17.4 因不可抗力解除合同</w:t>
      </w:r>
      <w:bookmarkEnd w:id="380"/>
    </w:p>
    <w:bookmarkEnd w:id="381"/>
    <w:p w14:paraId="7DF0D13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因不可抗力导致合同无法履行连续超过84天或累计超过140天的，发包人和承包人均有权解除合同。合同解除后，由双方当事人按照第4.4款</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w:t>
      </w:r>
      <w:r>
        <w:rPr>
          <w:rFonts w:hint="eastAsia" w:ascii="宋体" w:hAnsi="宋体"/>
          <w:color w:val="000000"/>
          <w:kern w:val="0"/>
          <w:sz w:val="24"/>
          <w:szCs w:val="24"/>
          <w:highlight w:val="none"/>
        </w:rPr>
        <w:t>〕</w:t>
      </w:r>
      <w:r>
        <w:rPr>
          <w:rFonts w:ascii="宋体" w:hAnsi="宋体"/>
          <w:color w:val="000000"/>
          <w:kern w:val="0"/>
          <w:sz w:val="24"/>
          <w:szCs w:val="24"/>
          <w:highlight w:val="none"/>
        </w:rPr>
        <w:t>商定或确定发包人应支付的款项，该款项包括：</w:t>
      </w:r>
    </w:p>
    <w:p w14:paraId="1A96383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（1）合同解除前承包人已完成工作的价款；</w:t>
      </w:r>
    </w:p>
    <w:p w14:paraId="0FF67F2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（2）承包人为工程订购的并已交付给承包人，或承包人有责任接受交付的材料、工程设备和其他物品的价款；</w:t>
      </w:r>
    </w:p>
    <w:p w14:paraId="7E78BC5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（3）发包人要求承包人退货或解除订货合同而产生的费用，或因不能退货或解除合同而产生的损失；</w:t>
      </w:r>
    </w:p>
    <w:p w14:paraId="78DEC9F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（4）承包人撤离施工现场以及遣散承包人人员的费用；</w:t>
      </w:r>
    </w:p>
    <w:p w14:paraId="15F62F7E">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（5）按照合同约定在合同解除前应支付给承包人的其他款项；</w:t>
      </w:r>
    </w:p>
    <w:p w14:paraId="2088C1E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（6）扣减承包人按照合同约定应向发包人支付的款项；</w:t>
      </w:r>
    </w:p>
    <w:p w14:paraId="398284B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（7）双方商定或确定的其他款项。</w:t>
      </w:r>
    </w:p>
    <w:p w14:paraId="5F295DB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除专用合同条款另有约定外，合同解除后，发包人应在商定或确定上述款项后28天内完成上述款项的支付。</w:t>
      </w:r>
    </w:p>
    <w:p w14:paraId="50FDAA32">
      <w:pPr>
        <w:pStyle w:val="7"/>
        <w:spacing w:before="120" w:after="120" w:line="360" w:lineRule="auto"/>
        <w:rPr>
          <w:rFonts w:ascii="宋体" w:hAnsi="宋体"/>
          <w:b w:val="0"/>
          <w:color w:val="000000"/>
          <w:szCs w:val="24"/>
          <w:highlight w:val="none"/>
        </w:rPr>
      </w:pPr>
      <w:bookmarkStart w:id="382" w:name="_Toc351203612"/>
      <w:bookmarkStart w:id="383" w:name="_Toc337558828"/>
      <w:bookmarkStart w:id="384" w:name="_Toc296346621"/>
      <w:bookmarkStart w:id="385" w:name="_Toc296503120"/>
      <w:r>
        <w:rPr>
          <w:rFonts w:ascii="宋体" w:hAnsi="宋体"/>
          <w:b w:val="0"/>
          <w:color w:val="000000"/>
          <w:szCs w:val="24"/>
          <w:highlight w:val="none"/>
        </w:rPr>
        <w:t>18. 保险</w:t>
      </w:r>
      <w:bookmarkEnd w:id="382"/>
    </w:p>
    <w:bookmarkEnd w:id="383"/>
    <w:bookmarkEnd w:id="384"/>
    <w:bookmarkEnd w:id="385"/>
    <w:p w14:paraId="2E772325">
      <w:pPr>
        <w:pStyle w:val="8"/>
        <w:spacing w:before="120" w:after="120" w:line="360" w:lineRule="auto"/>
        <w:ind w:firstLine="480" w:firstLineChars="200"/>
        <w:rPr>
          <w:rFonts w:ascii="宋体" w:hAnsi="宋体"/>
          <w:b w:val="0"/>
          <w:color w:val="000000"/>
          <w:sz w:val="24"/>
          <w:szCs w:val="24"/>
          <w:highlight w:val="none"/>
        </w:rPr>
      </w:pPr>
      <w:bookmarkStart w:id="386" w:name="_Toc351203613"/>
      <w:bookmarkStart w:id="387" w:name="_Toc296346622"/>
      <w:bookmarkStart w:id="388" w:name="_Toc337558829"/>
      <w:bookmarkStart w:id="389" w:name="_Toc296503121"/>
      <w:r>
        <w:rPr>
          <w:rFonts w:ascii="宋体" w:hAnsi="宋体"/>
          <w:b w:val="0"/>
          <w:color w:val="000000"/>
          <w:sz w:val="24"/>
          <w:szCs w:val="24"/>
          <w:highlight w:val="none"/>
        </w:rPr>
        <w:t>18.1 工程保险</w:t>
      </w:r>
      <w:bookmarkEnd w:id="386"/>
    </w:p>
    <w:bookmarkEnd w:id="387"/>
    <w:bookmarkEnd w:id="388"/>
    <w:bookmarkEnd w:id="389"/>
    <w:p w14:paraId="2B8C1A4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38D82B52">
      <w:pPr>
        <w:pStyle w:val="8"/>
        <w:spacing w:before="120" w:after="120" w:line="360" w:lineRule="auto"/>
        <w:ind w:firstLine="480" w:firstLineChars="200"/>
        <w:rPr>
          <w:rFonts w:ascii="宋体" w:hAnsi="宋体"/>
          <w:b w:val="0"/>
          <w:color w:val="000000"/>
          <w:sz w:val="24"/>
          <w:szCs w:val="24"/>
          <w:highlight w:val="none"/>
        </w:rPr>
      </w:pPr>
      <w:bookmarkStart w:id="390" w:name="_Toc351203614"/>
      <w:bookmarkStart w:id="391" w:name="_Toc296503122"/>
      <w:bookmarkStart w:id="392" w:name="_Toc296346623"/>
      <w:bookmarkStart w:id="393" w:name="_Toc337558830"/>
      <w:r>
        <w:rPr>
          <w:rFonts w:ascii="宋体" w:hAnsi="宋体"/>
          <w:b w:val="0"/>
          <w:color w:val="000000"/>
          <w:sz w:val="24"/>
          <w:szCs w:val="24"/>
          <w:highlight w:val="none"/>
        </w:rPr>
        <w:t>18.2 工伤保险</w:t>
      </w:r>
      <w:bookmarkEnd w:id="390"/>
    </w:p>
    <w:bookmarkEnd w:id="391"/>
    <w:bookmarkEnd w:id="392"/>
    <w:bookmarkEnd w:id="393"/>
    <w:p w14:paraId="5802BE5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7C4D938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4721A684">
      <w:pPr>
        <w:pStyle w:val="8"/>
        <w:spacing w:before="120" w:after="120" w:line="360" w:lineRule="auto"/>
        <w:ind w:firstLine="480" w:firstLineChars="200"/>
        <w:rPr>
          <w:rFonts w:ascii="宋体" w:hAnsi="宋体"/>
          <w:b w:val="0"/>
          <w:color w:val="000000"/>
          <w:sz w:val="24"/>
          <w:szCs w:val="24"/>
          <w:highlight w:val="none"/>
        </w:rPr>
      </w:pPr>
      <w:bookmarkStart w:id="394" w:name="_Toc351203615"/>
      <w:bookmarkStart w:id="395" w:name="_Toc337558831"/>
      <w:bookmarkStart w:id="396" w:name="_Toc296503125"/>
      <w:bookmarkStart w:id="397" w:name="_Toc296346626"/>
      <w:r>
        <w:rPr>
          <w:rFonts w:ascii="宋体" w:hAnsi="宋体"/>
          <w:b w:val="0"/>
          <w:color w:val="000000"/>
          <w:sz w:val="24"/>
          <w:szCs w:val="24"/>
          <w:highlight w:val="none"/>
        </w:rPr>
        <w:t>18.3其他保险</w:t>
      </w:r>
      <w:bookmarkEnd w:id="394"/>
    </w:p>
    <w:bookmarkEnd w:id="395"/>
    <w:bookmarkEnd w:id="396"/>
    <w:bookmarkEnd w:id="397"/>
    <w:p w14:paraId="70FDF52F">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59B4071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除专用合同条款另有约定外，承包人应为其施工设备等办理财产保险。</w:t>
      </w:r>
    </w:p>
    <w:p w14:paraId="6A817A89">
      <w:pPr>
        <w:pStyle w:val="8"/>
        <w:spacing w:before="120" w:after="120" w:line="360" w:lineRule="auto"/>
        <w:ind w:firstLine="480" w:firstLineChars="200"/>
        <w:rPr>
          <w:rFonts w:ascii="宋体" w:hAnsi="宋体"/>
          <w:b w:val="0"/>
          <w:color w:val="000000"/>
          <w:sz w:val="24"/>
          <w:szCs w:val="24"/>
          <w:highlight w:val="none"/>
        </w:rPr>
      </w:pPr>
      <w:bookmarkStart w:id="398" w:name="_Toc351203616"/>
      <w:r>
        <w:rPr>
          <w:rFonts w:ascii="宋体" w:hAnsi="宋体"/>
          <w:b w:val="0"/>
          <w:color w:val="000000"/>
          <w:sz w:val="24"/>
          <w:szCs w:val="24"/>
          <w:highlight w:val="none"/>
        </w:rPr>
        <w:t>18.4持续保险</w:t>
      </w:r>
      <w:bookmarkEnd w:id="398"/>
    </w:p>
    <w:p w14:paraId="0446D0E9">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合同当事人应与保险人保持联系，使保险人能够随时了解工程实施中的变动，并确保按保险合同条款要求持续保险。</w:t>
      </w:r>
    </w:p>
    <w:p w14:paraId="2BC926C7">
      <w:pPr>
        <w:pStyle w:val="8"/>
        <w:spacing w:before="120" w:after="120" w:line="360" w:lineRule="auto"/>
        <w:ind w:firstLine="480" w:firstLineChars="200"/>
        <w:rPr>
          <w:rFonts w:ascii="宋体" w:hAnsi="宋体"/>
          <w:b w:val="0"/>
          <w:color w:val="000000"/>
          <w:sz w:val="24"/>
          <w:szCs w:val="24"/>
          <w:highlight w:val="none"/>
        </w:rPr>
      </w:pPr>
      <w:bookmarkStart w:id="399" w:name="_Toc351203617"/>
      <w:bookmarkStart w:id="400" w:name="_Toc296503126"/>
      <w:bookmarkStart w:id="401" w:name="_Toc337558832"/>
      <w:bookmarkStart w:id="402" w:name="_Toc296346627"/>
      <w:r>
        <w:rPr>
          <w:rFonts w:ascii="宋体" w:hAnsi="宋体"/>
          <w:b w:val="0"/>
          <w:color w:val="000000"/>
          <w:sz w:val="24"/>
          <w:szCs w:val="24"/>
          <w:highlight w:val="none"/>
        </w:rPr>
        <w:t>18.5 保险凭证</w:t>
      </w:r>
      <w:bookmarkEnd w:id="399"/>
    </w:p>
    <w:bookmarkEnd w:id="400"/>
    <w:bookmarkEnd w:id="401"/>
    <w:bookmarkEnd w:id="402"/>
    <w:p w14:paraId="5EE1799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合同当事人应及时向另一方当事人提交其已投保的各项保险的凭证和保险单复印件。</w:t>
      </w:r>
    </w:p>
    <w:p w14:paraId="0B031CEF">
      <w:pPr>
        <w:pStyle w:val="8"/>
        <w:spacing w:before="120" w:after="120" w:line="360" w:lineRule="auto"/>
        <w:ind w:firstLine="480" w:firstLineChars="200"/>
        <w:rPr>
          <w:rFonts w:ascii="宋体" w:hAnsi="宋体"/>
          <w:b w:val="0"/>
          <w:color w:val="000000"/>
          <w:sz w:val="24"/>
          <w:szCs w:val="24"/>
          <w:highlight w:val="none"/>
        </w:rPr>
      </w:pPr>
      <w:bookmarkStart w:id="403" w:name="_Toc351203618"/>
      <w:bookmarkStart w:id="404" w:name="_Toc337558833"/>
      <w:bookmarkStart w:id="405" w:name="_Toc296503127"/>
      <w:bookmarkStart w:id="406" w:name="_Toc296346628"/>
      <w:r>
        <w:rPr>
          <w:rFonts w:ascii="宋体" w:hAnsi="宋体"/>
          <w:b w:val="0"/>
          <w:color w:val="000000"/>
          <w:sz w:val="24"/>
          <w:szCs w:val="24"/>
          <w:highlight w:val="none"/>
        </w:rPr>
        <w:t>18.6 未按约定投保的补救</w:t>
      </w:r>
      <w:bookmarkEnd w:id="403"/>
    </w:p>
    <w:bookmarkEnd w:id="404"/>
    <w:bookmarkEnd w:id="405"/>
    <w:bookmarkEnd w:id="406"/>
    <w:p w14:paraId="1179A656">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2EEFCD9">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566CEE0">
      <w:pPr>
        <w:pStyle w:val="8"/>
        <w:spacing w:before="120" w:after="120" w:line="360" w:lineRule="auto"/>
        <w:ind w:firstLine="480" w:firstLineChars="200"/>
        <w:rPr>
          <w:rFonts w:ascii="宋体" w:hAnsi="宋体"/>
          <w:b w:val="0"/>
          <w:color w:val="000000"/>
          <w:sz w:val="24"/>
          <w:szCs w:val="24"/>
          <w:highlight w:val="none"/>
        </w:rPr>
      </w:pPr>
      <w:bookmarkStart w:id="407" w:name="_Toc351203619"/>
      <w:bookmarkStart w:id="408" w:name="_Toc337558834"/>
      <w:r>
        <w:rPr>
          <w:rFonts w:ascii="宋体" w:hAnsi="宋体"/>
          <w:b w:val="0"/>
          <w:color w:val="000000"/>
          <w:sz w:val="24"/>
          <w:szCs w:val="24"/>
          <w:highlight w:val="none"/>
        </w:rPr>
        <w:t>18.7 通知义务</w:t>
      </w:r>
      <w:bookmarkEnd w:id="407"/>
    </w:p>
    <w:bookmarkEnd w:id="408"/>
    <w:p w14:paraId="741B2A23">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12C6B7D">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保险事故发生时，投保人应按照保险合同规定的条件和期限及时向保险人报告。发包人和承包人应当在知道保险事故发生后及时通知对方。</w:t>
      </w:r>
    </w:p>
    <w:p w14:paraId="30246E1B">
      <w:pPr>
        <w:pStyle w:val="7"/>
        <w:spacing w:before="120" w:after="120" w:line="360" w:lineRule="auto"/>
        <w:rPr>
          <w:rFonts w:ascii="宋体" w:hAnsi="宋体"/>
          <w:b w:val="0"/>
          <w:color w:val="000000"/>
          <w:szCs w:val="24"/>
          <w:highlight w:val="none"/>
        </w:rPr>
      </w:pPr>
      <w:bookmarkStart w:id="409" w:name="_Toc351203620"/>
      <w:bookmarkStart w:id="410" w:name="_Toc296346641"/>
      <w:bookmarkStart w:id="411" w:name="_Toc296503140"/>
      <w:bookmarkStart w:id="412" w:name="_Toc337558835"/>
      <w:r>
        <w:rPr>
          <w:rFonts w:ascii="宋体" w:hAnsi="宋体"/>
          <w:b w:val="0"/>
          <w:color w:val="000000"/>
          <w:szCs w:val="24"/>
          <w:highlight w:val="none"/>
        </w:rPr>
        <w:t>19. 索赔</w:t>
      </w:r>
      <w:bookmarkEnd w:id="409"/>
    </w:p>
    <w:bookmarkEnd w:id="410"/>
    <w:bookmarkEnd w:id="411"/>
    <w:bookmarkEnd w:id="412"/>
    <w:p w14:paraId="00A0D788">
      <w:pPr>
        <w:pStyle w:val="8"/>
        <w:spacing w:before="120" w:after="120" w:line="360" w:lineRule="auto"/>
        <w:ind w:firstLine="480" w:firstLineChars="200"/>
        <w:rPr>
          <w:rFonts w:ascii="宋体" w:hAnsi="宋体"/>
          <w:b w:val="0"/>
          <w:color w:val="000000"/>
          <w:sz w:val="24"/>
          <w:szCs w:val="24"/>
          <w:highlight w:val="none"/>
        </w:rPr>
      </w:pPr>
      <w:bookmarkStart w:id="413" w:name="_Toc351203621"/>
      <w:bookmarkStart w:id="414" w:name="_Toc296346642"/>
      <w:bookmarkStart w:id="415" w:name="_Toc296503141"/>
      <w:bookmarkStart w:id="416" w:name="_Toc337558836"/>
      <w:r>
        <w:rPr>
          <w:rFonts w:ascii="宋体" w:hAnsi="宋体"/>
          <w:b w:val="0"/>
          <w:color w:val="000000"/>
          <w:sz w:val="24"/>
          <w:szCs w:val="24"/>
          <w:highlight w:val="none"/>
        </w:rPr>
        <w:t>19.1承包人的索赔</w:t>
      </w:r>
      <w:bookmarkEnd w:id="413"/>
    </w:p>
    <w:bookmarkEnd w:id="414"/>
    <w:bookmarkEnd w:id="415"/>
    <w:bookmarkEnd w:id="416"/>
    <w:p w14:paraId="3579281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根据合同约定，承包人认为有权得到追加付款和（或）延长工期的，应按以下程序向</w:t>
      </w:r>
      <w:r>
        <w:rPr>
          <w:rFonts w:hint="eastAsia" w:ascii="宋体" w:hAnsi="宋体"/>
          <w:color w:val="000000"/>
          <w:kern w:val="0"/>
          <w:sz w:val="24"/>
          <w:szCs w:val="24"/>
          <w:highlight w:val="none"/>
        </w:rPr>
        <w:t>发包</w:t>
      </w:r>
      <w:r>
        <w:rPr>
          <w:rFonts w:ascii="宋体" w:hAnsi="宋体"/>
          <w:color w:val="000000"/>
          <w:kern w:val="0"/>
          <w:sz w:val="24"/>
          <w:szCs w:val="24"/>
          <w:highlight w:val="none"/>
        </w:rPr>
        <w:t>人提出索赔：</w:t>
      </w:r>
    </w:p>
    <w:p w14:paraId="0403D03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1580628">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48F0F22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5E861F1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5A6401FC">
      <w:pPr>
        <w:pStyle w:val="8"/>
        <w:spacing w:before="120" w:after="120" w:line="360" w:lineRule="auto"/>
        <w:ind w:firstLine="480" w:firstLineChars="200"/>
        <w:rPr>
          <w:rFonts w:ascii="宋体" w:hAnsi="宋体"/>
          <w:b w:val="0"/>
          <w:color w:val="000000"/>
          <w:sz w:val="24"/>
          <w:szCs w:val="24"/>
          <w:highlight w:val="none"/>
        </w:rPr>
      </w:pPr>
      <w:bookmarkStart w:id="417" w:name="_Toc351203622"/>
      <w:bookmarkStart w:id="418" w:name="_Toc337558837"/>
      <w:bookmarkStart w:id="419" w:name="_Toc296503142"/>
      <w:bookmarkStart w:id="420" w:name="_Toc296346643"/>
      <w:r>
        <w:rPr>
          <w:rFonts w:ascii="宋体" w:hAnsi="宋体"/>
          <w:b w:val="0"/>
          <w:color w:val="000000"/>
          <w:sz w:val="24"/>
          <w:szCs w:val="24"/>
          <w:highlight w:val="none"/>
        </w:rPr>
        <w:t>19.2 对承包人索赔的处理</w:t>
      </w:r>
      <w:bookmarkEnd w:id="417"/>
    </w:p>
    <w:bookmarkEnd w:id="418"/>
    <w:bookmarkEnd w:id="419"/>
    <w:bookmarkEnd w:id="420"/>
    <w:p w14:paraId="49ACFCB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对承包人索赔的处理如下：</w:t>
      </w:r>
    </w:p>
    <w:p w14:paraId="0C6795A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（1）监理人应在收到索赔报告后14天内完成审查并报送发包人。监理人对索赔报告存在异议的，有权要求承包人提交全部原始记录副本；</w:t>
      </w:r>
    </w:p>
    <w:p w14:paraId="7CE40E3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54022DD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（3）承包人接受索赔处理结果的，索赔款项在当期进度款中进行支付；承包人不接受索赔处理结果的，按照第20条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约定处理。</w:t>
      </w:r>
    </w:p>
    <w:p w14:paraId="72A4A308">
      <w:pPr>
        <w:pStyle w:val="8"/>
        <w:spacing w:before="120" w:after="120" w:line="360" w:lineRule="auto"/>
        <w:ind w:firstLine="480" w:firstLineChars="200"/>
        <w:rPr>
          <w:rFonts w:ascii="宋体" w:hAnsi="宋体"/>
          <w:b w:val="0"/>
          <w:color w:val="000000"/>
          <w:sz w:val="24"/>
          <w:szCs w:val="24"/>
          <w:highlight w:val="none"/>
        </w:rPr>
      </w:pPr>
      <w:bookmarkStart w:id="421" w:name="_Toc351203623"/>
      <w:bookmarkStart w:id="422" w:name="_Toc296503143"/>
      <w:bookmarkStart w:id="423" w:name="_Toc296346644"/>
      <w:bookmarkStart w:id="424" w:name="_Toc337558838"/>
      <w:r>
        <w:rPr>
          <w:rFonts w:ascii="宋体" w:hAnsi="宋体"/>
          <w:b w:val="0"/>
          <w:color w:val="000000"/>
          <w:sz w:val="24"/>
          <w:szCs w:val="24"/>
          <w:highlight w:val="none"/>
        </w:rPr>
        <w:t>19.3发包人的索赔</w:t>
      </w:r>
      <w:bookmarkEnd w:id="421"/>
    </w:p>
    <w:bookmarkEnd w:id="422"/>
    <w:bookmarkEnd w:id="423"/>
    <w:bookmarkEnd w:id="424"/>
    <w:p w14:paraId="310F70A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根据合同约定，发包人认为有权得到赔付金额和（或）延长缺陷责任期的，监理人应向承包人发出通知并附有详细的证明。</w:t>
      </w:r>
    </w:p>
    <w:p w14:paraId="38609AB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D1D4516">
      <w:pPr>
        <w:pStyle w:val="8"/>
        <w:spacing w:before="120" w:after="120" w:line="360" w:lineRule="auto"/>
        <w:ind w:firstLine="480" w:firstLineChars="200"/>
        <w:rPr>
          <w:rFonts w:ascii="宋体" w:hAnsi="宋体"/>
          <w:b w:val="0"/>
          <w:color w:val="000000"/>
          <w:sz w:val="24"/>
          <w:szCs w:val="24"/>
          <w:highlight w:val="none"/>
        </w:rPr>
      </w:pPr>
      <w:bookmarkStart w:id="425" w:name="_Toc351203624"/>
      <w:bookmarkStart w:id="426" w:name="_Toc337558839"/>
      <w:bookmarkStart w:id="427" w:name="_Toc296346645"/>
      <w:bookmarkStart w:id="428" w:name="_Toc296503144"/>
      <w:r>
        <w:rPr>
          <w:rFonts w:ascii="宋体" w:hAnsi="宋体"/>
          <w:b w:val="0"/>
          <w:color w:val="000000"/>
          <w:sz w:val="24"/>
          <w:szCs w:val="24"/>
          <w:highlight w:val="none"/>
        </w:rPr>
        <w:t>19.4 对发包人索赔的处理</w:t>
      </w:r>
      <w:bookmarkEnd w:id="425"/>
    </w:p>
    <w:bookmarkEnd w:id="426"/>
    <w:bookmarkEnd w:id="427"/>
    <w:bookmarkEnd w:id="428"/>
    <w:p w14:paraId="16F0439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对发包人索赔的处理如下：</w:t>
      </w:r>
    </w:p>
    <w:p w14:paraId="1A5D052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（1）承包人收到发包人提交的索赔报告后，应及时审查索赔报告的内容、查验发包人证明材料；</w:t>
      </w:r>
    </w:p>
    <w:p w14:paraId="7D9B0C6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4037621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 w:val="24"/>
          <w:szCs w:val="24"/>
          <w:highlight w:val="none"/>
        </w:rPr>
        <w:t>〔</w:t>
      </w:r>
      <w:r>
        <w:rPr>
          <w:rFonts w:ascii="宋体" w:hAnsi="宋体"/>
          <w:color w:val="000000"/>
          <w:kern w:val="0"/>
          <w:sz w:val="24"/>
          <w:szCs w:val="24"/>
          <w:highlight w:val="none"/>
        </w:rPr>
        <w:t>争议解决</w:t>
      </w:r>
      <w:r>
        <w:rPr>
          <w:rFonts w:hint="eastAsia" w:ascii="宋体" w:hAnsi="宋体"/>
          <w:color w:val="000000"/>
          <w:kern w:val="0"/>
          <w:sz w:val="24"/>
          <w:szCs w:val="24"/>
          <w:highlight w:val="none"/>
        </w:rPr>
        <w:t>〕</w:t>
      </w:r>
      <w:r>
        <w:rPr>
          <w:rFonts w:ascii="宋体" w:hAnsi="宋体"/>
          <w:color w:val="000000"/>
          <w:kern w:val="0"/>
          <w:sz w:val="24"/>
          <w:szCs w:val="24"/>
          <w:highlight w:val="none"/>
        </w:rPr>
        <w:t>约定处理。</w:t>
      </w:r>
    </w:p>
    <w:p w14:paraId="27BC1A9A">
      <w:pPr>
        <w:pStyle w:val="8"/>
        <w:spacing w:before="120" w:after="120" w:line="360" w:lineRule="auto"/>
        <w:ind w:firstLine="480" w:firstLineChars="200"/>
        <w:rPr>
          <w:rFonts w:ascii="宋体" w:hAnsi="宋体"/>
          <w:b w:val="0"/>
          <w:color w:val="000000"/>
          <w:sz w:val="24"/>
          <w:szCs w:val="24"/>
          <w:highlight w:val="none"/>
        </w:rPr>
      </w:pPr>
      <w:bookmarkStart w:id="429" w:name="_Toc351203625"/>
      <w:r>
        <w:rPr>
          <w:rFonts w:ascii="宋体" w:hAnsi="宋体"/>
          <w:b w:val="0"/>
          <w:color w:val="000000"/>
          <w:sz w:val="24"/>
          <w:szCs w:val="24"/>
          <w:highlight w:val="none"/>
        </w:rPr>
        <w:t>19.5 提出索赔的期限</w:t>
      </w:r>
      <w:bookmarkEnd w:id="429"/>
    </w:p>
    <w:p w14:paraId="76554987">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（1）承包人按第14.2款</w:t>
      </w:r>
      <w:r>
        <w:rPr>
          <w:rFonts w:hint="eastAsia" w:ascii="宋体" w:hAnsi="宋体"/>
          <w:color w:val="000000"/>
          <w:kern w:val="0"/>
          <w:sz w:val="24"/>
          <w:szCs w:val="24"/>
          <w:highlight w:val="none"/>
        </w:rPr>
        <w:t>〔</w:t>
      </w:r>
      <w:r>
        <w:rPr>
          <w:rFonts w:ascii="宋体" w:hAnsi="宋体"/>
          <w:color w:val="000000"/>
          <w:kern w:val="0"/>
          <w:sz w:val="24"/>
          <w:szCs w:val="24"/>
          <w:highlight w:val="none"/>
        </w:rPr>
        <w:t>竣工结算审核</w:t>
      </w:r>
      <w:r>
        <w:rPr>
          <w:rFonts w:hint="eastAsia" w:ascii="宋体" w:hAnsi="宋体"/>
          <w:color w:val="000000"/>
          <w:kern w:val="0"/>
          <w:sz w:val="24"/>
          <w:szCs w:val="24"/>
          <w:highlight w:val="none"/>
        </w:rPr>
        <w:t>〕</w:t>
      </w:r>
      <w:r>
        <w:rPr>
          <w:rFonts w:ascii="宋体" w:hAnsi="宋体"/>
          <w:color w:val="000000"/>
          <w:kern w:val="0"/>
          <w:sz w:val="24"/>
          <w:szCs w:val="24"/>
          <w:highlight w:val="none"/>
        </w:rPr>
        <w:t>约定接收竣工付款证书后，应被视为已无权再提出在工程接收证书颁发前所发生的任何索赔。</w:t>
      </w:r>
    </w:p>
    <w:p w14:paraId="40F2BA1A">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（2）承包人按第14.4款</w:t>
      </w:r>
      <w:r>
        <w:rPr>
          <w:rFonts w:hint="eastAsia" w:ascii="宋体" w:hAnsi="宋体"/>
          <w:color w:val="000000"/>
          <w:kern w:val="0"/>
          <w:sz w:val="24"/>
          <w:szCs w:val="24"/>
          <w:highlight w:val="none"/>
        </w:rPr>
        <w:t>〔</w:t>
      </w:r>
      <w:r>
        <w:rPr>
          <w:rFonts w:ascii="宋体" w:hAnsi="宋体"/>
          <w:color w:val="000000"/>
          <w:kern w:val="0"/>
          <w:sz w:val="24"/>
          <w:szCs w:val="24"/>
          <w:highlight w:val="none"/>
        </w:rPr>
        <w:t>最终结清</w:t>
      </w:r>
      <w:r>
        <w:rPr>
          <w:rFonts w:hint="eastAsia" w:ascii="宋体" w:hAnsi="宋体"/>
          <w:color w:val="000000"/>
          <w:kern w:val="0"/>
          <w:sz w:val="24"/>
          <w:szCs w:val="24"/>
          <w:highlight w:val="none"/>
        </w:rPr>
        <w:t>〕</w:t>
      </w:r>
      <w:r>
        <w:rPr>
          <w:rFonts w:ascii="宋体" w:hAnsi="宋体"/>
          <w:color w:val="000000"/>
          <w:kern w:val="0"/>
          <w:sz w:val="24"/>
          <w:szCs w:val="24"/>
          <w:highlight w:val="none"/>
        </w:rPr>
        <w:t>提交的最终结清申请单中，只限于提出工程接收证书颁发后发生的索赔。提出索赔的期限自接受最终结清证书时终止。</w:t>
      </w:r>
    </w:p>
    <w:p w14:paraId="3ADA4D3D">
      <w:pPr>
        <w:pStyle w:val="7"/>
        <w:spacing w:before="120" w:after="120" w:line="360" w:lineRule="auto"/>
        <w:rPr>
          <w:rFonts w:ascii="宋体" w:hAnsi="宋体"/>
          <w:b w:val="0"/>
          <w:color w:val="000000"/>
          <w:szCs w:val="24"/>
          <w:highlight w:val="none"/>
        </w:rPr>
      </w:pPr>
      <w:bookmarkStart w:id="430" w:name="_Toc351203626"/>
      <w:r>
        <w:rPr>
          <w:rFonts w:ascii="宋体" w:hAnsi="宋体"/>
          <w:b w:val="0"/>
          <w:color w:val="000000"/>
          <w:szCs w:val="24"/>
          <w:highlight w:val="none"/>
        </w:rPr>
        <w:t>20</w:t>
      </w:r>
      <w:bookmarkStart w:id="431" w:name="_Toc296346647"/>
      <w:bookmarkStart w:id="432" w:name="_Toc296503146"/>
      <w:bookmarkStart w:id="433" w:name="_Toc337558840"/>
      <w:r>
        <w:rPr>
          <w:rFonts w:ascii="宋体" w:hAnsi="宋体"/>
          <w:b w:val="0"/>
          <w:color w:val="000000"/>
          <w:szCs w:val="24"/>
          <w:highlight w:val="none"/>
        </w:rPr>
        <w:t>. 争议解决</w:t>
      </w:r>
      <w:bookmarkEnd w:id="430"/>
    </w:p>
    <w:bookmarkEnd w:id="431"/>
    <w:bookmarkEnd w:id="432"/>
    <w:bookmarkEnd w:id="433"/>
    <w:p w14:paraId="63D1F62C">
      <w:pPr>
        <w:pStyle w:val="8"/>
        <w:spacing w:before="120" w:after="120" w:line="360" w:lineRule="auto"/>
        <w:ind w:firstLine="480" w:firstLineChars="200"/>
        <w:rPr>
          <w:rFonts w:ascii="宋体" w:hAnsi="宋体"/>
          <w:b w:val="0"/>
          <w:color w:val="000000"/>
          <w:sz w:val="24"/>
          <w:szCs w:val="24"/>
          <w:highlight w:val="none"/>
        </w:rPr>
      </w:pPr>
      <w:bookmarkStart w:id="434" w:name="_Toc351203627"/>
      <w:bookmarkStart w:id="435" w:name="_Toc296503147"/>
      <w:bookmarkStart w:id="436" w:name="_Toc296346648"/>
      <w:bookmarkStart w:id="437" w:name="_Toc337558841"/>
      <w:r>
        <w:rPr>
          <w:rFonts w:ascii="宋体" w:hAnsi="宋体"/>
          <w:b w:val="0"/>
          <w:color w:val="000000"/>
          <w:sz w:val="24"/>
          <w:szCs w:val="24"/>
          <w:highlight w:val="none"/>
        </w:rPr>
        <w:t>20.1和解</w:t>
      </w:r>
      <w:bookmarkEnd w:id="434"/>
    </w:p>
    <w:bookmarkEnd w:id="435"/>
    <w:bookmarkEnd w:id="436"/>
    <w:bookmarkEnd w:id="437"/>
    <w:p w14:paraId="08DDEE1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合同当事人可以就争议自行和解，自行和解达成协议的经双方签字并盖章后作为合同补充文件，双方均应遵照执行。</w:t>
      </w:r>
    </w:p>
    <w:p w14:paraId="4503EF14">
      <w:pPr>
        <w:pStyle w:val="8"/>
        <w:spacing w:before="120" w:after="120" w:line="360" w:lineRule="auto"/>
        <w:ind w:firstLine="480" w:firstLineChars="200"/>
        <w:rPr>
          <w:rFonts w:ascii="宋体" w:hAnsi="宋体"/>
          <w:b w:val="0"/>
          <w:color w:val="000000"/>
          <w:sz w:val="24"/>
          <w:szCs w:val="24"/>
          <w:highlight w:val="none"/>
        </w:rPr>
      </w:pPr>
      <w:bookmarkStart w:id="438" w:name="_Toc351203628"/>
      <w:r>
        <w:rPr>
          <w:rFonts w:ascii="宋体" w:hAnsi="宋体"/>
          <w:b w:val="0"/>
          <w:color w:val="000000"/>
          <w:sz w:val="24"/>
          <w:szCs w:val="24"/>
          <w:highlight w:val="none"/>
        </w:rPr>
        <w:t>20</w:t>
      </w:r>
      <w:bookmarkStart w:id="439" w:name="_Toc296346649"/>
      <w:bookmarkStart w:id="440" w:name="_Toc296503148"/>
      <w:bookmarkStart w:id="441" w:name="_Toc337558842"/>
      <w:r>
        <w:rPr>
          <w:rFonts w:ascii="宋体" w:hAnsi="宋体"/>
          <w:b w:val="0"/>
          <w:color w:val="000000"/>
          <w:sz w:val="24"/>
          <w:szCs w:val="24"/>
          <w:highlight w:val="none"/>
        </w:rPr>
        <w:t>.2调解</w:t>
      </w:r>
      <w:bookmarkEnd w:id="438"/>
    </w:p>
    <w:bookmarkEnd w:id="439"/>
    <w:bookmarkEnd w:id="440"/>
    <w:bookmarkEnd w:id="441"/>
    <w:p w14:paraId="42F79C5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合同当事人可以就争议请求建设行政主管部门</w:t>
      </w:r>
      <w:r>
        <w:rPr>
          <w:rFonts w:hint="eastAsia" w:ascii="宋体" w:hAnsi="宋体"/>
          <w:color w:val="000000"/>
          <w:kern w:val="0"/>
          <w:sz w:val="24"/>
          <w:szCs w:val="24"/>
          <w:highlight w:val="none"/>
        </w:rPr>
        <w:t>、行业协会</w:t>
      </w:r>
      <w:r>
        <w:rPr>
          <w:rFonts w:ascii="宋体" w:hAnsi="宋体"/>
          <w:color w:val="000000"/>
          <w:kern w:val="0"/>
          <w:sz w:val="24"/>
          <w:szCs w:val="24"/>
          <w:highlight w:val="none"/>
        </w:rPr>
        <w:t>或</w:t>
      </w:r>
      <w:r>
        <w:rPr>
          <w:rFonts w:hint="eastAsia" w:ascii="宋体" w:hAnsi="宋体"/>
          <w:color w:val="000000"/>
          <w:kern w:val="0"/>
          <w:sz w:val="24"/>
          <w:szCs w:val="24"/>
          <w:highlight w:val="none"/>
        </w:rPr>
        <w:t>其他</w:t>
      </w:r>
      <w:r>
        <w:rPr>
          <w:rFonts w:ascii="宋体" w:hAnsi="宋体"/>
          <w:color w:val="000000"/>
          <w:kern w:val="0"/>
          <w:sz w:val="24"/>
          <w:szCs w:val="24"/>
          <w:highlight w:val="none"/>
        </w:rPr>
        <w:t>第三方进行调解，调解达成协议的，经双方签字并盖章后作为合同补充文件，双方均应遵照执行。</w:t>
      </w:r>
    </w:p>
    <w:p w14:paraId="3036B4A4">
      <w:pPr>
        <w:pStyle w:val="8"/>
        <w:spacing w:before="120" w:after="120" w:line="360" w:lineRule="auto"/>
        <w:ind w:firstLine="480" w:firstLineChars="200"/>
        <w:rPr>
          <w:rFonts w:ascii="宋体" w:hAnsi="宋体"/>
          <w:b w:val="0"/>
          <w:color w:val="000000"/>
          <w:sz w:val="24"/>
          <w:szCs w:val="24"/>
          <w:highlight w:val="none"/>
        </w:rPr>
      </w:pPr>
      <w:bookmarkStart w:id="442" w:name="_Toc351203629"/>
      <w:bookmarkStart w:id="443" w:name="_Toc337558843"/>
      <w:bookmarkStart w:id="444" w:name="_Toc296503149"/>
      <w:bookmarkStart w:id="445" w:name="_Toc296346650"/>
      <w:r>
        <w:rPr>
          <w:rFonts w:ascii="宋体" w:hAnsi="宋体"/>
          <w:b w:val="0"/>
          <w:color w:val="000000"/>
          <w:sz w:val="24"/>
          <w:szCs w:val="24"/>
          <w:highlight w:val="none"/>
        </w:rPr>
        <w:t>20.3争议评审</w:t>
      </w:r>
      <w:bookmarkEnd w:id="442"/>
    </w:p>
    <w:bookmarkEnd w:id="443"/>
    <w:bookmarkEnd w:id="444"/>
    <w:bookmarkEnd w:id="445"/>
    <w:p w14:paraId="3DBCC009">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合同当事人在专用合同条款中约定采取争议评审方式解决争议</w:t>
      </w:r>
      <w:r>
        <w:rPr>
          <w:rFonts w:hint="eastAsia" w:ascii="宋体" w:hAnsi="宋体"/>
          <w:color w:val="000000"/>
          <w:kern w:val="0"/>
          <w:sz w:val="24"/>
          <w:szCs w:val="24"/>
          <w:highlight w:val="none"/>
        </w:rPr>
        <w:t>以及评审规则，并</w:t>
      </w:r>
      <w:r>
        <w:rPr>
          <w:rFonts w:ascii="宋体" w:hAnsi="宋体"/>
          <w:color w:val="000000"/>
          <w:kern w:val="0"/>
          <w:sz w:val="24"/>
          <w:szCs w:val="24"/>
          <w:highlight w:val="none"/>
        </w:rPr>
        <w:t xml:space="preserve">按下列约定执行： </w:t>
      </w:r>
    </w:p>
    <w:p w14:paraId="0D1FE58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20.3.1 争议评审小组的确定</w:t>
      </w:r>
    </w:p>
    <w:p w14:paraId="1BB6024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30813BA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 w:val="24"/>
          <w:szCs w:val="24"/>
          <w:highlight w:val="none"/>
        </w:rPr>
        <w:t>评审</w:t>
      </w:r>
      <w:r>
        <w:rPr>
          <w:rFonts w:ascii="宋体" w:hAnsi="宋体"/>
          <w:color w:val="000000"/>
          <w:kern w:val="0"/>
          <w:sz w:val="24"/>
          <w:szCs w:val="24"/>
          <w:highlight w:val="none"/>
        </w:rPr>
        <w:t xml:space="preserve">机构指定第三名首席争议评审员。 </w:t>
      </w:r>
    </w:p>
    <w:p w14:paraId="68DA267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除专用合同条款另有约定外，评审员报酬由发包人和承包人各承担一半。</w:t>
      </w:r>
    </w:p>
    <w:p w14:paraId="1401C6C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20.3.2 争议评审小组的决定</w:t>
      </w:r>
    </w:p>
    <w:p w14:paraId="233347D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158AA0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20.3.3 争议评审小组决定的效力</w:t>
      </w:r>
    </w:p>
    <w:p w14:paraId="417F7F9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争议评审小组作出的书面决定经合同当事人签字确认后，对双方具有约束力，双方应遵照执行。</w:t>
      </w:r>
    </w:p>
    <w:p w14:paraId="534FCFA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任何一方当事人不接受争议评审小组决定</w:t>
      </w:r>
      <w:r>
        <w:rPr>
          <w:rFonts w:hint="eastAsia" w:ascii="宋体" w:hAnsi="宋体"/>
          <w:color w:val="000000"/>
          <w:kern w:val="0"/>
          <w:sz w:val="24"/>
          <w:szCs w:val="24"/>
          <w:highlight w:val="none"/>
        </w:rPr>
        <w:t>或不履行争议评审小组决定的</w:t>
      </w:r>
      <w:r>
        <w:rPr>
          <w:rFonts w:ascii="宋体" w:hAnsi="宋体"/>
          <w:color w:val="000000"/>
          <w:kern w:val="0"/>
          <w:sz w:val="24"/>
          <w:szCs w:val="24"/>
          <w:highlight w:val="none"/>
        </w:rPr>
        <w:t>，双方可选择采用其他争议解决方式。</w:t>
      </w:r>
    </w:p>
    <w:p w14:paraId="37DD22C3">
      <w:pPr>
        <w:pStyle w:val="8"/>
        <w:spacing w:before="120" w:after="120" w:line="360" w:lineRule="auto"/>
        <w:ind w:firstLine="480" w:firstLineChars="200"/>
        <w:rPr>
          <w:rFonts w:ascii="宋体" w:hAnsi="宋体"/>
          <w:b w:val="0"/>
          <w:color w:val="000000"/>
          <w:sz w:val="24"/>
          <w:szCs w:val="24"/>
          <w:highlight w:val="none"/>
        </w:rPr>
      </w:pPr>
      <w:bookmarkStart w:id="446" w:name="_Toc351203630"/>
      <w:bookmarkStart w:id="447" w:name="_Toc296346651"/>
      <w:bookmarkStart w:id="448" w:name="_Toc337558844"/>
      <w:bookmarkStart w:id="449" w:name="_Toc296503150"/>
      <w:r>
        <w:rPr>
          <w:rFonts w:ascii="宋体" w:hAnsi="宋体"/>
          <w:b w:val="0"/>
          <w:color w:val="000000"/>
          <w:sz w:val="24"/>
          <w:szCs w:val="24"/>
          <w:highlight w:val="none"/>
        </w:rPr>
        <w:t>20.4仲裁或诉讼</w:t>
      </w:r>
      <w:bookmarkEnd w:id="446"/>
    </w:p>
    <w:bookmarkEnd w:id="447"/>
    <w:bookmarkEnd w:id="448"/>
    <w:bookmarkEnd w:id="449"/>
    <w:p w14:paraId="398B736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因合同及合同有关事项产生的争议，合同当事人可以在专用合同条款中约定以下一种方式解决争议：</w:t>
      </w:r>
    </w:p>
    <w:p w14:paraId="35D7D53F">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（1）向约定的仲裁委员会申请仲裁；</w:t>
      </w:r>
    </w:p>
    <w:p w14:paraId="341C91A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（2）向有管辖权的人民法院起诉。</w:t>
      </w:r>
    </w:p>
    <w:p w14:paraId="470C7D3F">
      <w:pPr>
        <w:pStyle w:val="8"/>
        <w:spacing w:before="120" w:after="120" w:line="360" w:lineRule="auto"/>
        <w:ind w:firstLine="480" w:firstLineChars="200"/>
        <w:rPr>
          <w:rFonts w:ascii="宋体" w:hAnsi="宋体"/>
          <w:b w:val="0"/>
          <w:color w:val="000000"/>
          <w:sz w:val="24"/>
          <w:szCs w:val="24"/>
          <w:highlight w:val="none"/>
        </w:rPr>
      </w:pPr>
      <w:bookmarkStart w:id="450" w:name="_Toc351203631"/>
      <w:bookmarkStart w:id="451" w:name="_Toc296503152"/>
      <w:bookmarkStart w:id="452" w:name="_Toc296346653"/>
      <w:bookmarkStart w:id="453" w:name="_Toc337558845"/>
      <w:r>
        <w:rPr>
          <w:rFonts w:ascii="宋体" w:hAnsi="宋体"/>
          <w:b w:val="0"/>
          <w:color w:val="000000"/>
          <w:sz w:val="24"/>
          <w:szCs w:val="24"/>
          <w:highlight w:val="none"/>
        </w:rPr>
        <w:t>20.5争议解决条款效力</w:t>
      </w:r>
      <w:bookmarkEnd w:id="450"/>
    </w:p>
    <w:bookmarkEnd w:id="451"/>
    <w:bookmarkEnd w:id="452"/>
    <w:bookmarkEnd w:id="453"/>
    <w:p w14:paraId="452DC1F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 xml:space="preserve">合同有关争议解决的条款独立存在，合同的变更、解除、终止、无效或者被撤销均不影响其效力。 </w:t>
      </w:r>
    </w:p>
    <w:p w14:paraId="0776DFAD">
      <w:pPr>
        <w:pStyle w:val="5"/>
        <w:numPr>
          <w:ilvl w:val="0"/>
          <w:numId w:val="0"/>
        </w:numPr>
        <w:ind w:left="709" w:hanging="709"/>
        <w:jc w:val="center"/>
        <w:rPr>
          <w:rFonts w:ascii="宋体" w:hAnsi="宋体" w:eastAsia="宋体"/>
          <w:sz w:val="24"/>
          <w:szCs w:val="24"/>
          <w:highlight w:val="none"/>
        </w:rPr>
      </w:pPr>
      <w:bookmarkStart w:id="454" w:name="_Toc351203632"/>
      <w:r>
        <w:rPr>
          <w:rFonts w:ascii="宋体" w:hAnsi="宋体" w:eastAsia="宋体"/>
          <w:sz w:val="44"/>
          <w:szCs w:val="44"/>
          <w:highlight w:val="none"/>
        </w:rPr>
        <w:br w:type="page"/>
      </w:r>
      <w:r>
        <w:rPr>
          <w:rFonts w:ascii="宋体" w:hAnsi="宋体" w:eastAsia="宋体"/>
          <w:sz w:val="24"/>
          <w:szCs w:val="24"/>
          <w:highlight w:val="none"/>
        </w:rPr>
        <w:t xml:space="preserve">第三部分 </w:t>
      </w:r>
      <w:r>
        <w:rPr>
          <w:rFonts w:hint="eastAsia" w:ascii="宋体" w:hAnsi="宋体" w:eastAsia="宋体"/>
          <w:sz w:val="24"/>
          <w:szCs w:val="24"/>
          <w:highlight w:val="none"/>
        </w:rPr>
        <w:t>专用合同条款</w:t>
      </w:r>
      <w:bookmarkEnd w:id="454"/>
    </w:p>
    <w:p w14:paraId="766F9323">
      <w:pPr>
        <w:pStyle w:val="7"/>
        <w:spacing w:before="120" w:after="120" w:line="360" w:lineRule="auto"/>
        <w:rPr>
          <w:rFonts w:ascii="宋体" w:hAnsi="宋体"/>
          <w:b w:val="0"/>
          <w:color w:val="000000"/>
          <w:szCs w:val="24"/>
          <w:highlight w:val="none"/>
        </w:rPr>
      </w:pPr>
      <w:bookmarkStart w:id="455" w:name="_Toc351203633"/>
      <w:r>
        <w:rPr>
          <w:rFonts w:ascii="宋体" w:hAnsi="宋体"/>
          <w:b w:val="0"/>
          <w:color w:val="000000"/>
          <w:szCs w:val="24"/>
          <w:highlight w:val="none"/>
        </w:rPr>
        <w:t>1</w:t>
      </w:r>
      <w:bookmarkStart w:id="456" w:name="_Toc296346657"/>
      <w:bookmarkStart w:id="457" w:name="_Toc296347155"/>
      <w:bookmarkStart w:id="458" w:name="_Toc296891196"/>
      <w:bookmarkStart w:id="459" w:name="_Toc297120456"/>
      <w:bookmarkStart w:id="460" w:name="_Toc296944495"/>
      <w:bookmarkStart w:id="461" w:name="_Toc296890984"/>
      <w:bookmarkStart w:id="462" w:name="_Toc297048342"/>
      <w:bookmarkStart w:id="463" w:name="_Toc296503156"/>
      <w:bookmarkStart w:id="464" w:name="_Toc292559361"/>
      <w:bookmarkStart w:id="465" w:name="_Toc292559866"/>
      <w:r>
        <w:rPr>
          <w:rFonts w:ascii="宋体" w:hAnsi="宋体"/>
          <w:b w:val="0"/>
          <w:color w:val="000000"/>
          <w:szCs w:val="24"/>
          <w:highlight w:val="none"/>
        </w:rPr>
        <w:t>. 一般约定</w:t>
      </w:r>
      <w:bookmarkEnd w:id="455"/>
    </w:p>
    <w:bookmarkEnd w:id="456"/>
    <w:bookmarkEnd w:id="457"/>
    <w:bookmarkEnd w:id="458"/>
    <w:bookmarkEnd w:id="459"/>
    <w:bookmarkEnd w:id="460"/>
    <w:bookmarkEnd w:id="461"/>
    <w:bookmarkEnd w:id="462"/>
    <w:bookmarkEnd w:id="463"/>
    <w:bookmarkEnd w:id="464"/>
    <w:bookmarkEnd w:id="465"/>
    <w:p w14:paraId="316C94C3">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1.1 词语定义</w:t>
      </w:r>
    </w:p>
    <w:p w14:paraId="2D93B7CF">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1.1.1合同</w:t>
      </w:r>
    </w:p>
    <w:p w14:paraId="16FF582B">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1.1.1.10其他合同文件包括：</w:t>
      </w:r>
      <w:r>
        <w:rPr>
          <w:rFonts w:hint="eastAsia" w:ascii="宋体" w:hAnsi="宋体"/>
          <w:color w:val="000000"/>
          <w:sz w:val="24"/>
          <w:szCs w:val="24"/>
          <w:highlight w:val="none"/>
          <w:u w:val="single"/>
        </w:rPr>
        <w:t xml:space="preserve">  双方书面确认的对合同内容有实质性影响的会议纪要、签证、设计变更、工程核价单等资料   </w:t>
      </w:r>
      <w:r>
        <w:rPr>
          <w:rFonts w:ascii="宋体" w:hAnsi="宋体"/>
          <w:color w:val="000000"/>
          <w:sz w:val="24"/>
          <w:szCs w:val="24"/>
          <w:highlight w:val="none"/>
        </w:rPr>
        <w:t>。</w:t>
      </w:r>
    </w:p>
    <w:p w14:paraId="5CE6268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1.1.2 合同当事人及其他相关方</w:t>
      </w:r>
    </w:p>
    <w:p w14:paraId="0461497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1.1.2.4监理人：</w:t>
      </w:r>
    </w:p>
    <w:p w14:paraId="234BF8BA">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名    称：</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491CEA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资质类别和等级：</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8B11F9A">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联系电话：</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E162F5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电子信箱：</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5423C32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通信地址：</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7B0263C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1.1.2.5 设计人：</w:t>
      </w:r>
    </w:p>
    <w:p w14:paraId="25BA43A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名    称：</w:t>
      </w:r>
      <w:r>
        <w:rPr>
          <w:rFonts w:hint="eastAsia" w:ascii="宋体" w:hAnsi="宋体"/>
          <w:color w:val="000000"/>
          <w:sz w:val="24"/>
          <w:szCs w:val="24"/>
          <w:highlight w:val="none"/>
          <w:u w:val="single"/>
        </w:rPr>
        <w:t xml:space="preserve">    中天昊建设管理集团股份有限公司     </w:t>
      </w:r>
      <w:r>
        <w:rPr>
          <w:rFonts w:ascii="宋体" w:hAnsi="宋体"/>
          <w:color w:val="000000"/>
          <w:sz w:val="24"/>
          <w:szCs w:val="24"/>
          <w:highlight w:val="none"/>
        </w:rPr>
        <w:t>；</w:t>
      </w:r>
    </w:p>
    <w:p w14:paraId="75C305D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资质类别和等级：</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建筑行业（建筑工程）甲级</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5C4A3B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联系电话：</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0546-8233036</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73CA42D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电子信箱：</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3172AF8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通信地址：</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山东省东营区太行山路117号</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7C5D43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1.1.3 工程和设备</w:t>
      </w:r>
    </w:p>
    <w:p w14:paraId="1B6A547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1.1.3.7 作为施工现场组成部分的其他场所包括：</w:t>
      </w:r>
      <w:r>
        <w:rPr>
          <w:rFonts w:hint="eastAsia" w:ascii="宋体" w:hAnsi="宋体"/>
          <w:color w:val="000000"/>
          <w:sz w:val="24"/>
          <w:szCs w:val="24"/>
          <w:highlight w:val="none"/>
          <w:u w:val="single"/>
        </w:rPr>
        <w:t xml:space="preserve">  构件外加工场地，图纸所示施工区域，搭建的现场临时办公室、临时工棚、材料堆放地等，本项目场地狭小，如不满足施工需要，承包人应自行考虑解决并承担相应费用</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59361119">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1.1.3.9 永久占地包括：</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kern w:val="0"/>
          <w:sz w:val="24"/>
          <w:szCs w:val="24"/>
          <w:highlight w:val="none"/>
        </w:rPr>
        <w:t>。</w:t>
      </w:r>
    </w:p>
    <w:p w14:paraId="0A3ABFB5">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1.1.3.10 临时占地包括：</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如承包人需要临时占地需提前经发包人书面同意    </w:t>
      </w:r>
      <w:r>
        <w:rPr>
          <w:rFonts w:ascii="宋体" w:hAnsi="宋体"/>
          <w:color w:val="000000"/>
          <w:kern w:val="0"/>
          <w:sz w:val="24"/>
          <w:szCs w:val="24"/>
          <w:highlight w:val="none"/>
        </w:rPr>
        <w:t>。</w:t>
      </w:r>
    </w:p>
    <w:p w14:paraId="0AD92B25">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 xml:space="preserve">1.3法律 </w:t>
      </w:r>
    </w:p>
    <w:p w14:paraId="4858DA3F">
      <w:pPr>
        <w:autoSpaceDE w:val="0"/>
        <w:autoSpaceDN w:val="0"/>
        <w:adjustRightInd w:val="0"/>
        <w:spacing w:line="360" w:lineRule="auto"/>
        <w:ind w:left="596" w:leftChars="284"/>
        <w:jc w:val="left"/>
        <w:rPr>
          <w:rFonts w:ascii="宋体" w:hAnsi="宋体"/>
          <w:color w:val="000000"/>
          <w:sz w:val="24"/>
          <w:szCs w:val="24"/>
          <w:highlight w:val="none"/>
        </w:rPr>
      </w:pPr>
      <w:r>
        <w:rPr>
          <w:rFonts w:ascii="宋体" w:hAnsi="宋体"/>
          <w:color w:val="000000"/>
          <w:sz w:val="24"/>
          <w:szCs w:val="24"/>
          <w:highlight w:val="none"/>
        </w:rPr>
        <w:t>适用于合同的其他规范性文件：</w:t>
      </w:r>
      <w:r>
        <w:rPr>
          <w:rFonts w:hint="eastAsia" w:ascii="宋体" w:hAnsi="宋体"/>
          <w:color w:val="000000"/>
          <w:sz w:val="24"/>
          <w:szCs w:val="24"/>
          <w:highlight w:val="none"/>
          <w:u w:val="single"/>
        </w:rPr>
        <w:t xml:space="preserve">  《中华人民共和国建筑法》、《中华人民共和国民法典》、《建设工程质量管理条例》、《建设工程安全生产管理条例》及其他有关法律、法规、规章、司法解释等，以及上海市颁布的地方性法规、单行条例和地方政府规章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13B97862">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1.4 标准和规范</w:t>
      </w:r>
    </w:p>
    <w:p w14:paraId="4D4C04BE">
      <w:pPr>
        <w:spacing w:line="360" w:lineRule="auto"/>
        <w:ind w:left="596" w:leftChars="284"/>
        <w:rPr>
          <w:rFonts w:ascii="宋体" w:hAnsi="宋体"/>
          <w:color w:val="000000"/>
          <w:sz w:val="24"/>
          <w:szCs w:val="24"/>
          <w:highlight w:val="none"/>
        </w:rPr>
      </w:pPr>
      <w:r>
        <w:rPr>
          <w:rFonts w:ascii="宋体" w:hAnsi="宋体"/>
          <w:color w:val="000000"/>
          <w:sz w:val="24"/>
          <w:szCs w:val="24"/>
          <w:highlight w:val="none"/>
        </w:rPr>
        <w:t>1.4.1适用于工程的标准规范包括：</w:t>
      </w:r>
      <w:r>
        <w:rPr>
          <w:rFonts w:hint="eastAsia" w:ascii="宋体" w:hAnsi="宋体"/>
          <w:color w:val="000000"/>
          <w:sz w:val="24"/>
          <w:szCs w:val="24"/>
          <w:highlight w:val="none"/>
          <w:u w:val="single"/>
        </w:rPr>
        <w:t xml:space="preserve">    国家和上海市现行有效相关标准和规范，包括但不限于国家有关法律法规及规范，包括但不限于《建筑装饰工程施工及验收规范》（GB50210-2001）、《建筑工程施工质量验收统一标准》（GB50300-2013），《建筑施工安全检查标准》（JGJ59-2011）等有关规范标准。</w:t>
      </w:r>
      <w:r>
        <w:rPr>
          <w:rFonts w:hint="eastAsia"/>
          <w:color w:val="000000"/>
          <w:sz w:val="24"/>
          <w:szCs w:val="24"/>
          <w:highlight w:val="none"/>
          <w:u w:val="single"/>
        </w:rPr>
        <w:t>凡属强制性标准，必须遵守。各级各类标准、规范和技术要求之间一律就高不就低。标准、规范均由承包人自费配备，如需发包人提供，费用由承包人承担</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2799FEAA">
      <w:pPr>
        <w:spacing w:line="360" w:lineRule="auto"/>
        <w:ind w:left="596" w:leftChars="284"/>
        <w:rPr>
          <w:rFonts w:ascii="宋体" w:hAnsi="宋体"/>
          <w:color w:val="000000"/>
          <w:sz w:val="24"/>
          <w:szCs w:val="24"/>
          <w:highlight w:val="none"/>
        </w:rPr>
      </w:pPr>
      <w:r>
        <w:rPr>
          <w:rFonts w:hint="eastAsia"/>
          <w:color w:val="000000"/>
          <w:sz w:val="24"/>
          <w:szCs w:val="24"/>
          <w:highlight w:val="none"/>
          <w:u w:val="single"/>
        </w:rPr>
        <w:t>国内没有相应标准、规范的，双方可约定执行其他适用的标准、规范。发包人也可向承包人提出施工技术要求，承包人按约定的时间和要求提出施工工艺，经发包人确认后执行。发包人要求使用国外标准、规范的，负责提供中文译本，费用由发包人承担。</w:t>
      </w:r>
    </w:p>
    <w:p w14:paraId="6841CF78">
      <w:pPr>
        <w:spacing w:line="360" w:lineRule="auto"/>
        <w:ind w:firstLine="480" w:firstLineChars="200"/>
        <w:outlineLvl w:val="0"/>
        <w:rPr>
          <w:rFonts w:ascii="宋体" w:hAnsi="宋体"/>
          <w:color w:val="000000"/>
          <w:kern w:val="0"/>
          <w:sz w:val="24"/>
          <w:szCs w:val="24"/>
          <w:highlight w:val="none"/>
          <w:u w:val="single"/>
        </w:rPr>
      </w:pPr>
      <w:r>
        <w:rPr>
          <w:rFonts w:ascii="宋体" w:hAnsi="宋体"/>
          <w:color w:val="000000"/>
          <w:kern w:val="0"/>
          <w:sz w:val="24"/>
          <w:szCs w:val="24"/>
          <w:highlight w:val="none"/>
        </w:rPr>
        <w:t>1.4.2 发包人提供国外标准、规范的名称：</w:t>
      </w:r>
      <w:r>
        <w:rPr>
          <w:rFonts w:ascii="宋体" w:hAnsi="宋体"/>
          <w:color w:val="000000"/>
          <w:kern w:val="0"/>
          <w:sz w:val="24"/>
          <w:szCs w:val="24"/>
          <w:highlight w:val="none"/>
          <w:u w:val="single"/>
        </w:rPr>
        <w:t xml:space="preserve">      /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3FC12D4C">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发包人提供国外标准、规范的份数：</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70F39C5D">
      <w:pPr>
        <w:spacing w:line="360" w:lineRule="auto"/>
        <w:ind w:firstLine="480" w:firstLineChars="200"/>
        <w:rPr>
          <w:rFonts w:ascii="宋体" w:hAnsi="宋体"/>
          <w:color w:val="000000"/>
          <w:sz w:val="24"/>
          <w:szCs w:val="24"/>
          <w:highlight w:val="none"/>
        </w:rPr>
      </w:pPr>
      <w:r>
        <w:rPr>
          <w:rFonts w:ascii="宋体" w:hAnsi="宋体"/>
          <w:color w:val="000000"/>
          <w:kern w:val="0"/>
          <w:sz w:val="24"/>
          <w:szCs w:val="24"/>
          <w:highlight w:val="none"/>
        </w:rPr>
        <w:t>发包人提供国外标准、规范的名称：</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61B0419A">
      <w:pPr>
        <w:spacing w:line="360" w:lineRule="auto"/>
        <w:ind w:left="596" w:leftChars="284"/>
        <w:rPr>
          <w:rFonts w:ascii="宋体" w:hAnsi="宋体"/>
          <w:color w:val="000000"/>
          <w:sz w:val="24"/>
          <w:szCs w:val="24"/>
          <w:highlight w:val="none"/>
        </w:rPr>
      </w:pPr>
      <w:r>
        <w:rPr>
          <w:rFonts w:ascii="宋体" w:hAnsi="宋体"/>
          <w:color w:val="000000"/>
          <w:sz w:val="24"/>
          <w:szCs w:val="24"/>
          <w:highlight w:val="none"/>
        </w:rPr>
        <w:t>1.4.3发包人对工程的技术标准和功能要求的特殊要求：</w:t>
      </w:r>
      <w:r>
        <w:rPr>
          <w:rFonts w:hint="eastAsia" w:ascii="宋体" w:hAnsi="宋体"/>
          <w:color w:val="000000"/>
          <w:sz w:val="24"/>
          <w:szCs w:val="24"/>
          <w:highlight w:val="none"/>
          <w:u w:val="single"/>
        </w:rPr>
        <w:t xml:space="preserve">  </w:t>
      </w:r>
      <w:bookmarkStart w:id="466" w:name="_Hlk198143551"/>
      <w:r>
        <w:rPr>
          <w:rFonts w:hint="eastAsia" w:ascii="宋体" w:hAnsi="宋体"/>
          <w:color w:val="000000"/>
          <w:sz w:val="24"/>
          <w:szCs w:val="24"/>
          <w:highlight w:val="none"/>
          <w:u w:val="single"/>
        </w:rPr>
        <w:t>如有，另行约定</w:t>
      </w:r>
      <w:bookmarkEnd w:id="466"/>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w:t>
      </w:r>
    </w:p>
    <w:p w14:paraId="41D1A3BC">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1.5 合同文件的优先顺序</w:t>
      </w:r>
    </w:p>
    <w:p w14:paraId="228347A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合同文件组成及优先顺序为：</w:t>
      </w:r>
      <w:r>
        <w:rPr>
          <w:rFonts w:hint="eastAsia" w:ascii="宋体" w:hAnsi="宋体"/>
          <w:color w:val="000000"/>
          <w:sz w:val="24"/>
          <w:szCs w:val="24"/>
          <w:highlight w:val="none"/>
          <w:u w:val="single"/>
        </w:rPr>
        <w:t xml:space="preserve"> 见协议书第六条   </w:t>
      </w:r>
      <w:r>
        <w:rPr>
          <w:rFonts w:ascii="宋体" w:hAnsi="宋体"/>
          <w:color w:val="000000"/>
          <w:sz w:val="24"/>
          <w:szCs w:val="24"/>
          <w:highlight w:val="none"/>
        </w:rPr>
        <w:t>。</w:t>
      </w:r>
    </w:p>
    <w:p w14:paraId="215FA749">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1.6 图纸和承包人文件</w:t>
      </w:r>
      <w:r>
        <w:rPr>
          <w:rFonts w:ascii="宋体" w:hAnsi="宋体"/>
          <w:color w:val="000000"/>
          <w:sz w:val="24"/>
          <w:szCs w:val="24"/>
          <w:highlight w:val="none"/>
        </w:rPr>
        <w:tab/>
      </w:r>
    </w:p>
    <w:p w14:paraId="6DA14D0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1.6.1 图纸的提供</w:t>
      </w:r>
    </w:p>
    <w:p w14:paraId="6015A1A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发包人向承包人提供图纸的期限：</w:t>
      </w:r>
      <w:r>
        <w:rPr>
          <w:rFonts w:hint="eastAsia" w:ascii="宋体" w:hAnsi="宋体"/>
          <w:color w:val="000000"/>
          <w:sz w:val="24"/>
          <w:szCs w:val="24"/>
          <w:highlight w:val="none"/>
          <w:u w:val="single"/>
        </w:rPr>
        <w:t xml:space="preserve">  在施工合同签订后工程开工前    </w:t>
      </w:r>
      <w:r>
        <w:rPr>
          <w:rFonts w:ascii="宋体" w:hAnsi="宋体"/>
          <w:color w:val="000000"/>
          <w:sz w:val="24"/>
          <w:szCs w:val="24"/>
          <w:highlight w:val="none"/>
        </w:rPr>
        <w:t>；</w:t>
      </w:r>
    </w:p>
    <w:p w14:paraId="38E814E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发包人向承包人提供图纸的数量：</w:t>
      </w:r>
      <w:r>
        <w:rPr>
          <w:rFonts w:hint="eastAsia" w:ascii="宋体" w:hAnsi="宋体"/>
          <w:color w:val="000000"/>
          <w:sz w:val="24"/>
          <w:szCs w:val="24"/>
          <w:highlight w:val="none"/>
          <w:u w:val="single"/>
        </w:rPr>
        <w:t xml:space="preserve">  书面施工图纸2套（含电子文件，包括竣工图编制所需的两套），不足部分承包人应提请发包人加晒，费用由承包人自理     </w:t>
      </w:r>
      <w:r>
        <w:rPr>
          <w:rFonts w:ascii="宋体" w:hAnsi="宋体"/>
          <w:color w:val="000000"/>
          <w:sz w:val="24"/>
          <w:szCs w:val="24"/>
          <w:highlight w:val="none"/>
        </w:rPr>
        <w:t>；</w:t>
      </w:r>
    </w:p>
    <w:p w14:paraId="3A77D94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发包人向承包人提供图纸的内容：</w:t>
      </w:r>
      <w:r>
        <w:rPr>
          <w:rFonts w:hint="eastAsia" w:ascii="宋体" w:hAnsi="宋体"/>
          <w:color w:val="000000"/>
          <w:sz w:val="24"/>
          <w:szCs w:val="24"/>
          <w:highlight w:val="none"/>
          <w:u w:val="single"/>
        </w:rPr>
        <w:t xml:space="preserve"> 通过审图的全套施工图纸   </w:t>
      </w:r>
      <w:r>
        <w:rPr>
          <w:rFonts w:ascii="宋体" w:hAnsi="宋体"/>
          <w:color w:val="000000"/>
          <w:sz w:val="24"/>
          <w:szCs w:val="24"/>
          <w:highlight w:val="none"/>
        </w:rPr>
        <w:t>。</w:t>
      </w:r>
    </w:p>
    <w:p w14:paraId="312E5827">
      <w:pPr>
        <w:spacing w:line="360" w:lineRule="auto"/>
        <w:ind w:firstLine="480" w:firstLineChars="200"/>
        <w:rPr>
          <w:rFonts w:ascii="宋体" w:hAnsi="宋体"/>
          <w:color w:val="000000"/>
          <w:sz w:val="24"/>
          <w:szCs w:val="24"/>
          <w:highlight w:val="none"/>
        </w:rPr>
      </w:pPr>
      <w:r>
        <w:rPr>
          <w:rFonts w:hint="eastAsia"/>
          <w:color w:val="000000"/>
          <w:sz w:val="24"/>
          <w:szCs w:val="24"/>
          <w:highlight w:val="none"/>
        </w:rPr>
        <w:t>图纸的补充：</w:t>
      </w:r>
      <w:r>
        <w:rPr>
          <w:rFonts w:hint="eastAsia"/>
          <w:color w:val="000000"/>
          <w:sz w:val="24"/>
          <w:szCs w:val="24"/>
          <w:highlight w:val="none"/>
          <w:u w:val="single"/>
        </w:rPr>
        <w:t>发包人代表有权随时向承包人发出为使工程合理施工所需的补充图纸和指示。承包人应执行这些补充文件和指示，并受其约束。</w:t>
      </w:r>
    </w:p>
    <w:p w14:paraId="22D8864A">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1.6.4 承包人文件</w:t>
      </w:r>
    </w:p>
    <w:p w14:paraId="67A48F82">
      <w:pPr>
        <w:spacing w:line="360" w:lineRule="auto"/>
        <w:ind w:left="596" w:leftChars="284"/>
        <w:jc w:val="left"/>
        <w:rPr>
          <w:rFonts w:ascii="宋体" w:hAnsi="宋体"/>
          <w:color w:val="000000"/>
          <w:sz w:val="24"/>
          <w:szCs w:val="24"/>
          <w:highlight w:val="none"/>
        </w:rPr>
      </w:pPr>
      <w:r>
        <w:rPr>
          <w:rFonts w:ascii="宋体" w:hAnsi="宋体"/>
          <w:color w:val="000000"/>
          <w:sz w:val="24"/>
          <w:szCs w:val="24"/>
          <w:highlight w:val="none"/>
        </w:rPr>
        <w:t>需要由承包人提供的文件，包括：</w:t>
      </w:r>
      <w:r>
        <w:rPr>
          <w:rFonts w:hint="eastAsia" w:ascii="宋体" w:hAnsi="宋体"/>
          <w:color w:val="000000"/>
          <w:sz w:val="24"/>
          <w:szCs w:val="24"/>
          <w:highlight w:val="none"/>
          <w:u w:val="single"/>
        </w:rPr>
        <w:t xml:space="preserve">  施工图预算、现场施工组织设计</w:t>
      </w:r>
      <w:r>
        <w:rPr>
          <w:rFonts w:hint="eastAsia" w:ascii="宋体" w:hAnsi="宋体"/>
          <w:color w:val="000000"/>
          <w:sz w:val="24"/>
          <w:szCs w:val="24"/>
          <w:highlight w:val="none"/>
          <w:u w:val="single"/>
          <w:lang w:eastAsia="zh-CN"/>
        </w:rPr>
        <w:t>、</w:t>
      </w:r>
      <w:r>
        <w:rPr>
          <w:rFonts w:hint="eastAsia" w:ascii="宋体" w:hAnsi="宋体"/>
          <w:color w:val="000000"/>
          <w:sz w:val="24"/>
          <w:szCs w:val="24"/>
          <w:highlight w:val="none"/>
          <w:u w:val="single"/>
          <w:lang w:val="en-US" w:eastAsia="zh-CN"/>
        </w:rPr>
        <w:t>工程进度计划</w:t>
      </w:r>
      <w:r>
        <w:rPr>
          <w:rFonts w:hint="eastAsia" w:ascii="宋体" w:hAnsi="宋体"/>
          <w:color w:val="000000"/>
          <w:sz w:val="24"/>
          <w:szCs w:val="24"/>
          <w:highlight w:val="none"/>
          <w:u w:val="single"/>
        </w:rPr>
        <w:t xml:space="preserve">、各分部分项工程施工方案、竣工验收报告、竣工资料、审价资料等    </w:t>
      </w:r>
      <w:r>
        <w:rPr>
          <w:rFonts w:ascii="宋体" w:hAnsi="宋体"/>
          <w:color w:val="000000"/>
          <w:sz w:val="24"/>
          <w:szCs w:val="24"/>
          <w:highlight w:val="none"/>
        </w:rPr>
        <w:t>；</w:t>
      </w:r>
    </w:p>
    <w:p w14:paraId="2F226B2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承包人提供的文件的期限为：</w:t>
      </w:r>
      <w:r>
        <w:rPr>
          <w:rFonts w:hint="eastAsia" w:ascii="宋体" w:hAnsi="宋体"/>
          <w:color w:val="000000"/>
          <w:sz w:val="24"/>
          <w:szCs w:val="24"/>
          <w:highlight w:val="none"/>
          <w:u w:val="single"/>
        </w:rPr>
        <w:t xml:space="preserve">  施工图预算在发包人提供施工图纸后5日内提供、工程进度计划和现场施工组织设计在承包人收到施工图纸后7日内提供、各分部分项工程施工方案在各分部分项项目开始前7日内提供      </w:t>
      </w:r>
      <w:r>
        <w:rPr>
          <w:rFonts w:ascii="宋体" w:hAnsi="宋体"/>
          <w:color w:val="000000"/>
          <w:sz w:val="24"/>
          <w:szCs w:val="24"/>
          <w:highlight w:val="none"/>
        </w:rPr>
        <w:t>；</w:t>
      </w:r>
    </w:p>
    <w:p w14:paraId="5674C95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承包人提供的文件的数量为：</w:t>
      </w:r>
      <w:r>
        <w:rPr>
          <w:rFonts w:hint="eastAsia" w:ascii="宋体" w:hAnsi="宋体"/>
          <w:color w:val="000000"/>
          <w:sz w:val="24"/>
          <w:szCs w:val="24"/>
          <w:highlight w:val="none"/>
          <w:u w:val="single"/>
        </w:rPr>
        <w:t xml:space="preserve">  施工图预算（另交电子文档一份）、工程进度计划和现场施工组织设计（另交可编辑的电子文档一份）和各分部分项工程施工方案一式四份（另交可编辑的电子文档一份）    </w:t>
      </w:r>
      <w:r>
        <w:rPr>
          <w:rFonts w:ascii="宋体" w:hAnsi="宋体"/>
          <w:color w:val="000000"/>
          <w:sz w:val="24"/>
          <w:szCs w:val="24"/>
          <w:highlight w:val="none"/>
        </w:rPr>
        <w:t>；</w:t>
      </w:r>
    </w:p>
    <w:p w14:paraId="595C440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承包人提供的文件的形式为：</w:t>
      </w:r>
      <w:r>
        <w:rPr>
          <w:rFonts w:hint="eastAsia" w:ascii="宋体" w:hAnsi="宋体"/>
          <w:color w:val="000000"/>
          <w:sz w:val="24"/>
          <w:szCs w:val="24"/>
          <w:highlight w:val="none"/>
          <w:u w:val="single"/>
        </w:rPr>
        <w:t xml:space="preserve">  经签字盖章审批的纸质书面文档及可编辑的电子文档    </w:t>
      </w:r>
      <w:r>
        <w:rPr>
          <w:rFonts w:ascii="宋体" w:hAnsi="宋体"/>
          <w:color w:val="000000"/>
          <w:sz w:val="24"/>
          <w:szCs w:val="24"/>
          <w:highlight w:val="none"/>
        </w:rPr>
        <w:t>；</w:t>
      </w:r>
    </w:p>
    <w:p w14:paraId="43AB8AD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w:t>
      </w:r>
      <w:r>
        <w:rPr>
          <w:rFonts w:hint="eastAsia" w:ascii="宋体" w:hAnsi="宋体"/>
          <w:color w:val="000000"/>
          <w:sz w:val="24"/>
          <w:szCs w:val="24"/>
          <w:highlight w:val="none"/>
        </w:rPr>
        <w:t>审批</w:t>
      </w:r>
      <w:r>
        <w:rPr>
          <w:rFonts w:ascii="宋体" w:hAnsi="宋体"/>
          <w:color w:val="000000"/>
          <w:sz w:val="24"/>
          <w:szCs w:val="24"/>
          <w:highlight w:val="none"/>
        </w:rPr>
        <w:t>承包人文件的期限：</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26F9B44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1.6.5 现场图纸准备</w:t>
      </w:r>
    </w:p>
    <w:p w14:paraId="548578F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关于现场图纸准备的约定：</w:t>
      </w:r>
      <w:r>
        <w:rPr>
          <w:rFonts w:hint="eastAsia" w:ascii="宋体" w:hAnsi="宋体"/>
          <w:color w:val="000000"/>
          <w:sz w:val="24"/>
          <w:szCs w:val="24"/>
          <w:highlight w:val="none"/>
          <w:u w:val="single"/>
        </w:rPr>
        <w:t xml:space="preserve">  承包人应在施工现场保留一套完整图纸，随时供质量监督部门及有关人员进行工程检查时使用。      </w:t>
      </w:r>
      <w:r>
        <w:rPr>
          <w:rFonts w:ascii="宋体" w:hAnsi="宋体"/>
          <w:color w:val="000000"/>
          <w:sz w:val="24"/>
          <w:szCs w:val="24"/>
          <w:highlight w:val="none"/>
        </w:rPr>
        <w:t>。</w:t>
      </w:r>
    </w:p>
    <w:p w14:paraId="1F7E2A32">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1.7 联络</w:t>
      </w:r>
    </w:p>
    <w:p w14:paraId="462575D0">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1.7.1发包人和承包人应当在</w:t>
      </w:r>
      <w:r>
        <w:rPr>
          <w:rFonts w:hint="eastAsia" w:ascii="宋体" w:hAnsi="宋体"/>
          <w:color w:val="000000"/>
          <w:sz w:val="24"/>
          <w:szCs w:val="24"/>
          <w:highlight w:val="none"/>
          <w:u w:val="single"/>
        </w:rPr>
        <w:t xml:space="preserve">  联络信息确认后7日   </w:t>
      </w:r>
      <w:r>
        <w:rPr>
          <w:rFonts w:ascii="宋体" w:hAnsi="宋体"/>
          <w:color w:val="000000"/>
          <w:kern w:val="0"/>
          <w:sz w:val="24"/>
          <w:szCs w:val="24"/>
          <w:highlight w:val="none"/>
        </w:rPr>
        <w:t>内将与合同有关的通知、批准、证明、证书、指示、指令、要求、请求、同意、意见、确定和决定等书面函件送达对方当事人</w:t>
      </w:r>
      <w:r>
        <w:rPr>
          <w:rFonts w:hint="eastAsia" w:ascii="宋体" w:hAnsi="宋体"/>
          <w:color w:val="000000"/>
          <w:kern w:val="0"/>
          <w:sz w:val="24"/>
          <w:szCs w:val="24"/>
          <w:highlight w:val="none"/>
        </w:rPr>
        <w:t>。</w:t>
      </w:r>
    </w:p>
    <w:p w14:paraId="26258880">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1.7.2 发包人接收文件的地点：</w:t>
      </w:r>
      <w:r>
        <w:rPr>
          <w:rFonts w:hint="eastAsia" w:ascii="宋体" w:hAnsi="宋体"/>
          <w:color w:val="000000"/>
          <w:sz w:val="24"/>
          <w:szCs w:val="24"/>
          <w:highlight w:val="none"/>
          <w:u w:val="single"/>
        </w:rPr>
        <w:t xml:space="preserve">  施工现场发包人代表办公室   </w:t>
      </w:r>
      <w:r>
        <w:rPr>
          <w:rFonts w:ascii="宋体" w:hAnsi="宋体"/>
          <w:color w:val="000000"/>
          <w:kern w:val="0"/>
          <w:sz w:val="24"/>
          <w:szCs w:val="24"/>
          <w:highlight w:val="none"/>
        </w:rPr>
        <w:t>；</w:t>
      </w:r>
    </w:p>
    <w:p w14:paraId="08F26B79">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发包人指定的接收人为：</w:t>
      </w:r>
      <w:r>
        <w:rPr>
          <w:rFonts w:hint="eastAsia" w:ascii="宋体" w:hAnsi="宋体"/>
          <w:color w:val="000000"/>
          <w:sz w:val="24"/>
          <w:szCs w:val="24"/>
          <w:highlight w:val="none"/>
          <w:u w:val="single"/>
        </w:rPr>
        <w:t xml:space="preserve">  发包人现场项目经理或现场代表     </w:t>
      </w:r>
      <w:r>
        <w:rPr>
          <w:rFonts w:ascii="宋体" w:hAnsi="宋体"/>
          <w:color w:val="000000"/>
          <w:kern w:val="0"/>
          <w:sz w:val="24"/>
          <w:szCs w:val="24"/>
          <w:highlight w:val="none"/>
        </w:rPr>
        <w:t>。</w:t>
      </w:r>
    </w:p>
    <w:p w14:paraId="5711B3AF">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承包人接收文件的地点：</w:t>
      </w:r>
      <w:r>
        <w:rPr>
          <w:rFonts w:hint="eastAsia" w:ascii="宋体" w:hAnsi="宋体"/>
          <w:color w:val="000000"/>
          <w:sz w:val="24"/>
          <w:szCs w:val="24"/>
          <w:highlight w:val="none"/>
          <w:u w:val="single"/>
        </w:rPr>
        <w:t xml:space="preserve">   现场项目部       </w:t>
      </w:r>
      <w:r>
        <w:rPr>
          <w:rFonts w:ascii="宋体" w:hAnsi="宋体"/>
          <w:color w:val="000000"/>
          <w:kern w:val="0"/>
          <w:sz w:val="24"/>
          <w:szCs w:val="24"/>
          <w:highlight w:val="none"/>
        </w:rPr>
        <w:t>；</w:t>
      </w:r>
    </w:p>
    <w:p w14:paraId="5D27194A">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承包人指定的接收人为：</w:t>
      </w:r>
      <w:r>
        <w:rPr>
          <w:rFonts w:hint="eastAsia" w:ascii="宋体" w:hAnsi="宋体"/>
          <w:color w:val="000000"/>
          <w:sz w:val="24"/>
          <w:szCs w:val="24"/>
          <w:highlight w:val="none"/>
          <w:u w:val="single"/>
        </w:rPr>
        <w:t xml:space="preserve">   项目负责人（注册建造师）   </w:t>
      </w:r>
      <w:r>
        <w:rPr>
          <w:rFonts w:ascii="宋体" w:hAnsi="宋体"/>
          <w:color w:val="000000"/>
          <w:kern w:val="0"/>
          <w:sz w:val="24"/>
          <w:szCs w:val="24"/>
          <w:highlight w:val="none"/>
        </w:rPr>
        <w:t>。</w:t>
      </w:r>
    </w:p>
    <w:p w14:paraId="4002081F">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监理人接收文件的地点：</w:t>
      </w:r>
      <w:r>
        <w:rPr>
          <w:rFonts w:hint="eastAsia" w:ascii="宋体" w:hAnsi="宋体"/>
          <w:color w:val="000000"/>
          <w:sz w:val="24"/>
          <w:szCs w:val="24"/>
          <w:highlight w:val="none"/>
          <w:u w:val="single"/>
        </w:rPr>
        <w:t xml:space="preserve">   监理人现场办公室   </w:t>
      </w:r>
      <w:r>
        <w:rPr>
          <w:rFonts w:ascii="宋体" w:hAnsi="宋体"/>
          <w:color w:val="000000"/>
          <w:kern w:val="0"/>
          <w:sz w:val="24"/>
          <w:szCs w:val="24"/>
          <w:highlight w:val="none"/>
        </w:rPr>
        <w:t>；</w:t>
      </w:r>
    </w:p>
    <w:p w14:paraId="28FE57BE">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监理人指定的接收人为：</w:t>
      </w:r>
      <w:r>
        <w:rPr>
          <w:rFonts w:hint="eastAsia" w:ascii="宋体" w:hAnsi="宋体"/>
          <w:color w:val="000000"/>
          <w:sz w:val="24"/>
          <w:szCs w:val="24"/>
          <w:highlight w:val="none"/>
          <w:u w:val="single"/>
        </w:rPr>
        <w:t xml:space="preserve">   总监     </w:t>
      </w:r>
      <w:r>
        <w:rPr>
          <w:rFonts w:ascii="宋体" w:hAnsi="宋体"/>
          <w:color w:val="000000"/>
          <w:kern w:val="0"/>
          <w:sz w:val="24"/>
          <w:szCs w:val="24"/>
          <w:highlight w:val="none"/>
        </w:rPr>
        <w:t>。</w:t>
      </w:r>
    </w:p>
    <w:p w14:paraId="4078DCA1">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1.10 交通运输</w:t>
      </w:r>
    </w:p>
    <w:p w14:paraId="77B4E6B3">
      <w:pPr>
        <w:spacing w:line="360" w:lineRule="auto"/>
        <w:ind w:firstLine="480" w:firstLineChars="200"/>
        <w:outlineLvl w:val="0"/>
        <w:rPr>
          <w:rFonts w:ascii="宋体" w:hAnsi="宋体"/>
          <w:sz w:val="24"/>
          <w:szCs w:val="24"/>
          <w:highlight w:val="none"/>
        </w:rPr>
      </w:pPr>
      <w:r>
        <w:rPr>
          <w:rFonts w:ascii="宋体" w:hAnsi="宋体"/>
          <w:sz w:val="24"/>
          <w:szCs w:val="24"/>
          <w:highlight w:val="none"/>
        </w:rPr>
        <w:t>1</w:t>
      </w:r>
      <w:bookmarkStart w:id="467" w:name="_Toc318581155"/>
      <w:bookmarkStart w:id="468" w:name="_Toc304295521"/>
      <w:bookmarkStart w:id="469" w:name="_Toc312677986"/>
      <w:bookmarkStart w:id="470" w:name="_Toc303539100"/>
      <w:bookmarkStart w:id="471" w:name="_Toc300934943"/>
      <w:r>
        <w:rPr>
          <w:rFonts w:ascii="宋体" w:hAnsi="宋体"/>
          <w:sz w:val="24"/>
          <w:szCs w:val="24"/>
          <w:highlight w:val="none"/>
        </w:rPr>
        <w:t>.10.1 出入现场的权利</w:t>
      </w:r>
    </w:p>
    <w:p w14:paraId="7203558A">
      <w:pPr>
        <w:spacing w:line="360" w:lineRule="auto"/>
        <w:ind w:left="596" w:leftChars="284"/>
        <w:rPr>
          <w:rFonts w:ascii="宋体" w:hAnsi="宋体"/>
          <w:sz w:val="24"/>
          <w:szCs w:val="24"/>
          <w:highlight w:val="none"/>
        </w:rPr>
      </w:pPr>
      <w:r>
        <w:rPr>
          <w:rFonts w:ascii="宋体" w:hAnsi="宋体"/>
          <w:sz w:val="24"/>
          <w:szCs w:val="24"/>
          <w:highlight w:val="none"/>
        </w:rPr>
        <w:t>关于出入现场的权利的约定：</w:t>
      </w:r>
      <w:r>
        <w:rPr>
          <w:rFonts w:hint="eastAsia" w:ascii="宋体" w:hAnsi="宋体"/>
          <w:color w:val="000000"/>
          <w:sz w:val="24"/>
          <w:szCs w:val="24"/>
          <w:highlight w:val="none"/>
          <w:u w:val="single"/>
        </w:rPr>
        <w:t xml:space="preserve">  承包人应在订立合同前（包含报价时现场踏勘阶段）查勘施工现场，并根据工程规模及技术参数合理预见工程施工所需的进出施工现场的方式、手段、路径等。承包人应根据施工需要，负责取得出入施工现场所需的批准手续和全部权利，以及取得因施工所需其他基础设施的权利，并承担相关手续费用和建设费用。因承包人未合理预见所增加的费用和（或）延误的工期由承包人承担   </w:t>
      </w:r>
      <w:r>
        <w:rPr>
          <w:rFonts w:ascii="宋体" w:hAnsi="宋体"/>
          <w:sz w:val="24"/>
          <w:szCs w:val="24"/>
          <w:highlight w:val="none"/>
        </w:rPr>
        <w:t>。</w:t>
      </w:r>
    </w:p>
    <w:bookmarkEnd w:id="467"/>
    <w:bookmarkEnd w:id="468"/>
    <w:bookmarkEnd w:id="469"/>
    <w:bookmarkEnd w:id="470"/>
    <w:bookmarkEnd w:id="471"/>
    <w:p w14:paraId="04F57A5C">
      <w:pPr>
        <w:spacing w:line="360" w:lineRule="auto"/>
        <w:ind w:firstLine="480" w:firstLineChars="200"/>
        <w:jc w:val="left"/>
        <w:outlineLvl w:val="0"/>
        <w:rPr>
          <w:rFonts w:ascii="宋体" w:hAnsi="宋体"/>
          <w:sz w:val="24"/>
          <w:szCs w:val="24"/>
          <w:highlight w:val="none"/>
        </w:rPr>
      </w:pPr>
      <w:r>
        <w:rPr>
          <w:rFonts w:ascii="宋体" w:hAnsi="宋体"/>
          <w:sz w:val="24"/>
          <w:szCs w:val="24"/>
          <w:highlight w:val="none"/>
        </w:rPr>
        <w:t>1</w:t>
      </w:r>
      <w:bookmarkStart w:id="472" w:name="_Toc304295522"/>
      <w:bookmarkStart w:id="473" w:name="_Toc318581156"/>
      <w:bookmarkStart w:id="474" w:name="_Toc312677987"/>
      <w:bookmarkStart w:id="475" w:name="_Toc300934944"/>
      <w:bookmarkStart w:id="476" w:name="_Toc303539101"/>
      <w:r>
        <w:rPr>
          <w:rFonts w:ascii="宋体" w:hAnsi="宋体"/>
          <w:sz w:val="24"/>
          <w:szCs w:val="24"/>
          <w:highlight w:val="none"/>
        </w:rPr>
        <w:t>.10.3 场内交通</w:t>
      </w:r>
    </w:p>
    <w:p w14:paraId="5863CC3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关于场外交通和场内交通的边界的约定：</w:t>
      </w:r>
      <w:r>
        <w:rPr>
          <w:rFonts w:hint="eastAsia" w:ascii="宋体" w:hAnsi="宋体"/>
          <w:color w:val="000000"/>
          <w:sz w:val="24"/>
          <w:szCs w:val="24"/>
          <w:highlight w:val="none"/>
          <w:u w:val="single"/>
        </w:rPr>
        <w:t xml:space="preserve">   以施工现场为界，发包人不提供场外交通条件，承包人应遵守有关交通法规，严格按照道路的限制荷载行驶，执行有关道路限速、限行、禁止超载的规定，并配合交通管理部门的监督和检查。若场外交通设施无法满足工程施工需要的，由承包人负责完善，相关费用在响应报价中考虑        </w:t>
      </w:r>
      <w:r>
        <w:rPr>
          <w:rFonts w:ascii="宋体" w:hAnsi="宋体"/>
          <w:sz w:val="24"/>
          <w:szCs w:val="24"/>
          <w:highlight w:val="none"/>
        </w:rPr>
        <w:t>。</w:t>
      </w:r>
    </w:p>
    <w:p w14:paraId="079DA3E3">
      <w:pPr>
        <w:spacing w:line="360" w:lineRule="auto"/>
        <w:ind w:firstLine="480" w:firstLineChars="200"/>
        <w:jc w:val="left"/>
        <w:rPr>
          <w:rFonts w:ascii="宋体" w:hAnsi="宋体"/>
          <w:sz w:val="24"/>
          <w:szCs w:val="24"/>
          <w:highlight w:val="none"/>
        </w:rPr>
      </w:pPr>
      <w:r>
        <w:rPr>
          <w:rFonts w:ascii="宋体" w:hAnsi="宋体"/>
          <w:sz w:val="24"/>
          <w:szCs w:val="24"/>
          <w:highlight w:val="none"/>
        </w:rPr>
        <w:t>关于发包人向承包人免费提供满足工程施工需要的场内道路和交通设施的约定：</w:t>
      </w:r>
      <w:r>
        <w:rPr>
          <w:rFonts w:hint="eastAsia" w:ascii="宋体" w:hAnsi="宋体"/>
          <w:color w:val="000000"/>
          <w:sz w:val="24"/>
          <w:szCs w:val="24"/>
          <w:highlight w:val="none"/>
          <w:u w:val="single"/>
        </w:rPr>
        <w:t xml:space="preserve">发包人不提供任何交通设施，由承包人负责   </w:t>
      </w:r>
      <w:r>
        <w:rPr>
          <w:rFonts w:ascii="宋体" w:hAnsi="宋体"/>
          <w:sz w:val="24"/>
          <w:szCs w:val="24"/>
          <w:highlight w:val="none"/>
        </w:rPr>
        <w:t>。</w:t>
      </w:r>
      <w:bookmarkEnd w:id="472"/>
      <w:bookmarkEnd w:id="473"/>
      <w:bookmarkEnd w:id="474"/>
      <w:bookmarkEnd w:id="475"/>
      <w:bookmarkEnd w:id="476"/>
      <w:r>
        <w:rPr>
          <w:rFonts w:ascii="宋体" w:hAnsi="宋体"/>
          <w:sz w:val="24"/>
          <w:szCs w:val="24"/>
          <w:highlight w:val="none"/>
        </w:rPr>
        <w:t xml:space="preserve">  </w:t>
      </w:r>
      <w:bookmarkStart w:id="477" w:name="_Toc318581157"/>
    </w:p>
    <w:p w14:paraId="45A4E965">
      <w:pPr>
        <w:spacing w:line="360" w:lineRule="auto"/>
        <w:ind w:firstLine="480" w:firstLineChars="200"/>
        <w:jc w:val="left"/>
        <w:rPr>
          <w:rFonts w:ascii="宋体" w:hAnsi="宋体"/>
          <w:sz w:val="24"/>
          <w:szCs w:val="24"/>
          <w:highlight w:val="none"/>
        </w:rPr>
      </w:pPr>
      <w:r>
        <w:rPr>
          <w:rFonts w:ascii="宋体" w:hAnsi="宋体"/>
          <w:sz w:val="24"/>
          <w:szCs w:val="24"/>
          <w:highlight w:val="none"/>
        </w:rPr>
        <w:t>1.10.4超大件和超重件的运输</w:t>
      </w:r>
    </w:p>
    <w:p w14:paraId="629AAECA">
      <w:pPr>
        <w:spacing w:line="360" w:lineRule="auto"/>
        <w:ind w:firstLine="480" w:firstLineChars="200"/>
        <w:jc w:val="left"/>
        <w:rPr>
          <w:rFonts w:ascii="宋体" w:hAnsi="宋体"/>
          <w:sz w:val="24"/>
          <w:szCs w:val="24"/>
          <w:highlight w:val="none"/>
        </w:rPr>
      </w:pPr>
      <w:r>
        <w:rPr>
          <w:rFonts w:ascii="宋体" w:hAnsi="宋体"/>
          <w:sz w:val="24"/>
          <w:szCs w:val="24"/>
          <w:highlight w:val="none"/>
        </w:rPr>
        <w:t>运输超大件或超重件所需的道路和桥梁临时加固改造费用和其他有关费用由</w:t>
      </w:r>
      <w:r>
        <w:rPr>
          <w:rFonts w:ascii="宋体" w:hAnsi="宋体"/>
          <w:sz w:val="24"/>
          <w:szCs w:val="24"/>
          <w:highlight w:val="none"/>
          <w:u w:val="single"/>
        </w:rPr>
        <w:t xml:space="preserve"> </w:t>
      </w:r>
      <w:r>
        <w:rPr>
          <w:rFonts w:hint="eastAsia" w:ascii="宋体" w:hAnsi="宋体"/>
          <w:color w:val="000000"/>
          <w:sz w:val="24"/>
          <w:szCs w:val="24"/>
          <w:highlight w:val="none"/>
          <w:u w:val="single"/>
        </w:rPr>
        <w:t xml:space="preserve">承包人  </w:t>
      </w:r>
      <w:r>
        <w:rPr>
          <w:rFonts w:ascii="宋体" w:hAnsi="宋体"/>
          <w:sz w:val="24"/>
          <w:szCs w:val="24"/>
          <w:highlight w:val="none"/>
          <w:u w:val="single"/>
        </w:rPr>
        <w:t xml:space="preserve"> </w:t>
      </w:r>
      <w:r>
        <w:rPr>
          <w:rFonts w:ascii="宋体" w:hAnsi="宋体"/>
          <w:sz w:val="24"/>
          <w:szCs w:val="24"/>
          <w:highlight w:val="none"/>
        </w:rPr>
        <w:t>承担。</w:t>
      </w:r>
    </w:p>
    <w:bookmarkEnd w:id="477"/>
    <w:p w14:paraId="63307930">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1.11 知识产权</w:t>
      </w:r>
    </w:p>
    <w:p w14:paraId="55A5FF4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1.11.1关于发包人提供给承包人的图纸、发包人为实施工程自行编制或委托编制的技术规范以及反映</w:t>
      </w:r>
      <w:bookmarkStart w:id="478" w:name="_Hlk100739071"/>
      <w:r>
        <w:rPr>
          <w:rFonts w:ascii="宋体" w:hAnsi="宋体"/>
          <w:color w:val="000000"/>
          <w:sz w:val="24"/>
          <w:szCs w:val="24"/>
          <w:highlight w:val="none"/>
        </w:rPr>
        <w:t>发包人</w:t>
      </w:r>
      <w:bookmarkEnd w:id="478"/>
      <w:r>
        <w:rPr>
          <w:rFonts w:ascii="宋体" w:hAnsi="宋体"/>
          <w:color w:val="000000"/>
          <w:sz w:val="24"/>
          <w:szCs w:val="24"/>
          <w:highlight w:val="none"/>
        </w:rPr>
        <w:t>关于合同要求或其他类似性质的文件的著作权的归属：</w:t>
      </w:r>
      <w:r>
        <w:rPr>
          <w:rFonts w:hint="eastAsia" w:ascii="宋体" w:hAnsi="宋体"/>
          <w:color w:val="000000"/>
          <w:sz w:val="24"/>
          <w:szCs w:val="24"/>
          <w:highlight w:val="none"/>
          <w:u w:val="single"/>
        </w:rPr>
        <w:t xml:space="preserve">     发包人</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C401725">
      <w:pPr>
        <w:spacing w:line="360" w:lineRule="auto"/>
        <w:ind w:left="596" w:leftChars="284"/>
        <w:rPr>
          <w:rFonts w:ascii="宋体" w:hAnsi="宋体"/>
          <w:color w:val="000000"/>
          <w:sz w:val="24"/>
          <w:szCs w:val="24"/>
          <w:highlight w:val="none"/>
        </w:rPr>
      </w:pPr>
      <w:r>
        <w:rPr>
          <w:rFonts w:ascii="宋体" w:hAnsi="宋体"/>
          <w:color w:val="000000"/>
          <w:sz w:val="24"/>
          <w:szCs w:val="24"/>
          <w:highlight w:val="none"/>
        </w:rPr>
        <w:t>关于发包人提供的上述文件的使用限制的要求：</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按通用条款执行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1C4CF0B">
      <w:pPr>
        <w:spacing w:line="360" w:lineRule="auto"/>
        <w:ind w:left="596" w:leftChars="284"/>
        <w:outlineLvl w:val="0"/>
        <w:rPr>
          <w:rFonts w:ascii="宋体" w:hAnsi="宋体"/>
          <w:color w:val="000000"/>
          <w:sz w:val="24"/>
          <w:szCs w:val="24"/>
          <w:highlight w:val="none"/>
        </w:rPr>
      </w:pPr>
      <w:r>
        <w:rPr>
          <w:rFonts w:ascii="宋体" w:hAnsi="宋体"/>
          <w:color w:val="000000"/>
          <w:sz w:val="24"/>
          <w:szCs w:val="24"/>
          <w:highlight w:val="none"/>
        </w:rPr>
        <w:t>1.11.2 关于承包人为实施工程所编制文件的著作权的归属：</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发包人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647A25B">
      <w:pPr>
        <w:spacing w:line="360" w:lineRule="auto"/>
        <w:rPr>
          <w:rFonts w:ascii="宋体" w:hAnsi="宋体"/>
          <w:color w:val="000000"/>
          <w:sz w:val="24"/>
          <w:szCs w:val="24"/>
          <w:highlight w:val="none"/>
        </w:rPr>
      </w:pPr>
      <w:r>
        <w:rPr>
          <w:rFonts w:ascii="宋体" w:hAnsi="宋体"/>
          <w:color w:val="000000"/>
          <w:sz w:val="24"/>
          <w:szCs w:val="24"/>
          <w:highlight w:val="none"/>
        </w:rPr>
        <w:t>关于承包人提供的上述文件的使用限制的要求：</w:t>
      </w:r>
      <w:r>
        <w:rPr>
          <w:rFonts w:hint="eastAsia" w:ascii="宋体" w:hAnsi="宋体"/>
          <w:color w:val="000000"/>
          <w:sz w:val="24"/>
          <w:szCs w:val="24"/>
          <w:highlight w:val="none"/>
          <w:u w:val="single"/>
        </w:rPr>
        <w:t xml:space="preserve">   无</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52C29DD">
      <w:pPr>
        <w:spacing w:line="360" w:lineRule="auto"/>
        <w:ind w:firstLine="480" w:firstLineChars="200"/>
        <w:outlineLvl w:val="0"/>
        <w:rPr>
          <w:rFonts w:ascii="宋体" w:hAnsi="宋体"/>
          <w:color w:val="000000"/>
          <w:kern w:val="0"/>
          <w:sz w:val="24"/>
          <w:szCs w:val="24"/>
          <w:highlight w:val="none"/>
        </w:rPr>
      </w:pPr>
      <w:r>
        <w:rPr>
          <w:rFonts w:ascii="宋体" w:hAnsi="宋体"/>
          <w:color w:val="000000"/>
          <w:sz w:val="24"/>
          <w:szCs w:val="24"/>
          <w:highlight w:val="none"/>
        </w:rPr>
        <w:t>1.11.4 承包人在施工过程中所采用的专利、专有技术、技术秘密的使用费的承担方式：</w:t>
      </w:r>
      <w:r>
        <w:rPr>
          <w:rFonts w:hint="eastAsia" w:ascii="宋体" w:hAnsi="宋体"/>
          <w:color w:val="000000"/>
          <w:sz w:val="24"/>
          <w:szCs w:val="24"/>
          <w:highlight w:val="none"/>
          <w:u w:val="single"/>
        </w:rPr>
        <w:t xml:space="preserve">    承包人</w:t>
      </w:r>
      <w:r>
        <w:rPr>
          <w:rFonts w:ascii="宋体" w:hAnsi="宋体"/>
          <w:color w:val="000000"/>
          <w:sz w:val="24"/>
          <w:szCs w:val="24"/>
          <w:highlight w:val="none"/>
          <w:u w:val="single"/>
        </w:rPr>
        <w:t xml:space="preserve">     </w:t>
      </w:r>
      <w:r>
        <w:rPr>
          <w:rFonts w:ascii="宋体" w:hAnsi="宋体"/>
          <w:color w:val="000000"/>
          <w:kern w:val="0"/>
          <w:sz w:val="24"/>
          <w:szCs w:val="24"/>
          <w:highlight w:val="none"/>
        </w:rPr>
        <w:t>。</w:t>
      </w:r>
    </w:p>
    <w:p w14:paraId="1A4EF4F4">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1.13工程量清单错误的修正</w:t>
      </w:r>
    </w:p>
    <w:p w14:paraId="6217FD2B">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出现工程量清单错误时，是否调整合同价格：</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否</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kern w:val="0"/>
          <w:sz w:val="24"/>
          <w:szCs w:val="24"/>
          <w:highlight w:val="none"/>
        </w:rPr>
        <w:t>。</w:t>
      </w:r>
    </w:p>
    <w:p w14:paraId="4D58543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允许调整合同价格的工程量偏差范围：</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如有，另行约定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kern w:val="0"/>
          <w:sz w:val="24"/>
          <w:szCs w:val="24"/>
          <w:highlight w:val="none"/>
        </w:rPr>
        <w:t>。</w:t>
      </w:r>
    </w:p>
    <w:p w14:paraId="50A42DB4">
      <w:pPr>
        <w:pStyle w:val="7"/>
        <w:spacing w:before="120" w:after="120" w:line="360" w:lineRule="auto"/>
        <w:rPr>
          <w:rFonts w:ascii="宋体" w:hAnsi="宋体"/>
          <w:b w:val="0"/>
          <w:color w:val="000000"/>
          <w:szCs w:val="24"/>
          <w:highlight w:val="none"/>
        </w:rPr>
      </w:pPr>
      <w:bookmarkStart w:id="479" w:name="_Toc351203634"/>
      <w:r>
        <w:rPr>
          <w:rFonts w:ascii="宋体" w:hAnsi="宋体"/>
          <w:b w:val="0"/>
          <w:color w:val="000000"/>
          <w:szCs w:val="24"/>
          <w:highlight w:val="none"/>
        </w:rPr>
        <w:t>2</w:t>
      </w:r>
      <w:bookmarkStart w:id="480" w:name="_Toc296346658"/>
      <w:bookmarkStart w:id="481" w:name="_Toc296944496"/>
      <w:bookmarkStart w:id="482" w:name="_Toc292559362"/>
      <w:bookmarkStart w:id="483" w:name="_Toc296503157"/>
      <w:bookmarkStart w:id="484" w:name="_Toc297120457"/>
      <w:bookmarkStart w:id="485" w:name="_Toc297048343"/>
      <w:bookmarkStart w:id="486" w:name="_Toc296890985"/>
      <w:bookmarkStart w:id="487" w:name="_Toc296891197"/>
      <w:bookmarkStart w:id="488" w:name="_Toc296347156"/>
      <w:bookmarkStart w:id="489" w:name="_Toc292559867"/>
      <w:r>
        <w:rPr>
          <w:rFonts w:ascii="宋体" w:hAnsi="宋体"/>
          <w:b w:val="0"/>
          <w:color w:val="000000"/>
          <w:szCs w:val="24"/>
          <w:highlight w:val="none"/>
        </w:rPr>
        <w:t>. 发包人</w:t>
      </w:r>
      <w:bookmarkEnd w:id="479"/>
    </w:p>
    <w:bookmarkEnd w:id="480"/>
    <w:bookmarkEnd w:id="481"/>
    <w:bookmarkEnd w:id="482"/>
    <w:bookmarkEnd w:id="483"/>
    <w:bookmarkEnd w:id="484"/>
    <w:bookmarkEnd w:id="485"/>
    <w:bookmarkEnd w:id="486"/>
    <w:bookmarkEnd w:id="487"/>
    <w:bookmarkEnd w:id="488"/>
    <w:bookmarkEnd w:id="489"/>
    <w:p w14:paraId="457A3D2A">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2.2 发包人代表</w:t>
      </w:r>
    </w:p>
    <w:p w14:paraId="7D8947E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发包人代表：</w:t>
      </w:r>
    </w:p>
    <w:p w14:paraId="1697517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姓    名：</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61DFEA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身份证号：</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07BF2922">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职    务：</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B99B65F">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联系电话：</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62F63D1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电子信箱：</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B93833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通信地址：</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051E7EC0">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rPr>
        <w:t>发包人对发包人代表的授权范围如下：</w:t>
      </w:r>
      <w:r>
        <w:rPr>
          <w:rFonts w:hint="eastAsia" w:ascii="宋体" w:hAnsi="宋体"/>
          <w:color w:val="000000"/>
          <w:sz w:val="24"/>
          <w:szCs w:val="24"/>
          <w:highlight w:val="none"/>
          <w:u w:val="single"/>
        </w:rPr>
        <w:t xml:space="preserve">  （1）代表发包人行使本合同约定的发包人的权利和监理人需要取得发包人批准的权利。具体职权依发包人的书面授权书为准。</w:t>
      </w:r>
    </w:p>
    <w:p w14:paraId="7DF13914">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（2）除发包人另外有书面授权或本合同专用条款另有规定或事后追认外，发包人代表在承包人提交的任何文件上签名时，仅表示为发包人收到前述文件并非对文件内容的确认，不可作为结算依据。</w:t>
      </w:r>
    </w:p>
    <w:p w14:paraId="2A27B059">
      <w:pPr>
        <w:spacing w:line="360" w:lineRule="auto"/>
        <w:ind w:firstLine="480" w:firstLineChars="200"/>
        <w:rPr>
          <w:rFonts w:ascii="宋体" w:hAnsi="宋体"/>
          <w:b/>
          <w:color w:val="000000"/>
          <w:sz w:val="24"/>
          <w:szCs w:val="24"/>
          <w:highlight w:val="none"/>
        </w:rPr>
      </w:pPr>
      <w:r>
        <w:rPr>
          <w:rFonts w:hint="eastAsia" w:ascii="宋体" w:hAnsi="宋体"/>
          <w:color w:val="000000"/>
          <w:sz w:val="24"/>
          <w:szCs w:val="24"/>
          <w:highlight w:val="none"/>
          <w:u w:val="single"/>
        </w:rPr>
        <w:t xml:space="preserve">（3）现场的经济签证无论所涉金额大小、或涉及工期调整的、或引起工程范围扩大或缩小的、或工程质量标准的提高或降低、或工程量增加减少的工程签证，除应以合同约定的发包人代表、总承包项目负责人及监理工程师三方签字外，还须经发包人盖章后，方为有效签证，否则不可作为结算依据。如有上述人员变动，以发包人另行书面通知的人员为准    </w:t>
      </w:r>
      <w:r>
        <w:rPr>
          <w:rFonts w:ascii="宋体" w:hAnsi="宋体"/>
          <w:color w:val="000000"/>
          <w:sz w:val="24"/>
          <w:szCs w:val="24"/>
          <w:highlight w:val="none"/>
        </w:rPr>
        <w:t>。</w:t>
      </w:r>
    </w:p>
    <w:p w14:paraId="4FA51861">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2.4 施工现场、施工条件和基础资料的提供</w:t>
      </w:r>
    </w:p>
    <w:p w14:paraId="0BA5171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2.4.1 提供施工现场</w:t>
      </w:r>
    </w:p>
    <w:p w14:paraId="577446CA">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关于发包人移交施工现场的期限要求：</w:t>
      </w:r>
      <w:r>
        <w:rPr>
          <w:rFonts w:hint="eastAsia" w:ascii="宋体" w:hAnsi="宋体"/>
          <w:color w:val="000000"/>
          <w:sz w:val="24"/>
          <w:szCs w:val="24"/>
          <w:highlight w:val="none"/>
          <w:u w:val="single"/>
        </w:rPr>
        <w:t xml:space="preserve">   承包人取得中标通知书、提供履约担保且本施工合同签订后，正式开工前</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2CCA760">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2.4.2 提供施工条件</w:t>
      </w:r>
    </w:p>
    <w:p w14:paraId="203DC83F">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rPr>
        <w:t>关于发包人应负责提供施工</w:t>
      </w:r>
      <w:r>
        <w:rPr>
          <w:rFonts w:hint="eastAsia" w:ascii="宋体" w:hAnsi="宋体"/>
          <w:color w:val="000000"/>
          <w:sz w:val="24"/>
          <w:szCs w:val="24"/>
          <w:highlight w:val="none"/>
        </w:rPr>
        <w:t>所需要的条件，</w:t>
      </w:r>
      <w:r>
        <w:rPr>
          <w:rFonts w:ascii="宋体" w:hAnsi="宋体"/>
          <w:color w:val="000000"/>
          <w:sz w:val="24"/>
          <w:szCs w:val="24"/>
          <w:highlight w:val="none"/>
        </w:rPr>
        <w:t>包括：</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发包人提供临时供水、临时排污、临时供电等接驳点，由承包人负责将其接至施工现场内，场地内交通条件由承包人自行解决，前述产生的费用已包含在响应报价内，包干使用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D37DF7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2.5 资金来源证明及支付担保</w:t>
      </w:r>
    </w:p>
    <w:p w14:paraId="6384DC7A">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发包人提供资金来源证明的期限要求：</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B0B2516">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发包人是否提供支付担保：</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59AA4FD">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rPr>
        <w:t>发包人提供支付担保的形式：</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8B8829C">
      <w:pPr>
        <w:pStyle w:val="7"/>
        <w:spacing w:before="120" w:after="120" w:line="360" w:lineRule="auto"/>
        <w:rPr>
          <w:rFonts w:ascii="宋体" w:hAnsi="宋体"/>
          <w:b w:val="0"/>
          <w:color w:val="000000"/>
          <w:szCs w:val="24"/>
          <w:highlight w:val="none"/>
        </w:rPr>
      </w:pPr>
      <w:bookmarkStart w:id="490" w:name="_Toc351203635"/>
      <w:r>
        <w:rPr>
          <w:rFonts w:ascii="宋体" w:hAnsi="宋体"/>
          <w:b w:val="0"/>
          <w:color w:val="000000"/>
          <w:szCs w:val="24"/>
          <w:highlight w:val="none"/>
        </w:rPr>
        <w:t>3</w:t>
      </w:r>
      <w:bookmarkStart w:id="491" w:name="_Toc292559868"/>
      <w:bookmarkStart w:id="492" w:name="_Toc292559363"/>
      <w:bookmarkStart w:id="493" w:name="_Toc297048344"/>
      <w:bookmarkStart w:id="494" w:name="_Toc296347157"/>
      <w:bookmarkStart w:id="495" w:name="_Toc296346659"/>
      <w:bookmarkStart w:id="496" w:name="_Toc296891198"/>
      <w:bookmarkStart w:id="497" w:name="_Toc297120458"/>
      <w:bookmarkStart w:id="498" w:name="_Toc296890986"/>
      <w:bookmarkStart w:id="499" w:name="_Toc296503158"/>
      <w:bookmarkStart w:id="500" w:name="_Toc296944497"/>
      <w:r>
        <w:rPr>
          <w:rFonts w:ascii="宋体" w:hAnsi="宋体"/>
          <w:b w:val="0"/>
          <w:color w:val="000000"/>
          <w:szCs w:val="24"/>
          <w:highlight w:val="none"/>
        </w:rPr>
        <w:t>. 承包人</w:t>
      </w:r>
      <w:bookmarkEnd w:id="490"/>
    </w:p>
    <w:bookmarkEnd w:id="491"/>
    <w:bookmarkEnd w:id="492"/>
    <w:bookmarkEnd w:id="493"/>
    <w:bookmarkEnd w:id="494"/>
    <w:bookmarkEnd w:id="495"/>
    <w:bookmarkEnd w:id="496"/>
    <w:bookmarkEnd w:id="497"/>
    <w:bookmarkEnd w:id="498"/>
    <w:bookmarkEnd w:id="499"/>
    <w:bookmarkEnd w:id="500"/>
    <w:p w14:paraId="69776885">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3.1 承包人的一般义务</w:t>
      </w:r>
    </w:p>
    <w:p w14:paraId="24F1ABF5">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w:t>
      </w:r>
      <w:r>
        <w:rPr>
          <w:rFonts w:hint="eastAsia" w:ascii="宋体" w:hAnsi="宋体"/>
          <w:color w:val="000000"/>
          <w:kern w:val="0"/>
          <w:sz w:val="24"/>
          <w:szCs w:val="24"/>
          <w:highlight w:val="none"/>
        </w:rPr>
        <w:t>9</w:t>
      </w:r>
      <w:r>
        <w:rPr>
          <w:rFonts w:ascii="宋体" w:hAnsi="宋体"/>
          <w:color w:val="000000"/>
          <w:kern w:val="0"/>
          <w:sz w:val="24"/>
          <w:szCs w:val="24"/>
          <w:highlight w:val="none"/>
        </w:rPr>
        <w:t>）</w:t>
      </w:r>
      <w:r>
        <w:rPr>
          <w:rFonts w:ascii="宋体" w:hAnsi="宋体"/>
          <w:color w:val="000000"/>
          <w:sz w:val="24"/>
          <w:szCs w:val="24"/>
          <w:highlight w:val="none"/>
        </w:rPr>
        <w:t>承包人提交的竣工资料的内容：</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符合上海市城建档案馆规定的装订标准的竣工资料和竣工图（含电子版部分）、工程前期文件、竣工验收文件、施工技术文件、材料报验和工程报验等文件、竣工图、与工程有关的各种声像材料、其他发包人要求提供的材料</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65E9039">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承包人需要提交的竣工资料套数：</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竣工资料和竣工图各2套（原件）及电子文档一套</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4CFB9B7">
      <w:pPr>
        <w:spacing w:line="360" w:lineRule="auto"/>
        <w:ind w:left="638" w:leftChars="304"/>
        <w:jc w:val="left"/>
        <w:rPr>
          <w:rFonts w:ascii="宋体" w:hAnsi="宋体"/>
          <w:color w:val="000000"/>
          <w:sz w:val="24"/>
          <w:szCs w:val="24"/>
          <w:highlight w:val="none"/>
        </w:rPr>
      </w:pPr>
      <w:r>
        <w:rPr>
          <w:rFonts w:ascii="宋体" w:hAnsi="宋体"/>
          <w:color w:val="000000"/>
          <w:sz w:val="24"/>
          <w:szCs w:val="24"/>
          <w:highlight w:val="none"/>
        </w:rPr>
        <w:t>承包人提交的竣工资料的费用承担：</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承包人</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4014879C">
      <w:pPr>
        <w:spacing w:line="360" w:lineRule="auto"/>
        <w:ind w:left="638" w:leftChars="304"/>
        <w:jc w:val="left"/>
        <w:rPr>
          <w:rFonts w:ascii="宋体" w:hAnsi="宋体"/>
          <w:color w:val="000000"/>
          <w:sz w:val="24"/>
          <w:szCs w:val="24"/>
          <w:highlight w:val="none"/>
        </w:rPr>
      </w:pPr>
      <w:r>
        <w:rPr>
          <w:rFonts w:ascii="宋体" w:hAnsi="宋体"/>
          <w:color w:val="000000"/>
          <w:sz w:val="24"/>
          <w:szCs w:val="24"/>
          <w:highlight w:val="none"/>
        </w:rPr>
        <w:t>承包人提交的竣工资料移交时间：</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竣工验收合格15天内移交</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EA33540">
      <w:pPr>
        <w:spacing w:line="360" w:lineRule="auto"/>
        <w:ind w:left="638" w:leftChars="304"/>
        <w:jc w:val="left"/>
        <w:rPr>
          <w:rFonts w:ascii="宋体" w:hAnsi="宋体"/>
          <w:color w:val="000000"/>
          <w:sz w:val="24"/>
          <w:szCs w:val="24"/>
          <w:highlight w:val="none"/>
        </w:rPr>
      </w:pPr>
      <w:r>
        <w:rPr>
          <w:rFonts w:ascii="宋体" w:hAnsi="宋体"/>
          <w:color w:val="000000"/>
          <w:sz w:val="24"/>
          <w:szCs w:val="24"/>
          <w:highlight w:val="none"/>
        </w:rPr>
        <w:t>承包人提交的竣工资料形式要求：</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书面资料2套和电子文档1套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063EC054">
      <w:pPr>
        <w:spacing w:line="360" w:lineRule="auto"/>
        <w:ind w:firstLine="480" w:firstLineChars="200"/>
        <w:rPr>
          <w:rFonts w:ascii="宋体" w:hAnsi="宋体"/>
          <w:color w:val="000000"/>
          <w:sz w:val="24"/>
          <w:szCs w:val="24"/>
          <w:highlight w:val="none"/>
          <w:u w:val="single"/>
        </w:rPr>
      </w:pPr>
      <w:r>
        <w:rPr>
          <w:rFonts w:ascii="宋体" w:hAnsi="宋体"/>
          <w:color w:val="000000"/>
          <w:kern w:val="0"/>
          <w:sz w:val="24"/>
          <w:szCs w:val="24"/>
          <w:highlight w:val="none"/>
        </w:rPr>
        <w:t>（</w:t>
      </w:r>
      <w:r>
        <w:rPr>
          <w:rFonts w:hint="eastAsia" w:ascii="宋体" w:hAnsi="宋体"/>
          <w:color w:val="000000"/>
          <w:kern w:val="0"/>
          <w:sz w:val="24"/>
          <w:szCs w:val="24"/>
          <w:highlight w:val="none"/>
        </w:rPr>
        <w:t>10</w:t>
      </w:r>
      <w:r>
        <w:rPr>
          <w:rFonts w:ascii="宋体" w:hAnsi="宋体"/>
          <w:color w:val="000000"/>
          <w:kern w:val="0"/>
          <w:sz w:val="24"/>
          <w:szCs w:val="24"/>
          <w:highlight w:val="none"/>
        </w:rPr>
        <w:t>）承包人应履行的其他义务：</w:t>
      </w:r>
      <w:r>
        <w:rPr>
          <w:rFonts w:hint="eastAsia" w:ascii="宋体" w:hAnsi="宋体"/>
          <w:color w:val="000000"/>
          <w:sz w:val="24"/>
          <w:szCs w:val="24"/>
          <w:highlight w:val="none"/>
          <w:u w:val="single"/>
        </w:rPr>
        <w:t xml:space="preserve">  1、承包人有责任按照发包人、监理方的指令，实施工程范围内交通组织及周边单位的协调等工作，实施上述项目所需时间包含在总工期内，费用包含在签约合同价中。</w:t>
      </w:r>
    </w:p>
    <w:p w14:paraId="30651588">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2、负责测量、放样，每次测量成果均应有复核记录，并及时将测量成果书面送交工程质量监理人。承包人应对测量成果承担全部责任，并承担相应费用，同时执行《上海市建设项目规划实施全过程监督检查管理规定》。</w:t>
      </w:r>
    </w:p>
    <w:p w14:paraId="30F7D308">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3、工程实施前，承包人应将与响应文件相一致的项目经理和主要施工管理人员的姓名、工作内容、联系方式及所授予的权限，书面通知发包人，工程进行过程中，若有人员变动，承包人应及时书面报发包人批准后方可调整。</w:t>
      </w:r>
    </w:p>
    <w:p w14:paraId="2E679E78">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4、承包人应参加各类施工协调例会，做好施工现场的管理工作，负责办理工程施工期间所需的各类证照（包括但不限于：交通施工许可证、管线监护卡、以及协助办理建筑施工许可证、夜间施工许可证、渣土处置证等）以及承担与施工协调及交通配合、环卫、施工噪音等相关的各类手续费用，并保证发包人免于受到或承担应由发包人负责的上述事项所引起的或与之有关的索赔、诉讼、损害责任、及其他开支。承包人未能按合同约定完成上述工作时，应承担相应的责任和全部经济损失。</w:t>
      </w:r>
    </w:p>
    <w:p w14:paraId="58371CC9">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5、参加发包人召开的与本工程相关的会议，并做好会前有关资料的准备。</w:t>
      </w:r>
    </w:p>
    <w:p w14:paraId="555837E4">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6、承包人必须加强工程合同管理，密切配合发包人全面质量管理、环境管理和职业安全健康管理等工作的进行。</w:t>
      </w:r>
    </w:p>
    <w:p w14:paraId="3464FCBF">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7</w:t>
      </w:r>
      <w:r>
        <w:rPr>
          <w:rFonts w:hint="eastAsia" w:ascii="宋体" w:hAnsi="宋体"/>
          <w:color w:val="000000"/>
          <w:sz w:val="24"/>
          <w:szCs w:val="24"/>
          <w:highlight w:val="none"/>
          <w:u w:val="single"/>
        </w:rPr>
        <w:t>、本工程实施过程中严格执行合同所规定的环境目标及要求。</w:t>
      </w:r>
    </w:p>
    <w:p w14:paraId="2140F9D7">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8</w:t>
      </w:r>
      <w:r>
        <w:rPr>
          <w:rFonts w:hint="eastAsia" w:ascii="宋体" w:hAnsi="宋体"/>
          <w:color w:val="000000"/>
          <w:sz w:val="24"/>
          <w:szCs w:val="24"/>
          <w:highlight w:val="none"/>
          <w:u w:val="single"/>
        </w:rPr>
        <w:t>、承包人必须建立健全质量三级验收制，并提供质量保证体系的落实人员名单。</w:t>
      </w:r>
    </w:p>
    <w:p w14:paraId="54BD6766">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9</w:t>
      </w:r>
      <w:r>
        <w:rPr>
          <w:rFonts w:hint="eastAsia" w:ascii="宋体" w:hAnsi="宋体"/>
          <w:color w:val="000000"/>
          <w:sz w:val="24"/>
          <w:szCs w:val="24"/>
          <w:highlight w:val="none"/>
          <w:u w:val="single"/>
        </w:rPr>
        <w:t>、承包人在施工过程中若由于管理不善发生质量、安全、消防等任何事故，由承包人负全部责任，发包人不承担任何责任。</w:t>
      </w:r>
    </w:p>
    <w:p w14:paraId="01349A09">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0</w:t>
      </w:r>
      <w:r>
        <w:rPr>
          <w:rFonts w:hint="eastAsia" w:ascii="宋体" w:hAnsi="宋体"/>
          <w:color w:val="000000"/>
          <w:sz w:val="24"/>
          <w:szCs w:val="24"/>
          <w:highlight w:val="none"/>
          <w:u w:val="single"/>
        </w:rPr>
        <w:t>、按有关规定向发包人编、送开、竣工报告、隐蔽工程验收报告、质量自检记录、交工验收报告、施工进度表以及本工程全套竣工验收资料一式</w:t>
      </w:r>
      <w:r>
        <w:rPr>
          <w:rFonts w:hint="eastAsia" w:ascii="宋体" w:hAnsi="宋体"/>
          <w:color w:val="000000"/>
          <w:sz w:val="24"/>
          <w:szCs w:val="24"/>
          <w:highlight w:val="none"/>
          <w:u w:val="single"/>
          <w:lang w:val="en-US" w:eastAsia="zh-CN"/>
        </w:rPr>
        <w:t>两</w:t>
      </w:r>
      <w:r>
        <w:rPr>
          <w:rFonts w:hint="eastAsia" w:ascii="宋体" w:hAnsi="宋体"/>
          <w:color w:val="000000"/>
          <w:sz w:val="24"/>
          <w:szCs w:val="24"/>
          <w:highlight w:val="none"/>
          <w:u w:val="single"/>
        </w:rPr>
        <w:t>份。</w:t>
      </w:r>
    </w:p>
    <w:p w14:paraId="5A0606E9">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1</w:t>
      </w:r>
      <w:r>
        <w:rPr>
          <w:rFonts w:hint="eastAsia" w:ascii="宋体" w:hAnsi="宋体"/>
          <w:color w:val="000000"/>
          <w:sz w:val="24"/>
          <w:szCs w:val="24"/>
          <w:highlight w:val="none"/>
          <w:u w:val="single"/>
        </w:rPr>
        <w:t>、承包人在施工过程中，应明确落实施工现场安全生产第一责任人。并将名单以书面材料形式报发包人备案。</w:t>
      </w:r>
    </w:p>
    <w:p w14:paraId="344408F7">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2</w:t>
      </w:r>
      <w:r>
        <w:rPr>
          <w:rFonts w:hint="eastAsia" w:ascii="宋体" w:hAnsi="宋体"/>
          <w:color w:val="000000"/>
          <w:sz w:val="24"/>
          <w:szCs w:val="24"/>
          <w:highlight w:val="none"/>
          <w:u w:val="single"/>
        </w:rPr>
        <w:t>、承包人必须建立健全安全生产保证体系，落实各级安全责任制，完善各项安全生产制度，按照谁施工谁负责的原则，负责单位内部和施工责任区域的安全生产管理工作。</w:t>
      </w:r>
    </w:p>
    <w:p w14:paraId="3118B563">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3</w:t>
      </w:r>
      <w:r>
        <w:rPr>
          <w:rFonts w:hint="eastAsia" w:ascii="宋体" w:hAnsi="宋体"/>
          <w:color w:val="000000"/>
          <w:sz w:val="24"/>
          <w:szCs w:val="24"/>
          <w:highlight w:val="none"/>
          <w:u w:val="single"/>
        </w:rPr>
        <w:t>、承担施工安全保卫工作及施工照明的责任和要求；承包人应在工程现场保留足够的警卫员，保护工程、材料、施工机械等一切设施，以确保工程的完好，直至工程交付；承包人将负责本工程的现场保卫工作，并有责任阻止非本工程所需人员进入现场。</w:t>
      </w:r>
    </w:p>
    <w:p w14:paraId="1BF35FA6">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4</w:t>
      </w:r>
      <w:r>
        <w:rPr>
          <w:rFonts w:hint="eastAsia" w:ascii="宋体" w:hAnsi="宋体"/>
          <w:color w:val="000000"/>
          <w:sz w:val="24"/>
          <w:szCs w:val="24"/>
          <w:highlight w:val="none"/>
          <w:u w:val="single"/>
        </w:rPr>
        <w:t>、全面负责本工程现场文明及安全施工，签订安全生产、治安消防协议，加强工地卫生工作的管理，确保工地环境卫生整洁。</w:t>
      </w:r>
    </w:p>
    <w:p w14:paraId="62A91E1F">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5</w:t>
      </w:r>
      <w:r>
        <w:rPr>
          <w:rFonts w:hint="eastAsia" w:ascii="宋体" w:hAnsi="宋体"/>
          <w:color w:val="000000"/>
          <w:sz w:val="24"/>
          <w:szCs w:val="24"/>
          <w:highlight w:val="none"/>
          <w:u w:val="single"/>
        </w:rPr>
        <w:t>、按上海市有关部门颁发规定文明施工，施工时不影响交通道路的正常运行和保证排水畅通。施工占用区域范围内必须采取全封闭措施，搞好市容环境卫生，并接受有关部门和发包人的检查。环境控制按照谈判文件的要求执行。</w:t>
      </w:r>
    </w:p>
    <w:p w14:paraId="0CF57BA8">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6</w:t>
      </w:r>
      <w:r>
        <w:rPr>
          <w:rFonts w:hint="eastAsia" w:ascii="宋体" w:hAnsi="宋体"/>
          <w:color w:val="000000"/>
          <w:sz w:val="24"/>
          <w:szCs w:val="24"/>
          <w:highlight w:val="none"/>
          <w:u w:val="single"/>
        </w:rPr>
        <w:t>、遵守政府有关主管部门对施工场地交通、施工噪音以及环境保护和安全生产等的管理规定，按规定办理有关手续，并以书面形式通知发包人，承包人承担由此发生的费用。</w:t>
      </w:r>
    </w:p>
    <w:p w14:paraId="4095A131">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7</w:t>
      </w:r>
      <w:r>
        <w:rPr>
          <w:rFonts w:hint="eastAsia" w:ascii="宋体" w:hAnsi="宋体"/>
          <w:color w:val="000000"/>
          <w:sz w:val="24"/>
          <w:szCs w:val="24"/>
          <w:highlight w:val="none"/>
          <w:u w:val="single"/>
        </w:rPr>
        <w:t>、承包人须负责从发包人指定的水、电接口排管线至施工场地及施工所需的费用。本工程施工期间的排水，由承包人充分根据现场实际状况，制定施工方案，确保防止泥浆水排入市政管线，否则由此造成的一切后果，由承包人负责。在施工期间，承包人确保污水排放符合要求，并在市政管线未通前自行解决排放。</w:t>
      </w:r>
    </w:p>
    <w:p w14:paraId="4755A161">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1</w:t>
      </w:r>
      <w:r>
        <w:rPr>
          <w:rFonts w:ascii="宋体" w:hAnsi="宋体"/>
          <w:color w:val="000000"/>
          <w:sz w:val="24"/>
          <w:szCs w:val="24"/>
          <w:highlight w:val="none"/>
          <w:u w:val="single"/>
        </w:rPr>
        <w:t>8</w:t>
      </w:r>
      <w:r>
        <w:rPr>
          <w:rFonts w:hint="eastAsia" w:ascii="宋体" w:hAnsi="宋体"/>
          <w:color w:val="000000"/>
          <w:sz w:val="24"/>
          <w:szCs w:val="24"/>
          <w:highlight w:val="none"/>
          <w:u w:val="single"/>
        </w:rPr>
        <w:t>、必须接受发包人的管理或其委托的监理工程师的监理，并为其开展工作和生活提供方便，按照要求提供完整的原始记录，检测记录等技术、经济资料。</w:t>
      </w:r>
    </w:p>
    <w:p w14:paraId="71C50227">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19</w:t>
      </w:r>
      <w:r>
        <w:rPr>
          <w:rFonts w:hint="eastAsia" w:ascii="宋体" w:hAnsi="宋体"/>
          <w:color w:val="000000"/>
          <w:sz w:val="24"/>
          <w:szCs w:val="24"/>
          <w:highlight w:val="none"/>
          <w:u w:val="single"/>
        </w:rPr>
        <w:t>、承包人需无条件配合发包人办理有关证件、各类批文及施工手续：</w:t>
      </w:r>
    </w:p>
    <w:p w14:paraId="511EA154">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 xml:space="preserve">a) </w:t>
      </w:r>
      <w:r>
        <w:rPr>
          <w:rFonts w:hint="eastAsia" w:ascii="宋体" w:hAnsi="宋体"/>
          <w:color w:val="000000"/>
          <w:sz w:val="24"/>
          <w:szCs w:val="24"/>
          <w:highlight w:val="none"/>
          <w:u w:val="single"/>
        </w:rPr>
        <w:t>负责按政府规定办理一切有关本工程的施工材料检测及检验，办理中间安全评价书和安全评价书；负责协调处理与当地工程主管政府部门的关系，包括但不限于施工标牌、节能公示牌等当地建设工程主管政府部门要求设置的现场标识等；</w:t>
      </w:r>
      <w:r>
        <w:rPr>
          <w:rFonts w:ascii="宋体" w:hAnsi="宋体"/>
          <w:color w:val="000000"/>
          <w:sz w:val="24"/>
          <w:szCs w:val="24"/>
          <w:highlight w:val="none"/>
          <w:u w:val="single"/>
        </w:rPr>
        <w:t xml:space="preserve"> </w:t>
      </w:r>
    </w:p>
    <w:p w14:paraId="1F1FF7C6">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 xml:space="preserve">b) </w:t>
      </w:r>
      <w:r>
        <w:rPr>
          <w:rFonts w:hint="eastAsia" w:ascii="宋体" w:hAnsi="宋体"/>
          <w:color w:val="000000"/>
          <w:sz w:val="24"/>
          <w:szCs w:val="24"/>
          <w:highlight w:val="none"/>
          <w:u w:val="single"/>
        </w:rPr>
        <w:t>施工过程所需相关证照</w:t>
      </w:r>
      <w:r>
        <w:rPr>
          <w:rFonts w:ascii="宋体" w:hAnsi="宋体"/>
          <w:color w:val="000000"/>
          <w:sz w:val="24"/>
          <w:szCs w:val="24"/>
          <w:highlight w:val="none"/>
          <w:u w:val="single"/>
        </w:rPr>
        <w:t>(</w:t>
      </w:r>
      <w:r>
        <w:rPr>
          <w:rFonts w:hint="eastAsia" w:ascii="宋体" w:hAnsi="宋体"/>
          <w:color w:val="000000"/>
          <w:sz w:val="24"/>
          <w:szCs w:val="24"/>
          <w:highlight w:val="none"/>
          <w:u w:val="single"/>
        </w:rPr>
        <w:t>包括夜间施工证、临时场地、占用道路、废污水排放等手续</w:t>
      </w:r>
      <w:r>
        <w:rPr>
          <w:rFonts w:ascii="宋体" w:hAnsi="宋体"/>
          <w:color w:val="000000"/>
          <w:sz w:val="24"/>
          <w:szCs w:val="24"/>
          <w:highlight w:val="none"/>
          <w:u w:val="single"/>
        </w:rPr>
        <w:t>)</w:t>
      </w:r>
      <w:r>
        <w:rPr>
          <w:rFonts w:hint="eastAsia" w:ascii="宋体" w:hAnsi="宋体"/>
          <w:color w:val="000000"/>
          <w:sz w:val="24"/>
          <w:szCs w:val="24"/>
          <w:highlight w:val="none"/>
          <w:u w:val="single"/>
        </w:rPr>
        <w:t>由承包人及时自行办理。如发生扰民和民扰承包人自行妥善处理并承担由此发生的费用；</w:t>
      </w:r>
    </w:p>
    <w:p w14:paraId="28711BC2">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 xml:space="preserve">c) </w:t>
      </w:r>
      <w:r>
        <w:rPr>
          <w:rFonts w:hint="eastAsia" w:ascii="宋体" w:hAnsi="宋体"/>
          <w:color w:val="000000"/>
          <w:sz w:val="24"/>
          <w:szCs w:val="24"/>
          <w:highlight w:val="none"/>
          <w:u w:val="single"/>
        </w:rPr>
        <w:t>及时参加发包人或监理人召开的施工调度会议，严格执行会议纪要的决定，服从调度、服从协调，发扬协作精神与风格，同时，工程施工期间还须定期牵头组织召开安全文明施工协调会，积极协调并与协作单位配合；</w:t>
      </w:r>
    </w:p>
    <w:p w14:paraId="16429721">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 xml:space="preserve">d) </w:t>
      </w:r>
      <w:r>
        <w:rPr>
          <w:rFonts w:hint="eastAsia" w:ascii="宋体" w:hAnsi="宋体"/>
          <w:color w:val="000000"/>
          <w:sz w:val="24"/>
          <w:szCs w:val="24"/>
          <w:highlight w:val="none"/>
          <w:u w:val="single"/>
        </w:rPr>
        <w:t>发包人按场地现状移交给承包人，移交后的场地由承包人负责临时围墙的封闭、维护和修补，承包人保证围墙符合发包人的品牌形象、安监、当地政府相关部门及有关规范的要求，维护或重砌费用由承包人负责；</w:t>
      </w:r>
    </w:p>
    <w:p w14:paraId="63C0B16A">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 xml:space="preserve">e) </w:t>
      </w:r>
      <w:r>
        <w:rPr>
          <w:rFonts w:hint="eastAsia" w:ascii="宋体" w:hAnsi="宋体"/>
          <w:color w:val="000000"/>
          <w:sz w:val="24"/>
          <w:szCs w:val="24"/>
          <w:highlight w:val="none"/>
          <w:u w:val="single"/>
        </w:rPr>
        <w:t>合同规定由承包人完成或提供配合的工作</w:t>
      </w:r>
      <w:r>
        <w:rPr>
          <w:rFonts w:ascii="宋体" w:hAnsi="宋体"/>
          <w:color w:val="000000"/>
          <w:sz w:val="24"/>
          <w:szCs w:val="24"/>
          <w:highlight w:val="none"/>
          <w:u w:val="single"/>
        </w:rPr>
        <w:t>(</w:t>
      </w:r>
      <w:r>
        <w:rPr>
          <w:rFonts w:hint="eastAsia" w:ascii="宋体" w:hAnsi="宋体"/>
          <w:color w:val="000000"/>
          <w:sz w:val="24"/>
          <w:szCs w:val="24"/>
          <w:highlight w:val="none"/>
          <w:u w:val="single"/>
        </w:rPr>
        <w:t>包括合同、约谈记录、会议纪要的内容以及设计变更、安全文明施工、工地保安等</w:t>
      </w:r>
      <w:r>
        <w:rPr>
          <w:rFonts w:ascii="宋体" w:hAnsi="宋体"/>
          <w:color w:val="000000"/>
          <w:sz w:val="24"/>
          <w:szCs w:val="24"/>
          <w:highlight w:val="none"/>
          <w:u w:val="single"/>
        </w:rPr>
        <w:t>)</w:t>
      </w:r>
      <w:r>
        <w:rPr>
          <w:rFonts w:hint="eastAsia" w:ascii="宋体" w:hAnsi="宋体"/>
          <w:color w:val="000000"/>
          <w:sz w:val="24"/>
          <w:szCs w:val="24"/>
          <w:highlight w:val="none"/>
          <w:u w:val="single"/>
        </w:rPr>
        <w:t>，如承包人拒绝完成或不能按约定内容完成，发包人有权安排其他单位完成，所发生的费用</w:t>
      </w:r>
      <w:r>
        <w:rPr>
          <w:rFonts w:ascii="宋体" w:hAnsi="宋体"/>
          <w:color w:val="000000"/>
          <w:sz w:val="24"/>
          <w:szCs w:val="24"/>
          <w:highlight w:val="none"/>
          <w:u w:val="single"/>
        </w:rPr>
        <w:t>(</w:t>
      </w:r>
      <w:r>
        <w:rPr>
          <w:rFonts w:hint="eastAsia" w:ascii="宋体" w:hAnsi="宋体"/>
          <w:color w:val="000000"/>
          <w:sz w:val="24"/>
          <w:szCs w:val="24"/>
          <w:highlight w:val="none"/>
          <w:u w:val="single"/>
        </w:rPr>
        <w:t>另加当月工程款</w:t>
      </w:r>
      <w:r>
        <w:rPr>
          <w:rFonts w:ascii="宋体" w:hAnsi="宋体"/>
          <w:color w:val="000000"/>
          <w:sz w:val="24"/>
          <w:szCs w:val="24"/>
          <w:highlight w:val="none"/>
          <w:u w:val="single"/>
        </w:rPr>
        <w:t>20</w:t>
      </w:r>
      <w:r>
        <w:rPr>
          <w:rFonts w:hint="eastAsia" w:ascii="宋体" w:hAnsi="宋体"/>
          <w:color w:val="000000"/>
          <w:sz w:val="24"/>
          <w:szCs w:val="24"/>
          <w:highlight w:val="none"/>
          <w:u w:val="single"/>
        </w:rPr>
        <w:t>％的管理费</w:t>
      </w:r>
      <w:r>
        <w:rPr>
          <w:rFonts w:ascii="宋体" w:hAnsi="宋体"/>
          <w:color w:val="000000"/>
          <w:sz w:val="24"/>
          <w:szCs w:val="24"/>
          <w:highlight w:val="none"/>
          <w:u w:val="single"/>
        </w:rPr>
        <w:t>)</w:t>
      </w:r>
      <w:r>
        <w:rPr>
          <w:rFonts w:hint="eastAsia" w:ascii="宋体" w:hAnsi="宋体"/>
          <w:color w:val="000000"/>
          <w:sz w:val="24"/>
          <w:szCs w:val="24"/>
          <w:highlight w:val="none"/>
          <w:u w:val="single"/>
        </w:rPr>
        <w:t>从承包人竣工结算工程款中扣回，影响工期的责任由承包人负责。</w:t>
      </w:r>
    </w:p>
    <w:p w14:paraId="3B1CD224">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20</w:t>
      </w:r>
      <w:r>
        <w:rPr>
          <w:rFonts w:hint="eastAsia" w:ascii="宋体" w:hAnsi="宋体"/>
          <w:color w:val="000000"/>
          <w:sz w:val="24"/>
          <w:szCs w:val="24"/>
          <w:highlight w:val="none"/>
          <w:u w:val="single"/>
        </w:rPr>
        <w:t>、在保修期内要及时做好回访工作，属保修责任范围的事项应及时按质检标准修好。</w:t>
      </w:r>
    </w:p>
    <w:p w14:paraId="5BB688FE">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2</w:t>
      </w:r>
      <w:r>
        <w:rPr>
          <w:rFonts w:ascii="宋体" w:hAnsi="宋体"/>
          <w:color w:val="000000"/>
          <w:sz w:val="24"/>
          <w:szCs w:val="24"/>
          <w:highlight w:val="none"/>
          <w:u w:val="single"/>
        </w:rPr>
        <w:t>1</w:t>
      </w:r>
      <w:r>
        <w:rPr>
          <w:rFonts w:hint="eastAsia" w:ascii="宋体" w:hAnsi="宋体"/>
          <w:color w:val="000000"/>
          <w:sz w:val="24"/>
          <w:szCs w:val="24"/>
          <w:highlight w:val="none"/>
          <w:u w:val="single"/>
        </w:rPr>
        <w:t>、在工程竣工之后15天内，须按发包人指令无偿及时地撤离现场,承包人必须搬走所有的临时设施、施工机械、垃圾、容器、剩余材料等一切物品和设施，以保持其清洁和整齐，逾期不撤作为工期计算。</w:t>
      </w:r>
    </w:p>
    <w:p w14:paraId="04B250EB">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2</w:t>
      </w:r>
      <w:r>
        <w:rPr>
          <w:rFonts w:ascii="宋体" w:hAnsi="宋体"/>
          <w:color w:val="000000"/>
          <w:sz w:val="24"/>
          <w:szCs w:val="24"/>
          <w:highlight w:val="none"/>
          <w:u w:val="single"/>
        </w:rPr>
        <w:t>2</w:t>
      </w:r>
      <w:r>
        <w:rPr>
          <w:rFonts w:hint="eastAsia" w:ascii="宋体" w:hAnsi="宋体"/>
          <w:color w:val="000000"/>
          <w:sz w:val="24"/>
          <w:szCs w:val="24"/>
          <w:highlight w:val="none"/>
          <w:u w:val="single"/>
        </w:rPr>
        <w:t>、承包人必须负责清理、运走和处理所有废渣与垃圾，并缴付所有当地政府所需的费用。承包人应充分了解项目所在地关于渣土外运的有关规定，充分考虑渣土禁运的有关规定。</w:t>
      </w:r>
    </w:p>
    <w:p w14:paraId="47D6F647">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2</w:t>
      </w:r>
      <w:r>
        <w:rPr>
          <w:rFonts w:ascii="宋体" w:hAnsi="宋体"/>
          <w:color w:val="000000"/>
          <w:sz w:val="24"/>
          <w:szCs w:val="24"/>
          <w:highlight w:val="none"/>
          <w:u w:val="single"/>
        </w:rPr>
        <w:t>3</w:t>
      </w:r>
      <w:r>
        <w:rPr>
          <w:rFonts w:hint="eastAsia" w:ascii="宋体" w:hAnsi="宋体"/>
          <w:color w:val="000000"/>
          <w:sz w:val="24"/>
          <w:szCs w:val="24"/>
          <w:highlight w:val="none"/>
          <w:u w:val="single"/>
        </w:rPr>
        <w:t>、在竣工工程未移交相关产权单位之前，承包人须按发包人的要求对已完成工程成品进行保护，相关费用已包含在签约合同价之中。保护期间发生的损坏由承包人负责修复，并承担所发生的费用。因发包人原因发生损坏的修复费用，由发包人承担。</w:t>
      </w:r>
    </w:p>
    <w:p w14:paraId="1CB2D065">
      <w:pPr>
        <w:spacing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u w:val="single"/>
        </w:rPr>
        <w:t>2</w:t>
      </w:r>
      <w:r>
        <w:rPr>
          <w:rFonts w:ascii="宋体" w:hAnsi="宋体"/>
          <w:color w:val="000000"/>
          <w:sz w:val="24"/>
          <w:szCs w:val="24"/>
          <w:highlight w:val="none"/>
          <w:u w:val="single"/>
        </w:rPr>
        <w:t>4</w:t>
      </w:r>
      <w:r>
        <w:rPr>
          <w:rFonts w:hint="eastAsia" w:ascii="宋体" w:hAnsi="宋体"/>
          <w:color w:val="000000"/>
          <w:sz w:val="24"/>
          <w:szCs w:val="24"/>
          <w:highlight w:val="none"/>
          <w:u w:val="single"/>
        </w:rPr>
        <w:t>、承包人在工程施工期间，严格执行JGJ59-99建筑施工安全检查标准、国务院2003第393号令《建设工程安全生产管理条例》、上海市府令2004第23号《上海市扬尘污染防治管理办法》及沪建建[2003]89号关于印发《上海市文明工地（场站）管理规定》的通知、沪建建[2003]504号关于印发《上海市建设工地施工扬尘控制若干规定》的通知等有关规定，规范各项质量管理、安全管理、文明施工管理措施，确保优质、安全、文明完成本工程的建设。承包人由于管理不善，引起政府有关部门罚款、停工整改等处罚，其发生的损失由施工单位自行承担，且发包人保留缓付工程款的权利。</w:t>
      </w:r>
    </w:p>
    <w:p w14:paraId="149A495F">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u w:val="single"/>
        </w:rPr>
        <w:t>25</w:t>
      </w:r>
      <w:r>
        <w:rPr>
          <w:rFonts w:hint="eastAsia" w:ascii="宋体" w:hAnsi="宋体"/>
          <w:color w:val="000000"/>
          <w:sz w:val="24"/>
          <w:szCs w:val="24"/>
          <w:highlight w:val="none"/>
          <w:u w:val="single"/>
        </w:rPr>
        <w:t>、承包人应按照《保障农民工工资支付条例》及其相关精神履行本合同，承包人应按时支付农民工工资及其他应付费用，如发包人发现承包人无正当理由未能按时支付的，每逾期一天，承包人应按应付款总金额的万分之二向发包人支付违约金；逾期超过</w:t>
      </w:r>
      <w:r>
        <w:rPr>
          <w:rFonts w:ascii="宋体" w:hAnsi="宋体"/>
          <w:color w:val="000000"/>
          <w:sz w:val="24"/>
          <w:szCs w:val="24"/>
          <w:highlight w:val="none"/>
          <w:u w:val="single"/>
        </w:rPr>
        <w:t>15</w:t>
      </w:r>
      <w:r>
        <w:rPr>
          <w:rFonts w:hint="eastAsia" w:ascii="宋体" w:hAnsi="宋体"/>
          <w:color w:val="000000"/>
          <w:sz w:val="24"/>
          <w:szCs w:val="24"/>
          <w:highlight w:val="none"/>
          <w:u w:val="single"/>
        </w:rPr>
        <w:t>天的，发包人有权直接向应收款个人和单位支付。</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因此导致任何纠纷或损失的，相关责任均由承包人承担。承包人应设立农民工工资专用账户，发包人根据相关法律法规的规定，将应支付的人工费支付至该专用账户，该专用账户中的款项应专项用于本项目的人工费开支。</w:t>
      </w:r>
    </w:p>
    <w:p w14:paraId="12F17AED">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u w:val="single"/>
        </w:rPr>
        <w:t>2</w:t>
      </w:r>
      <w:r>
        <w:rPr>
          <w:rFonts w:ascii="宋体" w:hAnsi="宋体"/>
          <w:color w:val="000000"/>
          <w:sz w:val="24"/>
          <w:szCs w:val="24"/>
          <w:highlight w:val="none"/>
          <w:u w:val="single"/>
        </w:rPr>
        <w:t>6</w:t>
      </w:r>
      <w:r>
        <w:rPr>
          <w:rFonts w:hint="eastAsia" w:ascii="宋体" w:hAnsi="宋体"/>
          <w:color w:val="000000"/>
          <w:sz w:val="24"/>
          <w:szCs w:val="24"/>
          <w:highlight w:val="none"/>
          <w:u w:val="single"/>
        </w:rPr>
        <w:t>、上述约定由承包人完成的工作所涉及的各类费用均已包括在签约合同价内，发包人不向承包人另行支付。且如因此类原因导致工期延误，工期不予顺延，并由承包人承担相应的责任及费用</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5058D78">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3.2 项目经理</w:t>
      </w:r>
    </w:p>
    <w:p w14:paraId="51111759">
      <w:pPr>
        <w:spacing w:line="360" w:lineRule="auto"/>
        <w:ind w:firstLine="480" w:firstLineChars="200"/>
        <w:rPr>
          <w:rFonts w:ascii="宋体" w:hAnsi="宋体"/>
          <w:color w:val="000000"/>
          <w:sz w:val="24"/>
          <w:szCs w:val="24"/>
          <w:highlight w:val="none"/>
        </w:rPr>
      </w:pPr>
      <w:r>
        <w:rPr>
          <w:rFonts w:ascii="宋体" w:hAnsi="宋体"/>
          <w:color w:val="000000"/>
          <w:kern w:val="0"/>
          <w:sz w:val="24"/>
          <w:szCs w:val="24"/>
          <w:highlight w:val="none"/>
        </w:rPr>
        <w:t xml:space="preserve">3.2.1 </w:t>
      </w:r>
      <w:r>
        <w:rPr>
          <w:rFonts w:ascii="宋体" w:hAnsi="宋体"/>
          <w:color w:val="000000"/>
          <w:sz w:val="24"/>
          <w:szCs w:val="24"/>
          <w:highlight w:val="none"/>
        </w:rPr>
        <w:t>项目经理：</w:t>
      </w:r>
    </w:p>
    <w:p w14:paraId="17B99A9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姓    名：</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66D0E0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身份证号：</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60BF83E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建造师执业资格等级：</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2E33DD3B">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建造师注册证书号：</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6BAEFA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建造师执业印章号：</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C87F37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安全生产考核合格证书号：</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2693FF5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联系电话：</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6B8522D">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电子信箱：</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3835557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通信地址：</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711BF31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承包人对项目经理的授权范围如下：</w:t>
      </w:r>
      <w:r>
        <w:rPr>
          <w:rFonts w:hint="eastAsia" w:ascii="宋体" w:hAnsi="宋体"/>
          <w:color w:val="000000"/>
          <w:sz w:val="24"/>
          <w:szCs w:val="24"/>
          <w:highlight w:val="none"/>
          <w:u w:val="single"/>
        </w:rPr>
        <w:t xml:space="preserve">  代表承包人全面履行和实施本工程合同，对工程质量、安全生产、进度和文明施工全面指挥负责，并完成承包人应做和报价书中承诺的各项工作    </w:t>
      </w:r>
      <w:r>
        <w:rPr>
          <w:rFonts w:ascii="宋体" w:hAnsi="宋体"/>
          <w:color w:val="000000"/>
          <w:sz w:val="24"/>
          <w:szCs w:val="24"/>
          <w:highlight w:val="none"/>
        </w:rPr>
        <w:t>。</w:t>
      </w:r>
    </w:p>
    <w:p w14:paraId="5849C32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关于项目经理每月在施工现场的时间要求：</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确保每周在现场时间不少于5个整日   </w:t>
      </w:r>
      <w:r>
        <w:rPr>
          <w:rFonts w:ascii="宋体" w:hAnsi="宋体"/>
          <w:color w:val="000000"/>
          <w:sz w:val="24"/>
          <w:szCs w:val="24"/>
          <w:highlight w:val="none"/>
        </w:rPr>
        <w:t>。</w:t>
      </w:r>
    </w:p>
    <w:p w14:paraId="20D06425">
      <w:pPr>
        <w:spacing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承包人未提交劳动合同，以及没有为项目经理缴纳社会保险证明的违约责任：</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承包人应向发包人交纳违约金，违约金额约定为：人民币【10000】元；并且应当立即与项目经理签订劳动合同及缴纳社会保险金，如未改正的，发包人有权要求更换项目经理，由此增加的费用和（或）延误的工期由承包人承担，同时因承包人未能确保项目经理常驻工地，应按照下款承担擅自离开的违约责任    </w:t>
      </w:r>
      <w:r>
        <w:rPr>
          <w:rFonts w:ascii="宋体" w:hAnsi="宋体"/>
          <w:color w:val="000000"/>
          <w:sz w:val="24"/>
          <w:szCs w:val="24"/>
          <w:highlight w:val="none"/>
        </w:rPr>
        <w:t>。</w:t>
      </w:r>
    </w:p>
    <w:p w14:paraId="759EA306">
      <w:pPr>
        <w:spacing w:line="360" w:lineRule="auto"/>
        <w:ind w:firstLine="480" w:firstLineChars="200"/>
        <w:rPr>
          <w:rFonts w:ascii="宋体" w:hAnsi="宋体"/>
          <w:color w:val="000000"/>
          <w:sz w:val="24"/>
          <w:szCs w:val="24"/>
          <w:highlight w:val="none"/>
          <w:u w:val="single"/>
        </w:rPr>
      </w:pPr>
      <w:r>
        <w:rPr>
          <w:rFonts w:ascii="宋体" w:hAnsi="宋体"/>
          <w:color w:val="000000"/>
          <w:kern w:val="0"/>
          <w:sz w:val="24"/>
          <w:szCs w:val="24"/>
          <w:highlight w:val="none"/>
        </w:rPr>
        <w:t>项目经理未经批准，擅自离开施工现场的违约责任：</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项目经理必须确保每周在现场时间不少于5个整日，有事需请假，经发包人许可后方可离开工地，擅自离开且未得到批准处以5000元/次的违约金，项目经理擅自离开两次以上的，发包人有权要求更换项目经理，承包人应一次性向发包人支付</w:t>
      </w:r>
      <w:r>
        <w:rPr>
          <w:rFonts w:ascii="宋体" w:hAnsi="宋体"/>
          <w:color w:val="000000"/>
          <w:sz w:val="24"/>
          <w:szCs w:val="24"/>
          <w:highlight w:val="none"/>
          <w:u w:val="single"/>
        </w:rPr>
        <w:t>5000</w:t>
      </w:r>
      <w:r>
        <w:rPr>
          <w:rFonts w:hint="eastAsia" w:ascii="宋体" w:hAnsi="宋体"/>
          <w:color w:val="000000"/>
          <w:sz w:val="24"/>
          <w:szCs w:val="24"/>
          <w:highlight w:val="none"/>
          <w:u w:val="single"/>
        </w:rPr>
        <w:t>元</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人次违约金   </w:t>
      </w:r>
      <w:r>
        <w:rPr>
          <w:rFonts w:ascii="宋体" w:hAnsi="宋体"/>
          <w:color w:val="000000"/>
          <w:sz w:val="24"/>
          <w:szCs w:val="24"/>
          <w:highlight w:val="none"/>
        </w:rPr>
        <w:t>。</w:t>
      </w:r>
    </w:p>
    <w:p w14:paraId="61E1173C">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3.2.3 承包人擅自更换项目经理的违约责任：</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为确保本工程质量，项目经理在成交后必须到位，未经发包人批准同意，不得更换项目经理；承包人确需调换项目经理，须提前14天以书面形式通知发包人，且接替人员的资格等级和能力不得低于被替换人员，经发包人同意后方可调换，若未经发包人同意擅自更换项目经理，除处以10万元违约金外，发包人保留终止施工承包合同的权利。承包人确认违约金为发包人难以计算的实际损失的补偿，并承诺不以任何理由要求调整前述违约金</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134554F5">
      <w:pPr>
        <w:spacing w:line="360" w:lineRule="auto"/>
        <w:outlineLvl w:val="0"/>
        <w:rPr>
          <w:rFonts w:ascii="宋体" w:hAnsi="宋体"/>
          <w:color w:val="000000"/>
          <w:sz w:val="24"/>
          <w:szCs w:val="24"/>
          <w:highlight w:val="none"/>
        </w:rPr>
      </w:pPr>
      <w:r>
        <w:rPr>
          <w:rFonts w:ascii="宋体" w:hAnsi="宋体"/>
          <w:color w:val="000000"/>
          <w:sz w:val="24"/>
          <w:szCs w:val="24"/>
          <w:highlight w:val="none"/>
        </w:rPr>
        <w:t xml:space="preserve">    3.2.4 承包人无正当理由拒绝更换项目经理的违约责任：</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发包人第一次书面要求更换项目经理，承包人拒绝更换的，处以合同总额1%的违约金并不再对承包人的进度款支付进行审批直至承包人更换为止，并且继续更换资格等级和能力不得低于被更换人员的合适人员；经发包人再次书面要求若承包人仍拒绝更换项目经理的，发包人有权终止施工承包合同，承包人对给发包人造成的损失承担赔偿责任</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65D8EDA7">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3.3 承包人人员</w:t>
      </w:r>
    </w:p>
    <w:p w14:paraId="4E2217C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3.3.1 承包人提交项目管理机构及施工现场管理人员安排报告的期限：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开工前14天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0CF70DA7">
      <w:pPr>
        <w:pStyle w:val="88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color w:val="000000"/>
          <w:szCs w:val="32"/>
          <w:highlight w:val="none"/>
          <w:lang w:bidi="en-US"/>
        </w:rPr>
      </w:pPr>
      <w:r>
        <w:rPr>
          <w:color w:val="000000"/>
          <w:szCs w:val="32"/>
          <w:highlight w:val="none"/>
          <w:lang w:bidi="en-US"/>
        </w:rPr>
        <w:t xml:space="preserve">3.3.3 </w:t>
      </w:r>
      <w:r>
        <w:rPr>
          <w:color w:val="000000"/>
          <w:szCs w:val="32"/>
          <w:highlight w:val="none"/>
          <w:lang w:val="zh-CN" w:bidi="zh-CN"/>
        </w:rPr>
        <w:t>承包人无正当理由拒绝撤换主要施工管理人员的违约责任：</w:t>
      </w:r>
      <w:r>
        <w:rPr>
          <w:color w:val="000000"/>
          <w:szCs w:val="32"/>
          <w:highlight w:val="none"/>
          <w:u w:val="single"/>
          <w:lang w:bidi="en-US"/>
        </w:rPr>
        <w:t xml:space="preserve"> </w:t>
      </w:r>
      <w:r>
        <w:rPr>
          <w:color w:val="000000"/>
          <w:szCs w:val="32"/>
          <w:highlight w:val="none"/>
          <w:u w:val="single"/>
          <w:lang w:val="zh-CN" w:bidi="zh-CN"/>
        </w:rPr>
        <w:t>处以合同总额0.5%的违约金并不再对承包人的进度款支付进行审批直至承包人更换为止，并且继续更换资格等级和能力不得低于被更换人员的合适人员</w:t>
      </w:r>
      <w:r>
        <w:rPr>
          <w:color w:val="000000"/>
          <w:szCs w:val="32"/>
          <w:highlight w:val="none"/>
          <w:u w:val="single"/>
          <w:lang w:bidi="en-US"/>
        </w:rPr>
        <w:t xml:space="preserve">  </w:t>
      </w:r>
      <w:r>
        <w:rPr>
          <w:color w:val="000000"/>
          <w:szCs w:val="32"/>
          <w:highlight w:val="none"/>
          <w:lang w:val="zh-CN" w:bidi="zh-CN"/>
        </w:rPr>
        <w:t>。</w:t>
      </w:r>
    </w:p>
    <w:p w14:paraId="7CD389C5">
      <w:pPr>
        <w:pStyle w:val="88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color w:val="000000"/>
          <w:szCs w:val="32"/>
          <w:highlight w:val="none"/>
          <w:u w:val="single"/>
          <w:lang w:bidi="en-US"/>
        </w:rPr>
      </w:pPr>
      <w:r>
        <w:rPr>
          <w:color w:val="000000"/>
          <w:szCs w:val="32"/>
          <w:highlight w:val="none"/>
          <w:lang w:bidi="en-US"/>
        </w:rPr>
        <w:t xml:space="preserve">3.3.4 </w:t>
      </w:r>
      <w:r>
        <w:rPr>
          <w:color w:val="000000"/>
          <w:szCs w:val="32"/>
          <w:highlight w:val="none"/>
          <w:lang w:val="zh-CN" w:bidi="zh-CN"/>
        </w:rPr>
        <w:t>承包人主要施工管理人员离开施工现场的批准要求：</w:t>
      </w:r>
      <w:r>
        <w:rPr>
          <w:rFonts w:hint="eastAsia"/>
          <w:color w:val="000000"/>
          <w:szCs w:val="32"/>
          <w:highlight w:val="none"/>
          <w:u w:val="single"/>
          <w:lang w:bidi="en-US"/>
        </w:rPr>
        <w:t xml:space="preserve">  </w:t>
      </w:r>
      <w:r>
        <w:rPr>
          <w:color w:val="000000"/>
          <w:szCs w:val="32"/>
          <w:highlight w:val="none"/>
          <w:u w:val="single"/>
          <w:lang w:val="zh-CN" w:bidi="zh-CN"/>
        </w:rPr>
        <w:t>主要施工管理人员指：项目经理、项目副经理、技术负责人、安全负责人，须经发包人代表同意</w:t>
      </w:r>
      <w:r>
        <w:rPr>
          <w:color w:val="000000"/>
          <w:szCs w:val="32"/>
          <w:highlight w:val="none"/>
          <w:u w:val="single"/>
          <w:lang w:bidi="en-US"/>
        </w:rPr>
        <w:t xml:space="preserve">  </w:t>
      </w:r>
      <w:r>
        <w:rPr>
          <w:color w:val="000000"/>
          <w:szCs w:val="32"/>
          <w:highlight w:val="none"/>
          <w:lang w:val="zh-CN" w:bidi="zh-CN"/>
        </w:rPr>
        <w:t>。</w:t>
      </w:r>
    </w:p>
    <w:p w14:paraId="5A593D0E">
      <w:pPr>
        <w:pStyle w:val="88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color w:val="000000"/>
          <w:szCs w:val="32"/>
          <w:highlight w:val="none"/>
          <w:lang w:bidi="en-US"/>
        </w:rPr>
      </w:pPr>
      <w:r>
        <w:rPr>
          <w:color w:val="000000"/>
          <w:szCs w:val="32"/>
          <w:highlight w:val="none"/>
          <w:lang w:bidi="en-US"/>
        </w:rPr>
        <w:t>3.3.5</w:t>
      </w:r>
      <w:r>
        <w:rPr>
          <w:color w:val="000000"/>
          <w:szCs w:val="32"/>
          <w:highlight w:val="none"/>
          <w:lang w:val="zh-CN" w:bidi="zh-CN"/>
        </w:rPr>
        <w:t>承包人擅自更换主要施工管理人员的违约责任：</w:t>
      </w:r>
      <w:r>
        <w:rPr>
          <w:color w:val="000000"/>
          <w:szCs w:val="32"/>
          <w:highlight w:val="none"/>
          <w:u w:val="single"/>
          <w:lang w:bidi="en-US"/>
        </w:rPr>
        <w:t xml:space="preserve">  </w:t>
      </w:r>
      <w:r>
        <w:rPr>
          <w:color w:val="000000"/>
          <w:szCs w:val="32"/>
          <w:highlight w:val="none"/>
          <w:u w:val="single"/>
          <w:lang w:val="zh-CN" w:bidi="zh-CN"/>
        </w:rPr>
        <w:t xml:space="preserve">承包人不得自行更换主要施工管理人员，特殊情况确需更换的，必须经发包人同意，且接替人员的资格等级和能力不得低于被替换人员；承包人擅自更换主要施工管理人员的，发包人有权处以5万元违约金直至终止施工承包合同 </w:t>
      </w:r>
      <w:r>
        <w:rPr>
          <w:color w:val="000000"/>
          <w:szCs w:val="32"/>
          <w:highlight w:val="none"/>
          <w:u w:val="single"/>
          <w:lang w:bidi="en-US"/>
        </w:rPr>
        <w:t xml:space="preserve">  </w:t>
      </w:r>
      <w:r>
        <w:rPr>
          <w:color w:val="000000"/>
          <w:szCs w:val="32"/>
          <w:highlight w:val="none"/>
          <w:lang w:val="zh-CN" w:bidi="zh-CN"/>
        </w:rPr>
        <w:t>。</w:t>
      </w:r>
    </w:p>
    <w:p w14:paraId="2C8830E8">
      <w:pPr>
        <w:pStyle w:val="88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jc w:val="both"/>
        <w:rPr>
          <w:color w:val="000000"/>
          <w:szCs w:val="32"/>
          <w:highlight w:val="none"/>
          <w:lang w:bidi="en-US"/>
        </w:rPr>
      </w:pPr>
      <w:r>
        <w:rPr>
          <w:color w:val="000000"/>
          <w:szCs w:val="32"/>
          <w:highlight w:val="none"/>
          <w:lang w:val="zh-CN" w:bidi="zh-CN"/>
        </w:rPr>
        <w:t>承包人主要施工管理人员擅自离开施工现场的违约责任：</w:t>
      </w:r>
      <w:r>
        <w:rPr>
          <w:color w:val="000000"/>
          <w:szCs w:val="32"/>
          <w:highlight w:val="none"/>
          <w:u w:val="single"/>
          <w:lang w:bidi="en-US"/>
        </w:rPr>
        <w:t xml:space="preserve"> </w:t>
      </w:r>
      <w:r>
        <w:rPr>
          <w:color w:val="000000"/>
          <w:szCs w:val="32"/>
          <w:highlight w:val="none"/>
          <w:u w:val="single"/>
          <w:lang w:val="zh-CN" w:bidi="zh-CN"/>
        </w:rPr>
        <w:t>处3000元/天/人违约金</w:t>
      </w:r>
      <w:r>
        <w:rPr>
          <w:color w:val="000000"/>
          <w:szCs w:val="32"/>
          <w:highlight w:val="none"/>
          <w:u w:val="single"/>
          <w:lang w:bidi="en-US"/>
        </w:rPr>
        <w:t xml:space="preserve">   </w:t>
      </w:r>
      <w:r>
        <w:rPr>
          <w:color w:val="000000"/>
          <w:szCs w:val="32"/>
          <w:highlight w:val="none"/>
          <w:lang w:val="zh-CN" w:bidi="zh-CN"/>
        </w:rPr>
        <w:t>。</w:t>
      </w:r>
    </w:p>
    <w:p w14:paraId="7FC9008E">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w:t>
      </w:r>
      <w:bookmarkStart w:id="501" w:name="_Toc312677988"/>
      <w:bookmarkStart w:id="502" w:name="_Toc297048345"/>
      <w:bookmarkStart w:id="503" w:name="_Toc292559364"/>
      <w:bookmarkStart w:id="504" w:name="_Toc297120459"/>
      <w:bookmarkStart w:id="505" w:name="_Toc296890987"/>
      <w:bookmarkStart w:id="506" w:name="_Toc297123492"/>
      <w:bookmarkStart w:id="507" w:name="_Toc304295523"/>
      <w:bookmarkStart w:id="508" w:name="_Toc292559869"/>
      <w:bookmarkStart w:id="509" w:name="_Toc296346660"/>
      <w:bookmarkStart w:id="510" w:name="_Toc303539102"/>
      <w:bookmarkStart w:id="511" w:name="_Toc296503159"/>
      <w:bookmarkStart w:id="512" w:name="_Toc296891199"/>
      <w:bookmarkStart w:id="513" w:name="_Toc300934945"/>
      <w:bookmarkStart w:id="514" w:name="_Toc297216151"/>
      <w:bookmarkStart w:id="515" w:name="_Toc296347158"/>
      <w:bookmarkStart w:id="516" w:name="_Toc296944498"/>
      <w:r>
        <w:rPr>
          <w:rFonts w:ascii="宋体" w:hAnsi="宋体"/>
          <w:color w:val="000000"/>
          <w:sz w:val="24"/>
          <w:szCs w:val="24"/>
          <w:highlight w:val="none"/>
        </w:rPr>
        <w:t>.5 分包</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14:paraId="5D274457">
      <w:pPr>
        <w:spacing w:line="360" w:lineRule="auto"/>
        <w:ind w:firstLine="480" w:firstLineChars="200"/>
        <w:rPr>
          <w:rFonts w:ascii="宋体" w:hAnsi="宋体"/>
          <w:sz w:val="24"/>
          <w:szCs w:val="24"/>
          <w:highlight w:val="none"/>
        </w:rPr>
      </w:pPr>
      <w:r>
        <w:rPr>
          <w:rFonts w:ascii="宋体" w:hAnsi="宋体"/>
          <w:sz w:val="24"/>
          <w:szCs w:val="24"/>
          <w:highlight w:val="none"/>
        </w:rPr>
        <w:t>3</w:t>
      </w:r>
      <w:bookmarkStart w:id="517" w:name="_Toc297216152"/>
      <w:bookmarkStart w:id="518" w:name="_Toc296503160"/>
      <w:bookmarkStart w:id="519" w:name="_Toc297123493"/>
      <w:bookmarkStart w:id="520" w:name="_Toc296346661"/>
      <w:bookmarkStart w:id="521" w:name="_Toc292559870"/>
      <w:bookmarkStart w:id="522" w:name="_Toc304295524"/>
      <w:bookmarkStart w:id="523" w:name="_Toc296891200"/>
      <w:bookmarkStart w:id="524" w:name="_Toc296944499"/>
      <w:bookmarkStart w:id="525" w:name="_Toc303539103"/>
      <w:bookmarkStart w:id="526" w:name="_Toc297120460"/>
      <w:bookmarkStart w:id="527" w:name="_Toc292559365"/>
      <w:bookmarkStart w:id="528" w:name="_Toc296347159"/>
      <w:bookmarkStart w:id="529" w:name="_Toc297048346"/>
      <w:bookmarkStart w:id="530" w:name="_Toc300934946"/>
      <w:bookmarkStart w:id="531" w:name="_Toc296890988"/>
      <w:bookmarkStart w:id="532" w:name="_Toc318581158"/>
      <w:bookmarkStart w:id="533" w:name="_Toc312677989"/>
      <w:r>
        <w:rPr>
          <w:rFonts w:ascii="宋体" w:hAnsi="宋体"/>
          <w:sz w:val="24"/>
          <w:szCs w:val="24"/>
          <w:highlight w:val="none"/>
        </w:rPr>
        <w:t>.5.1 分包的一般约定</w:t>
      </w:r>
    </w:p>
    <w:p w14:paraId="4675A814">
      <w:pPr>
        <w:spacing w:line="360" w:lineRule="auto"/>
        <w:ind w:firstLine="480" w:firstLineChars="200"/>
        <w:jc w:val="left"/>
        <w:rPr>
          <w:rFonts w:ascii="宋体" w:hAnsi="宋体"/>
          <w:color w:val="000000"/>
          <w:sz w:val="24"/>
          <w:szCs w:val="24"/>
          <w:highlight w:val="none"/>
        </w:rPr>
      </w:pPr>
      <w:r>
        <w:rPr>
          <w:rFonts w:ascii="宋体" w:hAnsi="宋体"/>
          <w:sz w:val="24"/>
          <w:szCs w:val="24"/>
          <w:highlight w:val="none"/>
        </w:rPr>
        <w:t>禁止分包的工程包括：</w:t>
      </w:r>
      <w:r>
        <w:rPr>
          <w:rFonts w:hint="eastAsia" w:ascii="宋体" w:hAnsi="宋体"/>
          <w:color w:val="000000"/>
          <w:sz w:val="24"/>
          <w:szCs w:val="24"/>
          <w:highlight w:val="none"/>
          <w:u w:val="single"/>
        </w:rPr>
        <w:t xml:space="preserve">  本项目图纸及工程量清单中所有内容均不可分包</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ABDE561">
      <w:pPr>
        <w:spacing w:line="360" w:lineRule="auto"/>
        <w:ind w:firstLine="480" w:firstLineChars="200"/>
        <w:jc w:val="left"/>
        <w:rPr>
          <w:rFonts w:ascii="宋体" w:hAnsi="宋体"/>
          <w:color w:val="000000"/>
          <w:sz w:val="24"/>
          <w:szCs w:val="24"/>
          <w:highlight w:val="none"/>
        </w:rPr>
      </w:pPr>
      <w:r>
        <w:rPr>
          <w:rFonts w:ascii="宋体" w:hAnsi="宋体"/>
          <w:sz w:val="24"/>
          <w:szCs w:val="24"/>
          <w:highlight w:val="none"/>
        </w:rPr>
        <w:t>主体结构、关键性工作的范围：</w:t>
      </w:r>
      <w:r>
        <w:rPr>
          <w:rFonts w:hint="eastAsia" w:ascii="宋体" w:hAnsi="宋体"/>
          <w:color w:val="000000"/>
          <w:sz w:val="24"/>
          <w:szCs w:val="24"/>
          <w:highlight w:val="none"/>
          <w:u w:val="single"/>
        </w:rPr>
        <w:t xml:space="preserve">  装修及安装。本工程主体工程不允许分包，专业分包须经施工监理、发包人审核同意，且分包人具有相应分包工程的资质，并服从承包人的管理   </w:t>
      </w:r>
      <w:r>
        <w:rPr>
          <w:rFonts w:ascii="宋体" w:hAnsi="宋体"/>
          <w:color w:val="000000"/>
          <w:sz w:val="24"/>
          <w:szCs w:val="24"/>
          <w:highlight w:val="none"/>
          <w:u w:val="single"/>
        </w:rPr>
        <w:t xml:space="preserve">  </w:t>
      </w:r>
      <w:r>
        <w:rPr>
          <w:rFonts w:ascii="宋体" w:hAnsi="宋体"/>
          <w:color w:val="000000"/>
          <w:sz w:val="24"/>
          <w:szCs w:val="24"/>
          <w:highlight w:val="none"/>
        </w:rPr>
        <w:t>。</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Start w:id="534" w:name="_Toc297216153"/>
      <w:bookmarkStart w:id="535" w:name="_Toc296891201"/>
      <w:bookmarkStart w:id="536" w:name="_Toc304295525"/>
      <w:bookmarkStart w:id="537" w:name="_Toc296944500"/>
      <w:bookmarkStart w:id="538" w:name="_Toc303539104"/>
      <w:bookmarkStart w:id="539" w:name="_Toc296346662"/>
      <w:bookmarkStart w:id="540" w:name="_Toc296503161"/>
      <w:bookmarkStart w:id="541" w:name="_Toc296890989"/>
      <w:bookmarkStart w:id="542" w:name="_Toc297120461"/>
      <w:bookmarkStart w:id="543" w:name="_Toc300934947"/>
      <w:bookmarkStart w:id="544" w:name="_Toc297048347"/>
      <w:bookmarkStart w:id="545" w:name="_Toc296347160"/>
      <w:bookmarkStart w:id="546" w:name="_Toc297123494"/>
    </w:p>
    <w:p w14:paraId="51E88373">
      <w:pPr>
        <w:spacing w:line="360" w:lineRule="auto"/>
        <w:ind w:firstLine="480" w:firstLineChars="200"/>
        <w:jc w:val="left"/>
        <w:rPr>
          <w:rFonts w:ascii="宋体" w:hAnsi="宋体"/>
          <w:sz w:val="24"/>
          <w:szCs w:val="24"/>
          <w:highlight w:val="none"/>
        </w:rPr>
      </w:pP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5215731C">
      <w:pPr>
        <w:spacing w:line="360" w:lineRule="auto"/>
        <w:ind w:firstLine="480" w:firstLineChars="200"/>
        <w:jc w:val="left"/>
        <w:rPr>
          <w:rFonts w:ascii="宋体" w:hAnsi="宋体"/>
          <w:sz w:val="24"/>
          <w:szCs w:val="24"/>
          <w:highlight w:val="none"/>
        </w:rPr>
      </w:pPr>
      <w:r>
        <w:rPr>
          <w:rFonts w:ascii="宋体" w:hAnsi="宋体"/>
          <w:sz w:val="24"/>
          <w:szCs w:val="24"/>
          <w:highlight w:val="none"/>
        </w:rPr>
        <w:t>3</w:t>
      </w:r>
      <w:bookmarkStart w:id="547" w:name="_Toc318581159"/>
      <w:bookmarkStart w:id="548" w:name="_Toc312677990"/>
      <w:r>
        <w:rPr>
          <w:rFonts w:ascii="宋体" w:hAnsi="宋体"/>
          <w:sz w:val="24"/>
          <w:szCs w:val="24"/>
          <w:highlight w:val="none"/>
        </w:rPr>
        <w:t>.5.2分包的确定</w:t>
      </w:r>
    </w:p>
    <w:p w14:paraId="1BEDCDD8">
      <w:pPr>
        <w:spacing w:line="360" w:lineRule="auto"/>
        <w:ind w:firstLine="480" w:firstLineChars="200"/>
        <w:rPr>
          <w:rFonts w:ascii="宋体" w:hAnsi="宋体"/>
          <w:color w:val="000000"/>
          <w:sz w:val="24"/>
          <w:szCs w:val="24"/>
          <w:highlight w:val="none"/>
          <w:u w:val="single"/>
        </w:rPr>
      </w:pPr>
      <w:r>
        <w:rPr>
          <w:rFonts w:ascii="宋体" w:hAnsi="宋体"/>
          <w:sz w:val="24"/>
          <w:szCs w:val="24"/>
          <w:highlight w:val="none"/>
        </w:rPr>
        <w:t>允许分包的专业工程包括：</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无</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3186EA8">
      <w:pPr>
        <w:spacing w:line="360" w:lineRule="auto"/>
        <w:ind w:firstLine="480" w:firstLineChars="200"/>
        <w:rPr>
          <w:rFonts w:hint="eastAsia" w:ascii="宋体" w:hAnsi="宋体" w:eastAsia="宋体"/>
          <w:color w:val="000000"/>
          <w:sz w:val="24"/>
          <w:szCs w:val="24"/>
          <w:highlight w:val="none"/>
          <w:u w:val="single"/>
          <w:lang w:val="en-US" w:eastAsia="zh-CN"/>
        </w:rPr>
      </w:pPr>
      <w:r>
        <w:rPr>
          <w:rFonts w:ascii="宋体" w:hAnsi="宋体"/>
          <w:color w:val="000000"/>
          <w:sz w:val="24"/>
          <w:szCs w:val="24"/>
          <w:highlight w:val="none"/>
        </w:rPr>
        <w:t>其他关于分包的约定：</w:t>
      </w:r>
      <w:r>
        <w:rPr>
          <w:rFonts w:hint="eastAsia" w:ascii="宋体" w:hAnsi="宋体"/>
          <w:color w:val="000000"/>
          <w:sz w:val="24"/>
          <w:szCs w:val="24"/>
          <w:highlight w:val="none"/>
          <w:lang w:val="en-US" w:eastAsia="zh-CN"/>
        </w:rPr>
        <w:t>无</w:t>
      </w:r>
    </w:p>
    <w:p w14:paraId="5FDC01F2">
      <w:pPr>
        <w:spacing w:line="360" w:lineRule="auto"/>
        <w:ind w:firstLine="480" w:firstLineChars="200"/>
        <w:rPr>
          <w:rFonts w:ascii="宋体" w:hAnsi="宋体"/>
          <w:sz w:val="24"/>
          <w:szCs w:val="24"/>
          <w:highlight w:val="none"/>
        </w:rPr>
      </w:pPr>
    </w:p>
    <w:p w14:paraId="1D9AE6C7">
      <w:pPr>
        <w:spacing w:line="360" w:lineRule="auto"/>
        <w:ind w:firstLine="480" w:firstLineChars="200"/>
        <w:rPr>
          <w:rFonts w:ascii="宋体" w:hAnsi="宋体"/>
          <w:sz w:val="24"/>
          <w:szCs w:val="24"/>
          <w:highlight w:val="none"/>
        </w:rPr>
      </w:pPr>
      <w:r>
        <w:rPr>
          <w:rFonts w:ascii="宋体" w:hAnsi="宋体"/>
          <w:sz w:val="24"/>
          <w:szCs w:val="24"/>
          <w:highlight w:val="none"/>
        </w:rPr>
        <w:t>3.5.4 分包合同价款</w:t>
      </w:r>
    </w:p>
    <w:p w14:paraId="2206482D">
      <w:pPr>
        <w:spacing w:line="360" w:lineRule="auto"/>
        <w:ind w:firstLine="480" w:firstLineChars="200"/>
        <w:rPr>
          <w:rFonts w:ascii="宋体" w:hAnsi="宋体"/>
          <w:sz w:val="24"/>
          <w:szCs w:val="24"/>
          <w:highlight w:val="none"/>
          <w:u w:val="single"/>
        </w:rPr>
      </w:pPr>
      <w:r>
        <w:rPr>
          <w:rFonts w:ascii="宋体" w:hAnsi="宋体"/>
          <w:sz w:val="24"/>
          <w:szCs w:val="24"/>
          <w:highlight w:val="none"/>
        </w:rPr>
        <w:t>关于分包合同价款支付的约定：</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无</w:t>
      </w:r>
    </w:p>
    <w:bookmarkEnd w:id="547"/>
    <w:bookmarkEnd w:id="548"/>
    <w:p w14:paraId="7DE9BCAF">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3.6 工程照管与成品、半成品保护</w:t>
      </w:r>
    </w:p>
    <w:p w14:paraId="0AF87A3E">
      <w:pPr>
        <w:spacing w:before="120" w:after="120" w:line="360" w:lineRule="auto"/>
        <w:ind w:firstLine="480" w:firstLineChars="200"/>
        <w:rPr>
          <w:rFonts w:ascii="宋体" w:hAnsi="宋体"/>
          <w:color w:val="000000"/>
          <w:kern w:val="0"/>
          <w:sz w:val="24"/>
          <w:szCs w:val="24"/>
          <w:highlight w:val="none"/>
          <w:u w:val="single"/>
        </w:rPr>
      </w:pPr>
      <w:r>
        <w:rPr>
          <w:rFonts w:ascii="宋体" w:hAnsi="宋体"/>
          <w:color w:val="000000"/>
          <w:kern w:val="0"/>
          <w:sz w:val="24"/>
          <w:szCs w:val="24"/>
          <w:highlight w:val="none"/>
        </w:rPr>
        <w:t>承包人负责照管工程及工程相关的材料、工程设备的起始时间：</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相关材料、设备进场后至移交建设单位接管完毕</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797648F4">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3.7 履约担保</w:t>
      </w:r>
    </w:p>
    <w:p w14:paraId="49D9ADD4">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承包人是否提供履约担保：</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是</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EEE7B2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承包人提供履约担保的形式</w:t>
      </w:r>
      <w:r>
        <w:rPr>
          <w:rFonts w:hint="eastAsia" w:ascii="宋体" w:hAnsi="宋体"/>
          <w:color w:val="000000"/>
          <w:sz w:val="24"/>
          <w:szCs w:val="24"/>
          <w:highlight w:val="none"/>
        </w:rPr>
        <w:t>、金额及期限的</w:t>
      </w:r>
      <w:r>
        <w:rPr>
          <w:rFonts w:ascii="宋体" w:hAnsi="宋体"/>
          <w:color w:val="000000"/>
          <w:sz w:val="24"/>
          <w:szCs w:val="24"/>
          <w:highlight w:val="non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合同签订前承包人提供履约担保，履约担保以银行保函进行担保；担保金额为合同金额的10%，期限至项目竣工验收合格之日，且承包人退场后的</w:t>
      </w:r>
      <w:r>
        <w:rPr>
          <w:rFonts w:ascii="宋体" w:hAnsi="宋体"/>
          <w:color w:val="000000"/>
          <w:sz w:val="24"/>
          <w:szCs w:val="24"/>
          <w:highlight w:val="none"/>
          <w:u w:val="single"/>
        </w:rPr>
        <w:t>15</w:t>
      </w:r>
      <w:r>
        <w:rPr>
          <w:rFonts w:hint="eastAsia" w:ascii="宋体" w:hAnsi="宋体"/>
          <w:color w:val="000000"/>
          <w:sz w:val="24"/>
          <w:szCs w:val="24"/>
          <w:highlight w:val="none"/>
          <w:u w:val="single"/>
        </w:rPr>
        <w:t>日内，但因结算发生重大争议，发包人认为承包人须支付给发包人的违约金超过了结算后发包人可能需支付给承包人的金额的除外（质量保修金除外）</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DF7588A">
      <w:pPr>
        <w:pStyle w:val="7"/>
        <w:spacing w:before="120" w:after="120" w:line="360" w:lineRule="auto"/>
        <w:rPr>
          <w:rFonts w:ascii="宋体" w:hAnsi="宋体"/>
          <w:b w:val="0"/>
          <w:color w:val="000000"/>
          <w:szCs w:val="24"/>
          <w:highlight w:val="none"/>
        </w:rPr>
      </w:pPr>
      <w:bookmarkStart w:id="549" w:name="_Toc351203636"/>
      <w:r>
        <w:rPr>
          <w:rFonts w:ascii="宋体" w:hAnsi="宋体"/>
          <w:b w:val="0"/>
          <w:color w:val="000000"/>
          <w:szCs w:val="24"/>
          <w:highlight w:val="none"/>
        </w:rPr>
        <w:t>4</w:t>
      </w:r>
      <w:bookmarkStart w:id="550" w:name="_Toc296891202"/>
      <w:bookmarkStart w:id="551" w:name="_Toc296944501"/>
      <w:bookmarkStart w:id="552" w:name="_Toc296890990"/>
      <w:bookmarkStart w:id="553" w:name="_Toc292559871"/>
      <w:bookmarkStart w:id="554" w:name="_Toc297120462"/>
      <w:bookmarkStart w:id="555" w:name="_Toc296347161"/>
      <w:bookmarkStart w:id="556" w:name="_Toc296503162"/>
      <w:bookmarkStart w:id="557" w:name="_Toc297048348"/>
      <w:bookmarkStart w:id="558" w:name="_Toc296346663"/>
      <w:bookmarkStart w:id="559" w:name="_Toc267251413"/>
      <w:bookmarkStart w:id="560" w:name="_Toc292559366"/>
      <w:r>
        <w:rPr>
          <w:rFonts w:ascii="宋体" w:hAnsi="宋体"/>
          <w:b w:val="0"/>
          <w:color w:val="000000"/>
          <w:szCs w:val="24"/>
          <w:highlight w:val="none"/>
        </w:rPr>
        <w:t>. 监</w:t>
      </w:r>
      <w:bookmarkEnd w:id="550"/>
      <w:bookmarkEnd w:id="551"/>
      <w:bookmarkEnd w:id="552"/>
      <w:bookmarkEnd w:id="553"/>
      <w:bookmarkEnd w:id="554"/>
      <w:bookmarkEnd w:id="555"/>
      <w:bookmarkEnd w:id="556"/>
      <w:bookmarkEnd w:id="557"/>
      <w:bookmarkEnd w:id="558"/>
      <w:bookmarkEnd w:id="559"/>
      <w:bookmarkEnd w:id="560"/>
      <w:r>
        <w:rPr>
          <w:rFonts w:ascii="宋体" w:hAnsi="宋体"/>
          <w:b w:val="0"/>
          <w:color w:val="000000"/>
          <w:szCs w:val="24"/>
          <w:highlight w:val="none"/>
        </w:rPr>
        <w:t>理人</w:t>
      </w:r>
      <w:bookmarkEnd w:id="549"/>
    </w:p>
    <w:p w14:paraId="750C8A02">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4.1监理人的一般规定</w:t>
      </w:r>
    </w:p>
    <w:p w14:paraId="7D1773C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关于监理人的监理内容：</w:t>
      </w:r>
      <w:r>
        <w:rPr>
          <w:rFonts w:ascii="宋体" w:hAnsi="宋体"/>
          <w:color w:val="000000"/>
          <w:sz w:val="24"/>
          <w:szCs w:val="24"/>
          <w:highlight w:val="none"/>
          <w:u w:val="single"/>
        </w:rPr>
        <w:t xml:space="preserve">  </w:t>
      </w:r>
      <w:r>
        <w:rPr>
          <w:rFonts w:hint="eastAsia" w:ascii="宋体" w:hAnsi="宋体"/>
          <w:sz w:val="24"/>
          <w:highlight w:val="none"/>
          <w:u w:val="single"/>
        </w:rPr>
        <w:t>2025年奥吉大厦装修及仓储场地翻新项目施工图纸范围内全部工程的施工监理</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，详见《监理合同》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07C249B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关于监理人的监理权限：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详见《监理合同》</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w:t>
      </w:r>
    </w:p>
    <w:p w14:paraId="02D9934E">
      <w:pPr>
        <w:spacing w:line="360" w:lineRule="auto"/>
        <w:ind w:firstLine="480" w:firstLineChars="200"/>
        <w:rPr>
          <w:rFonts w:ascii="宋体" w:hAnsi="宋体"/>
          <w:color w:val="000000"/>
          <w:sz w:val="24"/>
          <w:szCs w:val="24"/>
          <w:highlight w:val="none"/>
          <w:u w:val="single"/>
        </w:rPr>
      </w:pPr>
      <w:r>
        <w:rPr>
          <w:rFonts w:ascii="宋体" w:hAnsi="宋体"/>
          <w:color w:val="000000"/>
          <w:sz w:val="24"/>
          <w:szCs w:val="24"/>
          <w:highlight w:val="none"/>
        </w:rPr>
        <w:t>关于监理人在施工现场的办公场所、生活场所的提供和费用承担的约定：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FF4B9E0">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4.2 监理人员</w:t>
      </w:r>
    </w:p>
    <w:p w14:paraId="1A8BBC7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总监理工程师：</w:t>
      </w:r>
    </w:p>
    <w:p w14:paraId="7DC9F5F9">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姓    名：</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7EE3C0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职    务：</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7EDBA4E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联系电话：</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B522515">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电子信箱：</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29657783">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通信地址：</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79E554D0">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4.4 商定或确定</w:t>
      </w:r>
    </w:p>
    <w:p w14:paraId="6DF3A100">
      <w:pPr>
        <w:spacing w:line="360" w:lineRule="auto"/>
        <w:ind w:firstLine="480" w:firstLineChars="200"/>
        <w:rPr>
          <w:rFonts w:ascii="宋体" w:hAnsi="宋体"/>
          <w:color w:val="000000"/>
          <w:sz w:val="24"/>
          <w:szCs w:val="24"/>
          <w:highlight w:val="none"/>
        </w:rPr>
      </w:pPr>
      <w:bookmarkStart w:id="561" w:name="_Toc267251418"/>
      <w:r>
        <w:rPr>
          <w:rFonts w:ascii="宋体" w:hAnsi="宋体"/>
          <w:color w:val="000000"/>
          <w:sz w:val="24"/>
          <w:szCs w:val="24"/>
          <w:highlight w:val="none"/>
        </w:rPr>
        <w:t>在发包人和承包人不能通过协商达成一致意见时，发包人授权监理人对以下事项进行确定：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rPr>
        <w:t>。</w:t>
      </w:r>
    </w:p>
    <w:p w14:paraId="0597F852">
      <w:pPr>
        <w:pStyle w:val="7"/>
        <w:spacing w:before="120" w:after="120" w:line="360" w:lineRule="auto"/>
        <w:rPr>
          <w:rFonts w:ascii="宋体" w:hAnsi="宋体"/>
          <w:b w:val="0"/>
          <w:color w:val="000000"/>
          <w:szCs w:val="24"/>
          <w:highlight w:val="none"/>
        </w:rPr>
      </w:pPr>
      <w:bookmarkStart w:id="562" w:name="_Toc351203637"/>
      <w:r>
        <w:rPr>
          <w:rFonts w:ascii="宋体" w:hAnsi="宋体"/>
          <w:b w:val="0"/>
          <w:color w:val="000000"/>
          <w:szCs w:val="24"/>
          <w:highlight w:val="none"/>
        </w:rPr>
        <w:t>5</w:t>
      </w:r>
      <w:bookmarkEnd w:id="561"/>
      <w:bookmarkStart w:id="563" w:name="_Toc296944502"/>
      <w:bookmarkStart w:id="564" w:name="_Toc292559367"/>
      <w:bookmarkStart w:id="565" w:name="_Toc297048349"/>
      <w:bookmarkStart w:id="566" w:name="_Toc296891203"/>
      <w:bookmarkStart w:id="567" w:name="_Toc296347162"/>
      <w:bookmarkStart w:id="568" w:name="_Toc296346664"/>
      <w:bookmarkStart w:id="569" w:name="_Toc297120463"/>
      <w:bookmarkStart w:id="570" w:name="_Toc296503163"/>
      <w:bookmarkStart w:id="571" w:name="_Toc296890991"/>
      <w:bookmarkStart w:id="572" w:name="_Toc292559872"/>
      <w:r>
        <w:rPr>
          <w:rFonts w:ascii="宋体" w:hAnsi="宋体"/>
          <w:b w:val="0"/>
          <w:color w:val="000000"/>
          <w:szCs w:val="24"/>
          <w:highlight w:val="none"/>
        </w:rPr>
        <w:t>. 工程质量</w:t>
      </w:r>
      <w:bookmarkEnd w:id="562"/>
    </w:p>
    <w:p w14:paraId="321E1FD5">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5.1 质量要求</w:t>
      </w:r>
    </w:p>
    <w:p w14:paraId="551AAE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jc w:val="left"/>
        <w:rPr>
          <w:highlight w:val="none"/>
          <w:u w:val="single"/>
        </w:rPr>
      </w:pPr>
      <w:r>
        <w:rPr>
          <w:rFonts w:ascii="宋体" w:hAnsi="宋体"/>
          <w:sz w:val="24"/>
          <w:szCs w:val="24"/>
          <w:highlight w:val="none"/>
        </w:rPr>
        <w:t>5</w:t>
      </w:r>
      <w:bookmarkStart w:id="573" w:name="_Toc312677997"/>
      <w:bookmarkStart w:id="574" w:name="_Toc303539106"/>
      <w:bookmarkStart w:id="575" w:name="_Toc304295527"/>
      <w:bookmarkStart w:id="576" w:name="_Toc300934949"/>
      <w:bookmarkStart w:id="577" w:name="_Toc297123496"/>
      <w:bookmarkStart w:id="578" w:name="_Toc318581164"/>
      <w:bookmarkStart w:id="579" w:name="_Toc297216155"/>
      <w:r>
        <w:rPr>
          <w:rFonts w:ascii="宋体" w:hAnsi="宋体"/>
          <w:sz w:val="24"/>
          <w:szCs w:val="24"/>
          <w:highlight w:val="none"/>
        </w:rPr>
        <w:t>.1.1 特殊质量标准和要求：</w:t>
      </w:r>
      <w:r>
        <w:rPr>
          <w:rFonts w:ascii="宋体" w:hAnsi="宋体"/>
          <w:sz w:val="24"/>
          <w:szCs w:val="24"/>
          <w:highlight w:val="none"/>
          <w:u w:val="single"/>
        </w:rPr>
        <w:t xml:space="preserve"> </w:t>
      </w:r>
    </w:p>
    <w:p w14:paraId="03378B6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）工程质量标准为一次性验收合格</w:t>
      </w:r>
      <w:r>
        <w:rPr>
          <w:rFonts w:ascii="宋体" w:hAnsi="宋体"/>
          <w:sz w:val="24"/>
          <w:szCs w:val="24"/>
          <w:highlight w:val="none"/>
        </w:rPr>
        <w:t>100%</w:t>
      </w:r>
      <w:r>
        <w:rPr>
          <w:rFonts w:hint="eastAsia" w:ascii="宋体" w:hAnsi="宋体"/>
          <w:sz w:val="24"/>
          <w:szCs w:val="24"/>
          <w:highlight w:val="none"/>
        </w:rPr>
        <w:t>。</w:t>
      </w:r>
    </w:p>
    <w:p w14:paraId="48B7F12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）隐蔽工程验收要求：没有发包人或监理工程师的批准</w:t>
      </w:r>
      <w:r>
        <w:rPr>
          <w:rFonts w:ascii="宋体" w:hAnsi="宋体"/>
          <w:sz w:val="24"/>
          <w:szCs w:val="24"/>
          <w:highlight w:val="none"/>
        </w:rPr>
        <w:t>,</w:t>
      </w:r>
      <w:r>
        <w:rPr>
          <w:rFonts w:hint="eastAsia" w:ascii="宋体" w:hAnsi="宋体"/>
          <w:sz w:val="24"/>
          <w:szCs w:val="24"/>
          <w:highlight w:val="none"/>
        </w:rPr>
        <w:t>任何工程均不得隐蔽。</w:t>
      </w:r>
      <w:r>
        <w:rPr>
          <w:highlight w:val="none"/>
          <w:u w:val="single"/>
        </w:rPr>
        <w:t xml:space="preserve">    </w:t>
      </w:r>
    </w:p>
    <w:p w14:paraId="53AAC5D9">
      <w:pPr>
        <w:spacing w:line="360" w:lineRule="auto"/>
        <w:ind w:firstLine="480" w:firstLineChars="200"/>
        <w:jc w:val="left"/>
        <w:rPr>
          <w:rFonts w:ascii="宋体" w:hAnsi="宋体"/>
          <w:color w:val="000000"/>
          <w:sz w:val="24"/>
          <w:szCs w:val="24"/>
          <w:highlight w:val="none"/>
        </w:rPr>
      </w:pPr>
      <w:r>
        <w:rPr>
          <w:rFonts w:ascii="宋体" w:hAnsi="宋体"/>
          <w:sz w:val="24"/>
          <w:szCs w:val="24"/>
          <w:highlight w:val="none"/>
        </w:rPr>
        <w:t>关于工程奖项的约定：</w:t>
      </w:r>
      <w:r>
        <w:rPr>
          <w:rFonts w:ascii="宋体" w:hAnsi="宋体"/>
          <w:sz w:val="24"/>
          <w:szCs w:val="24"/>
          <w:highlight w:val="none"/>
          <w:u w:val="single"/>
        </w:rPr>
        <w:t xml:space="preserve">     /      </w:t>
      </w:r>
      <w:r>
        <w:rPr>
          <w:rFonts w:ascii="宋体" w:hAnsi="宋体"/>
          <w:sz w:val="24"/>
          <w:szCs w:val="24"/>
          <w:highlight w:val="none"/>
        </w:rPr>
        <w:t>。</w:t>
      </w:r>
    </w:p>
    <w:p w14:paraId="5974F284">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5.3 隐蔽工程检查</w:t>
      </w:r>
    </w:p>
    <w:p w14:paraId="7688A63D">
      <w:pPr>
        <w:spacing w:line="360" w:lineRule="auto"/>
        <w:ind w:firstLine="480" w:firstLineChars="200"/>
        <w:jc w:val="left"/>
        <w:rPr>
          <w:rFonts w:ascii="宋体" w:hAnsi="宋体"/>
          <w:sz w:val="24"/>
          <w:szCs w:val="24"/>
          <w:highlight w:val="none"/>
        </w:rPr>
      </w:pPr>
      <w:r>
        <w:rPr>
          <w:rFonts w:ascii="宋体" w:hAnsi="宋体"/>
          <w:sz w:val="24"/>
          <w:szCs w:val="24"/>
          <w:highlight w:val="none"/>
        </w:rPr>
        <w:t>5.3.2承包人提前通知监理人隐蔽工程检查的期限的约定：</w:t>
      </w:r>
      <w:r>
        <w:rPr>
          <w:rFonts w:ascii="宋体" w:hAnsi="宋体"/>
          <w:sz w:val="24"/>
          <w:szCs w:val="24"/>
          <w:highlight w:val="none"/>
          <w:u w:val="single"/>
        </w:rPr>
        <w:t xml:space="preserve">  </w:t>
      </w:r>
      <w:r>
        <w:rPr>
          <w:rFonts w:hint="eastAsia" w:ascii="宋体" w:hAnsi="宋体"/>
          <w:sz w:val="24"/>
          <w:szCs w:val="24"/>
          <w:highlight w:val="none"/>
          <w:u w:val="single"/>
        </w:rPr>
        <w:t>提前48小时</w:t>
      </w:r>
      <w:r>
        <w:rPr>
          <w:rFonts w:ascii="宋体" w:hAnsi="宋体"/>
          <w:sz w:val="24"/>
          <w:szCs w:val="24"/>
          <w:highlight w:val="none"/>
          <w:u w:val="single"/>
        </w:rPr>
        <w:t xml:space="preserve">  </w:t>
      </w:r>
      <w:r>
        <w:rPr>
          <w:rFonts w:ascii="宋体" w:hAnsi="宋体"/>
          <w:sz w:val="24"/>
          <w:szCs w:val="24"/>
          <w:highlight w:val="none"/>
        </w:rPr>
        <w:t>。</w:t>
      </w:r>
    </w:p>
    <w:p w14:paraId="735E6EC3">
      <w:pPr>
        <w:spacing w:line="360" w:lineRule="auto"/>
        <w:ind w:firstLine="480" w:firstLineChars="200"/>
        <w:jc w:val="left"/>
        <w:rPr>
          <w:rFonts w:ascii="宋体" w:hAnsi="宋体"/>
          <w:sz w:val="24"/>
          <w:szCs w:val="24"/>
          <w:highlight w:val="none"/>
        </w:rPr>
      </w:pPr>
      <w:r>
        <w:rPr>
          <w:rFonts w:ascii="宋体" w:hAnsi="宋体"/>
          <w:sz w:val="24"/>
          <w:szCs w:val="24"/>
          <w:highlight w:val="none"/>
        </w:rPr>
        <w:t>监理人不能按时进行检查时，应提前</w:t>
      </w:r>
      <w:r>
        <w:rPr>
          <w:rFonts w:ascii="宋体" w:hAnsi="宋体"/>
          <w:sz w:val="24"/>
          <w:szCs w:val="24"/>
          <w:highlight w:val="none"/>
          <w:u w:val="single"/>
        </w:rPr>
        <w:t xml:space="preserve">  48  </w:t>
      </w:r>
      <w:r>
        <w:rPr>
          <w:rFonts w:ascii="宋体" w:hAnsi="宋体"/>
          <w:sz w:val="24"/>
          <w:szCs w:val="24"/>
          <w:highlight w:val="none"/>
        </w:rPr>
        <w:t>小时提交书面延期要求。</w:t>
      </w:r>
    </w:p>
    <w:p w14:paraId="08CC31BE">
      <w:pPr>
        <w:spacing w:line="360" w:lineRule="auto"/>
        <w:ind w:firstLine="480" w:firstLineChars="200"/>
        <w:jc w:val="left"/>
        <w:rPr>
          <w:rFonts w:ascii="宋体" w:hAnsi="宋体"/>
          <w:sz w:val="24"/>
          <w:szCs w:val="24"/>
          <w:highlight w:val="none"/>
        </w:rPr>
      </w:pPr>
      <w:r>
        <w:rPr>
          <w:rFonts w:ascii="宋体" w:hAnsi="宋体"/>
          <w:sz w:val="24"/>
          <w:szCs w:val="24"/>
          <w:highlight w:val="none"/>
        </w:rPr>
        <w:t>关于延期最长不得超过：</w:t>
      </w:r>
      <w:r>
        <w:rPr>
          <w:rFonts w:ascii="宋体" w:hAnsi="宋体"/>
          <w:sz w:val="24"/>
          <w:szCs w:val="24"/>
          <w:highlight w:val="none"/>
          <w:u w:val="single"/>
        </w:rPr>
        <w:t xml:space="preserve">  48  </w:t>
      </w:r>
      <w:r>
        <w:rPr>
          <w:rFonts w:ascii="宋体" w:hAnsi="宋体"/>
          <w:sz w:val="24"/>
          <w:szCs w:val="24"/>
          <w:highlight w:val="none"/>
        </w:rPr>
        <w:t>小时。</w:t>
      </w:r>
    </w:p>
    <w:p w14:paraId="1C9D0617">
      <w:pPr>
        <w:pStyle w:val="7"/>
        <w:spacing w:before="120" w:after="120" w:line="360" w:lineRule="auto"/>
        <w:rPr>
          <w:rFonts w:ascii="宋体" w:hAnsi="宋体"/>
          <w:b w:val="0"/>
          <w:color w:val="000000"/>
          <w:szCs w:val="24"/>
          <w:highlight w:val="none"/>
        </w:rPr>
      </w:pPr>
      <w:bookmarkStart w:id="580" w:name="_Toc351203638"/>
      <w:r>
        <w:rPr>
          <w:rFonts w:ascii="宋体" w:hAnsi="宋体"/>
          <w:b w:val="0"/>
          <w:color w:val="000000"/>
          <w:szCs w:val="24"/>
          <w:highlight w:val="none"/>
        </w:rPr>
        <w:t>6. 安全文明施工与环境保护</w:t>
      </w:r>
      <w:bookmarkEnd w:id="580"/>
    </w:p>
    <w:p w14:paraId="4EFF5F72">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6.1安全文明施工</w:t>
      </w:r>
    </w:p>
    <w:p w14:paraId="32244110">
      <w:pPr>
        <w:spacing w:line="360" w:lineRule="auto"/>
        <w:ind w:firstLine="480" w:firstLineChars="200"/>
        <w:jc w:val="left"/>
        <w:rPr>
          <w:rFonts w:ascii="宋体" w:hAnsi="宋体"/>
          <w:sz w:val="24"/>
          <w:szCs w:val="24"/>
          <w:highlight w:val="none"/>
          <w:u w:val="single"/>
        </w:rPr>
      </w:pPr>
      <w:r>
        <w:rPr>
          <w:rFonts w:ascii="宋体" w:hAnsi="宋体"/>
          <w:sz w:val="24"/>
          <w:szCs w:val="24"/>
          <w:highlight w:val="none"/>
        </w:rPr>
        <w:t>6.1.1</w:t>
      </w:r>
      <w:r>
        <w:rPr>
          <w:rFonts w:ascii="宋体" w:hAnsi="宋体"/>
          <w:color w:val="000000"/>
          <w:sz w:val="24"/>
          <w:szCs w:val="24"/>
          <w:highlight w:val="none"/>
        </w:rPr>
        <w:t xml:space="preserve"> 项目安全生产的达标目标及相应事项的约定：</w:t>
      </w:r>
      <w:r>
        <w:rPr>
          <w:rFonts w:ascii="宋体" w:hAnsi="宋体"/>
          <w:sz w:val="24"/>
          <w:szCs w:val="24"/>
          <w:highlight w:val="none"/>
          <w:u w:val="single"/>
        </w:rPr>
        <w:t xml:space="preserve">  </w:t>
      </w:r>
      <w:r>
        <w:rPr>
          <w:rFonts w:hint="eastAsia" w:ascii="宋体" w:hAnsi="宋体"/>
          <w:sz w:val="24"/>
          <w:szCs w:val="24"/>
          <w:highlight w:val="none"/>
          <w:u w:val="single"/>
        </w:rPr>
        <w:t>承包人必须按照《建设工程安全生产管理条例》和国家及上海市安全生产、文明施工的有关法规进行施工，并随时接受行业安全检查人员依法实施的监督检查，采取必要的安全防护措施，消除事故隐患。开工前与发包人签订安全、文明施工的责任协议书，落实安全、文明施工的具体措施，并对现场安全全面负责。</w:t>
      </w:r>
    </w:p>
    <w:p w14:paraId="35FD700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u w:val="single"/>
        </w:rPr>
        <w:t>安全文明施工标准应达到采购文件要求的等级，并符合国家或安全监督部门的合格条件。安全文明施工标准的评定以双方约定的标准为依据，且必须遵守国家的强制性标准</w:t>
      </w:r>
      <w:r>
        <w:rPr>
          <w:rFonts w:ascii="宋体" w:hAnsi="宋体"/>
          <w:sz w:val="24"/>
          <w:szCs w:val="24"/>
          <w:highlight w:val="none"/>
          <w:u w:val="single"/>
        </w:rPr>
        <w:t xml:space="preserve"> </w:t>
      </w:r>
      <w:r>
        <w:rPr>
          <w:rFonts w:ascii="宋体" w:hAnsi="宋体"/>
          <w:sz w:val="24"/>
          <w:szCs w:val="24"/>
          <w:highlight w:val="none"/>
        </w:rPr>
        <w:t>。</w:t>
      </w:r>
    </w:p>
    <w:p w14:paraId="56BEBD2A">
      <w:pPr>
        <w:spacing w:line="360" w:lineRule="auto"/>
        <w:ind w:firstLine="480" w:firstLineChars="200"/>
        <w:jc w:val="left"/>
        <w:rPr>
          <w:rFonts w:ascii="宋体" w:hAnsi="宋体"/>
          <w:sz w:val="24"/>
          <w:szCs w:val="24"/>
          <w:highlight w:val="none"/>
        </w:rPr>
      </w:pPr>
      <w:r>
        <w:rPr>
          <w:rFonts w:ascii="宋体" w:hAnsi="宋体"/>
          <w:sz w:val="24"/>
          <w:szCs w:val="24"/>
          <w:highlight w:val="none"/>
        </w:rPr>
        <w:t>6.1.4 关于治安保卫的特别约定：</w:t>
      </w:r>
      <w:r>
        <w:rPr>
          <w:rFonts w:ascii="宋体" w:hAnsi="宋体"/>
          <w:sz w:val="24"/>
          <w:szCs w:val="24"/>
          <w:highlight w:val="none"/>
          <w:u w:val="single"/>
        </w:rPr>
        <w:t xml:space="preserve">  </w:t>
      </w:r>
      <w:r>
        <w:rPr>
          <w:rFonts w:hint="eastAsia" w:ascii="宋体" w:hAnsi="宋体"/>
          <w:sz w:val="24"/>
          <w:szCs w:val="24"/>
          <w:highlight w:val="none"/>
          <w:u w:val="single"/>
        </w:rPr>
        <w:t>如有，另行约定</w:t>
      </w:r>
      <w:r>
        <w:rPr>
          <w:rFonts w:ascii="宋体" w:hAnsi="宋体"/>
          <w:sz w:val="24"/>
          <w:szCs w:val="24"/>
          <w:highlight w:val="none"/>
          <w:u w:val="single"/>
        </w:rPr>
        <w:t xml:space="preserve">    </w:t>
      </w:r>
      <w:r>
        <w:rPr>
          <w:rFonts w:ascii="宋体" w:hAnsi="宋体"/>
          <w:sz w:val="24"/>
          <w:szCs w:val="24"/>
          <w:highlight w:val="none"/>
        </w:rPr>
        <w:t>。</w:t>
      </w:r>
    </w:p>
    <w:p w14:paraId="6E6BD630">
      <w:pPr>
        <w:spacing w:line="360" w:lineRule="auto"/>
        <w:ind w:firstLine="480" w:firstLineChars="200"/>
        <w:jc w:val="left"/>
        <w:rPr>
          <w:rFonts w:ascii="宋体" w:hAnsi="宋体"/>
          <w:sz w:val="24"/>
          <w:szCs w:val="24"/>
          <w:highlight w:val="none"/>
        </w:rPr>
      </w:pPr>
      <w:r>
        <w:rPr>
          <w:rFonts w:ascii="宋体" w:hAnsi="宋体"/>
          <w:sz w:val="24"/>
          <w:szCs w:val="24"/>
          <w:highlight w:val="none"/>
        </w:rPr>
        <w:t>关于编制施工场地治安管理计划的约定：</w:t>
      </w:r>
      <w:r>
        <w:rPr>
          <w:rFonts w:ascii="宋体" w:hAnsi="宋体"/>
          <w:sz w:val="24"/>
          <w:szCs w:val="24"/>
          <w:highlight w:val="none"/>
          <w:u w:val="single"/>
        </w:rPr>
        <w:t xml:space="preserve">   </w:t>
      </w:r>
      <w:r>
        <w:rPr>
          <w:rFonts w:hint="eastAsia" w:ascii="宋体" w:hAnsi="宋体"/>
          <w:sz w:val="24"/>
          <w:szCs w:val="24"/>
          <w:highlight w:val="none"/>
          <w:u w:val="single"/>
        </w:rPr>
        <w:t>如有，另行约定</w:t>
      </w:r>
      <w:r>
        <w:rPr>
          <w:rFonts w:ascii="宋体" w:hAnsi="宋体"/>
          <w:sz w:val="24"/>
          <w:szCs w:val="24"/>
          <w:highlight w:val="none"/>
          <w:u w:val="single"/>
        </w:rPr>
        <w:t xml:space="preserve">    </w:t>
      </w:r>
      <w:r>
        <w:rPr>
          <w:rFonts w:ascii="宋体" w:hAnsi="宋体"/>
          <w:sz w:val="24"/>
          <w:szCs w:val="24"/>
          <w:highlight w:val="none"/>
        </w:rPr>
        <w:t>。</w:t>
      </w:r>
    </w:p>
    <w:p w14:paraId="3A04D8CA">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6.1.5 文明施工</w:t>
      </w:r>
    </w:p>
    <w:p w14:paraId="66FD7FD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合同当事人对文明施工的要求：</w:t>
      </w:r>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hint="eastAsia" w:ascii="宋体" w:hAnsi="宋体"/>
          <w:sz w:val="24"/>
          <w:szCs w:val="24"/>
          <w:highlight w:val="none"/>
        </w:rPr>
        <w:t>。</w:t>
      </w:r>
    </w:p>
    <w:p w14:paraId="261E5FBB">
      <w:pPr>
        <w:spacing w:line="360" w:lineRule="auto"/>
        <w:ind w:firstLine="480" w:firstLineChars="200"/>
        <w:jc w:val="left"/>
        <w:rPr>
          <w:rFonts w:ascii="宋体" w:hAnsi="宋体"/>
          <w:sz w:val="24"/>
          <w:szCs w:val="24"/>
          <w:highlight w:val="none"/>
        </w:rPr>
      </w:pPr>
      <w:r>
        <w:rPr>
          <w:rFonts w:ascii="宋体" w:hAnsi="宋体"/>
          <w:sz w:val="24"/>
          <w:szCs w:val="24"/>
          <w:highlight w:val="none"/>
        </w:rPr>
        <w:t>6.1.6 关于安全文明施工费支付比例和支付期限的约定：</w:t>
      </w:r>
      <w:r>
        <w:rPr>
          <w:rFonts w:ascii="宋体" w:hAnsi="宋体"/>
          <w:sz w:val="24"/>
          <w:szCs w:val="24"/>
          <w:highlight w:val="none"/>
          <w:u w:val="single"/>
        </w:rPr>
        <w:t xml:space="preserve">  </w:t>
      </w:r>
      <w:r>
        <w:rPr>
          <w:rFonts w:hint="eastAsia" w:ascii="宋体" w:hAnsi="宋体"/>
          <w:sz w:val="24"/>
          <w:szCs w:val="24"/>
          <w:highlight w:val="none"/>
          <w:u w:val="single"/>
        </w:rPr>
        <w:t xml:space="preserve"> 按通用条款执行</w:t>
      </w:r>
      <w:r>
        <w:rPr>
          <w:rFonts w:ascii="宋体" w:hAnsi="宋体"/>
          <w:sz w:val="24"/>
          <w:szCs w:val="24"/>
          <w:highlight w:val="none"/>
        </w:rPr>
        <w:t>。</w:t>
      </w:r>
    </w:p>
    <w:bookmarkEnd w:id="573"/>
    <w:bookmarkEnd w:id="574"/>
    <w:bookmarkEnd w:id="575"/>
    <w:bookmarkEnd w:id="576"/>
    <w:bookmarkEnd w:id="577"/>
    <w:bookmarkEnd w:id="578"/>
    <w:bookmarkEnd w:id="579"/>
    <w:p w14:paraId="764B4FBD">
      <w:pPr>
        <w:pStyle w:val="7"/>
        <w:spacing w:before="120" w:after="120" w:line="360" w:lineRule="auto"/>
        <w:rPr>
          <w:rFonts w:ascii="宋体" w:hAnsi="宋体"/>
          <w:b w:val="0"/>
          <w:color w:val="000000"/>
          <w:szCs w:val="24"/>
          <w:highlight w:val="none"/>
        </w:rPr>
      </w:pPr>
      <w:bookmarkStart w:id="581" w:name="_Toc351203639"/>
      <w:r>
        <w:rPr>
          <w:rFonts w:ascii="宋体" w:hAnsi="宋体"/>
          <w:b w:val="0"/>
          <w:color w:val="000000"/>
          <w:szCs w:val="24"/>
          <w:highlight w:val="none"/>
        </w:rPr>
        <w:t>7. 工期和进度</w:t>
      </w:r>
      <w:bookmarkEnd w:id="581"/>
    </w:p>
    <w:p w14:paraId="423EF873">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7.1 施工组织设计</w:t>
      </w:r>
    </w:p>
    <w:p w14:paraId="04CE381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sz w:val="24"/>
          <w:szCs w:val="24"/>
          <w:highlight w:val="none"/>
        </w:rPr>
        <w:t>7.1.</w:t>
      </w:r>
      <w:r>
        <w:rPr>
          <w:rFonts w:hint="eastAsia" w:ascii="宋体" w:hAnsi="宋体"/>
          <w:sz w:val="24"/>
          <w:szCs w:val="24"/>
          <w:highlight w:val="none"/>
        </w:rPr>
        <w:t xml:space="preserve">1 </w:t>
      </w:r>
      <w:r>
        <w:rPr>
          <w:rFonts w:hint="eastAsia" w:ascii="宋体" w:hAnsi="宋体"/>
          <w:color w:val="000000"/>
          <w:sz w:val="24"/>
          <w:szCs w:val="24"/>
          <w:highlight w:val="none"/>
        </w:rPr>
        <w:t>合</w:t>
      </w:r>
      <w:r>
        <w:rPr>
          <w:rFonts w:hint="eastAsia" w:ascii="宋体" w:hAnsi="宋体"/>
          <w:color w:val="000000"/>
          <w:kern w:val="0"/>
          <w:sz w:val="24"/>
          <w:szCs w:val="24"/>
          <w:highlight w:val="none"/>
        </w:rPr>
        <w:t>同当事人约定的</w:t>
      </w:r>
      <w:r>
        <w:rPr>
          <w:rFonts w:ascii="宋体" w:hAnsi="宋体"/>
          <w:color w:val="000000"/>
          <w:kern w:val="0"/>
          <w:sz w:val="24"/>
          <w:szCs w:val="24"/>
          <w:highlight w:val="none"/>
        </w:rPr>
        <w:t>施工组织设计</w:t>
      </w:r>
      <w:r>
        <w:rPr>
          <w:rFonts w:hint="eastAsia" w:ascii="宋体" w:hAnsi="宋体"/>
          <w:color w:val="000000"/>
          <w:kern w:val="0"/>
          <w:sz w:val="24"/>
          <w:szCs w:val="24"/>
          <w:highlight w:val="none"/>
        </w:rPr>
        <w:t>应包括的其他内容</w:t>
      </w:r>
      <w:r>
        <w:rPr>
          <w:rFonts w:ascii="宋体" w:hAnsi="宋体"/>
          <w:color w:val="000000"/>
          <w:kern w:val="0"/>
          <w:sz w:val="24"/>
          <w:szCs w:val="24"/>
          <w:highlight w:val="none"/>
        </w:rPr>
        <w:t>：</w:t>
      </w:r>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ascii="宋体" w:hAnsi="宋体"/>
          <w:sz w:val="24"/>
          <w:szCs w:val="24"/>
          <w:highlight w:val="none"/>
          <w:u w:val="single"/>
        </w:rPr>
        <w:t xml:space="preserve">  </w:t>
      </w:r>
      <w:r>
        <w:rPr>
          <w:rFonts w:ascii="宋体" w:hAnsi="宋体"/>
          <w:sz w:val="24"/>
          <w:szCs w:val="24"/>
          <w:highlight w:val="none"/>
        </w:rPr>
        <w:t>。</w:t>
      </w:r>
    </w:p>
    <w:p w14:paraId="764B45F6">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sz w:val="24"/>
          <w:szCs w:val="24"/>
          <w:highlight w:val="none"/>
        </w:rPr>
        <w:t>7.1.2</w:t>
      </w:r>
      <w:r>
        <w:rPr>
          <w:rFonts w:ascii="宋体" w:hAnsi="宋体"/>
          <w:color w:val="000000"/>
          <w:sz w:val="24"/>
          <w:szCs w:val="24"/>
          <w:highlight w:val="none"/>
        </w:rPr>
        <w:t xml:space="preserve"> </w:t>
      </w:r>
      <w:r>
        <w:rPr>
          <w:rFonts w:ascii="宋体" w:hAnsi="宋体"/>
          <w:color w:val="000000"/>
          <w:kern w:val="0"/>
          <w:sz w:val="24"/>
          <w:szCs w:val="24"/>
          <w:highlight w:val="none"/>
        </w:rPr>
        <w:t>施工组织设计的提交和修改</w:t>
      </w:r>
    </w:p>
    <w:p w14:paraId="40C7EC9F">
      <w:pPr>
        <w:autoSpaceDE w:val="0"/>
        <w:autoSpaceDN w:val="0"/>
        <w:adjustRightInd w:val="0"/>
        <w:spacing w:line="360" w:lineRule="auto"/>
        <w:ind w:firstLine="480" w:firstLineChars="200"/>
        <w:jc w:val="left"/>
        <w:rPr>
          <w:rFonts w:ascii="宋体" w:hAnsi="宋体"/>
          <w:sz w:val="24"/>
          <w:szCs w:val="24"/>
          <w:highlight w:val="none"/>
        </w:rPr>
      </w:pPr>
      <w:r>
        <w:rPr>
          <w:rFonts w:ascii="宋体" w:hAnsi="宋体"/>
          <w:color w:val="000000"/>
          <w:kern w:val="0"/>
          <w:sz w:val="24"/>
          <w:szCs w:val="24"/>
          <w:highlight w:val="none"/>
        </w:rPr>
        <w:t>承包人提交详细施工组织设计的期限的约定：</w:t>
      </w:r>
      <w:r>
        <w:rPr>
          <w:rFonts w:ascii="宋体" w:hAnsi="宋体"/>
          <w:sz w:val="24"/>
          <w:szCs w:val="24"/>
          <w:highlight w:val="none"/>
          <w:u w:val="single"/>
        </w:rPr>
        <w:t xml:space="preserve">   </w:t>
      </w:r>
      <w:r>
        <w:rPr>
          <w:rFonts w:hint="eastAsia" w:ascii="宋体" w:hAnsi="宋体"/>
          <w:sz w:val="24"/>
          <w:szCs w:val="24"/>
          <w:highlight w:val="none"/>
          <w:u w:val="single"/>
        </w:rPr>
        <w:t xml:space="preserve">正式开工前，收到图纸后7天内  </w:t>
      </w:r>
      <w:r>
        <w:rPr>
          <w:rFonts w:ascii="宋体" w:hAnsi="宋体"/>
          <w:sz w:val="24"/>
          <w:szCs w:val="24"/>
          <w:highlight w:val="none"/>
          <w:u w:val="single"/>
        </w:rPr>
        <w:t xml:space="preserve">  </w:t>
      </w:r>
      <w:r>
        <w:rPr>
          <w:rFonts w:ascii="宋体" w:hAnsi="宋体"/>
          <w:sz w:val="24"/>
          <w:szCs w:val="24"/>
          <w:highlight w:val="none"/>
        </w:rPr>
        <w:t>。</w:t>
      </w:r>
    </w:p>
    <w:p w14:paraId="50CD6C26">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发包人和监理人在收到</w:t>
      </w:r>
      <w:r>
        <w:rPr>
          <w:rFonts w:hint="eastAsia" w:ascii="宋体" w:hAnsi="宋体"/>
          <w:color w:val="000000"/>
          <w:sz w:val="24"/>
          <w:szCs w:val="24"/>
          <w:highlight w:val="none"/>
        </w:rPr>
        <w:t>详细的施工组织设计</w:t>
      </w:r>
      <w:r>
        <w:rPr>
          <w:rFonts w:ascii="宋体" w:hAnsi="宋体"/>
          <w:color w:val="000000"/>
          <w:sz w:val="24"/>
          <w:szCs w:val="24"/>
          <w:highlight w:val="none"/>
        </w:rPr>
        <w:t>后确认或提出修改意见的期限：</w:t>
      </w:r>
      <w:r>
        <w:rPr>
          <w:rFonts w:ascii="宋体" w:hAnsi="宋体"/>
          <w:sz w:val="24"/>
          <w:szCs w:val="24"/>
          <w:highlight w:val="none"/>
          <w:u w:val="single"/>
        </w:rPr>
        <w:t xml:space="preserve">  </w:t>
      </w:r>
      <w:r>
        <w:rPr>
          <w:rFonts w:hint="eastAsia" w:ascii="宋体" w:hAnsi="宋体"/>
          <w:sz w:val="24"/>
          <w:szCs w:val="24"/>
          <w:highlight w:val="none"/>
          <w:u w:val="single"/>
        </w:rPr>
        <w:t>收到施工组织设计书面文本后5日内</w:t>
      </w:r>
      <w:r>
        <w:rPr>
          <w:rFonts w:ascii="宋体" w:hAnsi="宋体"/>
          <w:sz w:val="24"/>
          <w:szCs w:val="24"/>
          <w:highlight w:val="none"/>
          <w:u w:val="single"/>
        </w:rPr>
        <w:t xml:space="preserve">   </w:t>
      </w:r>
      <w:r>
        <w:rPr>
          <w:rFonts w:ascii="宋体" w:hAnsi="宋体"/>
          <w:sz w:val="24"/>
          <w:szCs w:val="24"/>
          <w:highlight w:val="none"/>
        </w:rPr>
        <w:t>。</w:t>
      </w:r>
    </w:p>
    <w:p w14:paraId="73BAC638">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w:t>
      </w:r>
      <w:bookmarkStart w:id="582" w:name="_Toc303539123"/>
      <w:bookmarkStart w:id="583" w:name="_Toc312677479"/>
      <w:bookmarkStart w:id="584" w:name="_Toc304295541"/>
      <w:bookmarkStart w:id="585" w:name="_Toc297216173"/>
      <w:bookmarkStart w:id="586" w:name="_Toc297123514"/>
      <w:bookmarkStart w:id="587" w:name="_Toc312678005"/>
      <w:bookmarkStart w:id="588" w:name="_Toc300934966"/>
      <w:r>
        <w:rPr>
          <w:rFonts w:ascii="宋体" w:hAnsi="宋体"/>
          <w:color w:val="000000"/>
          <w:sz w:val="24"/>
          <w:szCs w:val="24"/>
          <w:highlight w:val="none"/>
        </w:rPr>
        <w:t>.2 施工进度计划</w:t>
      </w:r>
    </w:p>
    <w:p w14:paraId="5F533912">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7.2.2 施工进度计划的修订</w:t>
      </w:r>
    </w:p>
    <w:p w14:paraId="16C14294">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发包人和监理人在收到修订的施工进度计划后确认或提出修改意见的期限：</w:t>
      </w:r>
      <w:r>
        <w:rPr>
          <w:rFonts w:ascii="宋体" w:hAnsi="宋体"/>
          <w:sz w:val="24"/>
          <w:szCs w:val="24"/>
          <w:highlight w:val="none"/>
          <w:u w:val="single"/>
        </w:rPr>
        <w:t xml:space="preserve"> /  </w:t>
      </w:r>
      <w:r>
        <w:rPr>
          <w:rFonts w:ascii="宋体" w:hAnsi="宋体"/>
          <w:sz w:val="24"/>
          <w:szCs w:val="24"/>
          <w:highlight w:val="none"/>
        </w:rPr>
        <w:t>。</w:t>
      </w:r>
    </w:p>
    <w:p w14:paraId="0F23F5D8">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7.3 开工</w:t>
      </w:r>
    </w:p>
    <w:p w14:paraId="719B1D48">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7.3.1 开工准备</w:t>
      </w:r>
    </w:p>
    <w:p w14:paraId="66BF4D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5"/>
        <w:jc w:val="left"/>
        <w:rPr>
          <w:rFonts w:ascii="宋体" w:hAnsi="宋体"/>
          <w:sz w:val="24"/>
          <w:szCs w:val="24"/>
          <w:highlight w:val="none"/>
          <w:u w:val="single"/>
          <w:lang w:bidi="en-US"/>
        </w:rPr>
      </w:pPr>
      <w:r>
        <w:rPr>
          <w:rFonts w:ascii="宋体" w:hAnsi="宋体"/>
          <w:sz w:val="24"/>
          <w:szCs w:val="24"/>
          <w:highlight w:val="none"/>
          <w:lang w:val="zh-CN" w:bidi="zh-CN"/>
        </w:rPr>
        <w:t>关于承包人提交工程开工报审表的期限：</w:t>
      </w:r>
      <w:r>
        <w:rPr>
          <w:rFonts w:ascii="宋体" w:hAnsi="宋体"/>
          <w:sz w:val="24"/>
          <w:szCs w:val="24"/>
          <w:highlight w:val="none"/>
          <w:u w:val="single"/>
          <w:lang w:val="zh-CN" w:bidi="zh-CN"/>
        </w:rPr>
        <w:t xml:space="preserve">  在工程准备工作完成后，计划开工日期前7天提交开工报审表或开工报告</w:t>
      </w:r>
      <w:r>
        <w:rPr>
          <w:rFonts w:ascii="宋体" w:hAnsi="宋体"/>
          <w:sz w:val="24"/>
          <w:szCs w:val="24"/>
          <w:highlight w:val="none"/>
          <w:lang w:val="zh-CN" w:bidi="zh-CN"/>
        </w:rPr>
        <w:t>。</w:t>
      </w:r>
    </w:p>
    <w:p w14:paraId="54162BC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5"/>
        <w:jc w:val="left"/>
        <w:rPr>
          <w:rFonts w:ascii="宋体" w:hAnsi="宋体"/>
          <w:sz w:val="24"/>
          <w:szCs w:val="24"/>
          <w:highlight w:val="none"/>
          <w:lang w:bidi="en-US"/>
        </w:rPr>
      </w:pPr>
      <w:r>
        <w:rPr>
          <w:rFonts w:ascii="宋体" w:hAnsi="宋体"/>
          <w:sz w:val="24"/>
          <w:szCs w:val="24"/>
          <w:highlight w:val="none"/>
          <w:lang w:val="zh-CN" w:bidi="zh-CN"/>
        </w:rPr>
        <w:t>关于发包人应完成的其他开工准备工作及期限：</w:t>
      </w:r>
      <w:r>
        <w:rPr>
          <w:rFonts w:ascii="宋体" w:hAnsi="宋体"/>
          <w:sz w:val="24"/>
          <w:szCs w:val="24"/>
          <w:highlight w:val="none"/>
          <w:u w:val="single"/>
          <w:lang w:val="zh-CN" w:bidi="zh-CN"/>
        </w:rPr>
        <w:t>合同签订后正式开工前</w:t>
      </w:r>
      <w:r>
        <w:rPr>
          <w:rFonts w:ascii="宋体" w:hAnsi="宋体"/>
          <w:sz w:val="24"/>
          <w:szCs w:val="24"/>
          <w:highlight w:val="none"/>
          <w:lang w:val="zh-CN" w:bidi="zh-CN"/>
        </w:rPr>
        <w:t>。</w:t>
      </w:r>
    </w:p>
    <w:p w14:paraId="719AE64E">
      <w:pPr>
        <w:pStyle w:val="88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highlight w:val="none"/>
          <w:lang w:bidi="en-US"/>
        </w:rPr>
      </w:pPr>
      <w:r>
        <w:rPr>
          <w:highlight w:val="none"/>
          <w:lang w:val="zh-CN" w:bidi="zh-CN"/>
        </w:rPr>
        <w:t xml:space="preserve">      关于承包人应完成的其他开工准备工作及期限：</w:t>
      </w:r>
      <w:r>
        <w:rPr>
          <w:highlight w:val="none"/>
          <w:u w:val="single"/>
          <w:lang w:val="zh-CN" w:bidi="zh-CN"/>
        </w:rPr>
        <w:t>合同签订后，承包人应协助发包人办理施工许可证，由承包人原因造成未能按期办理施工许可证的，发包人有权解除合同，并由承包人承担相应损失。</w:t>
      </w:r>
    </w:p>
    <w:p w14:paraId="5E823D30">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7.3.2开工通知</w:t>
      </w:r>
    </w:p>
    <w:p w14:paraId="4572483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因发包人原因造成监理人未能在计划开工日期之日起</w:t>
      </w:r>
      <w:r>
        <w:rPr>
          <w:rFonts w:ascii="宋体" w:hAnsi="宋体"/>
          <w:sz w:val="24"/>
          <w:szCs w:val="24"/>
          <w:highlight w:val="none"/>
          <w:u w:val="single"/>
        </w:rPr>
        <w:t xml:space="preserve">  /   </w:t>
      </w:r>
      <w:r>
        <w:rPr>
          <w:rFonts w:ascii="宋体" w:hAnsi="宋体"/>
          <w:color w:val="000000"/>
          <w:sz w:val="24"/>
          <w:szCs w:val="24"/>
          <w:highlight w:val="none"/>
        </w:rPr>
        <w:t>天内发出开工通知的，承包人有权提出价格调整要求，或者解除合同。</w:t>
      </w:r>
    </w:p>
    <w:bookmarkEnd w:id="582"/>
    <w:bookmarkEnd w:id="583"/>
    <w:bookmarkEnd w:id="584"/>
    <w:bookmarkEnd w:id="585"/>
    <w:bookmarkEnd w:id="586"/>
    <w:bookmarkEnd w:id="587"/>
    <w:bookmarkEnd w:id="588"/>
    <w:p w14:paraId="4C48F710">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7.4 测量放线</w:t>
      </w:r>
    </w:p>
    <w:p w14:paraId="263B0A8A">
      <w:pPr>
        <w:spacing w:line="360" w:lineRule="auto"/>
        <w:ind w:firstLine="480" w:firstLineChars="200"/>
        <w:jc w:val="left"/>
        <w:rPr>
          <w:rFonts w:ascii="宋体" w:hAnsi="宋体"/>
          <w:sz w:val="24"/>
          <w:szCs w:val="24"/>
          <w:highlight w:val="none"/>
          <w:u w:val="single"/>
        </w:rPr>
      </w:pPr>
      <w:r>
        <w:rPr>
          <w:rFonts w:ascii="宋体" w:hAnsi="宋体"/>
          <w:sz w:val="24"/>
          <w:szCs w:val="24"/>
          <w:highlight w:val="none"/>
        </w:rPr>
        <w:t>7.4.1发包人通过监理人向承包人提供测量基准点、基准线和水准点及其书面资料的期限：</w:t>
      </w:r>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w:t>
      </w:r>
    </w:p>
    <w:p w14:paraId="42100EEC">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w:t>
      </w:r>
      <w:bookmarkStart w:id="589" w:name="_Toc300934968"/>
      <w:bookmarkStart w:id="590" w:name="_Toc303539125"/>
      <w:bookmarkStart w:id="591" w:name="_Toc312677484"/>
      <w:bookmarkStart w:id="592" w:name="_Toc312678010"/>
      <w:bookmarkStart w:id="593" w:name="_Toc297123516"/>
      <w:bookmarkStart w:id="594" w:name="_Toc297216175"/>
      <w:bookmarkStart w:id="595" w:name="_Toc304295546"/>
      <w:r>
        <w:rPr>
          <w:rFonts w:ascii="宋体" w:hAnsi="宋体"/>
          <w:color w:val="000000"/>
          <w:sz w:val="24"/>
          <w:szCs w:val="24"/>
          <w:highlight w:val="none"/>
        </w:rPr>
        <w:t>.5 工期延误</w:t>
      </w:r>
    </w:p>
    <w:bookmarkEnd w:id="589"/>
    <w:bookmarkEnd w:id="590"/>
    <w:bookmarkEnd w:id="591"/>
    <w:bookmarkEnd w:id="592"/>
    <w:bookmarkEnd w:id="593"/>
    <w:bookmarkEnd w:id="594"/>
    <w:bookmarkEnd w:id="595"/>
    <w:p w14:paraId="7D1955D0">
      <w:pPr>
        <w:spacing w:line="360" w:lineRule="auto"/>
        <w:ind w:firstLine="480" w:firstLineChars="200"/>
        <w:jc w:val="left"/>
        <w:rPr>
          <w:rFonts w:ascii="宋体" w:hAnsi="宋体"/>
          <w:sz w:val="24"/>
          <w:szCs w:val="24"/>
          <w:highlight w:val="none"/>
        </w:rPr>
      </w:pPr>
      <w:r>
        <w:rPr>
          <w:rFonts w:ascii="宋体" w:hAnsi="宋体"/>
          <w:sz w:val="24"/>
          <w:szCs w:val="24"/>
          <w:highlight w:val="none"/>
        </w:rPr>
        <w:t>7.5.1 因发包人原因导致工期延误</w:t>
      </w:r>
    </w:p>
    <w:p w14:paraId="4FFE03D9">
      <w:pPr>
        <w:spacing w:line="360" w:lineRule="auto"/>
        <w:ind w:firstLine="480" w:firstLineChars="200"/>
        <w:jc w:val="left"/>
        <w:rPr>
          <w:rFonts w:ascii="宋体" w:hAnsi="宋体"/>
          <w:sz w:val="24"/>
          <w:szCs w:val="24"/>
          <w:highlight w:val="none"/>
        </w:rPr>
      </w:pPr>
      <w:r>
        <w:rPr>
          <w:rFonts w:ascii="宋体" w:hAnsi="宋体"/>
          <w:sz w:val="24"/>
          <w:szCs w:val="24"/>
          <w:highlight w:val="none"/>
        </w:rPr>
        <w:t>（7）因发包人原因导致工期延误的其他情形：</w:t>
      </w:r>
      <w:r>
        <w:rPr>
          <w:rFonts w:ascii="宋体" w:hAnsi="宋体"/>
          <w:sz w:val="24"/>
          <w:szCs w:val="24"/>
          <w:highlight w:val="none"/>
          <w:u w:val="single"/>
        </w:rPr>
        <w:t xml:space="preserve"> </w:t>
      </w:r>
    </w:p>
    <w:p w14:paraId="351FD4AB">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① 发包人未能按专用条款的约定提供图纸及开工条件；</w:t>
      </w:r>
    </w:p>
    <w:p w14:paraId="212E77E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② 发包人未能按约定日期的60日历天内支付工程预付款、进度款，致使施工不能正常进行；</w:t>
      </w:r>
    </w:p>
    <w:p w14:paraId="0EBA428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③ 发包人派出的工程师或在施工现场的发包人雇用的其他承包人所造成或引起的施工不能正常进行或停工；</w:t>
      </w:r>
    </w:p>
    <w:p w14:paraId="1A968FE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④ 监理工程师未按合同约定提供所需指令、批准等，致使施工不能正常进行；</w:t>
      </w:r>
    </w:p>
    <w:p w14:paraId="1D1A80F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⑤ 在施工关键线路上发包人提出的设计变更导致工程量增加10%以上的；</w:t>
      </w:r>
    </w:p>
    <w:p w14:paraId="1CD2F9A6">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⑥ 一周内非承包人原因停水、停电、停气造成停工累计超过8小时；</w:t>
      </w:r>
    </w:p>
    <w:p w14:paraId="490AB6F1">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⑦由于国家政策停建或缓建，致使施工无法正常进行，或由于政府及相关部门机关规定造成的工期延误；</w:t>
      </w:r>
    </w:p>
    <w:p w14:paraId="0A67B0F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⑧ 不可抗力；因以上原因造成工期延误，经工程师书面确认，工期相应顺延，但发包人不承担承包人窝工、停工（60天内）、机械进出场、台班费等在内的其它责任。</w:t>
      </w:r>
    </w:p>
    <w:p w14:paraId="5EE67C43">
      <w:pPr>
        <w:spacing w:line="360" w:lineRule="auto"/>
        <w:ind w:firstLine="480" w:firstLineChars="200"/>
        <w:jc w:val="left"/>
        <w:rPr>
          <w:rFonts w:ascii="宋体" w:hAnsi="宋体"/>
          <w:sz w:val="24"/>
          <w:szCs w:val="24"/>
          <w:highlight w:val="none"/>
        </w:rPr>
      </w:pPr>
      <w:r>
        <w:rPr>
          <w:rFonts w:ascii="宋体" w:hAnsi="宋体"/>
          <w:sz w:val="24"/>
          <w:szCs w:val="24"/>
          <w:highlight w:val="none"/>
        </w:rPr>
        <w:t>7</w:t>
      </w:r>
      <w:bookmarkStart w:id="596" w:name="_Toc312678012"/>
      <w:bookmarkStart w:id="597" w:name="_Toc312677486"/>
      <w:bookmarkStart w:id="598" w:name="_Toc318581169"/>
      <w:bookmarkStart w:id="599" w:name="_Toc303539127"/>
      <w:bookmarkStart w:id="600" w:name="_Toc297123518"/>
      <w:bookmarkStart w:id="601" w:name="_Toc304295548"/>
      <w:bookmarkStart w:id="602" w:name="_Toc297216177"/>
      <w:bookmarkStart w:id="603" w:name="_Toc300934970"/>
      <w:r>
        <w:rPr>
          <w:rFonts w:ascii="宋体" w:hAnsi="宋体"/>
          <w:sz w:val="24"/>
          <w:szCs w:val="24"/>
          <w:highlight w:val="none"/>
        </w:rPr>
        <w:t>.5.2 因承包人原因导致工期延误</w:t>
      </w:r>
    </w:p>
    <w:bookmarkEnd w:id="596"/>
    <w:bookmarkEnd w:id="597"/>
    <w:bookmarkEnd w:id="598"/>
    <w:p w14:paraId="4B3A0DC6">
      <w:pPr>
        <w:spacing w:line="360" w:lineRule="auto"/>
        <w:ind w:firstLine="480" w:firstLineChars="200"/>
        <w:jc w:val="left"/>
        <w:rPr>
          <w:rFonts w:ascii="宋体" w:hAnsi="宋体"/>
          <w:sz w:val="24"/>
          <w:szCs w:val="24"/>
          <w:highlight w:val="none"/>
        </w:rPr>
      </w:pPr>
      <w:r>
        <w:rPr>
          <w:rFonts w:ascii="宋体" w:hAnsi="宋体"/>
          <w:sz w:val="24"/>
          <w:szCs w:val="24"/>
          <w:highlight w:val="none"/>
        </w:rPr>
        <w:t>因</w:t>
      </w:r>
      <w:bookmarkStart w:id="604" w:name="_Toc312677487"/>
      <w:bookmarkStart w:id="605" w:name="_Toc312678013"/>
      <w:bookmarkStart w:id="606" w:name="_Toc318581170"/>
      <w:r>
        <w:rPr>
          <w:rFonts w:ascii="宋体" w:hAnsi="宋体"/>
          <w:sz w:val="24"/>
          <w:szCs w:val="24"/>
          <w:highlight w:val="none"/>
        </w:rPr>
        <w:t>承包人原因造成工期延误，逾期竣工违约金的计算方法为：</w:t>
      </w:r>
      <w:r>
        <w:rPr>
          <w:rFonts w:hint="eastAsia" w:ascii="宋体" w:hAnsi="宋体"/>
          <w:sz w:val="24"/>
          <w:szCs w:val="24"/>
          <w:highlight w:val="none"/>
          <w:u w:val="single"/>
        </w:rPr>
        <w:t>工期延误处以1</w:t>
      </w:r>
      <w:r>
        <w:rPr>
          <w:rFonts w:ascii="宋体" w:hAnsi="宋体"/>
          <w:sz w:val="24"/>
          <w:szCs w:val="24"/>
          <w:highlight w:val="none"/>
          <w:u w:val="single"/>
        </w:rPr>
        <w:t>000</w:t>
      </w:r>
      <w:r>
        <w:rPr>
          <w:rFonts w:hint="eastAsia" w:ascii="宋体" w:hAnsi="宋体"/>
          <w:sz w:val="24"/>
          <w:szCs w:val="24"/>
          <w:highlight w:val="none"/>
          <w:u w:val="single"/>
        </w:rPr>
        <w:t xml:space="preserve">/天的违约金，延误超过30天，发包人有权终止合同，除此之外，还应赔偿发包人因此遭受的实际损失  </w:t>
      </w:r>
      <w:r>
        <w:rPr>
          <w:rFonts w:ascii="宋体" w:hAnsi="宋体"/>
          <w:sz w:val="24"/>
          <w:szCs w:val="24"/>
          <w:highlight w:val="none"/>
          <w:u w:val="single"/>
        </w:rPr>
        <w:t xml:space="preserve">  </w:t>
      </w:r>
      <w:r>
        <w:rPr>
          <w:rFonts w:ascii="宋体" w:hAnsi="宋体"/>
          <w:sz w:val="24"/>
          <w:szCs w:val="24"/>
          <w:highlight w:val="none"/>
        </w:rPr>
        <w:t>。</w:t>
      </w:r>
      <w:bookmarkEnd w:id="599"/>
      <w:bookmarkEnd w:id="600"/>
      <w:bookmarkEnd w:id="601"/>
      <w:bookmarkEnd w:id="602"/>
      <w:bookmarkEnd w:id="603"/>
      <w:bookmarkEnd w:id="604"/>
      <w:bookmarkEnd w:id="605"/>
    </w:p>
    <w:bookmarkEnd w:id="606"/>
    <w:p w14:paraId="0D2F534D">
      <w:pPr>
        <w:spacing w:line="360" w:lineRule="auto"/>
        <w:ind w:firstLine="480" w:firstLineChars="200"/>
        <w:jc w:val="left"/>
        <w:rPr>
          <w:rFonts w:ascii="宋体" w:hAnsi="宋体"/>
          <w:sz w:val="24"/>
          <w:szCs w:val="24"/>
          <w:highlight w:val="none"/>
        </w:rPr>
      </w:pPr>
      <w:r>
        <w:rPr>
          <w:rFonts w:ascii="宋体" w:hAnsi="宋体"/>
          <w:sz w:val="24"/>
          <w:szCs w:val="24"/>
          <w:highlight w:val="none"/>
        </w:rPr>
        <w:t>因承包人原因造成工期延误，逾</w:t>
      </w:r>
      <w:bookmarkStart w:id="607" w:name="_Toc318581171"/>
      <w:bookmarkStart w:id="608" w:name="_Toc312678014"/>
      <w:r>
        <w:rPr>
          <w:rFonts w:ascii="宋体" w:hAnsi="宋体"/>
          <w:sz w:val="24"/>
          <w:szCs w:val="24"/>
          <w:highlight w:val="none"/>
        </w:rPr>
        <w:t>期竣工违约金的上限：</w:t>
      </w:r>
      <w:r>
        <w:rPr>
          <w:rFonts w:ascii="宋体" w:hAnsi="宋体"/>
          <w:sz w:val="24"/>
          <w:szCs w:val="24"/>
          <w:highlight w:val="none"/>
          <w:u w:val="single"/>
        </w:rPr>
        <w:t xml:space="preserve">  </w:t>
      </w:r>
      <w:r>
        <w:rPr>
          <w:rFonts w:hint="eastAsia" w:ascii="宋体" w:hAnsi="宋体"/>
          <w:sz w:val="24"/>
          <w:szCs w:val="24"/>
          <w:highlight w:val="none"/>
          <w:u w:val="single"/>
        </w:rPr>
        <w:t>工期延误违约金上限为不超过合同总价的10%</w:t>
      </w:r>
      <w:r>
        <w:rPr>
          <w:rFonts w:ascii="宋体" w:hAnsi="宋体"/>
          <w:sz w:val="24"/>
          <w:szCs w:val="24"/>
          <w:highlight w:val="none"/>
          <w:u w:val="single"/>
        </w:rPr>
        <w:t xml:space="preserve">   </w:t>
      </w:r>
      <w:r>
        <w:rPr>
          <w:rFonts w:ascii="宋体" w:hAnsi="宋体"/>
          <w:sz w:val="24"/>
          <w:szCs w:val="24"/>
          <w:highlight w:val="none"/>
        </w:rPr>
        <w:t>。</w:t>
      </w:r>
    </w:p>
    <w:bookmarkEnd w:id="607"/>
    <w:bookmarkEnd w:id="608"/>
    <w:p w14:paraId="6B9B79CD">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w:t>
      </w:r>
      <w:bookmarkStart w:id="609" w:name="_Toc303539128"/>
      <w:bookmarkStart w:id="610" w:name="_Toc297123519"/>
      <w:bookmarkStart w:id="611" w:name="_Toc312678015"/>
      <w:bookmarkStart w:id="612" w:name="_Toc300934971"/>
      <w:bookmarkStart w:id="613" w:name="_Toc297216178"/>
      <w:bookmarkStart w:id="614" w:name="_Toc304295549"/>
      <w:r>
        <w:rPr>
          <w:rFonts w:ascii="宋体" w:hAnsi="宋体"/>
          <w:color w:val="000000"/>
          <w:sz w:val="24"/>
          <w:szCs w:val="24"/>
          <w:highlight w:val="none"/>
        </w:rPr>
        <w:t>.6 不</w:t>
      </w:r>
      <w:bookmarkEnd w:id="609"/>
      <w:bookmarkEnd w:id="610"/>
      <w:bookmarkEnd w:id="611"/>
      <w:bookmarkEnd w:id="612"/>
      <w:bookmarkEnd w:id="613"/>
      <w:bookmarkEnd w:id="614"/>
      <w:r>
        <w:rPr>
          <w:rFonts w:ascii="宋体" w:hAnsi="宋体"/>
          <w:color w:val="000000"/>
          <w:sz w:val="24"/>
          <w:szCs w:val="24"/>
          <w:highlight w:val="none"/>
        </w:rPr>
        <w:t>利物质条件</w:t>
      </w:r>
    </w:p>
    <w:p w14:paraId="469C9C97">
      <w:pPr>
        <w:spacing w:line="360" w:lineRule="auto"/>
        <w:ind w:firstLine="480" w:firstLineChars="200"/>
        <w:jc w:val="left"/>
        <w:rPr>
          <w:rFonts w:ascii="宋体" w:hAnsi="宋体"/>
          <w:sz w:val="24"/>
          <w:szCs w:val="24"/>
          <w:highlight w:val="none"/>
        </w:rPr>
      </w:pPr>
      <w:bookmarkStart w:id="615" w:name="_Toc297216179"/>
      <w:bookmarkStart w:id="616" w:name="_Toc318581172"/>
      <w:bookmarkStart w:id="617" w:name="_Toc303539129"/>
      <w:bookmarkStart w:id="618" w:name="_Toc312678016"/>
      <w:bookmarkStart w:id="619" w:name="_Toc300934972"/>
      <w:bookmarkStart w:id="620" w:name="_Toc304295550"/>
      <w:bookmarkStart w:id="621" w:name="_Toc297123520"/>
      <w:r>
        <w:rPr>
          <w:rFonts w:ascii="宋体" w:hAnsi="宋体"/>
          <w:sz w:val="24"/>
          <w:szCs w:val="24"/>
          <w:highlight w:val="none"/>
        </w:rPr>
        <w:t>不利物质条件的其他情形和有关约定：</w:t>
      </w:r>
      <w:r>
        <w:rPr>
          <w:rFonts w:ascii="宋体" w:hAnsi="宋体"/>
          <w:sz w:val="24"/>
          <w:szCs w:val="24"/>
          <w:highlight w:val="none"/>
          <w:u w:val="single"/>
        </w:rPr>
        <w:t xml:space="preserve">      /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p>
    <w:bookmarkEnd w:id="615"/>
    <w:bookmarkEnd w:id="616"/>
    <w:bookmarkEnd w:id="617"/>
    <w:bookmarkEnd w:id="618"/>
    <w:bookmarkEnd w:id="619"/>
    <w:bookmarkEnd w:id="620"/>
    <w:bookmarkEnd w:id="621"/>
    <w:p w14:paraId="01303516">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7</w:t>
      </w:r>
      <w:bookmarkStart w:id="622" w:name="_Toc312678017"/>
      <w:bookmarkStart w:id="623" w:name="_Toc303539130"/>
      <w:bookmarkStart w:id="624" w:name="_Toc297123521"/>
      <w:bookmarkStart w:id="625" w:name="_Toc297216180"/>
      <w:bookmarkStart w:id="626" w:name="_Toc300934973"/>
      <w:bookmarkStart w:id="627" w:name="_Toc304295551"/>
      <w:r>
        <w:rPr>
          <w:rFonts w:ascii="宋体" w:hAnsi="宋体"/>
          <w:color w:val="000000"/>
          <w:sz w:val="24"/>
          <w:szCs w:val="24"/>
          <w:highlight w:val="none"/>
        </w:rPr>
        <w:t>.7异常恶劣的气候条件</w:t>
      </w:r>
    </w:p>
    <w:bookmarkEnd w:id="622"/>
    <w:bookmarkEnd w:id="623"/>
    <w:bookmarkEnd w:id="624"/>
    <w:bookmarkEnd w:id="625"/>
    <w:bookmarkEnd w:id="626"/>
    <w:bookmarkEnd w:id="627"/>
    <w:p w14:paraId="31713382">
      <w:pPr>
        <w:spacing w:line="360" w:lineRule="auto"/>
        <w:ind w:firstLine="480" w:firstLineChars="200"/>
        <w:jc w:val="left"/>
        <w:rPr>
          <w:rFonts w:ascii="宋体" w:hAnsi="宋体"/>
          <w:sz w:val="24"/>
          <w:szCs w:val="24"/>
          <w:highlight w:val="none"/>
        </w:rPr>
      </w:pPr>
      <w:r>
        <w:rPr>
          <w:rFonts w:ascii="宋体" w:hAnsi="宋体"/>
          <w:sz w:val="24"/>
          <w:szCs w:val="24"/>
          <w:highlight w:val="none"/>
        </w:rPr>
        <w:t>发包人和承包人同意以下情形视为异常恶劣的气候条件：</w:t>
      </w:r>
    </w:p>
    <w:p w14:paraId="5ED1C3A3">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（1） 上海市区11级以上的台风每周累计超过8小时 ；</w:t>
      </w:r>
    </w:p>
    <w:p w14:paraId="304B3F83">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（2） 上海市区40℃以上连续3天的高温；</w:t>
      </w:r>
    </w:p>
    <w:p w14:paraId="51D046FA">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（3） 20年一遇的暴雨、冰雹（需有气象部门的认定）。</w:t>
      </w:r>
    </w:p>
    <w:p w14:paraId="3E3FBC1D">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7.9 提前竣工的奖励</w:t>
      </w:r>
    </w:p>
    <w:p w14:paraId="2E206F77">
      <w:pPr>
        <w:spacing w:line="360" w:lineRule="auto"/>
        <w:ind w:firstLine="480" w:firstLineChars="200"/>
        <w:jc w:val="left"/>
        <w:rPr>
          <w:rFonts w:ascii="宋体" w:hAnsi="宋体"/>
          <w:sz w:val="24"/>
          <w:szCs w:val="24"/>
          <w:highlight w:val="none"/>
        </w:rPr>
      </w:pPr>
      <w:r>
        <w:rPr>
          <w:rFonts w:ascii="宋体" w:hAnsi="宋体"/>
          <w:sz w:val="24"/>
          <w:szCs w:val="24"/>
          <w:highlight w:val="none"/>
        </w:rPr>
        <w:t>7.9.2提前竣工的奖励：</w:t>
      </w:r>
      <w:r>
        <w:rPr>
          <w:rFonts w:ascii="宋体" w:hAnsi="宋体"/>
          <w:sz w:val="24"/>
          <w:szCs w:val="24"/>
          <w:highlight w:val="none"/>
          <w:u w:val="single"/>
        </w:rPr>
        <w:t xml:space="preserve">    /           </w:t>
      </w:r>
      <w:r>
        <w:rPr>
          <w:rFonts w:ascii="宋体" w:hAnsi="宋体"/>
          <w:sz w:val="24"/>
          <w:szCs w:val="24"/>
          <w:highlight w:val="none"/>
        </w:rPr>
        <w:t>。</w:t>
      </w:r>
    </w:p>
    <w:p w14:paraId="2D60F449">
      <w:pPr>
        <w:pStyle w:val="7"/>
        <w:spacing w:before="120" w:after="120" w:line="360" w:lineRule="auto"/>
        <w:rPr>
          <w:rFonts w:ascii="宋体" w:hAnsi="宋体"/>
          <w:b w:val="0"/>
          <w:color w:val="000000"/>
          <w:szCs w:val="24"/>
          <w:highlight w:val="none"/>
        </w:rPr>
      </w:pPr>
      <w:bookmarkStart w:id="628" w:name="_Toc351203640"/>
      <w:r>
        <w:rPr>
          <w:rFonts w:ascii="宋体" w:hAnsi="宋体"/>
          <w:b w:val="0"/>
          <w:color w:val="000000"/>
          <w:szCs w:val="24"/>
          <w:highlight w:val="none"/>
        </w:rPr>
        <w:t>8. 材料与设备</w:t>
      </w:r>
      <w:bookmarkEnd w:id="628"/>
    </w:p>
    <w:bookmarkEnd w:id="563"/>
    <w:bookmarkEnd w:id="564"/>
    <w:bookmarkEnd w:id="565"/>
    <w:bookmarkEnd w:id="566"/>
    <w:bookmarkEnd w:id="567"/>
    <w:bookmarkEnd w:id="568"/>
    <w:bookmarkEnd w:id="569"/>
    <w:bookmarkEnd w:id="570"/>
    <w:bookmarkEnd w:id="571"/>
    <w:bookmarkEnd w:id="572"/>
    <w:p w14:paraId="7B885601">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8</w:t>
      </w:r>
      <w:bookmarkStart w:id="629" w:name="_Toc296890995"/>
      <w:bookmarkStart w:id="630" w:name="_Toc300934979"/>
      <w:bookmarkStart w:id="631" w:name="_Toc297048353"/>
      <w:bookmarkStart w:id="632" w:name="_Toc297123527"/>
      <w:bookmarkStart w:id="633" w:name="_Toc312678019"/>
      <w:bookmarkStart w:id="634" w:name="_Toc296944506"/>
      <w:bookmarkStart w:id="635" w:name="_Toc297216186"/>
      <w:bookmarkStart w:id="636" w:name="_Toc296347166"/>
      <w:bookmarkStart w:id="637" w:name="_Toc304295556"/>
      <w:bookmarkStart w:id="638" w:name="_Toc296503167"/>
      <w:bookmarkStart w:id="639" w:name="_Toc312677493"/>
      <w:bookmarkStart w:id="640" w:name="_Toc280868654"/>
      <w:bookmarkStart w:id="641" w:name="_Toc292559877"/>
      <w:bookmarkStart w:id="642" w:name="_Toc296891207"/>
      <w:bookmarkStart w:id="643" w:name="_Toc292559372"/>
      <w:bookmarkStart w:id="644" w:name="_Toc297120467"/>
      <w:bookmarkStart w:id="645" w:name="_Toc296346668"/>
      <w:bookmarkStart w:id="646" w:name="_Toc303539136"/>
      <w:bookmarkStart w:id="647" w:name="_Toc280868655"/>
      <w:bookmarkStart w:id="648" w:name="_Toc280868656"/>
      <w:bookmarkStart w:id="649" w:name="_Toc267251424"/>
      <w:r>
        <w:rPr>
          <w:rFonts w:ascii="宋体" w:hAnsi="宋体"/>
          <w:color w:val="000000"/>
          <w:sz w:val="24"/>
          <w:szCs w:val="24"/>
          <w:highlight w:val="none"/>
        </w:rPr>
        <w:t>.4材料与工程设备的保管与使用</w:t>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38585B20">
      <w:pPr>
        <w:spacing w:line="360" w:lineRule="auto"/>
        <w:ind w:firstLine="480" w:firstLineChars="200"/>
        <w:jc w:val="left"/>
        <w:rPr>
          <w:rFonts w:ascii="宋体" w:hAnsi="宋体"/>
          <w:sz w:val="24"/>
          <w:szCs w:val="24"/>
          <w:highlight w:val="none"/>
          <w:u w:val="single"/>
        </w:rPr>
      </w:pPr>
      <w:r>
        <w:rPr>
          <w:rFonts w:ascii="宋体" w:hAnsi="宋体"/>
          <w:sz w:val="24"/>
          <w:szCs w:val="24"/>
          <w:highlight w:val="none"/>
        </w:rPr>
        <w:t>8</w:t>
      </w:r>
      <w:bookmarkStart w:id="650" w:name="_Toc292559878"/>
      <w:bookmarkStart w:id="651" w:name="_Toc292559373"/>
      <w:bookmarkStart w:id="652" w:name="_Toc312678020"/>
      <w:bookmarkStart w:id="653" w:name="_Toc297048354"/>
      <w:bookmarkStart w:id="654" w:name="_Toc303539137"/>
      <w:bookmarkStart w:id="655" w:name="_Toc296891208"/>
      <w:bookmarkStart w:id="656" w:name="_Toc297120468"/>
      <w:bookmarkStart w:id="657" w:name="_Toc296503168"/>
      <w:bookmarkStart w:id="658" w:name="_Toc297123528"/>
      <w:bookmarkStart w:id="659" w:name="_Toc297216187"/>
      <w:bookmarkStart w:id="660" w:name="_Toc296346669"/>
      <w:bookmarkStart w:id="661" w:name="_Toc296944507"/>
      <w:bookmarkStart w:id="662" w:name="_Toc296890996"/>
      <w:bookmarkStart w:id="663" w:name="_Toc300934980"/>
      <w:bookmarkStart w:id="664" w:name="_Toc296347167"/>
      <w:bookmarkStart w:id="665" w:name="_Toc312677494"/>
      <w:bookmarkStart w:id="666" w:name="_Toc318581173"/>
      <w:bookmarkStart w:id="667" w:name="_Toc304295557"/>
      <w:r>
        <w:rPr>
          <w:rFonts w:ascii="宋体" w:hAnsi="宋体"/>
          <w:sz w:val="24"/>
          <w:szCs w:val="24"/>
          <w:highlight w:val="none"/>
        </w:rPr>
        <w:t>.4.1发包人供应的材料设备的保管费用的承担：</w:t>
      </w:r>
      <w:r>
        <w:rPr>
          <w:rFonts w:ascii="宋体" w:hAnsi="宋体"/>
          <w:sz w:val="24"/>
          <w:szCs w:val="24"/>
          <w:highlight w:val="none"/>
          <w:u w:val="single"/>
        </w:rPr>
        <w:t xml:space="preserve">  </w:t>
      </w:r>
      <w:r>
        <w:rPr>
          <w:rFonts w:hint="eastAsia" w:ascii="宋体" w:hAnsi="宋体"/>
          <w:sz w:val="24"/>
          <w:szCs w:val="24"/>
          <w:highlight w:val="none"/>
          <w:u w:val="single"/>
        </w:rPr>
        <w:t>通用条款8.4.1条不适用，变更为：发包人供应的材料和工程设备，承包人清点后由承包人妥善保管，保管费用已包含在签约合同价中。因承包人原因发生丢失毁损的，由承包人负责赔偿。</w:t>
      </w:r>
    </w:p>
    <w:p w14:paraId="30ACB0B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u w:val="single"/>
        </w:rPr>
        <w:t xml:space="preserve">发包人供应的材料和工程设备使用前，由承包人负责检验，检验费用已包含在签约合同价中，不合格的不得使用 </w:t>
      </w:r>
      <w:r>
        <w:rPr>
          <w:rFonts w:ascii="宋体" w:hAnsi="宋体"/>
          <w:sz w:val="24"/>
          <w:szCs w:val="24"/>
          <w:highlight w:val="none"/>
          <w:u w:val="single"/>
        </w:rPr>
        <w:t xml:space="preserve"> </w:t>
      </w:r>
      <w:r>
        <w:rPr>
          <w:rFonts w:ascii="宋体" w:hAnsi="宋体"/>
          <w:sz w:val="24"/>
          <w:szCs w:val="24"/>
          <w:highlight w:val="none"/>
        </w:rPr>
        <w:t>。</w:t>
      </w:r>
      <w:bookmarkEnd w:id="650"/>
      <w:bookmarkEnd w:id="651"/>
    </w:p>
    <w:p w14:paraId="6C04515E">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8.6 样品</w:t>
      </w:r>
    </w:p>
    <w:p w14:paraId="7CB26AC5">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8.6.1</w:t>
      </w:r>
      <w:r>
        <w:rPr>
          <w:rFonts w:ascii="宋体" w:hAnsi="宋体"/>
          <w:color w:val="000000"/>
          <w:kern w:val="0"/>
          <w:sz w:val="24"/>
          <w:szCs w:val="24"/>
          <w:highlight w:val="none"/>
        </w:rPr>
        <w:tab/>
      </w:r>
      <w:r>
        <w:rPr>
          <w:rFonts w:ascii="宋体" w:hAnsi="宋体"/>
          <w:color w:val="000000"/>
          <w:kern w:val="0"/>
          <w:sz w:val="24"/>
          <w:szCs w:val="24"/>
          <w:highlight w:val="none"/>
        </w:rPr>
        <w:t>样品的报送</w:t>
      </w:r>
      <w:r>
        <w:rPr>
          <w:rFonts w:hint="eastAsia" w:ascii="宋体" w:hAnsi="宋体"/>
          <w:color w:val="000000"/>
          <w:kern w:val="0"/>
          <w:sz w:val="24"/>
          <w:szCs w:val="24"/>
          <w:highlight w:val="none"/>
        </w:rPr>
        <w:t>与封存</w:t>
      </w:r>
    </w:p>
    <w:p w14:paraId="63B70FDC">
      <w:pPr>
        <w:autoSpaceDE w:val="0"/>
        <w:autoSpaceDN w:val="0"/>
        <w:adjustRightInd w:val="0"/>
        <w:spacing w:line="360" w:lineRule="auto"/>
        <w:ind w:firstLine="480" w:firstLineChars="200"/>
        <w:jc w:val="left"/>
        <w:rPr>
          <w:rFonts w:ascii="宋体" w:hAnsi="宋体"/>
          <w:sz w:val="24"/>
          <w:szCs w:val="24"/>
          <w:highlight w:val="none"/>
        </w:rPr>
      </w:pPr>
      <w:r>
        <w:rPr>
          <w:rFonts w:ascii="宋体" w:hAnsi="宋体"/>
          <w:color w:val="000000"/>
          <w:kern w:val="0"/>
          <w:sz w:val="24"/>
          <w:szCs w:val="24"/>
          <w:highlight w:val="none"/>
        </w:rPr>
        <w:t>需要承包人报送样品的材料或工程设备，样品的种类、名称、规格、数量要求：</w:t>
      </w:r>
      <w:r>
        <w:rPr>
          <w:rFonts w:ascii="宋体" w:hAnsi="宋体"/>
          <w:sz w:val="24"/>
          <w:szCs w:val="24"/>
          <w:highlight w:val="none"/>
          <w:u w:val="single"/>
        </w:rPr>
        <w:t xml:space="preserve">  </w:t>
      </w:r>
      <w:r>
        <w:rPr>
          <w:rFonts w:hint="eastAsia" w:ascii="宋体" w:hAnsi="宋体"/>
          <w:sz w:val="24"/>
          <w:szCs w:val="24"/>
          <w:highlight w:val="none"/>
          <w:u w:val="single"/>
        </w:rPr>
        <w:t>所有响应文件中未明确，发包人认为需要提供的样品，提供样品的数量要达到足以让发包人、监理人以目视、仪器监测、试验等手段检测样品质量的要求和用于存档、展示的目的</w:t>
      </w:r>
      <w:r>
        <w:rPr>
          <w:rFonts w:ascii="宋体" w:hAnsi="宋体"/>
          <w:sz w:val="24"/>
          <w:szCs w:val="24"/>
          <w:highlight w:val="none"/>
          <w:u w:val="single"/>
        </w:rPr>
        <w:t xml:space="preserve">  </w:t>
      </w:r>
      <w:r>
        <w:rPr>
          <w:rFonts w:ascii="宋体" w:hAnsi="宋体"/>
          <w:sz w:val="24"/>
          <w:szCs w:val="24"/>
          <w:highlight w:val="none"/>
        </w:rPr>
        <w:t>。</w:t>
      </w:r>
    </w:p>
    <w:p w14:paraId="00E8545A">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8.8 施工设备和临时设施</w:t>
      </w:r>
    </w:p>
    <w:p w14:paraId="6BF8A39C">
      <w:pPr>
        <w:autoSpaceDE w:val="0"/>
        <w:autoSpaceDN w:val="0"/>
        <w:adjustRightInd w:val="0"/>
        <w:spacing w:line="360" w:lineRule="auto"/>
        <w:ind w:firstLine="480" w:firstLineChars="200"/>
        <w:jc w:val="left"/>
        <w:rPr>
          <w:rFonts w:ascii="宋体" w:hAnsi="宋体"/>
          <w:sz w:val="24"/>
          <w:szCs w:val="24"/>
          <w:highlight w:val="none"/>
        </w:rPr>
      </w:pPr>
      <w:r>
        <w:rPr>
          <w:rFonts w:ascii="宋体" w:hAnsi="宋体"/>
          <w:sz w:val="24"/>
          <w:szCs w:val="24"/>
          <w:highlight w:val="none"/>
        </w:rPr>
        <w:t>8.8.1 承包人提供的施工设备和临时设施</w:t>
      </w:r>
    </w:p>
    <w:p w14:paraId="3CA98A3D">
      <w:pPr>
        <w:autoSpaceDE w:val="0"/>
        <w:autoSpaceDN w:val="0"/>
        <w:adjustRightInd w:val="0"/>
        <w:spacing w:line="360" w:lineRule="auto"/>
        <w:jc w:val="left"/>
        <w:rPr>
          <w:rFonts w:ascii="宋体" w:hAnsi="宋体"/>
          <w:sz w:val="24"/>
          <w:szCs w:val="24"/>
          <w:highlight w:val="none"/>
        </w:rPr>
      </w:pPr>
      <w:r>
        <w:rPr>
          <w:rFonts w:ascii="宋体" w:hAnsi="宋体"/>
          <w:sz w:val="24"/>
          <w:szCs w:val="24"/>
          <w:highlight w:val="none"/>
        </w:rPr>
        <w:t>关于修建临时设施费用承担的约定：</w:t>
      </w:r>
      <w:r>
        <w:rPr>
          <w:rFonts w:ascii="宋体" w:hAnsi="宋体"/>
          <w:sz w:val="24"/>
          <w:szCs w:val="24"/>
          <w:highlight w:val="none"/>
          <w:u w:val="single"/>
        </w:rPr>
        <w:t xml:space="preserve">    </w:t>
      </w:r>
      <w:r>
        <w:rPr>
          <w:rFonts w:hint="eastAsia" w:ascii="宋体" w:hAnsi="宋体"/>
          <w:sz w:val="24"/>
          <w:szCs w:val="24"/>
          <w:highlight w:val="none"/>
          <w:u w:val="single"/>
        </w:rPr>
        <w:t xml:space="preserve">根据工程技术要求在投标报价中综合考虑相关费用 </w:t>
      </w:r>
      <w:r>
        <w:rPr>
          <w:rFonts w:ascii="宋体" w:hAnsi="宋体"/>
          <w:sz w:val="24"/>
          <w:szCs w:val="24"/>
          <w:highlight w:val="none"/>
          <w:u w:val="single"/>
        </w:rPr>
        <w:t xml:space="preserve"> </w:t>
      </w:r>
      <w:r>
        <w:rPr>
          <w:rFonts w:ascii="宋体" w:hAnsi="宋体"/>
          <w:sz w:val="24"/>
          <w:szCs w:val="24"/>
          <w:highlight w:val="none"/>
        </w:rPr>
        <w:t>。</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14:paraId="4F292133">
      <w:pPr>
        <w:pStyle w:val="7"/>
        <w:spacing w:before="120" w:after="120" w:line="360" w:lineRule="auto"/>
        <w:rPr>
          <w:rFonts w:ascii="宋体" w:hAnsi="宋体"/>
          <w:b w:val="0"/>
          <w:color w:val="000000"/>
          <w:szCs w:val="24"/>
          <w:highlight w:val="none"/>
        </w:rPr>
      </w:pPr>
      <w:bookmarkStart w:id="668" w:name="_Toc351203641"/>
      <w:r>
        <w:rPr>
          <w:rFonts w:ascii="宋体" w:hAnsi="宋体"/>
          <w:b w:val="0"/>
          <w:color w:val="000000"/>
          <w:szCs w:val="24"/>
          <w:highlight w:val="none"/>
        </w:rPr>
        <w:t>9</w:t>
      </w:r>
      <w:bookmarkEnd w:id="647"/>
      <w:bookmarkEnd w:id="648"/>
      <w:bookmarkEnd w:id="649"/>
      <w:bookmarkStart w:id="669" w:name="_Toc297216192"/>
      <w:bookmarkStart w:id="670" w:name="_Toc312678021"/>
      <w:bookmarkStart w:id="671" w:name="_Toc304295559"/>
      <w:bookmarkStart w:id="672" w:name="_Toc312677495"/>
      <w:bookmarkStart w:id="673" w:name="_Toc303539139"/>
      <w:bookmarkStart w:id="674" w:name="_Toc297123533"/>
      <w:bookmarkStart w:id="675" w:name="_Toc300934982"/>
      <w:bookmarkStart w:id="676" w:name="_Toc267251428"/>
      <w:bookmarkStart w:id="677" w:name="_Toc297048359"/>
      <w:bookmarkStart w:id="678" w:name="_Toc296346674"/>
      <w:bookmarkStart w:id="679" w:name="_Toc296944512"/>
      <w:bookmarkStart w:id="680" w:name="_Toc297120473"/>
      <w:bookmarkStart w:id="681" w:name="_Toc292559883"/>
      <w:bookmarkStart w:id="682" w:name="_Toc296891001"/>
      <w:bookmarkStart w:id="683" w:name="_Toc267251427"/>
      <w:bookmarkStart w:id="684" w:name="_Toc296503173"/>
      <w:bookmarkStart w:id="685" w:name="_Toc296347172"/>
      <w:bookmarkStart w:id="686" w:name="_Toc296891213"/>
      <w:bookmarkStart w:id="687" w:name="_Toc292559378"/>
      <w:r>
        <w:rPr>
          <w:rFonts w:ascii="宋体" w:hAnsi="宋体"/>
          <w:b w:val="0"/>
          <w:color w:val="000000"/>
          <w:szCs w:val="24"/>
          <w:highlight w:val="none"/>
        </w:rPr>
        <w:t>. 试验与检验</w:t>
      </w:r>
      <w:bookmarkEnd w:id="668"/>
    </w:p>
    <w:bookmarkEnd w:id="669"/>
    <w:bookmarkEnd w:id="670"/>
    <w:bookmarkEnd w:id="671"/>
    <w:bookmarkEnd w:id="672"/>
    <w:bookmarkEnd w:id="673"/>
    <w:bookmarkEnd w:id="674"/>
    <w:bookmarkEnd w:id="675"/>
    <w:p w14:paraId="77EB6F99">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9</w:t>
      </w:r>
      <w:bookmarkStart w:id="688" w:name="_Toc304295560"/>
      <w:bookmarkStart w:id="689" w:name="_Toc312677496"/>
      <w:bookmarkStart w:id="690" w:name="_Toc297123534"/>
      <w:bookmarkStart w:id="691" w:name="_Toc297216193"/>
      <w:bookmarkStart w:id="692" w:name="_Toc312678022"/>
      <w:bookmarkStart w:id="693" w:name="_Toc300934983"/>
      <w:bookmarkStart w:id="694" w:name="_Toc303539140"/>
      <w:r>
        <w:rPr>
          <w:rFonts w:ascii="宋体" w:hAnsi="宋体"/>
          <w:color w:val="000000"/>
          <w:sz w:val="24"/>
          <w:szCs w:val="24"/>
          <w:highlight w:val="none"/>
        </w:rPr>
        <w:t>.1试验设备与试验人员</w:t>
      </w:r>
    </w:p>
    <w:bookmarkEnd w:id="688"/>
    <w:bookmarkEnd w:id="689"/>
    <w:bookmarkEnd w:id="690"/>
    <w:bookmarkEnd w:id="691"/>
    <w:bookmarkEnd w:id="692"/>
    <w:bookmarkEnd w:id="693"/>
    <w:bookmarkEnd w:id="694"/>
    <w:p w14:paraId="1E254B20">
      <w:pPr>
        <w:spacing w:line="360" w:lineRule="auto"/>
        <w:ind w:firstLine="480" w:firstLineChars="200"/>
        <w:jc w:val="left"/>
        <w:rPr>
          <w:rFonts w:ascii="宋体" w:hAnsi="宋体"/>
          <w:sz w:val="24"/>
          <w:szCs w:val="24"/>
          <w:highlight w:val="none"/>
        </w:rPr>
      </w:pPr>
      <w:r>
        <w:rPr>
          <w:rFonts w:ascii="宋体" w:hAnsi="宋体"/>
          <w:sz w:val="24"/>
          <w:szCs w:val="24"/>
          <w:highlight w:val="none"/>
        </w:rPr>
        <w:t>9</w:t>
      </w:r>
      <w:bookmarkStart w:id="695" w:name="_Toc303539141"/>
      <w:bookmarkStart w:id="696" w:name="_Toc297123535"/>
      <w:bookmarkStart w:id="697" w:name="_Toc297216194"/>
      <w:bookmarkStart w:id="698" w:name="_Toc312678023"/>
      <w:bookmarkStart w:id="699" w:name="_Toc300934984"/>
      <w:bookmarkStart w:id="700" w:name="_Toc304295561"/>
      <w:bookmarkStart w:id="701" w:name="_Toc312677497"/>
      <w:bookmarkStart w:id="702" w:name="_Toc318581174"/>
      <w:r>
        <w:rPr>
          <w:rFonts w:ascii="宋体" w:hAnsi="宋体"/>
          <w:sz w:val="24"/>
          <w:szCs w:val="24"/>
          <w:highlight w:val="none"/>
        </w:rPr>
        <w:t>.1.2 试验设备</w:t>
      </w:r>
    </w:p>
    <w:p w14:paraId="17BFDEEC">
      <w:pPr>
        <w:spacing w:line="360" w:lineRule="auto"/>
        <w:ind w:firstLine="480" w:firstLineChars="200"/>
        <w:jc w:val="left"/>
        <w:rPr>
          <w:rFonts w:ascii="宋体" w:hAnsi="宋体"/>
          <w:sz w:val="24"/>
          <w:szCs w:val="24"/>
          <w:highlight w:val="none"/>
        </w:rPr>
      </w:pPr>
      <w:r>
        <w:rPr>
          <w:rFonts w:ascii="宋体" w:hAnsi="宋体"/>
          <w:sz w:val="24"/>
          <w:szCs w:val="24"/>
          <w:highlight w:val="none"/>
        </w:rPr>
        <w:t>施工现场需要配置的试验场所：</w:t>
      </w:r>
      <w:bookmarkEnd w:id="695"/>
      <w:bookmarkEnd w:id="696"/>
      <w:bookmarkEnd w:id="697"/>
      <w:bookmarkEnd w:id="698"/>
      <w:bookmarkEnd w:id="699"/>
      <w:bookmarkEnd w:id="700"/>
      <w:bookmarkEnd w:id="701"/>
      <w:bookmarkStart w:id="703" w:name="_Toc312677498"/>
      <w:bookmarkStart w:id="704" w:name="_Toc303539142"/>
      <w:bookmarkStart w:id="705" w:name="_Toc297123536"/>
      <w:bookmarkStart w:id="706" w:name="_Toc297216195"/>
      <w:bookmarkStart w:id="707" w:name="_Toc304295562"/>
      <w:bookmarkStart w:id="708" w:name="_Toc300934985"/>
      <w:bookmarkStart w:id="709" w:name="_Toc312678024"/>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 xml:space="preserve"> </w:t>
      </w:r>
    </w:p>
    <w:p w14:paraId="36D7C479">
      <w:pPr>
        <w:spacing w:line="360" w:lineRule="auto"/>
        <w:ind w:firstLine="480" w:firstLineChars="200"/>
        <w:jc w:val="left"/>
        <w:rPr>
          <w:rFonts w:ascii="宋体" w:hAnsi="宋体"/>
          <w:sz w:val="24"/>
          <w:szCs w:val="24"/>
          <w:highlight w:val="none"/>
        </w:rPr>
      </w:pPr>
      <w:r>
        <w:rPr>
          <w:rFonts w:ascii="宋体" w:hAnsi="宋体"/>
          <w:sz w:val="24"/>
          <w:szCs w:val="24"/>
          <w:highlight w:val="none"/>
        </w:rPr>
        <w:t>施工现场需要配备的试验设备：</w:t>
      </w:r>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ascii="宋体" w:hAnsi="宋体"/>
          <w:sz w:val="24"/>
          <w:szCs w:val="24"/>
          <w:highlight w:val="none"/>
          <w:u w:val="single"/>
        </w:rPr>
        <w:t xml:space="preserve"> </w:t>
      </w:r>
      <w:r>
        <w:rPr>
          <w:rFonts w:ascii="宋体" w:hAnsi="宋体"/>
          <w:sz w:val="24"/>
          <w:szCs w:val="24"/>
          <w:highlight w:val="none"/>
        </w:rPr>
        <w:t>。</w:t>
      </w:r>
    </w:p>
    <w:p w14:paraId="0E992D67">
      <w:pPr>
        <w:spacing w:line="360" w:lineRule="auto"/>
        <w:ind w:firstLine="480" w:firstLineChars="200"/>
        <w:jc w:val="left"/>
        <w:rPr>
          <w:rFonts w:ascii="宋体" w:hAnsi="宋体"/>
          <w:sz w:val="24"/>
          <w:szCs w:val="24"/>
          <w:highlight w:val="none"/>
        </w:rPr>
      </w:pPr>
      <w:r>
        <w:rPr>
          <w:rFonts w:ascii="宋体" w:hAnsi="宋体"/>
          <w:sz w:val="24"/>
          <w:szCs w:val="24"/>
          <w:highlight w:val="none"/>
        </w:rPr>
        <w:t>施工现场需要具备的其他试验条件：</w:t>
      </w:r>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ascii="宋体" w:hAnsi="宋体"/>
          <w:sz w:val="24"/>
          <w:szCs w:val="24"/>
          <w:highlight w:val="none"/>
          <w:u w:val="single"/>
        </w:rPr>
        <w:t xml:space="preserve"> </w:t>
      </w:r>
      <w:r>
        <w:rPr>
          <w:rFonts w:ascii="宋体" w:hAnsi="宋体"/>
          <w:sz w:val="24"/>
          <w:szCs w:val="24"/>
          <w:highlight w:val="none"/>
        </w:rPr>
        <w:t>。</w:t>
      </w:r>
    </w:p>
    <w:p w14:paraId="256F7AEC">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9.4 现场工艺试验</w:t>
      </w:r>
      <w:r>
        <w:rPr>
          <w:rFonts w:hint="eastAsia" w:ascii="宋体" w:hAnsi="宋体"/>
          <w:color w:val="000000"/>
          <w:sz w:val="24"/>
          <w:szCs w:val="24"/>
          <w:highlight w:val="none"/>
        </w:rPr>
        <w:t xml:space="preserve"> </w:t>
      </w:r>
    </w:p>
    <w:p w14:paraId="40CB738B">
      <w:pPr>
        <w:spacing w:line="360" w:lineRule="auto"/>
        <w:ind w:firstLine="480" w:firstLineChars="200"/>
        <w:jc w:val="left"/>
        <w:rPr>
          <w:rFonts w:ascii="宋体" w:hAnsi="宋体"/>
          <w:sz w:val="24"/>
          <w:szCs w:val="24"/>
          <w:highlight w:val="none"/>
        </w:rPr>
      </w:pPr>
      <w:r>
        <w:rPr>
          <w:rFonts w:ascii="宋体" w:hAnsi="宋体"/>
          <w:sz w:val="24"/>
          <w:szCs w:val="24"/>
          <w:highlight w:val="none"/>
        </w:rPr>
        <w:t>现场工艺试验的有关约定：</w:t>
      </w:r>
      <w:r>
        <w:rPr>
          <w:rFonts w:ascii="宋体" w:hAnsi="宋体"/>
          <w:sz w:val="24"/>
          <w:szCs w:val="24"/>
          <w:highlight w:val="none"/>
          <w:u w:val="single"/>
        </w:rPr>
        <w:t xml:space="preserve">         </w:t>
      </w:r>
      <w:r>
        <w:rPr>
          <w:rFonts w:hint="eastAsia" w:ascii="宋体" w:hAnsi="宋体"/>
          <w:sz w:val="24"/>
          <w:szCs w:val="24"/>
          <w:highlight w:val="none"/>
          <w:u w:val="single"/>
        </w:rPr>
        <w:t xml:space="preserve">如有，另行约定         </w:t>
      </w:r>
      <w:r>
        <w:rPr>
          <w:rFonts w:ascii="宋体" w:hAnsi="宋体"/>
          <w:sz w:val="24"/>
          <w:szCs w:val="24"/>
          <w:highlight w:val="none"/>
          <w:u w:val="single"/>
        </w:rPr>
        <w:t xml:space="preserve">  </w:t>
      </w:r>
      <w:r>
        <w:rPr>
          <w:rFonts w:ascii="宋体" w:hAnsi="宋体"/>
          <w:sz w:val="24"/>
          <w:szCs w:val="24"/>
          <w:highlight w:val="none"/>
        </w:rPr>
        <w:t>。</w:t>
      </w:r>
    </w:p>
    <w:bookmarkEnd w:id="702"/>
    <w:bookmarkEnd w:id="703"/>
    <w:bookmarkEnd w:id="704"/>
    <w:bookmarkEnd w:id="705"/>
    <w:bookmarkEnd w:id="706"/>
    <w:bookmarkEnd w:id="707"/>
    <w:bookmarkEnd w:id="708"/>
    <w:bookmarkEnd w:id="709"/>
    <w:p w14:paraId="581C8418">
      <w:pPr>
        <w:pStyle w:val="7"/>
        <w:spacing w:before="120" w:after="120" w:line="360" w:lineRule="auto"/>
        <w:rPr>
          <w:rFonts w:ascii="宋体" w:hAnsi="宋体"/>
          <w:b w:val="0"/>
          <w:color w:val="000000"/>
          <w:szCs w:val="24"/>
          <w:highlight w:val="none"/>
        </w:rPr>
      </w:pPr>
      <w:bookmarkStart w:id="710" w:name="_Toc351203642"/>
      <w:r>
        <w:rPr>
          <w:rFonts w:ascii="宋体" w:hAnsi="宋体"/>
          <w:b w:val="0"/>
          <w:color w:val="000000"/>
          <w:szCs w:val="24"/>
          <w:highlight w:val="none"/>
        </w:rPr>
        <w:t>1</w:t>
      </w:r>
      <w:bookmarkEnd w:id="676"/>
      <w:bookmarkEnd w:id="677"/>
      <w:bookmarkEnd w:id="678"/>
      <w:bookmarkEnd w:id="679"/>
      <w:bookmarkEnd w:id="680"/>
      <w:bookmarkEnd w:id="681"/>
      <w:bookmarkEnd w:id="682"/>
      <w:bookmarkEnd w:id="683"/>
      <w:bookmarkEnd w:id="684"/>
      <w:bookmarkEnd w:id="685"/>
      <w:bookmarkEnd w:id="686"/>
      <w:bookmarkEnd w:id="687"/>
      <w:bookmarkStart w:id="711" w:name="_Toc297120493"/>
      <w:bookmarkStart w:id="712" w:name="_Toc296891021"/>
      <w:bookmarkStart w:id="713" w:name="_Toc296944532"/>
      <w:bookmarkStart w:id="714" w:name="_Toc303539146"/>
      <w:bookmarkStart w:id="715" w:name="_Toc304295566"/>
      <w:bookmarkStart w:id="716" w:name="_Toc296503193"/>
      <w:bookmarkStart w:id="717" w:name="_Toc300934989"/>
      <w:bookmarkStart w:id="718" w:name="_Toc296347192"/>
      <w:bookmarkStart w:id="719" w:name="_Toc297048379"/>
      <w:bookmarkStart w:id="720" w:name="_Toc292559398"/>
      <w:bookmarkStart w:id="721" w:name="_Toc297216199"/>
      <w:bookmarkStart w:id="722" w:name="_Toc296346694"/>
      <w:bookmarkStart w:id="723" w:name="_Toc297123540"/>
      <w:bookmarkStart w:id="724" w:name="_Toc292559903"/>
      <w:bookmarkStart w:id="725" w:name="_Toc296891233"/>
      <w:bookmarkStart w:id="726" w:name="_Toc312677499"/>
      <w:bookmarkStart w:id="727" w:name="_Toc312678025"/>
      <w:bookmarkStart w:id="728" w:name="_Toc267251439"/>
      <w:bookmarkStart w:id="729" w:name="_Toc267251440"/>
      <w:bookmarkStart w:id="730" w:name="_Toc267251435"/>
      <w:bookmarkStart w:id="731" w:name="_Toc267251441"/>
      <w:bookmarkStart w:id="732" w:name="_Toc267251433"/>
      <w:bookmarkStart w:id="733" w:name="_Toc267251437"/>
      <w:bookmarkStart w:id="734" w:name="_Toc267251442"/>
      <w:r>
        <w:rPr>
          <w:rFonts w:ascii="宋体" w:hAnsi="宋体"/>
          <w:b w:val="0"/>
          <w:color w:val="000000"/>
          <w:szCs w:val="24"/>
          <w:highlight w:val="none"/>
        </w:rPr>
        <w:t>0. 变更</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bookmarkEnd w:id="726"/>
    <w:bookmarkEnd w:id="727"/>
    <w:p w14:paraId="59047C70">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w:t>
      </w:r>
      <w:bookmarkStart w:id="735" w:name="_Toc292559904"/>
      <w:bookmarkStart w:id="736" w:name="_Toc312678026"/>
      <w:bookmarkStart w:id="737" w:name="_Toc296944533"/>
      <w:bookmarkStart w:id="738" w:name="_Toc297123541"/>
      <w:bookmarkStart w:id="739" w:name="_Toc296347193"/>
      <w:bookmarkStart w:id="740" w:name="_Toc297120494"/>
      <w:bookmarkStart w:id="741" w:name="_Toc292559399"/>
      <w:bookmarkStart w:id="742" w:name="_Toc297216200"/>
      <w:bookmarkStart w:id="743" w:name="_Toc300934990"/>
      <w:bookmarkStart w:id="744" w:name="_Toc296503194"/>
      <w:bookmarkStart w:id="745" w:name="_Toc304295567"/>
      <w:bookmarkStart w:id="746" w:name="_Toc303539147"/>
      <w:bookmarkStart w:id="747" w:name="_Toc296346695"/>
      <w:bookmarkStart w:id="748" w:name="_Toc296891022"/>
      <w:bookmarkStart w:id="749" w:name="_Toc312677500"/>
      <w:bookmarkStart w:id="750" w:name="_Toc297048380"/>
      <w:bookmarkStart w:id="751" w:name="_Toc296891234"/>
      <w:r>
        <w:rPr>
          <w:rFonts w:ascii="宋体" w:hAnsi="宋体"/>
          <w:color w:val="000000"/>
          <w:sz w:val="24"/>
          <w:szCs w:val="24"/>
          <w:highlight w:val="none"/>
        </w:rPr>
        <w:t>0.1变更的范围</w:t>
      </w:r>
    </w:p>
    <w:p w14:paraId="1C26A7DC">
      <w:pPr>
        <w:spacing w:line="360" w:lineRule="auto"/>
        <w:ind w:firstLine="600"/>
        <w:jc w:val="left"/>
        <w:rPr>
          <w:rFonts w:ascii="宋体" w:hAnsi="宋体"/>
          <w:color w:val="000000"/>
          <w:sz w:val="24"/>
          <w:szCs w:val="24"/>
          <w:highlight w:val="none"/>
        </w:rPr>
      </w:pPr>
      <w:r>
        <w:rPr>
          <w:rFonts w:ascii="宋体" w:hAnsi="宋体"/>
          <w:color w:val="000000"/>
          <w:sz w:val="24"/>
          <w:szCs w:val="24"/>
          <w:highlight w:val="none"/>
        </w:rPr>
        <w:t>关于变更的范围的约定：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按通用条款执行               </w:t>
      </w:r>
      <w:r>
        <w:rPr>
          <w:rFonts w:ascii="宋体" w:hAnsi="宋体"/>
          <w:color w:val="000000"/>
          <w:sz w:val="24"/>
          <w:szCs w:val="24"/>
          <w:highlight w:val="none"/>
        </w:rPr>
        <w:t>。</w:t>
      </w:r>
    </w:p>
    <w:p w14:paraId="09127BB1">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10.3</w:t>
      </w:r>
      <w:r>
        <w:rPr>
          <w:rFonts w:hint="eastAsia" w:ascii="宋体" w:hAnsi="宋体"/>
          <w:color w:val="000000"/>
          <w:kern w:val="0"/>
          <w:sz w:val="24"/>
          <w:szCs w:val="24"/>
          <w:highlight w:val="none"/>
        </w:rPr>
        <w:t>变更程序</w:t>
      </w:r>
    </w:p>
    <w:p w14:paraId="251FF897">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10.3.4</w:t>
      </w:r>
      <w:r>
        <w:rPr>
          <w:rFonts w:hint="eastAsia" w:ascii="宋体" w:hAnsi="宋体"/>
          <w:color w:val="000000"/>
          <w:kern w:val="0"/>
          <w:sz w:val="24"/>
          <w:szCs w:val="24"/>
          <w:highlight w:val="none"/>
        </w:rPr>
        <w:t>若因发包人原因发生设计变更，原招标图与施工图纸差异造成工程量清单实施内容发生变化，由发包人与设计人商定变更方案，承包人须积极配合编制施工图预算（收到施工图后</w:t>
      </w:r>
      <w:r>
        <w:rPr>
          <w:rFonts w:ascii="宋体" w:hAnsi="宋体"/>
          <w:color w:val="000000"/>
          <w:kern w:val="0"/>
          <w:sz w:val="24"/>
          <w:szCs w:val="24"/>
          <w:highlight w:val="none"/>
        </w:rPr>
        <w:t>25</w:t>
      </w:r>
      <w:r>
        <w:rPr>
          <w:rFonts w:hint="eastAsia" w:ascii="宋体" w:hAnsi="宋体"/>
          <w:color w:val="000000"/>
          <w:kern w:val="0"/>
          <w:sz w:val="24"/>
          <w:szCs w:val="24"/>
          <w:highlight w:val="none"/>
        </w:rPr>
        <w:t>天内完成编制并上报发包人），由发包人报相关部门批准后实施。</w:t>
      </w:r>
    </w:p>
    <w:p w14:paraId="569070A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10.3.5</w:t>
      </w:r>
      <w:r>
        <w:rPr>
          <w:rFonts w:hint="eastAsia" w:ascii="宋体" w:hAnsi="宋体"/>
          <w:color w:val="000000"/>
          <w:kern w:val="0"/>
          <w:sz w:val="24"/>
          <w:szCs w:val="24"/>
          <w:highlight w:val="none"/>
        </w:rPr>
        <w:t>承包人在施工中提出的，涉及到对设计图纸的更改及对材料、设备的换用，须经发包人工程师书面同意。监理工程师应在收到承包人书面变更申请报告后</w:t>
      </w:r>
      <w:r>
        <w:rPr>
          <w:rFonts w:ascii="宋体" w:hAnsi="宋体"/>
          <w:color w:val="000000"/>
          <w:kern w:val="0"/>
          <w:sz w:val="24"/>
          <w:szCs w:val="24"/>
          <w:highlight w:val="none"/>
        </w:rPr>
        <w:t>72</w:t>
      </w:r>
      <w:r>
        <w:rPr>
          <w:rFonts w:hint="eastAsia" w:ascii="宋体" w:hAnsi="宋体"/>
          <w:color w:val="000000"/>
          <w:kern w:val="0"/>
          <w:sz w:val="24"/>
          <w:szCs w:val="24"/>
          <w:highlight w:val="none"/>
        </w:rPr>
        <w:t>小时内提出审核意见，凡需经原设计人确认的，必须征得设计同意，并报发包人批准。承包人未经发包人书面确认，单方实施的变更，结算时不予承认。若由此给发包人造成损失的，须承担返工的一切费用，赔偿发包人的有关损失，工期不予顺延。</w:t>
      </w:r>
    </w:p>
    <w:p w14:paraId="12026E3A">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10.4 变更估价</w:t>
      </w:r>
    </w:p>
    <w:p w14:paraId="024B6F9B">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10.4.1 变更估价原则</w:t>
      </w:r>
    </w:p>
    <w:p w14:paraId="23053A31">
      <w:pPr>
        <w:autoSpaceDE w:val="0"/>
        <w:autoSpaceDN w:val="0"/>
        <w:adjustRightInd w:val="0"/>
        <w:spacing w:line="38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关于变更估价的约定: </w:t>
      </w:r>
    </w:p>
    <w:p w14:paraId="1A963C14">
      <w:pPr>
        <w:autoSpaceDE w:val="0"/>
        <w:autoSpaceDN w:val="0"/>
        <w:adjustRightInd w:val="0"/>
        <w:spacing w:line="38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（1）已标价工程量清单或预算书有相同项目的，按照相同项目单价认定；</w:t>
      </w:r>
    </w:p>
    <w:p w14:paraId="108B8051">
      <w:pPr>
        <w:autoSpaceDE w:val="0"/>
        <w:autoSpaceDN w:val="0"/>
        <w:adjustRightInd w:val="0"/>
        <w:spacing w:line="38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（2）已标价工程量清单或预算书中无相同项目，但有类似项目的，参照类似项目的单价认定；</w:t>
      </w:r>
    </w:p>
    <w:p w14:paraId="52C66DFB">
      <w:pPr>
        <w:autoSpaceDE w:val="0"/>
        <w:autoSpaceDN w:val="0"/>
        <w:adjustRightInd w:val="0"/>
        <w:spacing w:line="380" w:lineRule="exact"/>
        <w:ind w:firstLine="480" w:firstLineChars="200"/>
        <w:rPr>
          <w:rFonts w:ascii="宋体" w:hAnsi="宋体"/>
          <w:color w:val="000000"/>
          <w:sz w:val="24"/>
          <w:szCs w:val="24"/>
          <w:highlight w:val="none"/>
          <w:u w:val="single"/>
        </w:rPr>
      </w:pPr>
      <w:r>
        <w:rPr>
          <w:rFonts w:hint="eastAsia" w:ascii="宋体" w:hAnsi="宋体"/>
          <w:kern w:val="0"/>
          <w:sz w:val="24"/>
          <w:szCs w:val="24"/>
          <w:highlight w:val="none"/>
        </w:rPr>
        <w:t>（3）变更导致实际完成的变更工程量与已标价工程量清单或预算书中列明的该项目工程量不同，或已标价工程量清单或预算书中无相同项目及类似项目单价的，以发包人在竣工结算时委托的第三方审计审价为准</w:t>
      </w:r>
      <w:r>
        <w:rPr>
          <w:rFonts w:hint="eastAsia" w:ascii="宋体" w:hAnsi="宋体"/>
          <w:color w:val="000000"/>
          <w:sz w:val="24"/>
          <w:szCs w:val="24"/>
          <w:highlight w:val="none"/>
        </w:rPr>
        <w:t>。</w:t>
      </w:r>
    </w:p>
    <w:p w14:paraId="217605C2">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Start w:id="752" w:name="_Toc297048383"/>
      <w:bookmarkStart w:id="753" w:name="_Toc303539150"/>
      <w:bookmarkStart w:id="754" w:name="_Toc296944536"/>
      <w:bookmarkStart w:id="755" w:name="_Toc292559907"/>
      <w:bookmarkStart w:id="756" w:name="_Toc296891237"/>
      <w:bookmarkStart w:id="757" w:name="_Toc296891025"/>
      <w:bookmarkStart w:id="758" w:name="_Toc296347196"/>
      <w:bookmarkStart w:id="759" w:name="_Toc297123544"/>
      <w:bookmarkStart w:id="760" w:name="_Toc297120497"/>
      <w:bookmarkStart w:id="761" w:name="_Toc296503197"/>
      <w:bookmarkStart w:id="762" w:name="_Toc297216203"/>
      <w:bookmarkStart w:id="763" w:name="_Toc296346698"/>
      <w:bookmarkStart w:id="764" w:name="_Toc292559402"/>
      <w:bookmarkStart w:id="765" w:name="_Toc300934993"/>
      <w:bookmarkStart w:id="766" w:name="_Toc304295570"/>
      <w:bookmarkStart w:id="767" w:name="_Toc312677503"/>
      <w:bookmarkStart w:id="768" w:name="_Toc312678029"/>
      <w:r>
        <w:rPr>
          <w:rFonts w:ascii="宋体" w:hAnsi="宋体"/>
          <w:color w:val="000000"/>
          <w:kern w:val="0"/>
          <w:sz w:val="24"/>
          <w:szCs w:val="24"/>
          <w:highlight w:val="none"/>
        </w:rPr>
        <w:t>0.5承</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9" w:name="_Toc296944542"/>
      <w:bookmarkStart w:id="770" w:name="_Toc292559408"/>
      <w:bookmarkStart w:id="771" w:name="_Toc303539151"/>
      <w:bookmarkStart w:id="772" w:name="_Toc296346704"/>
      <w:bookmarkStart w:id="773" w:name="_Toc296891031"/>
      <w:bookmarkStart w:id="774" w:name="_Toc300934994"/>
      <w:bookmarkStart w:id="775" w:name="_Toc297216204"/>
      <w:bookmarkStart w:id="776" w:name="_Toc297123545"/>
      <w:bookmarkStart w:id="777" w:name="_Toc292559913"/>
      <w:bookmarkStart w:id="778" w:name="_Toc296891243"/>
      <w:bookmarkStart w:id="779" w:name="_Toc296503203"/>
      <w:bookmarkStart w:id="780" w:name="_Toc297120503"/>
      <w:bookmarkStart w:id="781" w:name="_Toc296347202"/>
      <w:bookmarkStart w:id="782" w:name="_Toc297048389"/>
      <w:r>
        <w:rPr>
          <w:rFonts w:ascii="宋体" w:hAnsi="宋体"/>
          <w:color w:val="000000"/>
          <w:kern w:val="0"/>
          <w:sz w:val="24"/>
          <w:szCs w:val="24"/>
          <w:highlight w:val="none"/>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47C7B992">
      <w:pPr>
        <w:spacing w:line="360" w:lineRule="auto"/>
        <w:ind w:firstLine="480" w:firstLineChars="200"/>
        <w:jc w:val="left"/>
        <w:rPr>
          <w:rFonts w:ascii="宋体" w:hAnsi="宋体"/>
          <w:sz w:val="24"/>
          <w:szCs w:val="24"/>
          <w:highlight w:val="none"/>
        </w:rPr>
      </w:pPr>
      <w:r>
        <w:rPr>
          <w:rFonts w:ascii="宋体" w:hAnsi="宋体"/>
          <w:sz w:val="24"/>
          <w:szCs w:val="24"/>
          <w:highlight w:val="none"/>
        </w:rPr>
        <w:t>监理人审查承包人合理化建议的期限：</w:t>
      </w:r>
      <w:r>
        <w:rPr>
          <w:rFonts w:ascii="宋体" w:hAnsi="宋体"/>
          <w:sz w:val="24"/>
          <w:szCs w:val="24"/>
          <w:highlight w:val="none"/>
          <w:u w:val="single"/>
        </w:rPr>
        <w:t xml:space="preserve">     </w:t>
      </w:r>
      <w:r>
        <w:rPr>
          <w:rFonts w:hint="eastAsia" w:ascii="宋体" w:hAnsi="宋体"/>
          <w:sz w:val="24"/>
          <w:szCs w:val="24"/>
          <w:highlight w:val="none"/>
          <w:u w:val="single"/>
        </w:rPr>
        <w:t>如有，另行约定</w:t>
      </w:r>
      <w:r>
        <w:rPr>
          <w:rFonts w:ascii="宋体" w:hAnsi="宋体"/>
          <w:sz w:val="24"/>
          <w:szCs w:val="24"/>
          <w:highlight w:val="none"/>
          <w:u w:val="single"/>
        </w:rPr>
        <w:t xml:space="preserve">  </w:t>
      </w:r>
      <w:r>
        <w:rPr>
          <w:rFonts w:ascii="宋体" w:hAnsi="宋体"/>
          <w:sz w:val="24"/>
          <w:szCs w:val="24"/>
          <w:highlight w:val="none"/>
        </w:rPr>
        <w:t>。</w:t>
      </w:r>
    </w:p>
    <w:p w14:paraId="5426E490">
      <w:pPr>
        <w:spacing w:line="360" w:lineRule="auto"/>
        <w:ind w:firstLine="480" w:firstLineChars="200"/>
        <w:jc w:val="left"/>
        <w:rPr>
          <w:rFonts w:ascii="宋体" w:hAnsi="宋体"/>
          <w:sz w:val="24"/>
          <w:szCs w:val="24"/>
          <w:highlight w:val="none"/>
        </w:rPr>
      </w:pPr>
      <w:r>
        <w:rPr>
          <w:rFonts w:ascii="宋体" w:hAnsi="宋体"/>
          <w:sz w:val="24"/>
          <w:szCs w:val="24"/>
          <w:highlight w:val="none"/>
        </w:rPr>
        <w:t>发包人审批承包人合理化建议的期限：</w:t>
      </w:r>
      <w:r>
        <w:rPr>
          <w:rFonts w:ascii="宋体" w:hAnsi="宋体"/>
          <w:sz w:val="24"/>
          <w:szCs w:val="24"/>
          <w:highlight w:val="none"/>
          <w:u w:val="single"/>
        </w:rPr>
        <w:t xml:space="preserve">    </w:t>
      </w:r>
      <w:r>
        <w:rPr>
          <w:rFonts w:hint="eastAsia" w:ascii="宋体" w:hAnsi="宋体"/>
          <w:sz w:val="24"/>
          <w:szCs w:val="24"/>
          <w:highlight w:val="none"/>
          <w:u w:val="single"/>
        </w:rPr>
        <w:t xml:space="preserve"> 如有，另行约定</w:t>
      </w:r>
      <w:r>
        <w:rPr>
          <w:rFonts w:ascii="宋体" w:hAnsi="宋体"/>
          <w:sz w:val="24"/>
          <w:szCs w:val="24"/>
          <w:highlight w:val="none"/>
          <w:u w:val="single"/>
        </w:rPr>
        <w:t xml:space="preserve">  </w:t>
      </w:r>
      <w:r>
        <w:rPr>
          <w:rFonts w:ascii="宋体" w:hAnsi="宋体"/>
          <w:sz w:val="24"/>
          <w:szCs w:val="24"/>
          <w:highlight w:val="none"/>
        </w:rPr>
        <w:t>。</w:t>
      </w:r>
    </w:p>
    <w:p w14:paraId="731B4FEF">
      <w:pPr>
        <w:spacing w:line="360" w:lineRule="auto"/>
        <w:ind w:firstLine="480" w:firstLineChars="200"/>
        <w:jc w:val="left"/>
        <w:rPr>
          <w:rFonts w:ascii="宋体" w:hAnsi="宋体"/>
          <w:sz w:val="24"/>
          <w:szCs w:val="24"/>
          <w:highlight w:val="none"/>
          <w:u w:val="single"/>
        </w:rPr>
      </w:pPr>
      <w:r>
        <w:rPr>
          <w:rFonts w:ascii="宋体" w:hAnsi="宋体"/>
          <w:sz w:val="24"/>
          <w:szCs w:val="24"/>
          <w:highlight w:val="none"/>
        </w:rPr>
        <w:t>承</w:t>
      </w:r>
      <w:bookmarkStart w:id="783" w:name="_Toc296891032"/>
      <w:bookmarkStart w:id="784" w:name="_Toc312677504"/>
      <w:bookmarkStart w:id="785" w:name="_Toc296944543"/>
      <w:bookmarkStart w:id="786" w:name="_Toc296891244"/>
      <w:bookmarkStart w:id="787" w:name="_Toc292559914"/>
      <w:bookmarkStart w:id="788" w:name="_Toc296347203"/>
      <w:bookmarkStart w:id="789" w:name="_Toc318581175"/>
      <w:bookmarkStart w:id="790" w:name="_Toc296346705"/>
      <w:bookmarkStart w:id="791" w:name="_Toc303539152"/>
      <w:bookmarkStart w:id="792" w:name="_Toc297048390"/>
      <w:bookmarkStart w:id="793" w:name="_Toc312678030"/>
      <w:bookmarkStart w:id="794" w:name="_Toc300934995"/>
      <w:bookmarkStart w:id="795" w:name="_Toc296503204"/>
      <w:bookmarkStart w:id="796" w:name="_Toc297123546"/>
      <w:bookmarkStart w:id="797" w:name="_Toc297120504"/>
      <w:bookmarkStart w:id="798" w:name="_Toc297216205"/>
      <w:bookmarkStart w:id="799" w:name="_Toc304295571"/>
      <w:bookmarkStart w:id="800" w:name="_Toc292559409"/>
      <w:r>
        <w:rPr>
          <w:rFonts w:ascii="宋体" w:hAnsi="宋体"/>
          <w:sz w:val="24"/>
          <w:szCs w:val="24"/>
          <w:highlight w:val="none"/>
        </w:rPr>
        <w:t>包人提出的合理化建议降低了合同价格或者提高了工程经济效益的奖励的方法和金额为：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w:t>
      </w:r>
      <w:r>
        <w:rPr>
          <w:rFonts w:hint="eastAsia" w:ascii="宋体" w:hAnsi="宋体"/>
          <w:sz w:val="24"/>
          <w:szCs w:val="24"/>
          <w:highlight w:val="none"/>
          <w:u w:val="single"/>
        </w:rPr>
        <w:t xml:space="preserve">           </w:t>
      </w:r>
      <w:r>
        <w:rPr>
          <w:rFonts w:ascii="宋体" w:hAnsi="宋体"/>
          <w:sz w:val="24"/>
          <w:szCs w:val="24"/>
          <w:highlight w:val="none"/>
        </w:rPr>
        <w:t>。</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79D68C0A">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w:t>
      </w:r>
      <w:bookmarkStart w:id="801" w:name="_Toc296347198"/>
      <w:bookmarkStart w:id="802" w:name="_Toc296891027"/>
      <w:bookmarkStart w:id="803" w:name="_Toc296346700"/>
      <w:bookmarkStart w:id="804" w:name="_Toc297120499"/>
      <w:bookmarkStart w:id="805" w:name="_Toc292559404"/>
      <w:bookmarkStart w:id="806" w:name="_Toc297123548"/>
      <w:bookmarkStart w:id="807" w:name="_Toc304295574"/>
      <w:bookmarkStart w:id="808" w:name="_Toc297216207"/>
      <w:bookmarkStart w:id="809" w:name="_Toc312678033"/>
      <w:bookmarkStart w:id="810" w:name="_Toc296503199"/>
      <w:bookmarkStart w:id="811" w:name="_Toc296944538"/>
      <w:bookmarkStart w:id="812" w:name="_Toc296891239"/>
      <w:bookmarkStart w:id="813" w:name="_Toc303539154"/>
      <w:bookmarkStart w:id="814" w:name="_Toc312677507"/>
      <w:bookmarkStart w:id="815" w:name="_Toc300934997"/>
      <w:bookmarkStart w:id="816" w:name="_Toc297048385"/>
      <w:bookmarkStart w:id="817" w:name="_Toc292559909"/>
      <w:r>
        <w:rPr>
          <w:rFonts w:ascii="宋体" w:hAnsi="宋体"/>
          <w:color w:val="000000"/>
          <w:sz w:val="24"/>
          <w:szCs w:val="24"/>
          <w:highlight w:val="none"/>
        </w:rPr>
        <w:t>0.7 暂估价</w:t>
      </w:r>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36C76487">
      <w:pPr>
        <w:spacing w:line="360" w:lineRule="auto"/>
        <w:ind w:firstLine="480" w:firstLineChars="200"/>
        <w:jc w:val="left"/>
        <w:rPr>
          <w:rFonts w:ascii="宋体" w:hAnsi="宋体"/>
          <w:sz w:val="24"/>
          <w:szCs w:val="24"/>
          <w:highlight w:val="none"/>
        </w:rPr>
      </w:pPr>
      <w:r>
        <w:rPr>
          <w:rFonts w:ascii="宋体" w:hAnsi="宋体"/>
          <w:kern w:val="0"/>
          <w:sz w:val="24"/>
          <w:szCs w:val="24"/>
          <w:highlight w:val="none"/>
        </w:rPr>
        <w:t>暂</w:t>
      </w:r>
      <w:bookmarkStart w:id="818" w:name="_Toc318581176"/>
      <w:bookmarkStart w:id="819" w:name="_Toc312677508"/>
      <w:bookmarkStart w:id="820" w:name="_Toc312678034"/>
      <w:r>
        <w:rPr>
          <w:rFonts w:ascii="宋体" w:hAnsi="宋体"/>
          <w:kern w:val="0"/>
          <w:sz w:val="24"/>
          <w:szCs w:val="24"/>
          <w:highlight w:val="none"/>
        </w:rPr>
        <w:t>估价材料和工程设备的明细详见附件</w:t>
      </w:r>
      <w:r>
        <w:rPr>
          <w:rFonts w:hint="eastAsia" w:ascii="宋体" w:hAnsi="宋体"/>
          <w:kern w:val="0"/>
          <w:sz w:val="24"/>
          <w:szCs w:val="24"/>
          <w:highlight w:val="none"/>
        </w:rPr>
        <w:t>11：《</w:t>
      </w:r>
      <w:r>
        <w:rPr>
          <w:rFonts w:ascii="宋体" w:hAnsi="宋体"/>
          <w:color w:val="000000"/>
          <w:sz w:val="24"/>
          <w:szCs w:val="24"/>
          <w:highlight w:val="none"/>
        </w:rPr>
        <w:t>暂估价一览表</w:t>
      </w:r>
      <w:r>
        <w:rPr>
          <w:rFonts w:hint="eastAsia" w:ascii="宋体" w:hAnsi="宋体"/>
          <w:color w:val="000000"/>
          <w:sz w:val="24"/>
          <w:szCs w:val="24"/>
          <w:highlight w:val="none"/>
        </w:rPr>
        <w:t>》</w:t>
      </w:r>
      <w:r>
        <w:rPr>
          <w:rFonts w:hint="eastAsia" w:ascii="宋体" w:hAnsi="宋体"/>
          <w:kern w:val="0"/>
          <w:sz w:val="24"/>
          <w:szCs w:val="24"/>
          <w:highlight w:val="none"/>
        </w:rPr>
        <w:t>。</w:t>
      </w:r>
    </w:p>
    <w:bookmarkEnd w:id="818"/>
    <w:bookmarkEnd w:id="819"/>
    <w:bookmarkEnd w:id="820"/>
    <w:p w14:paraId="1A68637D">
      <w:pPr>
        <w:spacing w:line="360" w:lineRule="auto"/>
        <w:ind w:firstLine="480" w:firstLineChars="200"/>
        <w:jc w:val="left"/>
        <w:rPr>
          <w:rFonts w:ascii="宋体" w:hAnsi="宋体"/>
          <w:sz w:val="24"/>
          <w:szCs w:val="24"/>
          <w:highlight w:val="none"/>
        </w:rPr>
      </w:pPr>
      <w:r>
        <w:rPr>
          <w:rFonts w:ascii="宋体" w:hAnsi="宋体"/>
          <w:sz w:val="24"/>
          <w:szCs w:val="24"/>
          <w:highlight w:val="none"/>
        </w:rPr>
        <w:t>1</w:t>
      </w:r>
      <w:bookmarkStart w:id="821" w:name="_Toc312678035"/>
      <w:bookmarkStart w:id="822" w:name="_Toc318581177"/>
      <w:bookmarkStart w:id="823" w:name="_Toc312677509"/>
      <w:r>
        <w:rPr>
          <w:rFonts w:ascii="宋体" w:hAnsi="宋体"/>
          <w:sz w:val="24"/>
          <w:szCs w:val="24"/>
          <w:highlight w:val="none"/>
        </w:rPr>
        <w:t>0.7.1 依法必须招标的暂估价项目</w:t>
      </w:r>
    </w:p>
    <w:bookmarkEnd w:id="821"/>
    <w:bookmarkEnd w:id="822"/>
    <w:bookmarkEnd w:id="823"/>
    <w:p w14:paraId="31BD8116">
      <w:pPr>
        <w:spacing w:line="360" w:lineRule="auto"/>
        <w:ind w:firstLine="480" w:firstLineChars="200"/>
        <w:jc w:val="left"/>
        <w:rPr>
          <w:rFonts w:ascii="宋体" w:hAnsi="宋体"/>
          <w:sz w:val="24"/>
          <w:szCs w:val="24"/>
          <w:highlight w:val="none"/>
        </w:rPr>
      </w:pPr>
      <w:r>
        <w:rPr>
          <w:rFonts w:ascii="宋体" w:hAnsi="宋体"/>
          <w:sz w:val="24"/>
          <w:szCs w:val="24"/>
          <w:highlight w:val="none"/>
        </w:rPr>
        <w:t>对于依法必须招标的暂估价项目的确认和批准采取第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ascii="宋体" w:hAnsi="宋体"/>
          <w:sz w:val="24"/>
          <w:szCs w:val="24"/>
          <w:highlight w:val="none"/>
        </w:rPr>
        <w:t>种方式确定。</w:t>
      </w:r>
    </w:p>
    <w:p w14:paraId="4E0DF831">
      <w:pPr>
        <w:spacing w:line="360" w:lineRule="auto"/>
        <w:ind w:firstLine="480" w:firstLineChars="200"/>
        <w:jc w:val="left"/>
        <w:rPr>
          <w:rFonts w:ascii="宋体" w:hAnsi="宋体"/>
          <w:sz w:val="24"/>
          <w:szCs w:val="24"/>
          <w:highlight w:val="none"/>
        </w:rPr>
      </w:pPr>
      <w:r>
        <w:rPr>
          <w:rFonts w:ascii="宋体" w:hAnsi="宋体"/>
          <w:sz w:val="24"/>
          <w:szCs w:val="24"/>
          <w:highlight w:val="none"/>
        </w:rPr>
        <w:t>10.7.2 不属于依法必须招标的暂估价项目</w:t>
      </w:r>
    </w:p>
    <w:p w14:paraId="08F7496B">
      <w:pPr>
        <w:spacing w:line="360" w:lineRule="auto"/>
        <w:ind w:firstLine="480" w:firstLineChars="200"/>
        <w:jc w:val="left"/>
        <w:rPr>
          <w:rFonts w:ascii="宋体" w:hAnsi="宋体"/>
          <w:sz w:val="24"/>
          <w:szCs w:val="24"/>
          <w:highlight w:val="none"/>
        </w:rPr>
      </w:pPr>
      <w:r>
        <w:rPr>
          <w:rFonts w:ascii="宋体" w:hAnsi="宋体"/>
          <w:sz w:val="24"/>
          <w:szCs w:val="24"/>
          <w:highlight w:val="none"/>
        </w:rPr>
        <w:t>对于不属于依法必须招标的暂估价项目的确认和批准采取第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ascii="宋体" w:hAnsi="宋体"/>
          <w:sz w:val="24"/>
          <w:szCs w:val="24"/>
          <w:highlight w:val="none"/>
        </w:rPr>
        <w:t>种方式确定。</w:t>
      </w:r>
    </w:p>
    <w:p w14:paraId="11C84AA4">
      <w:pPr>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第3种方式：</w:t>
      </w:r>
      <w:r>
        <w:rPr>
          <w:rFonts w:ascii="宋体" w:hAnsi="宋体"/>
          <w:color w:val="000000"/>
          <w:kern w:val="0"/>
          <w:sz w:val="24"/>
          <w:szCs w:val="24"/>
          <w:highlight w:val="none"/>
        </w:rPr>
        <w:t>承包人直接实施的暂估价项目</w:t>
      </w:r>
    </w:p>
    <w:p w14:paraId="4BE434F8">
      <w:pPr>
        <w:spacing w:line="360" w:lineRule="auto"/>
        <w:ind w:firstLine="480" w:firstLineChars="200"/>
        <w:jc w:val="left"/>
        <w:rPr>
          <w:rFonts w:ascii="宋体" w:hAnsi="宋体"/>
          <w:sz w:val="24"/>
          <w:szCs w:val="24"/>
          <w:highlight w:val="none"/>
        </w:rPr>
      </w:pPr>
      <w:r>
        <w:rPr>
          <w:rFonts w:ascii="宋体" w:hAnsi="宋体"/>
          <w:sz w:val="24"/>
          <w:szCs w:val="24"/>
          <w:highlight w:val="none"/>
        </w:rPr>
        <w:t>承包人直接实施的暂估价项目的约定：</w:t>
      </w:r>
      <w:r>
        <w:rPr>
          <w:rFonts w:ascii="宋体" w:hAnsi="宋体"/>
          <w:sz w:val="24"/>
          <w:szCs w:val="24"/>
          <w:highlight w:val="none"/>
          <w:u w:val="single"/>
        </w:rPr>
        <w:t xml:space="preserve">     /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p>
    <w:p w14:paraId="0CD0DB33">
      <w:pPr>
        <w:spacing w:line="360" w:lineRule="auto"/>
        <w:ind w:firstLine="480" w:firstLineChars="200"/>
        <w:jc w:val="left"/>
        <w:rPr>
          <w:rFonts w:ascii="宋体" w:hAnsi="宋体"/>
          <w:sz w:val="24"/>
          <w:szCs w:val="24"/>
          <w:highlight w:val="none"/>
        </w:rPr>
      </w:pPr>
      <w:r>
        <w:rPr>
          <w:rFonts w:ascii="宋体" w:hAnsi="宋体"/>
          <w:sz w:val="24"/>
          <w:szCs w:val="24"/>
          <w:highlight w:val="none"/>
        </w:rPr>
        <w:t>10.8 暂列金额</w:t>
      </w:r>
    </w:p>
    <w:p w14:paraId="4375E37B">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合同当事人关于暂列金额使用的约定：</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60E57E58">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 xml:space="preserve">10.9 </w:t>
      </w:r>
      <w:r>
        <w:rPr>
          <w:rFonts w:hint="eastAsia" w:ascii="宋体" w:hAnsi="宋体"/>
          <w:color w:val="000000"/>
          <w:sz w:val="24"/>
          <w:szCs w:val="24"/>
          <w:highlight w:val="none"/>
        </w:rPr>
        <w:t>现场签证</w:t>
      </w:r>
      <w:r>
        <w:rPr>
          <w:rFonts w:ascii="宋体" w:hAnsi="宋体"/>
          <w:color w:val="000000"/>
          <w:sz w:val="24"/>
          <w:szCs w:val="24"/>
          <w:highlight w:val="none"/>
        </w:rPr>
        <w:t xml:space="preserve"> </w:t>
      </w:r>
    </w:p>
    <w:p w14:paraId="5F2CDF6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）承包人在现场签证内容完工后</w:t>
      </w:r>
      <w:r>
        <w:rPr>
          <w:rFonts w:ascii="宋体" w:hAnsi="宋体"/>
          <w:sz w:val="24"/>
          <w:szCs w:val="24"/>
          <w:highlight w:val="none"/>
        </w:rPr>
        <w:t>3</w:t>
      </w:r>
      <w:r>
        <w:rPr>
          <w:rFonts w:hint="eastAsia" w:ascii="宋体" w:hAnsi="宋体"/>
          <w:sz w:val="24"/>
          <w:szCs w:val="24"/>
          <w:highlight w:val="none"/>
        </w:rPr>
        <w:t>天内，承包人根据发包人签证管理要求编制工程签证相关资料，详细描述所完成的工作内容、技术标准以及签证价格的准确资料并上报给发包人，发包人需在收到完整资料后</w:t>
      </w:r>
      <w:r>
        <w:rPr>
          <w:rFonts w:ascii="宋体" w:hAnsi="宋体"/>
          <w:sz w:val="24"/>
          <w:szCs w:val="24"/>
          <w:highlight w:val="none"/>
        </w:rPr>
        <w:t>28</w:t>
      </w:r>
      <w:r>
        <w:rPr>
          <w:rFonts w:hint="eastAsia" w:ascii="宋体" w:hAnsi="宋体"/>
          <w:sz w:val="24"/>
          <w:szCs w:val="24"/>
          <w:highlight w:val="none"/>
        </w:rPr>
        <w:t>天审批核算完成（如逢节假日顺延），如发包人无正当理由在</w:t>
      </w:r>
      <w:r>
        <w:rPr>
          <w:rFonts w:ascii="宋体" w:hAnsi="宋体"/>
          <w:sz w:val="24"/>
          <w:szCs w:val="24"/>
          <w:highlight w:val="none"/>
        </w:rPr>
        <w:t>28</w:t>
      </w:r>
      <w:r>
        <w:rPr>
          <w:rFonts w:hint="eastAsia" w:ascii="宋体" w:hAnsi="宋体"/>
          <w:sz w:val="24"/>
          <w:szCs w:val="24"/>
          <w:highlight w:val="none"/>
        </w:rPr>
        <w:t>天内拖延未处理，则视为发包人认可。</w:t>
      </w:r>
    </w:p>
    <w:p w14:paraId="5782EEF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）如属隐蔽工程，承包人必须在其覆盖之前经监理及发包人签字确认，签证单中必须附隐蔽前后的照片。</w:t>
      </w:r>
    </w:p>
    <w:p w14:paraId="551692A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）所有变更与签证单，应使用经发包人确认的格式；否则不予以审批与结算，产生的后果由承包人自行承担。</w:t>
      </w:r>
    </w:p>
    <w:p w14:paraId="5E052CD1">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承包人出具的要求发包人结算价款的签证单，如果没有发包人指定的印章，发包人不予结算费用。</w:t>
      </w:r>
    </w:p>
    <w:p w14:paraId="07953C7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5</w:t>
      </w:r>
      <w:r>
        <w:rPr>
          <w:rFonts w:hint="eastAsia" w:ascii="宋体" w:hAnsi="宋体"/>
          <w:sz w:val="24"/>
          <w:szCs w:val="24"/>
          <w:highlight w:val="none"/>
        </w:rPr>
        <w:t>）签证单必须连续编号，不得断号，否则发包人有权拒绝后续签证，编号格式需经发包人确认。</w:t>
      </w:r>
    </w:p>
    <w:p w14:paraId="033CB82F">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6</w:t>
      </w:r>
      <w:r>
        <w:rPr>
          <w:rFonts w:hint="eastAsia" w:ascii="宋体" w:hAnsi="宋体"/>
          <w:sz w:val="24"/>
          <w:szCs w:val="24"/>
          <w:highlight w:val="none"/>
        </w:rPr>
        <w:t>）按</w:t>
      </w:r>
      <w:r>
        <w:rPr>
          <w:rFonts w:ascii="宋体" w:hAnsi="宋体"/>
          <w:sz w:val="24"/>
          <w:szCs w:val="24"/>
          <w:highlight w:val="none"/>
        </w:rPr>
        <w:t>“</w:t>
      </w:r>
      <w:r>
        <w:rPr>
          <w:rFonts w:hint="eastAsia" w:ascii="宋体" w:hAnsi="宋体"/>
          <w:sz w:val="24"/>
          <w:szCs w:val="24"/>
          <w:highlight w:val="none"/>
        </w:rPr>
        <w:t>一单一事</w:t>
      </w:r>
      <w:r>
        <w:rPr>
          <w:rFonts w:ascii="宋体" w:hAnsi="宋体"/>
          <w:sz w:val="24"/>
          <w:szCs w:val="24"/>
          <w:highlight w:val="none"/>
        </w:rPr>
        <w:t>”</w:t>
      </w:r>
      <w:r>
        <w:rPr>
          <w:rFonts w:hint="eastAsia" w:ascii="宋体" w:hAnsi="宋体"/>
          <w:sz w:val="24"/>
          <w:szCs w:val="24"/>
          <w:highlight w:val="none"/>
        </w:rPr>
        <w:t>的原则编制现场签证单。</w:t>
      </w:r>
    </w:p>
    <w:p w14:paraId="4B72A396">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签证单原件一式陆份，承包人保留贰份，监理壹份，发包人叁份。</w:t>
      </w:r>
    </w:p>
    <w:p w14:paraId="07FA9A66">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8</w:t>
      </w:r>
      <w:r>
        <w:rPr>
          <w:rFonts w:hint="eastAsia" w:ascii="宋体" w:hAnsi="宋体"/>
          <w:sz w:val="24"/>
          <w:szCs w:val="24"/>
          <w:highlight w:val="none"/>
        </w:rPr>
        <w:t>）承包人按合同规定提交的变更报价资料必须完整、真实可靠。经核实，如发现承包人的变更报价资料弄虚作假，则该份变更报价资料发包人不再认可、办理，由此引起的一切后果由承包人负责。</w:t>
      </w:r>
    </w:p>
    <w:p w14:paraId="3401EA8F">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9</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承包人必须认真查阅签证单相关操作流程资料（需提供签证单相关操作流程经发包人确认）。</w:t>
      </w:r>
    </w:p>
    <w:p w14:paraId="48904FEF">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10</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紧急情况下的变更处理：在紧急情况下（如主要管理签字人员不在现场，等特殊情况），发包人向承包人发出的变更指示，可要求立即进行变更工作。承包人收到发包人的变更指示后，应先按指示执行。施工完毕后按照上述条款规定补办手续、补充资料。</w:t>
      </w:r>
    </w:p>
    <w:p w14:paraId="6357517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11</w:t>
      </w: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承包人不得随意变更设计图纸，当因发包人原因并经发包人确认的设计变更造成增加成本超过本合同总价</w:t>
      </w:r>
      <w:r>
        <w:rPr>
          <w:rFonts w:ascii="宋体" w:hAnsi="宋体"/>
          <w:sz w:val="24"/>
          <w:szCs w:val="24"/>
          <w:highlight w:val="none"/>
        </w:rPr>
        <w:t>10%</w:t>
      </w:r>
      <w:r>
        <w:rPr>
          <w:rFonts w:hint="eastAsia" w:ascii="宋体" w:hAnsi="宋体"/>
          <w:sz w:val="24"/>
          <w:szCs w:val="24"/>
          <w:highlight w:val="none"/>
        </w:rPr>
        <w:t>的时候，承包人需及时提醒发包人，并签订补充协议。</w:t>
      </w:r>
    </w:p>
    <w:p w14:paraId="27DC8983">
      <w:pPr>
        <w:spacing w:line="360" w:lineRule="auto"/>
        <w:ind w:firstLine="480" w:firstLineChars="200"/>
        <w:jc w:val="left"/>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w:t>
      </w:r>
      <w:r>
        <w:rPr>
          <w:rFonts w:ascii="宋体" w:hAnsi="宋体"/>
          <w:sz w:val="24"/>
          <w:szCs w:val="24"/>
          <w:highlight w:val="none"/>
        </w:rPr>
        <w:t>12</w:t>
      </w:r>
      <w:r>
        <w:rPr>
          <w:rFonts w:hint="eastAsia" w:ascii="宋体" w:hAnsi="宋体"/>
          <w:sz w:val="24"/>
          <w:szCs w:val="24"/>
          <w:highlight w:val="none"/>
        </w:rPr>
        <w:t>）对于合同中没有适用或类似于的项目单价，按如下方法确定：</w:t>
      </w:r>
    </w:p>
    <w:p w14:paraId="52942D2C">
      <w:pPr>
        <w:spacing w:line="360" w:lineRule="auto"/>
        <w:ind w:firstLine="480" w:firstLineChars="200"/>
        <w:jc w:val="left"/>
        <w:rPr>
          <w:rFonts w:ascii="宋体" w:hAnsi="宋体"/>
          <w:sz w:val="24"/>
          <w:szCs w:val="24"/>
          <w:highlight w:val="none"/>
        </w:rPr>
      </w:pPr>
      <w:r>
        <w:rPr>
          <w:rFonts w:ascii="宋体" w:hAnsi="宋体"/>
          <w:sz w:val="24"/>
          <w:szCs w:val="24"/>
          <w:highlight w:val="none"/>
        </w:rPr>
        <w:t xml:space="preserve">(a) </w:t>
      </w:r>
      <w:r>
        <w:rPr>
          <w:rFonts w:hint="eastAsia" w:ascii="宋体" w:hAnsi="宋体"/>
          <w:sz w:val="24"/>
          <w:szCs w:val="24"/>
          <w:highlight w:val="none"/>
        </w:rPr>
        <w:t>工程量计算规则和人工、材料、机械的消耗量按《上海市建筑和装饰工程预算定额》</w:t>
      </w:r>
      <w:r>
        <w:rPr>
          <w:rFonts w:ascii="宋体" w:hAnsi="宋体"/>
          <w:sz w:val="24"/>
          <w:szCs w:val="24"/>
          <w:highlight w:val="none"/>
        </w:rPr>
        <w:t>(2016</w:t>
      </w:r>
      <w:r>
        <w:rPr>
          <w:rFonts w:hint="eastAsia" w:ascii="宋体" w:hAnsi="宋体"/>
          <w:sz w:val="24"/>
          <w:szCs w:val="24"/>
          <w:highlight w:val="none"/>
        </w:rPr>
        <w:t>版</w:t>
      </w:r>
      <w:r>
        <w:rPr>
          <w:rFonts w:ascii="宋体" w:hAnsi="宋体"/>
          <w:sz w:val="24"/>
          <w:szCs w:val="24"/>
          <w:highlight w:val="none"/>
        </w:rPr>
        <w:t>)/</w:t>
      </w:r>
      <w:r>
        <w:rPr>
          <w:rFonts w:hint="eastAsia" w:ascii="宋体" w:hAnsi="宋体"/>
          <w:sz w:val="24"/>
          <w:szCs w:val="24"/>
          <w:highlight w:val="none"/>
        </w:rPr>
        <w:t>《上海市安装工程预算定额》</w:t>
      </w:r>
      <w:r>
        <w:rPr>
          <w:rFonts w:ascii="宋体" w:hAnsi="宋体"/>
          <w:sz w:val="24"/>
          <w:szCs w:val="24"/>
          <w:highlight w:val="none"/>
        </w:rPr>
        <w:t>(2016</w:t>
      </w:r>
      <w:r>
        <w:rPr>
          <w:rFonts w:hint="eastAsia" w:ascii="宋体" w:hAnsi="宋体"/>
          <w:sz w:val="24"/>
          <w:szCs w:val="24"/>
          <w:highlight w:val="none"/>
        </w:rPr>
        <w:t>版</w:t>
      </w:r>
      <w:r>
        <w:rPr>
          <w:rFonts w:ascii="宋体" w:hAnsi="宋体"/>
          <w:sz w:val="24"/>
          <w:szCs w:val="24"/>
          <w:highlight w:val="none"/>
        </w:rPr>
        <w:t>)</w:t>
      </w:r>
      <w:r>
        <w:rPr>
          <w:rFonts w:hint="eastAsia" w:ascii="宋体" w:hAnsi="宋体"/>
          <w:sz w:val="24"/>
          <w:szCs w:val="24"/>
          <w:highlight w:val="none"/>
        </w:rPr>
        <w:t>等计算；</w:t>
      </w:r>
    </w:p>
    <w:p w14:paraId="1995CEDF">
      <w:pPr>
        <w:spacing w:line="360" w:lineRule="auto"/>
        <w:ind w:firstLine="480" w:firstLineChars="200"/>
        <w:jc w:val="left"/>
        <w:rPr>
          <w:rFonts w:ascii="宋体" w:hAnsi="宋体"/>
          <w:sz w:val="24"/>
          <w:szCs w:val="24"/>
          <w:highlight w:val="none"/>
        </w:rPr>
      </w:pPr>
      <w:r>
        <w:rPr>
          <w:rFonts w:ascii="宋体" w:hAnsi="宋体"/>
          <w:sz w:val="24"/>
          <w:szCs w:val="24"/>
          <w:highlight w:val="none"/>
        </w:rPr>
        <w:t xml:space="preserve">(b) </w:t>
      </w:r>
      <w:r>
        <w:rPr>
          <w:rFonts w:hint="eastAsia" w:ascii="宋体" w:hAnsi="宋体"/>
          <w:sz w:val="24"/>
          <w:szCs w:val="24"/>
          <w:highlight w:val="none"/>
        </w:rPr>
        <w:t>工、料、机单价参照合同报价计取，合同报价没有的，参考上海市住房和城乡建设管理委员会门户网站（</w:t>
      </w:r>
      <w:r>
        <w:rPr>
          <w:rFonts w:ascii="宋体" w:hAnsi="宋体"/>
          <w:sz w:val="24"/>
          <w:szCs w:val="24"/>
          <w:highlight w:val="none"/>
        </w:rPr>
        <w:t>https://ciac.zjw.sh.gov.cn</w:t>
      </w:r>
      <w:r>
        <w:rPr>
          <w:rFonts w:hint="eastAsia" w:ascii="宋体" w:hAnsi="宋体"/>
          <w:sz w:val="24"/>
          <w:szCs w:val="24"/>
          <w:highlight w:val="none"/>
        </w:rPr>
        <w:t>）上颁布（投标当期）工料机信息价计取，若信息价中无，则由承包人自行组价并发包人审核；</w:t>
      </w:r>
    </w:p>
    <w:p w14:paraId="232E0B58">
      <w:pPr>
        <w:spacing w:line="360" w:lineRule="auto"/>
        <w:ind w:firstLine="480" w:firstLineChars="200"/>
        <w:jc w:val="left"/>
        <w:rPr>
          <w:rFonts w:ascii="宋体" w:hAnsi="宋体"/>
          <w:sz w:val="24"/>
          <w:szCs w:val="24"/>
          <w:highlight w:val="none"/>
        </w:rPr>
      </w:pPr>
      <w:r>
        <w:rPr>
          <w:rFonts w:ascii="宋体" w:hAnsi="宋体"/>
          <w:sz w:val="24"/>
          <w:szCs w:val="24"/>
          <w:highlight w:val="none"/>
        </w:rPr>
        <w:t>(c)</w:t>
      </w:r>
      <w:r>
        <w:rPr>
          <w:rFonts w:hint="eastAsia" w:ascii="宋体" w:hAnsi="宋体"/>
          <w:sz w:val="24"/>
          <w:szCs w:val="24"/>
          <w:highlight w:val="none"/>
        </w:rPr>
        <w:t>综合单价组价的费率按投标费率计取；</w:t>
      </w:r>
    </w:p>
    <w:p w14:paraId="3875E9A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d</w:t>
      </w:r>
      <w:r>
        <w:rPr>
          <w:rFonts w:hint="eastAsia" w:ascii="宋体" w:hAnsi="宋体"/>
          <w:sz w:val="24"/>
          <w:szCs w:val="24"/>
          <w:highlight w:val="none"/>
        </w:rPr>
        <w:t>）工程拆改发生的内容如投标报价中无价格的，参照合同附件零星工程清单单价执行。</w:t>
      </w:r>
    </w:p>
    <w:p w14:paraId="1E90F4A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13</w:t>
      </w:r>
      <w:r>
        <w:rPr>
          <w:rFonts w:hint="eastAsia" w:ascii="宋体" w:hAnsi="宋体"/>
          <w:sz w:val="24"/>
          <w:szCs w:val="24"/>
          <w:highlight w:val="none"/>
        </w:rPr>
        <w:t>）因设计变更或现场签证涉及到可重复利用的材料时，承包人应在拆除前</w:t>
      </w:r>
      <w:r>
        <w:rPr>
          <w:rFonts w:ascii="宋体" w:hAnsi="宋体"/>
          <w:sz w:val="24"/>
          <w:szCs w:val="24"/>
          <w:highlight w:val="none"/>
        </w:rPr>
        <w:t>7</w:t>
      </w:r>
      <w:r>
        <w:rPr>
          <w:rFonts w:hint="eastAsia" w:ascii="宋体" w:hAnsi="宋体"/>
          <w:sz w:val="24"/>
          <w:szCs w:val="24"/>
          <w:highlight w:val="none"/>
        </w:rPr>
        <w:t>日内与发包人及时谈定材料的可重复利用率，否则视为承包人</w:t>
      </w:r>
      <w:r>
        <w:rPr>
          <w:rFonts w:ascii="宋体" w:hAnsi="宋体"/>
          <w:sz w:val="24"/>
          <w:szCs w:val="24"/>
          <w:highlight w:val="none"/>
        </w:rPr>
        <w:t>100%</w:t>
      </w:r>
      <w:r>
        <w:rPr>
          <w:rFonts w:hint="eastAsia" w:ascii="宋体" w:hAnsi="宋体"/>
          <w:sz w:val="24"/>
          <w:szCs w:val="24"/>
          <w:highlight w:val="none"/>
        </w:rPr>
        <w:t>的回收利用。</w:t>
      </w:r>
    </w:p>
    <w:p w14:paraId="07421770">
      <w:pPr>
        <w:autoSpaceDE w:val="0"/>
        <w:autoSpaceDN w:val="0"/>
        <w:adjustRightInd w:val="0"/>
        <w:spacing w:line="360" w:lineRule="auto"/>
        <w:ind w:firstLine="480" w:firstLineChars="200"/>
        <w:jc w:val="left"/>
        <w:rPr>
          <w:rFonts w:ascii="宋体" w:hAnsi="宋体"/>
          <w:color w:val="000000"/>
          <w:kern w:val="0"/>
          <w:sz w:val="24"/>
          <w:szCs w:val="24"/>
          <w:highlight w:val="none"/>
        </w:rPr>
      </w:pPr>
    </w:p>
    <w:p w14:paraId="1CA4C91E">
      <w:pPr>
        <w:pStyle w:val="7"/>
        <w:spacing w:before="120" w:after="120" w:line="360" w:lineRule="auto"/>
        <w:rPr>
          <w:rFonts w:ascii="宋体" w:hAnsi="宋体"/>
          <w:b w:val="0"/>
          <w:color w:val="000000"/>
          <w:szCs w:val="24"/>
          <w:highlight w:val="none"/>
        </w:rPr>
      </w:pPr>
      <w:bookmarkStart w:id="824" w:name="_Toc351203643"/>
      <w:r>
        <w:rPr>
          <w:rFonts w:ascii="宋体" w:hAnsi="宋体"/>
          <w:b w:val="0"/>
          <w:color w:val="000000"/>
          <w:szCs w:val="24"/>
          <w:highlight w:val="none"/>
        </w:rPr>
        <w:t>11. 价格调整</w:t>
      </w:r>
      <w:bookmarkEnd w:id="824"/>
    </w:p>
    <w:p w14:paraId="78C438CB">
      <w:pPr>
        <w:spacing w:after="120" w:line="360" w:lineRule="auto"/>
        <w:ind w:firstLine="480" w:firstLineChars="200"/>
        <w:rPr>
          <w:rFonts w:ascii="宋体" w:hAnsi="宋体"/>
          <w:color w:val="000000"/>
          <w:sz w:val="24"/>
          <w:szCs w:val="24"/>
          <w:highlight w:val="none"/>
        </w:rPr>
      </w:pPr>
      <w:bookmarkStart w:id="825" w:name="_Toc296891241"/>
      <w:bookmarkStart w:id="826" w:name="_Toc297123550"/>
      <w:bookmarkStart w:id="827" w:name="_Toc304295577"/>
      <w:bookmarkStart w:id="828" w:name="_Toc303539157"/>
      <w:bookmarkStart w:id="829" w:name="_Toc300935000"/>
      <w:bookmarkStart w:id="830" w:name="_Toc297216209"/>
      <w:bookmarkStart w:id="831" w:name="_Toc296891029"/>
      <w:bookmarkStart w:id="832" w:name="_Toc296346702"/>
      <w:bookmarkStart w:id="833" w:name="_Toc296503201"/>
      <w:bookmarkStart w:id="834" w:name="_Toc297048387"/>
      <w:bookmarkStart w:id="835" w:name="_Toc296944540"/>
      <w:bookmarkStart w:id="836" w:name="_Toc312678039"/>
      <w:bookmarkStart w:id="837" w:name="_Toc292559406"/>
      <w:bookmarkStart w:id="838" w:name="_Toc296347200"/>
      <w:bookmarkStart w:id="839" w:name="_Toc297120501"/>
      <w:bookmarkStart w:id="840" w:name="_Toc292559911"/>
      <w:r>
        <w:rPr>
          <w:rFonts w:ascii="宋体" w:hAnsi="宋体"/>
          <w:color w:val="000000"/>
          <w:sz w:val="24"/>
          <w:szCs w:val="24"/>
          <w:highlight w:val="none"/>
        </w:rPr>
        <w:t>11.1 市场价格波动引起的调整</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14:paraId="1AC3CD18">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市场价格波动是否调整合同价格的约定：</w:t>
      </w:r>
      <w:r>
        <w:rPr>
          <w:rFonts w:ascii="宋体" w:hAnsi="宋体"/>
          <w:sz w:val="24"/>
          <w:szCs w:val="24"/>
          <w:highlight w:val="none"/>
          <w:u w:val="single"/>
        </w:rPr>
        <w:t xml:space="preserve">      </w:t>
      </w:r>
      <w:r>
        <w:rPr>
          <w:rFonts w:ascii="宋体" w:hAnsi="宋体"/>
          <w:bCs/>
          <w:sz w:val="24"/>
          <w:szCs w:val="24"/>
          <w:highlight w:val="none"/>
          <w:u w:val="single"/>
        </w:rPr>
        <w:t xml:space="preserve"> </w:t>
      </w:r>
      <w:r>
        <w:rPr>
          <w:rFonts w:hint="eastAsia" w:ascii="宋体" w:hAnsi="宋体"/>
          <w:bCs/>
          <w:sz w:val="24"/>
          <w:szCs w:val="24"/>
          <w:highlight w:val="none"/>
          <w:u w:val="single"/>
        </w:rPr>
        <w:t>不调整</w:t>
      </w:r>
      <w:r>
        <w:rPr>
          <w:rFonts w:ascii="宋体" w:hAnsi="宋体"/>
          <w:bCs/>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p>
    <w:p w14:paraId="649FC33F">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因市场价格波动调整合同价格，采用以下</w:t>
      </w:r>
      <w:r>
        <w:rPr>
          <w:rFonts w:ascii="宋体" w:hAnsi="宋体"/>
          <w:sz w:val="24"/>
          <w:szCs w:val="24"/>
          <w:highlight w:val="none"/>
        </w:rPr>
        <w:t>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ascii="宋体" w:hAnsi="宋体"/>
          <w:color w:val="000000"/>
          <w:sz w:val="24"/>
          <w:szCs w:val="24"/>
          <w:highlight w:val="none"/>
        </w:rPr>
        <w:t>种方式对合同价格进行调整：</w:t>
      </w:r>
    </w:p>
    <w:p w14:paraId="60122432">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第1种方式：采用价格指数</w:t>
      </w:r>
      <w:r>
        <w:rPr>
          <w:rFonts w:hint="eastAsia" w:ascii="宋体" w:hAnsi="宋体"/>
          <w:color w:val="000000"/>
          <w:sz w:val="24"/>
          <w:szCs w:val="24"/>
          <w:highlight w:val="none"/>
        </w:rPr>
        <w:t>进行价格</w:t>
      </w:r>
      <w:r>
        <w:rPr>
          <w:rFonts w:ascii="宋体" w:hAnsi="宋体"/>
          <w:color w:val="000000"/>
          <w:sz w:val="24"/>
          <w:szCs w:val="24"/>
          <w:highlight w:val="none"/>
        </w:rPr>
        <w:t>调整。</w:t>
      </w:r>
    </w:p>
    <w:p w14:paraId="330389FA">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关于各可调因子、定值和变值权重，以及基本价格指数及其来源的约定：</w:t>
      </w:r>
      <w:r>
        <w:rPr>
          <w:rFonts w:ascii="宋体" w:hAnsi="宋体"/>
          <w:color w:val="000000"/>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9D1004E">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第2种方式：采用造价信息</w:t>
      </w:r>
      <w:r>
        <w:rPr>
          <w:rFonts w:hint="eastAsia" w:ascii="宋体" w:hAnsi="宋体"/>
          <w:color w:val="000000"/>
          <w:sz w:val="24"/>
          <w:szCs w:val="24"/>
          <w:highlight w:val="none"/>
        </w:rPr>
        <w:t>进行价格</w:t>
      </w:r>
      <w:r>
        <w:rPr>
          <w:rFonts w:ascii="宋体" w:hAnsi="宋体"/>
          <w:color w:val="000000"/>
          <w:sz w:val="24"/>
          <w:szCs w:val="24"/>
          <w:highlight w:val="none"/>
        </w:rPr>
        <w:t>调整。</w:t>
      </w:r>
    </w:p>
    <w:p w14:paraId="52058AE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（2）关于基准价格的约定：</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p>
    <w:p w14:paraId="39AF70BA">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专用合同条款</w:t>
      </w:r>
      <w:r>
        <w:rPr>
          <w:rFonts w:hint="eastAsia" w:ascii="宋体" w:hAnsi="宋体" w:cs="宋体"/>
          <w:color w:val="000000"/>
          <w:sz w:val="24"/>
          <w:szCs w:val="24"/>
          <w:highlight w:val="none"/>
        </w:rPr>
        <w:t>①</w:t>
      </w:r>
      <w:r>
        <w:rPr>
          <w:rFonts w:ascii="宋体" w:hAnsi="宋体"/>
          <w:color w:val="000000"/>
          <w:sz w:val="24"/>
          <w:szCs w:val="24"/>
          <w:highlight w:val="none"/>
        </w:rPr>
        <w:t>承包人在已标价工程量清单或预算书中载明的材料单价低于基准价格的：专用合同条款合同履行期间材料单价涨幅以基准价格为基础超过</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%时，或材料单价跌幅以已标价工程量清单或预算书中载明材料单价为基础超过</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%时，其超过部分据实调整。</w:t>
      </w:r>
    </w:p>
    <w:p w14:paraId="1A84661D">
      <w:pPr>
        <w:spacing w:line="360" w:lineRule="auto"/>
        <w:ind w:firstLine="480" w:firstLineChars="200"/>
        <w:jc w:val="left"/>
        <w:rPr>
          <w:rFonts w:ascii="宋体" w:hAnsi="宋体"/>
          <w:color w:val="000000"/>
          <w:sz w:val="24"/>
          <w:szCs w:val="24"/>
          <w:highlight w:val="none"/>
        </w:rPr>
      </w:pPr>
      <w:r>
        <w:rPr>
          <w:rFonts w:hint="eastAsia" w:ascii="宋体" w:hAnsi="宋体" w:cs="宋体"/>
          <w:color w:val="000000"/>
          <w:sz w:val="24"/>
          <w:szCs w:val="24"/>
          <w:highlight w:val="none"/>
        </w:rPr>
        <w:t>②</w:t>
      </w:r>
      <w:r>
        <w:rPr>
          <w:rFonts w:ascii="宋体" w:hAnsi="宋体"/>
          <w:color w:val="000000"/>
          <w:sz w:val="24"/>
          <w:szCs w:val="24"/>
          <w:highlight w:val="none"/>
        </w:rPr>
        <w:t>承包人在已标价工程量清单或预算书中载明的材料单价高于基准价格的：专用合同条款合同履行期间材料单价跌幅以基准价格为基础超过</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%时，材料单价涨幅以已标价工程量清单或预算书中载明材料单价为基础超过</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%时，其超过部分据实调整。</w:t>
      </w:r>
    </w:p>
    <w:p w14:paraId="644E3881">
      <w:pPr>
        <w:spacing w:line="360" w:lineRule="auto"/>
        <w:ind w:firstLine="645"/>
        <w:jc w:val="left"/>
        <w:rPr>
          <w:rFonts w:ascii="宋体" w:hAnsi="宋体"/>
          <w:color w:val="000000"/>
          <w:sz w:val="24"/>
          <w:szCs w:val="24"/>
          <w:highlight w:val="none"/>
        </w:rPr>
      </w:pPr>
      <w:r>
        <w:rPr>
          <w:rFonts w:hint="eastAsia" w:ascii="宋体" w:hAnsi="宋体" w:cs="宋体"/>
          <w:color w:val="000000"/>
          <w:sz w:val="24"/>
          <w:szCs w:val="24"/>
          <w:highlight w:val="none"/>
        </w:rPr>
        <w:t>③</w:t>
      </w:r>
      <w:r>
        <w:rPr>
          <w:rFonts w:ascii="宋体" w:hAnsi="宋体"/>
          <w:color w:val="000000"/>
          <w:sz w:val="24"/>
          <w:szCs w:val="24"/>
          <w:highlight w:val="none"/>
        </w:rPr>
        <w:t>承包人在已标价工程量清单或预算书中载明的材料单价等于基准单价的：专用合同条款合同履行期间材料单价涨跌幅以基准单价为基础超过±</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%时，其超过部分据实调整。</w:t>
      </w:r>
    </w:p>
    <w:p w14:paraId="098A89BC">
      <w:pPr>
        <w:spacing w:line="360" w:lineRule="auto"/>
        <w:ind w:firstLine="645"/>
        <w:jc w:val="left"/>
        <w:rPr>
          <w:rFonts w:ascii="宋体" w:hAnsi="宋体"/>
          <w:color w:val="000000"/>
          <w:sz w:val="24"/>
          <w:szCs w:val="24"/>
          <w:highlight w:val="none"/>
        </w:rPr>
      </w:pPr>
      <w:r>
        <w:rPr>
          <w:rFonts w:ascii="宋体" w:hAnsi="宋体"/>
          <w:color w:val="000000"/>
          <w:sz w:val="24"/>
          <w:szCs w:val="24"/>
          <w:highlight w:val="none"/>
        </w:rPr>
        <w:t>第3种方式：其他价格调整方式：</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3D3478AA">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11.3 合同价格不予调整的情形</w:t>
      </w:r>
    </w:p>
    <w:p w14:paraId="2105DD10">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（1）双方商定，在合同履行期间，无论外部条件发生何种变化，价格风险自负，经双方确认的投标报价分部分项工程量清单综合单价均不作调整（除合同规定可调整的以外）。</w:t>
      </w:r>
    </w:p>
    <w:p w14:paraId="78FE775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（2）在图纸会审和设计交底后，承包人在对任何补充和修改的图纸进行应有的细心检查时，本应发现此类错误、失误或其他缺陷而未能发现导致工期延误的，则竣工时间应不予延长，合同价格不予调整。</w:t>
      </w:r>
    </w:p>
    <w:p w14:paraId="55353E3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（3）承包人在提交投标书前，对现场和规范要求、图纸进行应有的细心检查时，其本应发现此类错误、失误或其他缺陷而未能发现导致工期延误的，则竣工时间应不予延长，合同价格不予调整。</w:t>
      </w:r>
    </w:p>
    <w:bookmarkEnd w:id="728"/>
    <w:bookmarkEnd w:id="729"/>
    <w:bookmarkEnd w:id="730"/>
    <w:bookmarkEnd w:id="731"/>
    <w:bookmarkEnd w:id="732"/>
    <w:bookmarkEnd w:id="733"/>
    <w:p w14:paraId="22D29830">
      <w:pPr>
        <w:pStyle w:val="7"/>
        <w:spacing w:before="120" w:after="120" w:line="360" w:lineRule="auto"/>
        <w:rPr>
          <w:rFonts w:ascii="宋体" w:hAnsi="宋体"/>
          <w:b w:val="0"/>
          <w:color w:val="000000"/>
          <w:szCs w:val="24"/>
          <w:highlight w:val="none"/>
        </w:rPr>
      </w:pPr>
      <w:bookmarkStart w:id="841" w:name="_Toc296346706"/>
      <w:bookmarkStart w:id="842" w:name="_Toc296944544"/>
      <w:bookmarkStart w:id="843" w:name="_Toc296891245"/>
      <w:bookmarkStart w:id="844" w:name="_Toc292559915"/>
      <w:bookmarkStart w:id="845" w:name="_Toc296503205"/>
      <w:bookmarkStart w:id="846" w:name="_Toc292559410"/>
      <w:bookmarkStart w:id="847" w:name="_Toc297120505"/>
      <w:bookmarkStart w:id="848" w:name="_Toc296891033"/>
      <w:bookmarkStart w:id="849" w:name="_Toc297048391"/>
      <w:bookmarkStart w:id="850" w:name="_Toc296347204"/>
      <w:bookmarkStart w:id="851" w:name="_Toc351203644"/>
      <w:bookmarkStart w:id="852" w:name="_Toc304295579"/>
      <w:bookmarkStart w:id="853" w:name="_Toc303539159"/>
      <w:bookmarkStart w:id="854" w:name="_Toc297123552"/>
      <w:bookmarkStart w:id="855" w:name="_Toc297216211"/>
      <w:bookmarkStart w:id="856" w:name="_Toc300935002"/>
      <w:bookmarkStart w:id="857" w:name="_Toc312678040"/>
      <w:r>
        <w:rPr>
          <w:rFonts w:ascii="宋体" w:hAnsi="宋体"/>
          <w:b w:val="0"/>
          <w:color w:val="000000"/>
          <w:szCs w:val="24"/>
          <w:highlight w:val="none"/>
        </w:rPr>
        <w:t xml:space="preserve">12. </w:t>
      </w:r>
      <w:bookmarkEnd w:id="841"/>
      <w:bookmarkEnd w:id="842"/>
      <w:bookmarkEnd w:id="843"/>
      <w:bookmarkEnd w:id="844"/>
      <w:bookmarkEnd w:id="845"/>
      <w:bookmarkEnd w:id="846"/>
      <w:bookmarkEnd w:id="847"/>
      <w:bookmarkEnd w:id="848"/>
      <w:bookmarkEnd w:id="849"/>
      <w:bookmarkEnd w:id="850"/>
      <w:r>
        <w:rPr>
          <w:rFonts w:ascii="宋体" w:hAnsi="宋体"/>
          <w:b w:val="0"/>
          <w:color w:val="000000"/>
          <w:szCs w:val="24"/>
          <w:highlight w:val="none"/>
        </w:rPr>
        <w:t>合同价格、计量与支付</w:t>
      </w:r>
      <w:bookmarkEnd w:id="851"/>
    </w:p>
    <w:bookmarkEnd w:id="852"/>
    <w:bookmarkEnd w:id="853"/>
    <w:bookmarkEnd w:id="854"/>
    <w:bookmarkEnd w:id="855"/>
    <w:bookmarkEnd w:id="856"/>
    <w:bookmarkEnd w:id="857"/>
    <w:p w14:paraId="04252755">
      <w:pPr>
        <w:spacing w:after="120" w:line="360" w:lineRule="auto"/>
        <w:ind w:firstLine="480" w:firstLineChars="200"/>
        <w:rPr>
          <w:rFonts w:ascii="宋体" w:hAnsi="宋体"/>
          <w:color w:val="000000"/>
          <w:sz w:val="24"/>
          <w:szCs w:val="24"/>
          <w:highlight w:val="none"/>
        </w:rPr>
      </w:pPr>
      <w:bookmarkStart w:id="858" w:name="_Toc292559916"/>
      <w:bookmarkStart w:id="859" w:name="_Toc292559411"/>
      <w:bookmarkStart w:id="860" w:name="_Toc267251461"/>
      <w:bookmarkStart w:id="861" w:name="_Toc296503206"/>
      <w:bookmarkStart w:id="862" w:name="_Toc296891034"/>
      <w:bookmarkStart w:id="863" w:name="_Toc297048392"/>
      <w:bookmarkStart w:id="864" w:name="_Toc297120506"/>
      <w:bookmarkStart w:id="865" w:name="_Toc296346707"/>
      <w:bookmarkStart w:id="866" w:name="_Toc296944545"/>
      <w:bookmarkStart w:id="867" w:name="_Toc296347205"/>
      <w:bookmarkStart w:id="868" w:name="_Toc296891246"/>
      <w:bookmarkStart w:id="869" w:name="_Toc312678041"/>
      <w:bookmarkStart w:id="870" w:name="_Toc297123553"/>
      <w:bookmarkStart w:id="871" w:name="_Toc297216212"/>
      <w:bookmarkStart w:id="872" w:name="_Toc300935003"/>
      <w:bookmarkStart w:id="873" w:name="_Toc303539160"/>
      <w:bookmarkStart w:id="874" w:name="_Toc304295580"/>
      <w:r>
        <w:rPr>
          <w:rFonts w:ascii="宋体" w:hAnsi="宋体"/>
          <w:color w:val="000000"/>
          <w:sz w:val="24"/>
          <w:szCs w:val="24"/>
          <w:highlight w:val="none"/>
        </w:rPr>
        <w:t>12.1 合</w:t>
      </w:r>
      <w:bookmarkEnd w:id="858"/>
      <w:bookmarkEnd w:id="859"/>
      <w:bookmarkEnd w:id="860"/>
      <w:r>
        <w:rPr>
          <w:rFonts w:ascii="宋体" w:hAnsi="宋体"/>
          <w:color w:val="000000"/>
          <w:sz w:val="24"/>
          <w:szCs w:val="24"/>
          <w:highlight w:val="none"/>
        </w:rPr>
        <w:t>同价</w:t>
      </w:r>
      <w:bookmarkEnd w:id="861"/>
      <w:bookmarkEnd w:id="862"/>
      <w:bookmarkEnd w:id="863"/>
      <w:bookmarkEnd w:id="864"/>
      <w:bookmarkEnd w:id="865"/>
      <w:bookmarkEnd w:id="866"/>
      <w:bookmarkEnd w:id="867"/>
      <w:bookmarkEnd w:id="868"/>
      <w:r>
        <w:rPr>
          <w:rFonts w:ascii="宋体" w:hAnsi="宋体"/>
          <w:color w:val="000000"/>
          <w:sz w:val="24"/>
          <w:szCs w:val="24"/>
          <w:highlight w:val="none"/>
        </w:rPr>
        <w:t>格形式</w:t>
      </w:r>
    </w:p>
    <w:bookmarkEnd w:id="869"/>
    <w:bookmarkEnd w:id="870"/>
    <w:bookmarkEnd w:id="871"/>
    <w:bookmarkEnd w:id="872"/>
    <w:bookmarkEnd w:id="873"/>
    <w:bookmarkEnd w:id="874"/>
    <w:p w14:paraId="20629CB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1、单价合同。</w:t>
      </w:r>
    </w:p>
    <w:p w14:paraId="10FDB10D">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综合单价包含的风险范围：</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综合单价属单价闭口包干性质（规费及税金除外），包括但不限于以下内容：包工、包料、包机械、包工期、包质量、包安全、包验收，包材料价之任何市场差价（合同另行约定除外）、施工管理费、所有间接费、综合费率、大型机械进/退场费、保险、利润、必需的加班费赶工费、费率或汇率的变动、专利费、包装空运、国外及本地存仓、运输、因材料或设备迟到工地的窝工费等所有费用。     </w:t>
      </w:r>
    </w:p>
    <w:p w14:paraId="02228168">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认真研究和充分理解了竞争性谈判文件、答疑纪要或补充文件、图纸、工程量清单、其他参考资料以及自然环境和现场条件，并在响应报价中予以充分考虑；</w:t>
      </w:r>
    </w:p>
    <w:p w14:paraId="00CB285C">
      <w:pPr>
        <w:spacing w:line="360" w:lineRule="auto"/>
        <w:ind w:firstLine="480" w:firstLineChars="200"/>
        <w:jc w:val="left"/>
        <w:rPr>
          <w:rFonts w:ascii="宋体" w:hAnsi="宋体"/>
          <w:color w:val="000000"/>
          <w:sz w:val="24"/>
          <w:szCs w:val="24"/>
          <w:highlight w:val="none"/>
          <w:u w:val="single"/>
        </w:rPr>
      </w:pPr>
      <w:r>
        <w:rPr>
          <w:rFonts w:hint="eastAsia" w:ascii="宋体" w:hAnsi="宋体"/>
          <w:color w:val="000000"/>
          <w:sz w:val="24"/>
          <w:szCs w:val="24"/>
          <w:highlight w:val="none"/>
          <w:u w:val="single"/>
        </w:rPr>
        <w:t>社会条件的变化（包括国际、国内经济形势、社会管理、周边社会环境因素等）可能给施工带来发生的困难、干扰和由此产生的费用，作出自己的明确判断并在响应报价中予以考虑；</w:t>
      </w:r>
    </w:p>
    <w:p w14:paraId="0CD80008">
      <w:pPr>
        <w:spacing w:line="360" w:lineRule="auto"/>
        <w:ind w:firstLine="480" w:firstLineChars="200"/>
        <w:jc w:val="left"/>
        <w:rPr>
          <w:rFonts w:ascii="宋体" w:hAnsi="宋体"/>
          <w:color w:val="000000"/>
          <w:sz w:val="24"/>
          <w:szCs w:val="24"/>
          <w:highlight w:val="none"/>
          <w:u w:val="single"/>
        </w:rPr>
      </w:pPr>
      <w:r>
        <w:rPr>
          <w:rFonts w:hint="eastAsia" w:ascii="宋体" w:hAnsi="宋体"/>
          <w:color w:val="000000"/>
          <w:sz w:val="24"/>
          <w:szCs w:val="24"/>
          <w:highlight w:val="none"/>
          <w:u w:val="single"/>
        </w:rPr>
        <w:t>对施工方案及响应报价策略的选择可能存在的失误；</w:t>
      </w:r>
    </w:p>
    <w:p w14:paraId="5585FCA1">
      <w:pPr>
        <w:spacing w:line="360" w:lineRule="auto"/>
        <w:ind w:firstLine="480" w:firstLineChars="200"/>
        <w:jc w:val="left"/>
        <w:rPr>
          <w:rFonts w:ascii="宋体" w:hAnsi="宋体"/>
          <w:color w:val="000000"/>
          <w:sz w:val="24"/>
          <w:szCs w:val="24"/>
          <w:highlight w:val="none"/>
          <w:u w:val="single"/>
        </w:rPr>
      </w:pPr>
      <w:r>
        <w:rPr>
          <w:rFonts w:hint="eastAsia" w:ascii="宋体" w:hAnsi="宋体"/>
          <w:color w:val="000000"/>
          <w:sz w:val="24"/>
          <w:szCs w:val="24"/>
          <w:highlight w:val="none"/>
          <w:u w:val="single"/>
        </w:rPr>
        <w:t>承包人自身内部各项管理资源条件的变化；</w:t>
      </w:r>
    </w:p>
    <w:p w14:paraId="10398F61">
      <w:pPr>
        <w:spacing w:line="360" w:lineRule="auto"/>
        <w:ind w:firstLine="480" w:firstLineChars="200"/>
        <w:jc w:val="left"/>
        <w:rPr>
          <w:rFonts w:ascii="宋体" w:hAnsi="宋体"/>
          <w:color w:val="000000"/>
          <w:sz w:val="24"/>
          <w:szCs w:val="24"/>
          <w:highlight w:val="none"/>
          <w:u w:val="single"/>
        </w:rPr>
      </w:pPr>
      <w:r>
        <w:rPr>
          <w:rFonts w:hint="eastAsia" w:ascii="宋体" w:hAnsi="宋体"/>
          <w:color w:val="000000"/>
          <w:sz w:val="24"/>
          <w:szCs w:val="24"/>
          <w:highlight w:val="none"/>
          <w:u w:val="single"/>
        </w:rPr>
        <w:t>不可抗力事件发生时对承包人自身造成的损失；</w:t>
      </w:r>
    </w:p>
    <w:p w14:paraId="0B3E2E98">
      <w:pPr>
        <w:spacing w:line="360" w:lineRule="auto"/>
        <w:ind w:firstLine="480" w:firstLineChars="200"/>
        <w:jc w:val="left"/>
        <w:rPr>
          <w:rFonts w:ascii="宋体" w:hAnsi="宋体"/>
          <w:color w:val="000000"/>
          <w:sz w:val="24"/>
          <w:szCs w:val="24"/>
          <w:highlight w:val="none"/>
          <w:u w:val="single"/>
        </w:rPr>
      </w:pPr>
      <w:r>
        <w:rPr>
          <w:rFonts w:hint="eastAsia" w:ascii="宋体" w:hAnsi="宋体"/>
          <w:color w:val="000000"/>
          <w:sz w:val="24"/>
          <w:szCs w:val="24"/>
          <w:highlight w:val="none"/>
          <w:u w:val="single"/>
        </w:rPr>
        <w:t>施工期间的资源要素市场因素变化对工程造价的影响；</w:t>
      </w:r>
    </w:p>
    <w:p w14:paraId="6B8E3317">
      <w:pPr>
        <w:spacing w:line="360" w:lineRule="auto"/>
        <w:ind w:firstLine="480" w:firstLineChars="200"/>
        <w:jc w:val="left"/>
        <w:rPr>
          <w:rFonts w:ascii="宋体" w:hAnsi="宋体"/>
          <w:color w:val="000000"/>
          <w:sz w:val="24"/>
          <w:szCs w:val="24"/>
          <w:highlight w:val="none"/>
          <w:u w:val="single"/>
        </w:rPr>
      </w:pPr>
      <w:r>
        <w:rPr>
          <w:rFonts w:hint="eastAsia" w:ascii="宋体" w:hAnsi="宋体"/>
          <w:color w:val="000000"/>
          <w:sz w:val="24"/>
          <w:szCs w:val="24"/>
          <w:highlight w:val="none"/>
          <w:u w:val="single"/>
        </w:rPr>
        <w:t>施工期间政策、法规等因素对施工可能造成的影响；</w:t>
      </w:r>
    </w:p>
    <w:p w14:paraId="494AEA32">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u w:val="single"/>
        </w:rPr>
        <w:t>法律、法规、政策规定的其他需由承包人承担的风险。</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A076F48">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风险费用的计算方法：</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由承包人自行测算并包含在分部分项工程项目综合单价中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A45054E">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风险范围以外合同价格的调整方法：</w:t>
      </w:r>
    </w:p>
    <w:p w14:paraId="46C632C9">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1</w:t>
      </w:r>
      <w:r>
        <w:rPr>
          <w:rFonts w:ascii="宋体" w:hAnsi="宋体"/>
          <w:color w:val="000000"/>
          <w:sz w:val="24"/>
          <w:szCs w:val="24"/>
          <w:highlight w:val="none"/>
        </w:rPr>
        <w:t>）合同签订后不得以工程量清单数量与实际完成数量存在差异（无论该数量差异是否合理，或引起的合同结算金额的变化是否合理，甚至包括某些项目完全取消）为由要求调整工程量清单中分部分项工程的综合单价。最终将按照实际施工的施工图纸计算工程量进行调整，合同综合单价在施工期间不作调整。</w:t>
      </w:r>
    </w:p>
    <w:p w14:paraId="3C9717C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3</w:t>
      </w:r>
      <w:r>
        <w:rPr>
          <w:rFonts w:ascii="宋体" w:hAnsi="宋体"/>
          <w:color w:val="000000"/>
          <w:sz w:val="24"/>
          <w:szCs w:val="24"/>
          <w:highlight w:val="none"/>
        </w:rPr>
        <w:t>）本项目工程措施费用：措施费为承包人根据企业自身实力、经营管理水平、技术水平，本工程特点、现场情况、</w:t>
      </w:r>
      <w:r>
        <w:rPr>
          <w:rFonts w:hint="eastAsia" w:ascii="宋体" w:hAnsi="宋体"/>
          <w:color w:val="000000"/>
          <w:sz w:val="24"/>
          <w:szCs w:val="24"/>
          <w:highlight w:val="none"/>
        </w:rPr>
        <w:t>竞争性谈判</w:t>
      </w:r>
      <w:r>
        <w:rPr>
          <w:rFonts w:ascii="宋体" w:hAnsi="宋体"/>
          <w:color w:val="000000"/>
          <w:sz w:val="24"/>
          <w:szCs w:val="24"/>
          <w:highlight w:val="none"/>
        </w:rPr>
        <w:t>文件提出的各项要求并结合发包人发出的措施项目清单（承包人可结合对项目的条件自行增加措施项目），自行投报所需计取的费用，此部分措施项目为固定总价闭口包干。本次工程措施费是指除《建设工程量清单计价规范》(GB50500-2013)和“沪建交（2006）445号文件中规定的措施费用以外的措施费用，还包括大型机械（如塔吊、土方机械等）的场外运输、安拆及大型机械基础，冬雨季施工所需增加的人工、材料和设施费等费用。但如遇到人防及爆炸物，按国家有关规定处理。</w:t>
      </w:r>
    </w:p>
    <w:p w14:paraId="0B77B6BD">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3</w:t>
      </w:r>
      <w:r>
        <w:rPr>
          <w:rFonts w:ascii="宋体" w:hAnsi="宋体"/>
          <w:color w:val="000000"/>
          <w:sz w:val="24"/>
          <w:szCs w:val="24"/>
          <w:highlight w:val="none"/>
        </w:rPr>
        <w:t>）垃圾清运费的说明：指包括承包人、专业分包和供应商以及其他分包商产生的建筑垃圾和生活垃圾，由施工现场指定垃圾集中堆放点统一清理外运到政府指定垃圾处理厂的费用及应向有关行政管理部门（或现有物业部门）缴纳垃圾处理的费用，承包人在投标报价时已自行考虑。</w:t>
      </w:r>
    </w:p>
    <w:p w14:paraId="0AAA1FC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4</w:t>
      </w:r>
      <w:r>
        <w:rPr>
          <w:rFonts w:ascii="宋体" w:hAnsi="宋体"/>
          <w:color w:val="000000"/>
          <w:sz w:val="24"/>
          <w:szCs w:val="24"/>
          <w:highlight w:val="none"/>
        </w:rPr>
        <w:t>）总承包服务费：总承包服务费指总承包人为配合、协调发包人进行的工程专业分包/指定供应商/独立分包所需要的费用，以及承包人对分包工程的质量、进度、安全、文明施工的管理并提供现场现有的设施（脚手架、安全设施、垂直运输、食堂、厕所、水电接驳点、消防设备）给分包免费使用所需的费用，包括配合费、管理费)；清单内开列的专业分包工程/独立分包工程项目的管理、配合费用计算是按该指定项目分包合同金额扣除设备后乘以合同规定的总承包管理、配合费率(费率包干)，结算时以专业分包工程/独立分包工程实际结算价为基数乘以发包人填报费率计取。承包人参与专业分包工程/独立分包工程投标的，如中标，该专业分包工程/独立分包工程的总包服务费不再另行收取。</w:t>
      </w:r>
    </w:p>
    <w:p w14:paraId="3B926BE3">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5</w:t>
      </w:r>
      <w:r>
        <w:rPr>
          <w:rFonts w:ascii="宋体" w:hAnsi="宋体"/>
          <w:color w:val="000000"/>
          <w:sz w:val="24"/>
          <w:szCs w:val="24"/>
          <w:highlight w:val="none"/>
        </w:rPr>
        <w:t>）社会保险费和住房公积金按照《关于社会保险费费和缴交核付办法取的通知》【沪建建管（2017）899号】、《关于调整本市建设工程造价中社会保险费的通知》【沪建市管〔2019〕24号文】的规定执行。</w:t>
      </w:r>
    </w:p>
    <w:p w14:paraId="7B41C5B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6</w:t>
      </w:r>
      <w:r>
        <w:rPr>
          <w:rFonts w:ascii="宋体" w:hAnsi="宋体"/>
          <w:color w:val="000000"/>
          <w:sz w:val="24"/>
          <w:szCs w:val="24"/>
          <w:highlight w:val="none"/>
        </w:rPr>
        <w:t>）材料检测费用：根据《建筑工程检测试验技术管理规范》（JGJ190-2010）规范规定要求的检验、试验、复测、复验等费用，此费用已在工程措施费中包含。不包括新结构、新材料的试验费、以及对构件做破坏性试验和发包人另行委托检测机构进行检测的其他内容的费用。</w:t>
      </w:r>
    </w:p>
    <w:p w14:paraId="7F122A52">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hint="eastAsia" w:ascii="宋体" w:hAnsi="宋体"/>
          <w:color w:val="000000"/>
          <w:sz w:val="24"/>
          <w:szCs w:val="24"/>
          <w:highlight w:val="none"/>
        </w:rPr>
        <w:t>7</w:t>
      </w:r>
      <w:r>
        <w:rPr>
          <w:rFonts w:ascii="宋体" w:hAnsi="宋体"/>
          <w:color w:val="000000"/>
          <w:sz w:val="24"/>
          <w:szCs w:val="24"/>
          <w:highlight w:val="none"/>
        </w:rPr>
        <w:t>）承包人对本项目承担施工总承包管理责任，须加强对分包人的管理、及时协调、密切配合直至工程竣工。承包人对分包人管理配合工作包括但不限于以下项目：提供承包人工地内现有的设备和设施，包括临时用水、用电接驳点、爬梯、脚手架、垂直运输机械、施工道路、场地等设施、卫生设施、垃圾堆放地、工地上现有的机械设备；建筑表面修复、提供标高和定位的基本点线、核对相关预留孔洞的尺寸形状、对分包人和另行依法招标确定的专业工程分包人的施工安全及档案资料进行管理（另需按发包人内部档案的管理标准要求做到资料电子化归档），向政府部门办理有关手续以及监督分包人和另行依法招标确定的专业工程分包人办理相关手续等。整个工程的质量、进度、安全、文明施工、协调等由承包人向发包人负责。对于发包人另行依法招标确定的专业工程（如有），由发包人向承包人支付总承包服务费，而承包人不得再向专业工程分包人收取其他任何费用。</w:t>
      </w:r>
    </w:p>
    <w:p w14:paraId="74E96D9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2、总价合同。</w:t>
      </w:r>
    </w:p>
    <w:p w14:paraId="3A1EBF3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总价包含的风险范围：</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489A1D4F">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风险费用的计算方法：</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B633D5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风险范围以外合同价格的调整方法：</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0935CE36">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3、其他价格方式：</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034B4A6">
      <w:pPr>
        <w:spacing w:line="360" w:lineRule="auto"/>
        <w:ind w:firstLine="480" w:firstLineChars="200"/>
        <w:jc w:val="left"/>
        <w:rPr>
          <w:rFonts w:ascii="宋体" w:hAnsi="宋体"/>
          <w:color w:val="000000"/>
          <w:sz w:val="24"/>
          <w:szCs w:val="24"/>
          <w:highlight w:val="none"/>
        </w:rPr>
      </w:pPr>
      <w:bookmarkStart w:id="875" w:name="_Toc303539161"/>
      <w:bookmarkStart w:id="876" w:name="_Toc297123554"/>
      <w:bookmarkStart w:id="877" w:name="_Toc297216213"/>
      <w:bookmarkStart w:id="878" w:name="_Toc300935004"/>
      <w:bookmarkStart w:id="879" w:name="_Toc312678042"/>
      <w:bookmarkStart w:id="880" w:name="_Toc304295581"/>
      <w:bookmarkStart w:id="881" w:name="_Toc296891247"/>
      <w:bookmarkStart w:id="882" w:name="_Toc292559917"/>
      <w:bookmarkStart w:id="883" w:name="_Toc296347206"/>
      <w:bookmarkStart w:id="884" w:name="_Toc296503207"/>
      <w:bookmarkStart w:id="885" w:name="_Toc297120507"/>
      <w:bookmarkStart w:id="886" w:name="_Toc296944546"/>
      <w:bookmarkStart w:id="887" w:name="_Toc292559412"/>
      <w:bookmarkStart w:id="888" w:name="_Toc296346708"/>
      <w:bookmarkStart w:id="889" w:name="_Toc297048393"/>
      <w:bookmarkStart w:id="890" w:name="_Toc296891035"/>
      <w:r>
        <w:rPr>
          <w:rFonts w:ascii="宋体" w:hAnsi="宋体"/>
          <w:color w:val="000000"/>
          <w:sz w:val="24"/>
          <w:szCs w:val="24"/>
          <w:highlight w:val="none"/>
        </w:rPr>
        <w:t>12.2 预付款</w:t>
      </w:r>
    </w:p>
    <w:bookmarkEnd w:id="875"/>
    <w:bookmarkEnd w:id="876"/>
    <w:bookmarkEnd w:id="877"/>
    <w:bookmarkEnd w:id="878"/>
    <w:bookmarkEnd w:id="879"/>
    <w:bookmarkEnd w:id="880"/>
    <w:p w14:paraId="310325A3">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12.2.1 预付款的支付</w:t>
      </w:r>
    </w:p>
    <w:p w14:paraId="60C7B64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预付款支付比例或金额：</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合同金额30%</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2FCA98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 xml:space="preserve">预付款支付期限：   </w:t>
      </w:r>
      <w:r>
        <w:rPr>
          <w:rFonts w:hint="eastAsia" w:ascii="宋体" w:hAnsi="宋体"/>
          <w:color w:val="000000"/>
          <w:sz w:val="24"/>
          <w:szCs w:val="24"/>
          <w:highlight w:val="none"/>
        </w:rPr>
        <w:t>合同签订并收到对应款项发票，</w:t>
      </w:r>
      <w:r>
        <w:rPr>
          <w:rFonts w:hint="eastAsia" w:ascii="宋体" w:hAnsi="宋体"/>
          <w:color w:val="000000"/>
          <w:sz w:val="24"/>
          <w:szCs w:val="24"/>
          <w:highlight w:val="none"/>
          <w:lang w:val="en-US" w:eastAsia="zh-CN"/>
        </w:rPr>
        <w:t>且</w:t>
      </w:r>
      <w:r>
        <w:rPr>
          <w:rFonts w:ascii="宋体" w:hAnsi="宋体"/>
          <w:color w:val="000000"/>
          <w:sz w:val="24"/>
          <w:szCs w:val="24"/>
          <w:highlight w:val="none"/>
        </w:rPr>
        <w:t>收到承包人开具的金额为本合同总价款10%的合同履约</w:t>
      </w:r>
      <w:r>
        <w:rPr>
          <w:rFonts w:hint="eastAsia" w:ascii="宋体" w:hAnsi="宋体"/>
          <w:color w:val="000000"/>
          <w:sz w:val="24"/>
          <w:szCs w:val="24"/>
          <w:highlight w:val="none"/>
        </w:rPr>
        <w:t>担保</w:t>
      </w:r>
      <w:r>
        <w:rPr>
          <w:rFonts w:ascii="宋体" w:hAnsi="宋体"/>
          <w:color w:val="000000"/>
          <w:sz w:val="24"/>
          <w:szCs w:val="24"/>
          <w:highlight w:val="none"/>
        </w:rPr>
        <w:t>后的</w:t>
      </w:r>
      <w:r>
        <w:rPr>
          <w:rFonts w:hint="eastAsia" w:ascii="宋体" w:hAnsi="宋体"/>
          <w:color w:val="000000"/>
          <w:sz w:val="24"/>
          <w:szCs w:val="24"/>
          <w:highlight w:val="none"/>
          <w:lang w:val="en-US" w:eastAsia="zh-CN"/>
        </w:rPr>
        <w:t>30个工作日</w:t>
      </w:r>
      <w:r>
        <w:rPr>
          <w:rFonts w:ascii="宋体" w:hAnsi="宋体"/>
          <w:color w:val="000000"/>
          <w:sz w:val="24"/>
          <w:szCs w:val="24"/>
          <w:highlight w:val="none"/>
        </w:rPr>
        <w:t>内，发包人支付承包人合同价的30%（RMB：          万元）的工程预付款，本预付款金额内已包含</w:t>
      </w:r>
      <w:r>
        <w:rPr>
          <w:rFonts w:hint="eastAsia" w:ascii="宋体" w:hAnsi="宋体"/>
          <w:color w:val="000000"/>
          <w:sz w:val="24"/>
          <w:szCs w:val="24"/>
          <w:highlight w:val="none"/>
        </w:rPr>
        <w:t>所有</w:t>
      </w:r>
      <w:r>
        <w:rPr>
          <w:rFonts w:ascii="宋体" w:hAnsi="宋体"/>
          <w:color w:val="000000"/>
          <w:sz w:val="24"/>
          <w:szCs w:val="24"/>
          <w:highlight w:val="none"/>
        </w:rPr>
        <w:t>工程措施项目费用。</w:t>
      </w:r>
    </w:p>
    <w:p w14:paraId="075E787E">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预付款扣回的方式：</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不扣回</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13C690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预付款支付方式：承包人须到发包人指定的银行开立专用账户（该账户只能用支票或贷记凭证支付），做到专款专用。同时接受发包人的监管。</w:t>
      </w:r>
    </w:p>
    <w:p w14:paraId="4E413F02">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12.2.2 预付款担保</w:t>
      </w:r>
    </w:p>
    <w:p w14:paraId="381B0346">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承包人提交预付款担保的期限：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F595C3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预付款担保的形式为：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bookmarkEnd w:id="881"/>
    <w:bookmarkEnd w:id="882"/>
    <w:bookmarkEnd w:id="883"/>
    <w:bookmarkEnd w:id="884"/>
    <w:bookmarkEnd w:id="885"/>
    <w:bookmarkEnd w:id="886"/>
    <w:bookmarkEnd w:id="887"/>
    <w:bookmarkEnd w:id="888"/>
    <w:bookmarkEnd w:id="889"/>
    <w:bookmarkEnd w:id="890"/>
    <w:p w14:paraId="22335DE8">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12.3 计量</w:t>
      </w:r>
    </w:p>
    <w:p w14:paraId="27A6627A">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12.3.1 计量原则</w:t>
      </w:r>
    </w:p>
    <w:p w14:paraId="351CA9F4">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工程量计算规则：</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建设工程工程量清单计价规范》（GB50500-2013）及2013版相关专业计算规范。承包人须按合同或竞争性谈判文件规定的计量规则，结合施工图纸，根据施工进度，提交已完工程量报告，监理单位应按照合同和计量方法来核实确定已完成的工程量，工程价在结算时由第三方审计公司审核</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7B0C1FF">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12.3.2 计量周期</w:t>
      </w:r>
    </w:p>
    <w:p w14:paraId="430F0AA2">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关于计量周期的约定：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按通用条款执行</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317CF2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12.3.3 单价合同的计量</w:t>
      </w:r>
    </w:p>
    <w:p w14:paraId="3371FC8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关于单价合同计量的约定：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按通用条款执行</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6F0C0B3">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12.3.4 总价合同的计量</w:t>
      </w:r>
    </w:p>
    <w:p w14:paraId="4D1D52B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关于总价合同计量的约定：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8FB1F74">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12.3.5总价合同采用支付分解表计量支付的，是否适用第</w:t>
      </w:r>
      <w:r>
        <w:rPr>
          <w:rFonts w:ascii="宋体" w:hAnsi="宋体"/>
          <w:color w:val="000000"/>
          <w:kern w:val="0"/>
          <w:sz w:val="24"/>
          <w:szCs w:val="24"/>
          <w:highlight w:val="none"/>
        </w:rPr>
        <w:t xml:space="preserve">12.3.4 </w:t>
      </w:r>
      <w:r>
        <w:rPr>
          <w:rFonts w:ascii="宋体" w:hAnsi="宋体"/>
          <w:color w:val="000000"/>
          <w:sz w:val="24"/>
          <w:szCs w:val="24"/>
          <w:highlight w:val="none"/>
        </w:rPr>
        <w:t>项</w:t>
      </w:r>
      <w:r>
        <w:rPr>
          <w:rFonts w:hint="eastAsia" w:ascii="宋体" w:hAnsi="宋体"/>
          <w:color w:val="000000"/>
          <w:kern w:val="0"/>
          <w:sz w:val="24"/>
          <w:szCs w:val="24"/>
          <w:highlight w:val="none"/>
        </w:rPr>
        <w:t>〔</w:t>
      </w:r>
      <w:r>
        <w:rPr>
          <w:rFonts w:ascii="宋体" w:hAnsi="宋体"/>
          <w:color w:val="000000"/>
          <w:kern w:val="0"/>
          <w:sz w:val="24"/>
          <w:szCs w:val="24"/>
          <w:highlight w:val="none"/>
        </w:rPr>
        <w:t>总价合同的计量</w:t>
      </w:r>
      <w:r>
        <w:rPr>
          <w:rFonts w:hint="eastAsia" w:ascii="宋体" w:hAnsi="宋体"/>
          <w:color w:val="000000"/>
          <w:kern w:val="0"/>
          <w:sz w:val="24"/>
          <w:szCs w:val="24"/>
          <w:highlight w:val="none"/>
        </w:rPr>
        <w:t>〕</w:t>
      </w:r>
      <w:r>
        <w:rPr>
          <w:rFonts w:ascii="宋体" w:hAnsi="宋体"/>
          <w:color w:val="000000"/>
          <w:sz w:val="24"/>
          <w:szCs w:val="24"/>
          <w:highlight w:val="none"/>
        </w:rPr>
        <w:t>约定</w:t>
      </w:r>
      <w:r>
        <w:rPr>
          <w:rFonts w:hint="eastAsia" w:ascii="宋体" w:hAnsi="宋体"/>
          <w:color w:val="000000"/>
          <w:sz w:val="24"/>
          <w:szCs w:val="24"/>
          <w:highlight w:val="none"/>
        </w:rPr>
        <w:t>进行计量：</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            </w:t>
      </w:r>
      <w:r>
        <w:rPr>
          <w:rFonts w:ascii="宋体" w:hAnsi="宋体"/>
          <w:color w:val="000000"/>
          <w:sz w:val="24"/>
          <w:szCs w:val="24"/>
          <w:highlight w:val="none"/>
        </w:rPr>
        <w:t>。</w:t>
      </w:r>
    </w:p>
    <w:p w14:paraId="54F29156">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12.3.6 其他价格形式合同的计量</w:t>
      </w:r>
    </w:p>
    <w:p w14:paraId="78BE752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其他价格形式的计量方式和程序：</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DA1E629">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12.4 工程进度款支付</w:t>
      </w:r>
    </w:p>
    <w:p w14:paraId="07079055">
      <w:pPr>
        <w:spacing w:line="360" w:lineRule="auto"/>
        <w:ind w:firstLine="480" w:firstLineChars="200"/>
        <w:jc w:val="left"/>
        <w:rPr>
          <w:rFonts w:ascii="宋体" w:hAnsi="宋体"/>
          <w:color w:val="000000"/>
          <w:sz w:val="24"/>
          <w:szCs w:val="24"/>
          <w:highlight w:val="none"/>
        </w:rPr>
      </w:pPr>
      <w:bookmarkStart w:id="891" w:name="_Toc292559921"/>
      <w:bookmarkStart w:id="892" w:name="_Toc297123556"/>
      <w:bookmarkStart w:id="893" w:name="_Toc300935006"/>
      <w:bookmarkStart w:id="894" w:name="_Toc296346712"/>
      <w:bookmarkStart w:id="895" w:name="_Toc296503211"/>
      <w:bookmarkStart w:id="896" w:name="_Toc297048397"/>
      <w:bookmarkStart w:id="897" w:name="_Toc296347210"/>
      <w:bookmarkStart w:id="898" w:name="_Toc303539163"/>
      <w:bookmarkStart w:id="899" w:name="_Toc292559416"/>
      <w:bookmarkStart w:id="900" w:name="_Toc296891039"/>
      <w:bookmarkStart w:id="901" w:name="_Toc296944550"/>
      <w:bookmarkStart w:id="902" w:name="_Toc297120511"/>
      <w:bookmarkStart w:id="903" w:name="_Toc297216215"/>
      <w:bookmarkStart w:id="904" w:name="_Toc296891251"/>
      <w:r>
        <w:rPr>
          <w:rFonts w:ascii="宋体" w:hAnsi="宋体"/>
          <w:color w:val="000000"/>
          <w:sz w:val="24"/>
          <w:szCs w:val="24"/>
          <w:highlight w:val="none"/>
        </w:rPr>
        <w:t>12.4.1 付款周期</w:t>
      </w:r>
    </w:p>
    <w:p w14:paraId="5C8E3D77">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关于付款周期的约定：</w:t>
      </w:r>
    </w:p>
    <w:p w14:paraId="3A858776">
      <w:pPr>
        <w:spacing w:line="360" w:lineRule="auto"/>
        <w:ind w:firstLine="600" w:firstLineChars="250"/>
        <w:jc w:val="left"/>
        <w:rPr>
          <w:rFonts w:ascii="宋体" w:hAnsi="宋体" w:cs="华文中宋"/>
          <w:sz w:val="24"/>
          <w:szCs w:val="22"/>
          <w:highlight w:val="none"/>
          <w:u w:val="single"/>
        </w:rPr>
      </w:pPr>
      <w:r>
        <w:rPr>
          <w:rFonts w:hint="eastAsia" w:ascii="宋体" w:hAnsi="宋体" w:cs="华文中宋"/>
          <w:sz w:val="24"/>
          <w:szCs w:val="22"/>
          <w:highlight w:val="none"/>
          <w:u w:val="single"/>
        </w:rPr>
        <w:t>1、工程竣工验收合格并收到对应款项发票后30个工作日内支付合同金额的</w:t>
      </w:r>
      <w:r>
        <w:rPr>
          <w:rFonts w:hint="eastAsia" w:ascii="宋体" w:hAnsi="宋体" w:cs="华文中宋"/>
          <w:sz w:val="24"/>
          <w:szCs w:val="22"/>
          <w:highlight w:val="none"/>
          <w:u w:val="single"/>
          <w:lang w:val="en-US" w:eastAsia="zh-CN"/>
        </w:rPr>
        <w:t>5</w:t>
      </w:r>
      <w:r>
        <w:rPr>
          <w:rFonts w:hint="eastAsia" w:ascii="宋体" w:hAnsi="宋体" w:cs="华文中宋"/>
          <w:sz w:val="24"/>
          <w:szCs w:val="22"/>
          <w:highlight w:val="none"/>
          <w:u w:val="single"/>
        </w:rPr>
        <w:t>0%；</w:t>
      </w:r>
    </w:p>
    <w:p w14:paraId="41FD2DE8">
      <w:pPr>
        <w:spacing w:line="360" w:lineRule="auto"/>
        <w:ind w:firstLine="600" w:firstLineChars="250"/>
        <w:jc w:val="left"/>
        <w:rPr>
          <w:rFonts w:ascii="宋体" w:hAnsi="宋体" w:cs="华文中宋"/>
          <w:sz w:val="24"/>
          <w:szCs w:val="22"/>
          <w:highlight w:val="none"/>
          <w:u w:val="single"/>
        </w:rPr>
      </w:pPr>
      <w:r>
        <w:rPr>
          <w:rFonts w:hint="eastAsia" w:ascii="宋体" w:hAnsi="宋体" w:cs="华文中宋"/>
          <w:sz w:val="24"/>
          <w:szCs w:val="22"/>
          <w:highlight w:val="none"/>
          <w:u w:val="single"/>
        </w:rPr>
        <w:t>2、竣工结算审价完成，配合完成项目资料的归档并收到对应款项发票后60个工作日内，发包方支付至审定金额的</w:t>
      </w:r>
      <w:r>
        <w:rPr>
          <w:rFonts w:hint="eastAsia" w:ascii="宋体" w:hAnsi="宋体" w:cs="华文中宋"/>
          <w:sz w:val="24"/>
          <w:szCs w:val="22"/>
          <w:highlight w:val="none"/>
          <w:u w:val="single"/>
          <w:lang w:val="en-US" w:eastAsia="zh-CN"/>
        </w:rPr>
        <w:t>97</w:t>
      </w:r>
      <w:r>
        <w:rPr>
          <w:rFonts w:hint="eastAsia" w:ascii="宋体" w:hAnsi="宋体" w:cs="华文中宋"/>
          <w:sz w:val="24"/>
          <w:szCs w:val="22"/>
          <w:highlight w:val="none"/>
          <w:u w:val="single"/>
        </w:rPr>
        <w:t>%；</w:t>
      </w:r>
    </w:p>
    <w:p w14:paraId="30CB7E3D">
      <w:pPr>
        <w:spacing w:line="360" w:lineRule="auto"/>
        <w:ind w:firstLine="600" w:firstLineChars="250"/>
        <w:jc w:val="left"/>
        <w:rPr>
          <w:rFonts w:ascii="宋体" w:hAnsi="宋体" w:cs="华文中宋"/>
          <w:sz w:val="24"/>
          <w:szCs w:val="22"/>
          <w:highlight w:val="none"/>
          <w:u w:val="single"/>
        </w:rPr>
      </w:pPr>
      <w:r>
        <w:rPr>
          <w:rFonts w:hint="eastAsia" w:ascii="宋体" w:hAnsi="宋体" w:cs="华文中宋"/>
          <w:sz w:val="24"/>
          <w:szCs w:val="22"/>
          <w:highlight w:val="none"/>
          <w:u w:val="single"/>
        </w:rPr>
        <w:t>3、</w:t>
      </w:r>
      <w:r>
        <w:rPr>
          <w:rFonts w:ascii="宋体" w:hAnsi="宋体" w:cs="华文中宋"/>
          <w:sz w:val="24"/>
          <w:szCs w:val="22"/>
          <w:highlight w:val="none"/>
          <w:u w:val="single"/>
        </w:rPr>
        <w:t>两年缺陷责任期满后，承包人提供办妥质量回访单</w:t>
      </w:r>
      <w:r>
        <w:rPr>
          <w:rFonts w:hint="eastAsia" w:ascii="宋体" w:hAnsi="宋体" w:cs="华文中宋"/>
          <w:sz w:val="24"/>
          <w:szCs w:val="22"/>
          <w:highlight w:val="none"/>
          <w:u w:val="single"/>
        </w:rPr>
        <w:t>，</w:t>
      </w:r>
      <w:r>
        <w:rPr>
          <w:rFonts w:ascii="宋体" w:hAnsi="宋体" w:cs="华文中宋"/>
          <w:sz w:val="24"/>
          <w:szCs w:val="22"/>
          <w:highlight w:val="none"/>
          <w:u w:val="single"/>
        </w:rPr>
        <w:t>14天内</w:t>
      </w:r>
      <w:r>
        <w:rPr>
          <w:rFonts w:hint="eastAsia" w:ascii="宋体" w:hAnsi="宋体" w:cs="华文中宋"/>
          <w:sz w:val="24"/>
          <w:szCs w:val="22"/>
          <w:highlight w:val="none"/>
          <w:u w:val="single"/>
          <w:lang w:val="en-US" w:eastAsia="zh-CN"/>
        </w:rPr>
        <w:t>支付审定金额3%的</w:t>
      </w:r>
      <w:r>
        <w:rPr>
          <w:rFonts w:ascii="宋体" w:hAnsi="宋体" w:cs="华文中宋"/>
          <w:sz w:val="24"/>
          <w:szCs w:val="22"/>
          <w:highlight w:val="none"/>
          <w:u w:val="single"/>
        </w:rPr>
        <w:t>质量保</w:t>
      </w:r>
      <w:r>
        <w:rPr>
          <w:rFonts w:hint="eastAsia" w:ascii="宋体" w:hAnsi="宋体" w:cs="华文中宋"/>
          <w:sz w:val="24"/>
          <w:szCs w:val="22"/>
          <w:highlight w:val="none"/>
          <w:u w:val="single"/>
        </w:rPr>
        <w:t>证</w:t>
      </w:r>
      <w:r>
        <w:rPr>
          <w:rFonts w:ascii="宋体" w:hAnsi="宋体" w:cs="华文中宋"/>
          <w:sz w:val="24"/>
          <w:szCs w:val="22"/>
          <w:highlight w:val="none"/>
          <w:u w:val="single"/>
        </w:rPr>
        <w:t>金。</w:t>
      </w:r>
    </w:p>
    <w:p w14:paraId="4838D3C3">
      <w:pPr>
        <w:spacing w:line="360" w:lineRule="auto"/>
        <w:ind w:firstLine="480" w:firstLineChars="200"/>
        <w:jc w:val="left"/>
        <w:rPr>
          <w:rFonts w:ascii="宋体" w:hAnsi="宋体"/>
          <w:color w:val="000000"/>
          <w:sz w:val="24"/>
          <w:szCs w:val="24"/>
          <w:highlight w:val="none"/>
        </w:rPr>
      </w:pPr>
      <w:r>
        <w:rPr>
          <w:rFonts w:ascii="宋体" w:hAnsi="宋体" w:cs="华文中宋"/>
          <w:sz w:val="24"/>
          <w:szCs w:val="22"/>
          <w:highlight w:val="none"/>
          <w:u w:val="single"/>
        </w:rPr>
        <w:t>双方确认，发包人历次向承包人支付工程进度款时，应将相应的人工费支付至农民工工资专用账户，其他费用支付至工程款账户</w:t>
      </w:r>
      <w:r>
        <w:rPr>
          <w:rFonts w:ascii="宋体" w:hAnsi="宋体"/>
          <w:color w:val="000000"/>
          <w:sz w:val="24"/>
          <w:szCs w:val="24"/>
          <w:highlight w:val="none"/>
        </w:rPr>
        <w:t>。</w:t>
      </w:r>
    </w:p>
    <w:p w14:paraId="4720B33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12.4.2 进度付款申请单的编制</w:t>
      </w:r>
    </w:p>
    <w:p w14:paraId="4C88E50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关于进度付款申请单编制的约定：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3AC639E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Pr>
          <w:rFonts w:ascii="宋体" w:hAnsi="宋体"/>
          <w:color w:val="000000"/>
          <w:sz w:val="24"/>
          <w:szCs w:val="24"/>
          <w:highlight w:val="none"/>
        </w:rPr>
        <w:t>2.4.3 进度付款申请单的提交</w:t>
      </w:r>
    </w:p>
    <w:p w14:paraId="61A7DA8F">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（1）单价合同进度付款申请单提交的约定</w:t>
      </w:r>
      <w:r>
        <w:rPr>
          <w:rFonts w:hint="eastAsia" w:ascii="宋体" w:hAnsi="宋体"/>
          <w:color w:val="000000"/>
          <w:sz w:val="24"/>
          <w:szCs w:val="24"/>
          <w:highlight w:val="none"/>
        </w:rPr>
        <w:t>：</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F788E04">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（2）总价合同进度付款申请单提交的约定</w:t>
      </w:r>
      <w:r>
        <w:rPr>
          <w:rFonts w:hint="eastAsia" w:ascii="宋体" w:hAnsi="宋体"/>
          <w:color w:val="000000"/>
          <w:sz w:val="24"/>
          <w:szCs w:val="24"/>
          <w:highlight w:val="non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4EED2923">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（3）其他价格形式合同进度付款申请单提交的约定：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B4FFCF3">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12.4.4 进度款审核和支付</w:t>
      </w:r>
    </w:p>
    <w:p w14:paraId="46A8034B">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（1）监理人审查并报送发包人的期限：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36932864">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发包人完成审批并签发进度款支付证书的期限：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w:t>
      </w:r>
    </w:p>
    <w:p w14:paraId="49A7B25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（2）发包人支付进度款的期限：</w:t>
      </w:r>
    </w:p>
    <w:p w14:paraId="4FCE9495">
      <w:pPr>
        <w:spacing w:line="360" w:lineRule="auto"/>
        <w:ind w:firstLine="600" w:firstLineChars="250"/>
        <w:jc w:val="left"/>
        <w:rPr>
          <w:rFonts w:ascii="宋体" w:hAnsi="宋体" w:cs="华文中宋"/>
          <w:sz w:val="24"/>
          <w:szCs w:val="22"/>
          <w:highlight w:val="none"/>
          <w:u w:val="single"/>
        </w:rPr>
      </w:pPr>
      <w:r>
        <w:rPr>
          <w:rFonts w:hint="eastAsia" w:ascii="宋体" w:hAnsi="宋体" w:cs="华文中宋"/>
          <w:sz w:val="24"/>
          <w:szCs w:val="22"/>
          <w:highlight w:val="none"/>
          <w:u w:val="single"/>
        </w:rPr>
        <w:t>1、工程竣工验收合格并收到对应款项发票后30个工作日内支付合同金额的</w:t>
      </w:r>
      <w:r>
        <w:rPr>
          <w:rFonts w:hint="eastAsia" w:ascii="宋体" w:hAnsi="宋体" w:cs="华文中宋"/>
          <w:sz w:val="24"/>
          <w:szCs w:val="22"/>
          <w:highlight w:val="none"/>
          <w:u w:val="single"/>
          <w:lang w:val="en-US" w:eastAsia="zh-CN"/>
        </w:rPr>
        <w:t>5</w:t>
      </w:r>
      <w:r>
        <w:rPr>
          <w:rFonts w:hint="eastAsia" w:ascii="宋体" w:hAnsi="宋体" w:cs="华文中宋"/>
          <w:sz w:val="24"/>
          <w:szCs w:val="22"/>
          <w:highlight w:val="none"/>
          <w:u w:val="single"/>
        </w:rPr>
        <w:t>0%；</w:t>
      </w:r>
    </w:p>
    <w:p w14:paraId="74212D50">
      <w:pPr>
        <w:spacing w:line="360" w:lineRule="auto"/>
        <w:ind w:firstLine="600" w:firstLineChars="250"/>
        <w:jc w:val="left"/>
        <w:rPr>
          <w:rFonts w:ascii="宋体" w:hAnsi="宋体" w:cs="华文中宋"/>
          <w:sz w:val="24"/>
          <w:szCs w:val="22"/>
          <w:highlight w:val="none"/>
          <w:u w:val="single"/>
        </w:rPr>
      </w:pPr>
      <w:r>
        <w:rPr>
          <w:rFonts w:hint="eastAsia" w:ascii="宋体" w:hAnsi="宋体" w:cs="华文中宋"/>
          <w:sz w:val="24"/>
          <w:szCs w:val="22"/>
          <w:highlight w:val="none"/>
          <w:u w:val="single"/>
        </w:rPr>
        <w:t>2、竣工结算审价完成，配合完成项目资料的归档并收到对应款项发票后60个工作日内，发包方支付至审定金额的</w:t>
      </w:r>
      <w:r>
        <w:rPr>
          <w:rFonts w:hint="eastAsia" w:ascii="宋体" w:hAnsi="宋体" w:cs="华文中宋"/>
          <w:sz w:val="24"/>
          <w:szCs w:val="22"/>
          <w:highlight w:val="none"/>
          <w:u w:val="single"/>
          <w:lang w:val="en-US" w:eastAsia="zh-CN"/>
        </w:rPr>
        <w:t>97</w:t>
      </w:r>
      <w:r>
        <w:rPr>
          <w:rFonts w:hint="eastAsia" w:ascii="宋体" w:hAnsi="宋体" w:cs="华文中宋"/>
          <w:sz w:val="24"/>
          <w:szCs w:val="22"/>
          <w:highlight w:val="none"/>
          <w:u w:val="single"/>
        </w:rPr>
        <w:t>%；</w:t>
      </w:r>
    </w:p>
    <w:p w14:paraId="4CD2D395">
      <w:pPr>
        <w:spacing w:line="360" w:lineRule="auto"/>
        <w:ind w:firstLine="600" w:firstLineChars="250"/>
        <w:jc w:val="left"/>
        <w:rPr>
          <w:rFonts w:ascii="宋体" w:hAnsi="宋体" w:cs="华文中宋"/>
          <w:sz w:val="24"/>
          <w:szCs w:val="22"/>
          <w:highlight w:val="none"/>
          <w:u w:val="single"/>
        </w:rPr>
      </w:pPr>
      <w:r>
        <w:rPr>
          <w:rFonts w:hint="eastAsia" w:ascii="宋体" w:hAnsi="宋体" w:cs="华文中宋"/>
          <w:sz w:val="24"/>
          <w:szCs w:val="22"/>
          <w:highlight w:val="none"/>
          <w:u w:val="single"/>
        </w:rPr>
        <w:t>3、</w:t>
      </w:r>
      <w:r>
        <w:rPr>
          <w:rFonts w:ascii="宋体" w:hAnsi="宋体" w:cs="华文中宋"/>
          <w:sz w:val="24"/>
          <w:szCs w:val="22"/>
          <w:highlight w:val="none"/>
          <w:u w:val="single"/>
        </w:rPr>
        <w:t>两年缺陷责任期满后，承包人提供办妥质量回访单</w:t>
      </w:r>
      <w:r>
        <w:rPr>
          <w:rFonts w:hint="eastAsia" w:ascii="宋体" w:hAnsi="宋体" w:cs="华文中宋"/>
          <w:sz w:val="24"/>
          <w:szCs w:val="22"/>
          <w:highlight w:val="none"/>
          <w:u w:val="single"/>
        </w:rPr>
        <w:t>，</w:t>
      </w:r>
      <w:r>
        <w:rPr>
          <w:rFonts w:ascii="宋体" w:hAnsi="宋体" w:cs="华文中宋"/>
          <w:sz w:val="24"/>
          <w:szCs w:val="22"/>
          <w:highlight w:val="none"/>
          <w:u w:val="single"/>
        </w:rPr>
        <w:t>14天内</w:t>
      </w:r>
      <w:r>
        <w:rPr>
          <w:rFonts w:hint="eastAsia" w:ascii="宋体" w:hAnsi="宋体" w:cs="华文中宋"/>
          <w:sz w:val="24"/>
          <w:szCs w:val="22"/>
          <w:highlight w:val="none"/>
          <w:u w:val="single"/>
          <w:lang w:val="en-US" w:eastAsia="zh-CN"/>
        </w:rPr>
        <w:t>支付审定金额3%的</w:t>
      </w:r>
      <w:r>
        <w:rPr>
          <w:rFonts w:ascii="宋体" w:hAnsi="宋体" w:cs="华文中宋"/>
          <w:sz w:val="24"/>
          <w:szCs w:val="22"/>
          <w:highlight w:val="none"/>
          <w:u w:val="single"/>
        </w:rPr>
        <w:t>质量保</w:t>
      </w:r>
      <w:r>
        <w:rPr>
          <w:rFonts w:hint="eastAsia" w:ascii="宋体" w:hAnsi="宋体" w:cs="华文中宋"/>
          <w:sz w:val="24"/>
          <w:szCs w:val="22"/>
          <w:highlight w:val="none"/>
          <w:u w:val="single"/>
        </w:rPr>
        <w:t>证</w:t>
      </w:r>
      <w:r>
        <w:rPr>
          <w:rFonts w:ascii="宋体" w:hAnsi="宋体" w:cs="华文中宋"/>
          <w:sz w:val="24"/>
          <w:szCs w:val="22"/>
          <w:highlight w:val="none"/>
          <w:u w:val="single"/>
        </w:rPr>
        <w:t>金。</w:t>
      </w:r>
    </w:p>
    <w:p w14:paraId="062AA102">
      <w:pPr>
        <w:spacing w:line="360" w:lineRule="auto"/>
        <w:ind w:firstLine="600" w:firstLineChars="250"/>
        <w:jc w:val="left"/>
        <w:rPr>
          <w:rFonts w:ascii="宋体" w:hAnsi="宋体" w:cs="华文中宋"/>
          <w:sz w:val="24"/>
          <w:szCs w:val="22"/>
          <w:highlight w:val="none"/>
          <w:u w:val="single"/>
        </w:rPr>
      </w:pPr>
      <w:r>
        <w:rPr>
          <w:rFonts w:ascii="宋体" w:hAnsi="宋体" w:cs="华文中宋"/>
          <w:sz w:val="24"/>
          <w:szCs w:val="22"/>
          <w:highlight w:val="none"/>
          <w:u w:val="single"/>
        </w:rPr>
        <w:t>双方确认，发包人历次向承包人支付工程进度款时，应将相应的人工费支付至农民工工资专用账户，其他费用支付至工程款账户</w:t>
      </w:r>
      <w:r>
        <w:rPr>
          <w:rFonts w:hint="eastAsia" w:ascii="宋体" w:hAnsi="宋体" w:cs="华文中宋"/>
          <w:sz w:val="24"/>
          <w:szCs w:val="22"/>
          <w:highlight w:val="none"/>
          <w:u w:val="single"/>
        </w:rPr>
        <w:t>。</w:t>
      </w:r>
    </w:p>
    <w:p w14:paraId="6BEC8A74">
      <w:pPr>
        <w:spacing w:line="360" w:lineRule="auto"/>
        <w:ind w:firstLine="600" w:firstLineChars="250"/>
        <w:jc w:val="left"/>
        <w:rPr>
          <w:rFonts w:ascii="宋体" w:hAnsi="宋体"/>
          <w:color w:val="000000"/>
          <w:sz w:val="24"/>
          <w:szCs w:val="24"/>
          <w:highlight w:val="none"/>
        </w:rPr>
      </w:pPr>
      <w:r>
        <w:rPr>
          <w:rFonts w:ascii="宋体" w:hAnsi="宋体"/>
          <w:color w:val="000000"/>
          <w:sz w:val="24"/>
          <w:szCs w:val="24"/>
          <w:highlight w:val="none"/>
        </w:rPr>
        <w:t>发包人逾期支付进度款的违约金的计算方式：</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C88829E">
      <w:pPr>
        <w:spacing w:line="360" w:lineRule="auto"/>
        <w:ind w:firstLine="600" w:firstLineChars="250"/>
        <w:jc w:val="left"/>
        <w:rPr>
          <w:rFonts w:ascii="宋体" w:hAnsi="宋体"/>
          <w:color w:val="000000"/>
          <w:sz w:val="24"/>
          <w:szCs w:val="24"/>
          <w:highlight w:val="none"/>
        </w:rPr>
      </w:pPr>
      <w:r>
        <w:rPr>
          <w:rFonts w:ascii="宋体" w:hAnsi="宋体"/>
          <w:color w:val="000000"/>
          <w:sz w:val="24"/>
          <w:szCs w:val="24"/>
          <w:highlight w:val="none"/>
        </w:rPr>
        <w:t>12.4.6 支付分解表的编制</w:t>
      </w:r>
    </w:p>
    <w:p w14:paraId="4C07D89D">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2、总价合同支付分解表的编制与审批：</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40DEA8E">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3、单价合同的总价项目支付分解表的编制与审批：</w:t>
      </w:r>
      <w:r>
        <w:rPr>
          <w:rFonts w:ascii="宋体" w:hAnsi="宋体"/>
          <w:color w:val="000000"/>
          <w:sz w:val="24"/>
          <w:szCs w:val="24"/>
          <w:highlight w:val="none"/>
          <w:u w:val="single"/>
        </w:rPr>
        <w:t xml:space="preserve">    /   </w:t>
      </w:r>
      <w:r>
        <w:rPr>
          <w:rFonts w:ascii="宋体" w:hAnsi="宋体"/>
          <w:color w:val="000000"/>
          <w:sz w:val="24"/>
          <w:szCs w:val="24"/>
          <w:highlight w:val="none"/>
        </w:rPr>
        <w:t>。</w:t>
      </w:r>
    </w:p>
    <w:bookmarkEnd w:id="734"/>
    <w:p w14:paraId="04EC3C88">
      <w:pPr>
        <w:pStyle w:val="7"/>
        <w:spacing w:before="120" w:after="120" w:line="360" w:lineRule="auto"/>
        <w:rPr>
          <w:rFonts w:ascii="宋体" w:hAnsi="宋体"/>
          <w:b w:val="0"/>
          <w:color w:val="000000"/>
          <w:szCs w:val="24"/>
          <w:highlight w:val="none"/>
        </w:rPr>
      </w:pPr>
      <w:bookmarkStart w:id="905" w:name="_Toc351203645"/>
      <w:bookmarkStart w:id="906" w:name="_Toc296347218"/>
      <w:bookmarkStart w:id="907" w:name="_Toc296891259"/>
      <w:bookmarkStart w:id="908" w:name="_Toc297123564"/>
      <w:bookmarkStart w:id="909" w:name="_Toc303539172"/>
      <w:bookmarkStart w:id="910" w:name="_Toc297120519"/>
      <w:bookmarkStart w:id="911" w:name="_Toc300935015"/>
      <w:bookmarkStart w:id="912" w:name="_Toc297048405"/>
      <w:bookmarkStart w:id="913" w:name="_Toc296346720"/>
      <w:bookmarkStart w:id="914" w:name="_Toc312678053"/>
      <w:bookmarkStart w:id="915" w:name="_Toc296944558"/>
      <w:bookmarkStart w:id="916" w:name="_Toc304295593"/>
      <w:bookmarkStart w:id="917" w:name="_Toc296503219"/>
      <w:bookmarkStart w:id="918" w:name="_Toc292559424"/>
      <w:bookmarkStart w:id="919" w:name="_Toc296891047"/>
      <w:bookmarkStart w:id="920" w:name="_Toc297216223"/>
      <w:bookmarkStart w:id="921" w:name="_Toc292559929"/>
      <w:r>
        <w:rPr>
          <w:rFonts w:ascii="宋体" w:hAnsi="宋体"/>
          <w:b w:val="0"/>
          <w:color w:val="000000"/>
          <w:szCs w:val="24"/>
          <w:highlight w:val="none"/>
        </w:rPr>
        <w:t>13.</w:t>
      </w:r>
      <w:r>
        <w:rPr>
          <w:rFonts w:hint="eastAsia" w:ascii="宋体" w:hAnsi="宋体"/>
          <w:b w:val="0"/>
          <w:color w:val="000000"/>
          <w:szCs w:val="24"/>
          <w:highlight w:val="none"/>
        </w:rPr>
        <w:t xml:space="preserve"> </w:t>
      </w:r>
      <w:r>
        <w:rPr>
          <w:rFonts w:ascii="宋体" w:hAnsi="宋体"/>
          <w:b w:val="0"/>
          <w:color w:val="000000"/>
          <w:szCs w:val="24"/>
          <w:highlight w:val="none"/>
        </w:rPr>
        <w:t>验收和工程试车</w:t>
      </w:r>
      <w:bookmarkEnd w:id="905"/>
    </w:p>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14:paraId="75DAD2F1">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13.1 分部分项工程验收</w:t>
      </w:r>
    </w:p>
    <w:p w14:paraId="66DB67D3">
      <w:pPr>
        <w:spacing w:line="360" w:lineRule="auto"/>
        <w:ind w:firstLine="480" w:firstLineChars="200"/>
        <w:jc w:val="left"/>
        <w:rPr>
          <w:rFonts w:ascii="宋体" w:hAnsi="宋体"/>
          <w:sz w:val="24"/>
          <w:szCs w:val="24"/>
          <w:highlight w:val="none"/>
        </w:rPr>
      </w:pPr>
      <w:r>
        <w:rPr>
          <w:rFonts w:ascii="宋体" w:hAnsi="宋体"/>
          <w:sz w:val="24"/>
          <w:szCs w:val="24"/>
          <w:highlight w:val="none"/>
        </w:rPr>
        <w:t>13.1.2监理人不能按时进行验收时，应提前</w:t>
      </w:r>
      <w:r>
        <w:rPr>
          <w:rFonts w:ascii="宋体" w:hAnsi="宋体"/>
          <w:sz w:val="24"/>
          <w:szCs w:val="24"/>
          <w:highlight w:val="none"/>
          <w:u w:val="single"/>
        </w:rPr>
        <w:t xml:space="preserve"> 48 </w:t>
      </w:r>
      <w:r>
        <w:rPr>
          <w:rFonts w:ascii="宋体" w:hAnsi="宋体"/>
          <w:sz w:val="24"/>
          <w:szCs w:val="24"/>
          <w:highlight w:val="none"/>
        </w:rPr>
        <w:t>小时提交书面延期要求。</w:t>
      </w:r>
    </w:p>
    <w:p w14:paraId="0A2B08A9">
      <w:pPr>
        <w:spacing w:line="360" w:lineRule="auto"/>
        <w:ind w:firstLine="480" w:firstLineChars="200"/>
        <w:jc w:val="left"/>
        <w:rPr>
          <w:rFonts w:ascii="宋体" w:hAnsi="宋体"/>
          <w:b/>
          <w:color w:val="000000"/>
          <w:sz w:val="24"/>
          <w:szCs w:val="24"/>
          <w:highlight w:val="none"/>
        </w:rPr>
      </w:pPr>
      <w:r>
        <w:rPr>
          <w:rFonts w:ascii="宋体" w:hAnsi="宋体"/>
          <w:sz w:val="24"/>
          <w:szCs w:val="24"/>
          <w:highlight w:val="none"/>
        </w:rPr>
        <w:t>关于延期最长不得超过：</w:t>
      </w:r>
      <w:r>
        <w:rPr>
          <w:rFonts w:ascii="宋体" w:hAnsi="宋体"/>
          <w:sz w:val="24"/>
          <w:szCs w:val="24"/>
          <w:highlight w:val="none"/>
          <w:u w:val="single"/>
        </w:rPr>
        <w:t xml:space="preserve">  48   </w:t>
      </w:r>
      <w:r>
        <w:rPr>
          <w:rFonts w:ascii="宋体" w:hAnsi="宋体"/>
          <w:sz w:val="24"/>
          <w:szCs w:val="24"/>
          <w:highlight w:val="none"/>
        </w:rPr>
        <w:t>小时。</w:t>
      </w:r>
    </w:p>
    <w:p w14:paraId="2FF7EA4D">
      <w:pPr>
        <w:spacing w:after="120" w:line="360" w:lineRule="auto"/>
        <w:ind w:firstLine="480" w:firstLineChars="200"/>
        <w:rPr>
          <w:rFonts w:ascii="宋体" w:hAnsi="宋体"/>
          <w:color w:val="000000"/>
          <w:sz w:val="24"/>
          <w:szCs w:val="24"/>
          <w:highlight w:val="none"/>
        </w:rPr>
      </w:pPr>
      <w:bookmarkStart w:id="922" w:name="_Toc297048409"/>
      <w:bookmarkStart w:id="923" w:name="_Toc296891263"/>
      <w:bookmarkStart w:id="924" w:name="_Toc304295596"/>
      <w:bookmarkStart w:id="925" w:name="_Toc292559933"/>
      <w:bookmarkStart w:id="926" w:name="_Toc303539173"/>
      <w:bookmarkStart w:id="927" w:name="_Toc300935016"/>
      <w:bookmarkStart w:id="928" w:name="_Toc297120523"/>
      <w:bookmarkStart w:id="929" w:name="_Toc296503223"/>
      <w:bookmarkStart w:id="930" w:name="_Toc312678056"/>
      <w:bookmarkStart w:id="931" w:name="_Toc296346724"/>
      <w:bookmarkStart w:id="932" w:name="_Toc297123565"/>
      <w:bookmarkStart w:id="933" w:name="_Toc296944562"/>
      <w:bookmarkStart w:id="934" w:name="_Toc296891051"/>
      <w:bookmarkStart w:id="935" w:name="_Toc292559428"/>
      <w:bookmarkStart w:id="936" w:name="_Toc297216224"/>
      <w:bookmarkStart w:id="937" w:name="_Toc296347222"/>
      <w:bookmarkStart w:id="938" w:name="_Toc267251474"/>
      <w:bookmarkStart w:id="939" w:name="_Toc267251476"/>
      <w:bookmarkStart w:id="940" w:name="_Toc267251470"/>
      <w:bookmarkStart w:id="941" w:name="_Toc267251475"/>
      <w:bookmarkStart w:id="942" w:name="_Toc267251473"/>
      <w:bookmarkStart w:id="943" w:name="_Toc267251471"/>
      <w:bookmarkStart w:id="944" w:name="_Toc267251472"/>
      <w:r>
        <w:rPr>
          <w:rFonts w:ascii="宋体" w:hAnsi="宋体"/>
          <w:color w:val="000000"/>
          <w:sz w:val="24"/>
          <w:szCs w:val="24"/>
          <w:highlight w:val="none"/>
        </w:rPr>
        <w:t>13.2 竣工验收</w:t>
      </w:r>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14:paraId="54E45A92">
      <w:pPr>
        <w:spacing w:line="360" w:lineRule="auto"/>
        <w:ind w:firstLine="480" w:firstLineChars="200"/>
        <w:jc w:val="left"/>
        <w:rPr>
          <w:rFonts w:ascii="宋体" w:hAnsi="宋体"/>
          <w:color w:val="000000"/>
          <w:sz w:val="24"/>
          <w:szCs w:val="24"/>
          <w:highlight w:val="none"/>
        </w:rPr>
      </w:pPr>
      <w:bookmarkStart w:id="945" w:name="_Toc280868704"/>
      <w:bookmarkStart w:id="946" w:name="_Toc280868705"/>
      <w:bookmarkStart w:id="947" w:name="_Toc280868706"/>
      <w:bookmarkStart w:id="948" w:name="_Toc280868707"/>
      <w:bookmarkStart w:id="949" w:name="_Toc280868708"/>
      <w:bookmarkStart w:id="950" w:name="_Toc280868709"/>
      <w:r>
        <w:rPr>
          <w:rFonts w:ascii="宋体" w:hAnsi="宋体"/>
          <w:color w:val="000000"/>
          <w:sz w:val="24"/>
          <w:szCs w:val="24"/>
          <w:highlight w:val="none"/>
        </w:rPr>
        <w:t>13.2.2竣工验收程序</w:t>
      </w:r>
    </w:p>
    <w:bookmarkEnd w:id="945"/>
    <w:p w14:paraId="577381A2">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关于竣工验收程序的约定：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由发包方组织竣工初验，初验完成后一周内（包括节假日）整改完成全部问题后组织竣工验收。如逾期整改不按要求整改，拖延工期的将由发包人进行相应处罚</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05410197">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发包人不按照本项约定组织竣工验收、颁发工程接收证书的违约金的计算方法：</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w:t>
      </w:r>
    </w:p>
    <w:bookmarkEnd w:id="946"/>
    <w:p w14:paraId="29E6BA40">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13.2.5移交、接收全部与部分工程</w:t>
      </w:r>
    </w:p>
    <w:bookmarkEnd w:id="947"/>
    <w:p w14:paraId="1383EC2A">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承包人向发包人移交工程的期限：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w:t>
      </w:r>
    </w:p>
    <w:p w14:paraId="4707C29A">
      <w:pPr>
        <w:spacing w:line="360" w:lineRule="auto"/>
        <w:ind w:firstLine="480" w:firstLineChars="200"/>
        <w:jc w:val="left"/>
        <w:rPr>
          <w:rFonts w:ascii="宋体" w:hAnsi="宋体"/>
          <w:color w:val="000000"/>
          <w:sz w:val="24"/>
          <w:szCs w:val="24"/>
          <w:highlight w:val="none"/>
          <w:u w:val="single"/>
        </w:rPr>
      </w:pPr>
      <w:r>
        <w:rPr>
          <w:rFonts w:ascii="宋体" w:hAnsi="宋体"/>
          <w:color w:val="000000"/>
          <w:kern w:val="0"/>
          <w:sz w:val="24"/>
          <w:szCs w:val="24"/>
          <w:highlight w:val="none"/>
        </w:rPr>
        <w:t>发包人未按本合同约定接收全部或部分工程的，违约金的计算方法为：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w:t>
      </w:r>
      <w:r>
        <w:rPr>
          <w:rFonts w:ascii="宋体" w:hAnsi="宋体"/>
          <w:color w:val="000000"/>
          <w:sz w:val="24"/>
          <w:szCs w:val="24"/>
          <w:highlight w:val="none"/>
          <w:u w:val="single"/>
        </w:rPr>
        <w:t xml:space="preserve">   </w:t>
      </w:r>
      <w:r>
        <w:rPr>
          <w:rFonts w:ascii="宋体" w:hAnsi="宋体"/>
          <w:color w:val="000000"/>
          <w:sz w:val="24"/>
          <w:szCs w:val="24"/>
          <w:highlight w:val="none"/>
        </w:rPr>
        <w:t>。</w:t>
      </w:r>
    </w:p>
    <w:bookmarkEnd w:id="948"/>
    <w:p w14:paraId="0FC1626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承包人未按时移交工程的，违约金的计算方法为：</w:t>
      </w:r>
      <w:r>
        <w:rPr>
          <w:rFonts w:hint="eastAsia" w:ascii="宋体" w:hAnsi="宋体"/>
          <w:color w:val="000000"/>
          <w:sz w:val="24"/>
          <w:szCs w:val="24"/>
          <w:highlight w:val="none"/>
          <w:u w:val="single"/>
        </w:rPr>
        <w:t xml:space="preserve">   由承包人向发包人按合同总造价的1%支付违约金，给发包人造成的损失大于上述违约金金额，按实际造成损失的2倍予以赔偿</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3639A09">
      <w:pPr>
        <w:spacing w:line="360" w:lineRule="auto"/>
        <w:ind w:firstLine="480" w:firstLineChars="200"/>
        <w:jc w:val="left"/>
        <w:rPr>
          <w:rFonts w:ascii="宋体" w:hAnsi="宋体"/>
          <w:b/>
          <w:color w:val="000000"/>
          <w:sz w:val="24"/>
          <w:szCs w:val="24"/>
          <w:highlight w:val="none"/>
        </w:rPr>
      </w:pPr>
      <w:r>
        <w:rPr>
          <w:rFonts w:ascii="宋体" w:hAnsi="宋体"/>
          <w:color w:val="000000"/>
          <w:sz w:val="24"/>
          <w:szCs w:val="24"/>
          <w:highlight w:val="none"/>
        </w:rPr>
        <w:t>13.2.6</w:t>
      </w:r>
      <w:r>
        <w:rPr>
          <w:rFonts w:hint="eastAsia" w:ascii="宋体" w:hAnsi="宋体"/>
          <w:color w:val="000000"/>
          <w:sz w:val="24"/>
          <w:szCs w:val="24"/>
          <w:highlight w:val="none"/>
        </w:rPr>
        <w:t>未按期竣工的违约责任</w:t>
      </w:r>
    </w:p>
    <w:p w14:paraId="7F19378A">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1</w:t>
      </w:r>
      <w:r>
        <w:rPr>
          <w:rFonts w:hint="eastAsia" w:ascii="宋体" w:hAnsi="宋体"/>
          <w:color w:val="000000"/>
          <w:sz w:val="24"/>
          <w:szCs w:val="24"/>
          <w:highlight w:val="none"/>
        </w:rPr>
        <w:t>）因承包人原因不能按合同约定时间竣工，须承担违约责任，应向发包人支付违约金；承包人未能按总工期要求完工的，逾期在</w:t>
      </w:r>
      <w:r>
        <w:rPr>
          <w:rFonts w:ascii="宋体" w:hAnsi="宋体"/>
          <w:color w:val="000000"/>
          <w:sz w:val="24"/>
          <w:szCs w:val="24"/>
          <w:highlight w:val="none"/>
        </w:rPr>
        <w:t>7</w:t>
      </w:r>
      <w:r>
        <w:rPr>
          <w:rFonts w:hint="eastAsia" w:ascii="宋体" w:hAnsi="宋体"/>
          <w:color w:val="000000"/>
          <w:sz w:val="24"/>
          <w:szCs w:val="24"/>
          <w:highlight w:val="none"/>
        </w:rPr>
        <w:t>天</w:t>
      </w:r>
      <w:r>
        <w:rPr>
          <w:rFonts w:ascii="宋体" w:hAnsi="宋体"/>
          <w:color w:val="000000"/>
          <w:sz w:val="24"/>
          <w:szCs w:val="24"/>
          <w:highlight w:val="none"/>
        </w:rPr>
        <w:t>(</w:t>
      </w:r>
      <w:r>
        <w:rPr>
          <w:rFonts w:hint="eastAsia" w:ascii="宋体" w:hAnsi="宋体"/>
          <w:color w:val="000000"/>
          <w:sz w:val="24"/>
          <w:szCs w:val="24"/>
          <w:highlight w:val="none"/>
        </w:rPr>
        <w:t>含</w:t>
      </w:r>
      <w:r>
        <w:rPr>
          <w:rFonts w:ascii="宋体" w:hAnsi="宋体"/>
          <w:color w:val="000000"/>
          <w:sz w:val="24"/>
          <w:szCs w:val="24"/>
          <w:highlight w:val="none"/>
        </w:rPr>
        <w:t>)</w:t>
      </w:r>
      <w:r>
        <w:rPr>
          <w:rFonts w:hint="eastAsia" w:ascii="宋体" w:hAnsi="宋体"/>
          <w:color w:val="000000"/>
          <w:sz w:val="24"/>
          <w:szCs w:val="24"/>
          <w:highlight w:val="none"/>
        </w:rPr>
        <w:t>以内的，工期违约金为每延误一天按备案合同总价款的万分之二执行；并从逾期第</w:t>
      </w:r>
      <w:r>
        <w:rPr>
          <w:rFonts w:ascii="宋体" w:hAnsi="宋体"/>
          <w:color w:val="000000"/>
          <w:sz w:val="24"/>
          <w:szCs w:val="24"/>
          <w:highlight w:val="none"/>
        </w:rPr>
        <w:t>8</w:t>
      </w:r>
      <w:r>
        <w:rPr>
          <w:rFonts w:hint="eastAsia" w:ascii="宋体" w:hAnsi="宋体"/>
          <w:color w:val="000000"/>
          <w:sz w:val="24"/>
          <w:szCs w:val="24"/>
          <w:highlight w:val="none"/>
        </w:rPr>
        <w:t>天起，每拖延一天，承包人向发包人支付备案合同总价款的万分之五的违约金；上述违约金发包人有权从工程款中扣除。延误时间从规定竣工日期起直到全部工程或相应部分工程的移交竣工验收报告批准日之间的天数。发包人可从应向承包人支付的任何应付款项中扣除此款项。承包人支付逾期违约金，并不解除、减轻承包人应完成工程的责任或合同规定的其他责任。</w:t>
      </w:r>
    </w:p>
    <w:p w14:paraId="05749509">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w:t>
      </w:r>
      <w:r>
        <w:rPr>
          <w:rFonts w:ascii="宋体" w:hAnsi="宋体"/>
          <w:color w:val="000000"/>
          <w:sz w:val="24"/>
          <w:szCs w:val="24"/>
          <w:highlight w:val="none"/>
        </w:rPr>
        <w:t>2</w:t>
      </w:r>
      <w:r>
        <w:rPr>
          <w:rFonts w:hint="eastAsia" w:ascii="宋体" w:hAnsi="宋体"/>
          <w:color w:val="000000"/>
          <w:sz w:val="24"/>
          <w:szCs w:val="24"/>
          <w:highlight w:val="none"/>
        </w:rPr>
        <w:t>）工程竣工后，发包人委托承包人负责在</w:t>
      </w:r>
      <w:r>
        <w:rPr>
          <w:rFonts w:ascii="宋体" w:hAnsi="宋体"/>
          <w:color w:val="000000"/>
          <w:sz w:val="24"/>
          <w:szCs w:val="24"/>
          <w:highlight w:val="none"/>
        </w:rPr>
        <w:t>2</w:t>
      </w:r>
      <w:r>
        <w:rPr>
          <w:rFonts w:hint="eastAsia" w:ascii="宋体" w:hAnsi="宋体"/>
          <w:color w:val="000000"/>
          <w:sz w:val="24"/>
          <w:szCs w:val="24"/>
          <w:highlight w:val="none"/>
        </w:rPr>
        <w:t>个月内取得本项目的《建设工程竣工验收备案证书》。承包人逾期完成的（若因发包人未能配合的原因除外），参照承包人逾期竣工的违约条款追究承包人的违约责任。</w:t>
      </w:r>
    </w:p>
    <w:p w14:paraId="08E86502">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13.3 工程试车</w:t>
      </w:r>
    </w:p>
    <w:bookmarkEnd w:id="949"/>
    <w:p w14:paraId="5677A69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13.3.1 试车程序</w:t>
      </w:r>
    </w:p>
    <w:p w14:paraId="473DBBE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工程试车内容：</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65F563B">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（1）单机无负荷试车费用由</w:t>
      </w:r>
      <w:r>
        <w:rPr>
          <w:rFonts w:ascii="宋体" w:hAnsi="宋体"/>
          <w:color w:val="000000"/>
          <w:sz w:val="24"/>
          <w:szCs w:val="24"/>
          <w:highlight w:val="none"/>
          <w:u w:val="single"/>
        </w:rPr>
        <w:t xml:space="preserve">       /      </w:t>
      </w:r>
      <w:r>
        <w:rPr>
          <w:rFonts w:ascii="宋体" w:hAnsi="宋体"/>
          <w:color w:val="000000"/>
          <w:kern w:val="0"/>
          <w:sz w:val="24"/>
          <w:szCs w:val="24"/>
          <w:highlight w:val="none"/>
        </w:rPr>
        <w:t>承担；</w:t>
      </w:r>
    </w:p>
    <w:p w14:paraId="327BD4D3">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（2）无负荷联动试车费用由</w:t>
      </w:r>
      <w:r>
        <w:rPr>
          <w:rFonts w:ascii="宋体" w:hAnsi="宋体"/>
          <w:color w:val="000000"/>
          <w:sz w:val="24"/>
          <w:szCs w:val="24"/>
          <w:highlight w:val="none"/>
          <w:u w:val="single"/>
        </w:rPr>
        <w:t xml:space="preserve">    /        </w:t>
      </w:r>
      <w:r>
        <w:rPr>
          <w:rFonts w:ascii="宋体" w:hAnsi="宋体"/>
          <w:color w:val="000000"/>
          <w:kern w:val="0"/>
          <w:sz w:val="24"/>
          <w:szCs w:val="24"/>
          <w:highlight w:val="none"/>
        </w:rPr>
        <w:t>承担。</w:t>
      </w:r>
    </w:p>
    <w:p w14:paraId="53A06FC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13.3.3 投料试车</w:t>
      </w:r>
    </w:p>
    <w:p w14:paraId="4CEC156E">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关于投料试车相关事项的约定：</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17FF0065">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13.6 竣工退场</w:t>
      </w:r>
    </w:p>
    <w:p w14:paraId="2CBED79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13.6.1 竣工退场</w:t>
      </w:r>
    </w:p>
    <w:p w14:paraId="30619ED6">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承包人完成竣工退场的期限：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颁发工程接受证书后5日内</w:t>
      </w:r>
      <w:r>
        <w:rPr>
          <w:rFonts w:ascii="宋体" w:hAnsi="宋体"/>
          <w:color w:val="000000"/>
          <w:sz w:val="24"/>
          <w:szCs w:val="24"/>
          <w:highlight w:val="none"/>
          <w:u w:val="single"/>
        </w:rPr>
        <w:t xml:space="preserve">   </w:t>
      </w:r>
      <w:r>
        <w:rPr>
          <w:rFonts w:ascii="宋体" w:hAnsi="宋体"/>
          <w:color w:val="000000"/>
          <w:kern w:val="0"/>
          <w:sz w:val="24"/>
          <w:szCs w:val="24"/>
          <w:highlight w:val="none"/>
        </w:rPr>
        <w:t>。</w:t>
      </w:r>
    </w:p>
    <w:p w14:paraId="2C174F8F">
      <w:pPr>
        <w:pStyle w:val="7"/>
        <w:spacing w:before="120" w:after="120" w:line="360" w:lineRule="auto"/>
        <w:rPr>
          <w:rFonts w:ascii="宋体" w:hAnsi="宋体"/>
          <w:b w:val="0"/>
          <w:color w:val="000000"/>
          <w:szCs w:val="24"/>
          <w:highlight w:val="none"/>
        </w:rPr>
      </w:pPr>
      <w:bookmarkStart w:id="951" w:name="_Toc351203646"/>
      <w:r>
        <w:rPr>
          <w:rFonts w:ascii="宋体" w:hAnsi="宋体"/>
          <w:b w:val="0"/>
          <w:color w:val="000000"/>
          <w:szCs w:val="24"/>
          <w:highlight w:val="none"/>
        </w:rPr>
        <w:t>14. 竣工结算</w:t>
      </w:r>
      <w:bookmarkEnd w:id="951"/>
    </w:p>
    <w:p w14:paraId="1553F64C">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14.1 竣工</w:t>
      </w:r>
      <w:r>
        <w:rPr>
          <w:rFonts w:hint="eastAsia" w:ascii="宋体" w:hAnsi="宋体"/>
          <w:color w:val="000000"/>
          <w:sz w:val="24"/>
          <w:szCs w:val="24"/>
          <w:highlight w:val="none"/>
        </w:rPr>
        <w:t>结算</w:t>
      </w:r>
      <w:r>
        <w:rPr>
          <w:rFonts w:ascii="宋体" w:hAnsi="宋体"/>
          <w:color w:val="000000"/>
          <w:sz w:val="24"/>
          <w:szCs w:val="24"/>
          <w:highlight w:val="none"/>
        </w:rPr>
        <w:t>申请</w:t>
      </w:r>
    </w:p>
    <w:p w14:paraId="3F520F3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承包人提交竣工结算申请单的期限：在本工程竣工通过后二个月内，承包人须上报工程结算，并将详细的结算及所需的所有资料呈交发包人 。</w:t>
      </w:r>
    </w:p>
    <w:p w14:paraId="4A1F1A75">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竣工结算申请单应包括的内容：  工程结算资料按发包人要求提供，包括工程结算书、结算资料清单、结算汇总表、工程投标书、各项结算调整的依据、内容及费用等。工程结算书附件：a、发包人有关部门会签的“工程结算审批表”；b、经监理、发包人工程人员确认的竣工图； c、验收报告复印件；d、结算授权书。（具体按发包人的结算管理办法要求执行）</w:t>
      </w:r>
    </w:p>
    <w:p w14:paraId="435A2561">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14.2 竣工结算审核</w:t>
      </w:r>
    </w:p>
    <w:p w14:paraId="039629F3">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发包人审批竣工付款申请单的期限：</w:t>
      </w:r>
      <w:r>
        <w:rPr>
          <w:rFonts w:ascii="宋体" w:hAnsi="宋体"/>
          <w:color w:val="000000"/>
          <w:sz w:val="24"/>
          <w:szCs w:val="24"/>
          <w:highlight w:val="none"/>
          <w:u w:val="single"/>
        </w:rPr>
        <w:t xml:space="preserve">  发包人须在收到承包人符合结算审核要求的全部资料后6个月内完成有关结算的审核，并须反馈承包人一份审核后的结算。其前提：一是结算开始日期以收到完整的结算资料后开始计算；二是结算期间承包人要积极配合。  </w:t>
      </w:r>
    </w:p>
    <w:p w14:paraId="32D40B4C">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结算资料的调整：</w:t>
      </w:r>
      <w:r>
        <w:rPr>
          <w:rFonts w:ascii="宋体" w:hAnsi="宋体"/>
          <w:color w:val="000000"/>
          <w:sz w:val="24"/>
          <w:szCs w:val="24"/>
          <w:highlight w:val="none"/>
          <w:u w:val="single"/>
        </w:rPr>
        <w:t>在工程结算审查过程中（即工程结算资料上交发包人一周后），承包人不得再增加任何结算资料（图纸、签证变更单、价格凭证等），送审的结算书中若有遗漏项目均作为让利给发包人，不作增加调整（发包人要求的除外）。</w:t>
      </w:r>
    </w:p>
    <w:p w14:paraId="013812D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发包人完成竣工付款的期限：</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5F3815A0">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关于竣工付款证书异议部分复核的方式和程序：</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05A2929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承包人在投标时未能确定的发包人供应材料设备损耗率依据的定额：</w:t>
      </w:r>
      <w:r>
        <w:rPr>
          <w:rFonts w:ascii="宋体" w:hAnsi="宋体"/>
          <w:color w:val="000000"/>
          <w:sz w:val="24"/>
          <w:szCs w:val="24"/>
          <w:highlight w:val="none"/>
          <w:u w:val="single"/>
        </w:rPr>
        <w:t xml:space="preserve">《上海市建筑和装饰工程预算定额》(2016版)/《上海市安装工程预算定额》(2016版)。    </w:t>
      </w:r>
    </w:p>
    <w:p w14:paraId="48DD71C8">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第三方审核：</w:t>
      </w:r>
    </w:p>
    <w:p w14:paraId="7262ECD4">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u w:val="single"/>
        </w:rPr>
        <w:t>(1)</w:t>
      </w:r>
      <w:r>
        <w:rPr>
          <w:rFonts w:ascii="宋体" w:hAnsi="宋体"/>
          <w:color w:val="000000"/>
          <w:sz w:val="24"/>
          <w:szCs w:val="24"/>
          <w:highlight w:val="none"/>
          <w:u w:val="single"/>
        </w:rPr>
        <w:tab/>
      </w:r>
      <w:r>
        <w:rPr>
          <w:rFonts w:ascii="宋体" w:hAnsi="宋体"/>
          <w:color w:val="000000"/>
          <w:sz w:val="24"/>
          <w:szCs w:val="24"/>
          <w:highlight w:val="none"/>
          <w:u w:val="single"/>
        </w:rPr>
        <w:t>结算审核费用：承包人编制工程结算书应遵循实事求是的原则。按照【上海市建设工程造价服务和招标代理收费标准】[2005]834号、056号的规定，造价咨询单位向承包人收</w:t>
      </w:r>
      <w:r>
        <w:rPr>
          <w:rFonts w:hint="eastAsia" w:ascii="宋体" w:hAnsi="宋体"/>
          <w:color w:val="000000"/>
          <w:sz w:val="24"/>
          <w:szCs w:val="24"/>
          <w:highlight w:val="none"/>
          <w:u w:val="single"/>
        </w:rPr>
        <w:t>取</w:t>
      </w:r>
      <w:r>
        <w:rPr>
          <w:rFonts w:ascii="宋体" w:hAnsi="宋体"/>
          <w:color w:val="000000"/>
          <w:sz w:val="24"/>
          <w:szCs w:val="24"/>
          <w:highlight w:val="none"/>
          <w:u w:val="single"/>
        </w:rPr>
        <w:t>应由其承担的审价费，如施工单位不及时支付审价费，发包人有权代扣代付给相应的造价咨询单位。</w:t>
      </w:r>
    </w:p>
    <w:p w14:paraId="582485CA">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u w:val="single"/>
        </w:rPr>
        <w:t>(2)</w:t>
      </w:r>
      <w:r>
        <w:rPr>
          <w:rFonts w:ascii="宋体" w:hAnsi="宋体"/>
          <w:color w:val="000000"/>
          <w:sz w:val="24"/>
          <w:szCs w:val="24"/>
          <w:highlight w:val="none"/>
          <w:u w:val="single"/>
        </w:rPr>
        <w:tab/>
      </w:r>
      <w:r>
        <w:rPr>
          <w:rFonts w:ascii="宋体" w:hAnsi="宋体"/>
          <w:color w:val="000000"/>
          <w:sz w:val="24"/>
          <w:szCs w:val="24"/>
          <w:highlight w:val="none"/>
          <w:u w:val="single"/>
        </w:rPr>
        <w:t>结算书须经过发包人上级审计部门委托的社会中介机构审计，审计结果为施工合同最终结算价。承包人须全力配合并承担审计费用，审计费用为：</w:t>
      </w:r>
      <w:r>
        <w:rPr>
          <w:rFonts w:hint="eastAsia" w:ascii="宋体" w:hAnsi="宋体"/>
          <w:color w:val="000000"/>
          <w:sz w:val="24"/>
          <w:szCs w:val="24"/>
          <w:highlight w:val="none"/>
          <w:u w:val="single"/>
        </w:rPr>
        <w:t>按核减额（核减率5%以上部分）的5%计算，由施工方支付。</w:t>
      </w:r>
      <w:r>
        <w:rPr>
          <w:rFonts w:ascii="宋体" w:hAnsi="宋体"/>
          <w:color w:val="000000"/>
          <w:sz w:val="24"/>
          <w:szCs w:val="24"/>
          <w:highlight w:val="none"/>
          <w:u w:val="single"/>
        </w:rPr>
        <w:t xml:space="preserve"> </w:t>
      </w:r>
    </w:p>
    <w:p w14:paraId="66DF9CDA">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关于竣工付款证书异议部分复核的方式和程序：</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以具体期限为准   </w:t>
      </w:r>
      <w:r>
        <w:rPr>
          <w:rFonts w:ascii="宋体" w:hAnsi="宋体"/>
          <w:color w:val="000000"/>
          <w:sz w:val="24"/>
          <w:szCs w:val="24"/>
          <w:highlight w:val="none"/>
        </w:rPr>
        <w:t>。</w:t>
      </w:r>
    </w:p>
    <w:p w14:paraId="2B914E55">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14.4 最终结清</w:t>
      </w:r>
    </w:p>
    <w:p w14:paraId="0076E56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14.4.1 最终结清申请单</w:t>
      </w:r>
    </w:p>
    <w:p w14:paraId="6C4A6D3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承包人提交最终结清申请单的份数：</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另行商议，以发包人要求为准</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E4BB80E">
      <w:pPr>
        <w:spacing w:line="360" w:lineRule="auto"/>
        <w:ind w:firstLine="480" w:firstLineChars="200"/>
        <w:jc w:val="left"/>
        <w:rPr>
          <w:rFonts w:ascii="宋体" w:hAnsi="宋体"/>
          <w:sz w:val="24"/>
          <w:szCs w:val="24"/>
          <w:highlight w:val="none"/>
        </w:rPr>
      </w:pPr>
      <w:r>
        <w:rPr>
          <w:rFonts w:ascii="宋体" w:hAnsi="宋体"/>
          <w:color w:val="000000"/>
          <w:kern w:val="0"/>
          <w:sz w:val="24"/>
          <w:szCs w:val="24"/>
          <w:highlight w:val="none"/>
        </w:rPr>
        <w:t>承包人提交最终结算申请单的期限：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缺陷责任期满后14天内</w:t>
      </w:r>
      <w:r>
        <w:rPr>
          <w:rFonts w:ascii="宋体" w:hAnsi="宋体"/>
          <w:color w:val="000000"/>
          <w:sz w:val="24"/>
          <w:szCs w:val="24"/>
          <w:highlight w:val="none"/>
          <w:u w:val="single"/>
        </w:rPr>
        <w:t xml:space="preserve">    </w:t>
      </w:r>
      <w:r>
        <w:rPr>
          <w:rFonts w:ascii="宋体" w:hAnsi="宋体"/>
          <w:color w:val="000000"/>
          <w:sz w:val="24"/>
          <w:szCs w:val="24"/>
          <w:highlight w:val="none"/>
        </w:rPr>
        <w:t>。</w:t>
      </w:r>
      <w:r>
        <w:rPr>
          <w:rFonts w:ascii="宋体" w:hAnsi="宋体"/>
          <w:sz w:val="24"/>
          <w:szCs w:val="24"/>
          <w:highlight w:val="none"/>
        </w:rPr>
        <w:t xml:space="preserve"> </w:t>
      </w:r>
    </w:p>
    <w:p w14:paraId="39E0F2F0">
      <w:pPr>
        <w:spacing w:line="360" w:lineRule="auto"/>
        <w:ind w:firstLine="480" w:firstLineChars="200"/>
        <w:jc w:val="left"/>
        <w:rPr>
          <w:rFonts w:ascii="宋体" w:hAnsi="宋体"/>
          <w:sz w:val="24"/>
          <w:szCs w:val="24"/>
          <w:highlight w:val="none"/>
        </w:rPr>
      </w:pPr>
      <w:r>
        <w:rPr>
          <w:rFonts w:ascii="宋体" w:hAnsi="宋体"/>
          <w:sz w:val="24"/>
          <w:szCs w:val="24"/>
          <w:highlight w:val="none"/>
        </w:rPr>
        <w:t>14.4.2 最终结清证书和支付</w:t>
      </w:r>
    </w:p>
    <w:p w14:paraId="05D4B2CA">
      <w:pPr>
        <w:spacing w:line="360" w:lineRule="auto"/>
        <w:ind w:firstLine="480" w:firstLineChars="200"/>
        <w:jc w:val="left"/>
        <w:rPr>
          <w:rFonts w:ascii="宋体" w:hAnsi="宋体"/>
          <w:sz w:val="24"/>
          <w:szCs w:val="24"/>
          <w:highlight w:val="none"/>
        </w:rPr>
      </w:pPr>
      <w:r>
        <w:rPr>
          <w:rFonts w:ascii="宋体" w:hAnsi="宋体"/>
          <w:sz w:val="24"/>
          <w:szCs w:val="24"/>
          <w:highlight w:val="none"/>
        </w:rPr>
        <w:t>（1）发包人完成最终结清申请单的</w:t>
      </w:r>
      <w:r>
        <w:rPr>
          <w:rFonts w:hint="eastAsia" w:ascii="宋体" w:hAnsi="宋体"/>
          <w:sz w:val="24"/>
          <w:szCs w:val="24"/>
          <w:highlight w:val="none"/>
        </w:rPr>
        <w:t>审批</w:t>
      </w:r>
      <w:r>
        <w:rPr>
          <w:rFonts w:ascii="宋体" w:hAnsi="宋体"/>
          <w:sz w:val="24"/>
          <w:szCs w:val="24"/>
          <w:highlight w:val="none"/>
        </w:rPr>
        <w:t>并颁发最终结清证书的期限：</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4BDB9B71">
      <w:pPr>
        <w:spacing w:line="360" w:lineRule="auto"/>
        <w:ind w:firstLine="480" w:firstLineChars="200"/>
        <w:jc w:val="left"/>
        <w:rPr>
          <w:rFonts w:ascii="宋体" w:hAnsi="宋体"/>
          <w:color w:val="000000"/>
          <w:sz w:val="24"/>
          <w:szCs w:val="24"/>
          <w:highlight w:val="none"/>
        </w:rPr>
      </w:pPr>
      <w:r>
        <w:rPr>
          <w:rFonts w:ascii="宋体" w:hAnsi="宋体"/>
          <w:sz w:val="24"/>
          <w:szCs w:val="24"/>
          <w:highlight w:val="none"/>
        </w:rPr>
        <w:t>（2）发包人完成支付的期限：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bookmarkEnd w:id="938"/>
    <w:bookmarkEnd w:id="939"/>
    <w:bookmarkEnd w:id="940"/>
    <w:bookmarkEnd w:id="941"/>
    <w:bookmarkEnd w:id="942"/>
    <w:bookmarkEnd w:id="943"/>
    <w:bookmarkEnd w:id="944"/>
    <w:bookmarkEnd w:id="950"/>
    <w:p w14:paraId="2D8445D3">
      <w:pPr>
        <w:pStyle w:val="7"/>
        <w:spacing w:before="120" w:after="120" w:line="360" w:lineRule="auto"/>
        <w:rPr>
          <w:rFonts w:ascii="宋体" w:hAnsi="宋体"/>
          <w:b w:val="0"/>
          <w:color w:val="000000"/>
          <w:szCs w:val="24"/>
          <w:highlight w:val="none"/>
        </w:rPr>
      </w:pPr>
      <w:bookmarkStart w:id="952" w:name="_Toc351203647"/>
      <w:bookmarkStart w:id="953" w:name="_Toc267251483"/>
      <w:bookmarkStart w:id="954" w:name="_Toc267251484"/>
      <w:bookmarkStart w:id="955" w:name="_Toc267251482"/>
      <w:bookmarkStart w:id="956" w:name="_Toc267251485"/>
      <w:bookmarkStart w:id="957" w:name="_Toc267251490"/>
      <w:bookmarkStart w:id="958" w:name="_Toc267251488"/>
      <w:bookmarkStart w:id="959" w:name="_Toc267251486"/>
      <w:bookmarkStart w:id="960" w:name="_Toc267251489"/>
      <w:bookmarkStart w:id="961" w:name="_Toc267251497"/>
      <w:bookmarkStart w:id="962" w:name="_Toc267251492"/>
      <w:bookmarkStart w:id="963" w:name="_Toc267251491"/>
      <w:bookmarkStart w:id="964" w:name="_Toc267251502"/>
      <w:bookmarkStart w:id="965" w:name="_Toc267251503"/>
      <w:bookmarkStart w:id="966" w:name="_Toc267251494"/>
      <w:bookmarkStart w:id="967" w:name="_Toc267251499"/>
      <w:bookmarkStart w:id="968" w:name="_Toc267251501"/>
      <w:bookmarkStart w:id="969" w:name="_Toc267251495"/>
      <w:bookmarkStart w:id="970" w:name="_Toc267251496"/>
      <w:bookmarkStart w:id="971" w:name="_Toc267251498"/>
      <w:bookmarkStart w:id="972" w:name="_Toc267251493"/>
      <w:bookmarkStart w:id="973" w:name="_Toc267251506"/>
      <w:bookmarkStart w:id="974" w:name="_Toc267251504"/>
      <w:bookmarkStart w:id="975" w:name="_Toc267251507"/>
      <w:bookmarkStart w:id="976" w:name="_Toc267251508"/>
      <w:bookmarkStart w:id="977" w:name="_Toc267251511"/>
      <w:bookmarkStart w:id="978" w:name="_Toc267251514"/>
      <w:bookmarkStart w:id="979" w:name="_Toc267251510"/>
      <w:bookmarkStart w:id="980" w:name="_Toc267251515"/>
      <w:bookmarkStart w:id="981" w:name="_Toc267251513"/>
      <w:bookmarkStart w:id="982" w:name="_Toc267251509"/>
      <w:r>
        <w:rPr>
          <w:rFonts w:ascii="宋体" w:hAnsi="宋体"/>
          <w:b w:val="0"/>
          <w:color w:val="000000"/>
          <w:szCs w:val="24"/>
          <w:highlight w:val="none"/>
        </w:rPr>
        <w:t>15. 缺陷责任期与保修</w:t>
      </w:r>
      <w:bookmarkEnd w:id="952"/>
    </w:p>
    <w:p w14:paraId="46777EC7">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15.2缺陷责任期</w:t>
      </w:r>
      <w:bookmarkEnd w:id="953"/>
    </w:p>
    <w:p w14:paraId="71476AF0">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缺陷责任期的具体期限：</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24个月，起算时间：本工程</w:t>
      </w:r>
      <w:r>
        <w:rPr>
          <w:rFonts w:ascii="宋体" w:hAnsi="宋体"/>
          <w:color w:val="000000"/>
          <w:sz w:val="24"/>
          <w:szCs w:val="24"/>
          <w:highlight w:val="none"/>
        </w:rPr>
        <w:t>缺陷责任期自工程</w:t>
      </w:r>
      <w:r>
        <w:rPr>
          <w:rFonts w:hint="eastAsia" w:ascii="宋体" w:hAnsi="宋体"/>
          <w:color w:val="000000"/>
          <w:sz w:val="24"/>
          <w:szCs w:val="24"/>
          <w:highlight w:val="none"/>
        </w:rPr>
        <w:t>通过竣工验收</w:t>
      </w:r>
      <w:r>
        <w:rPr>
          <w:rFonts w:ascii="宋体" w:hAnsi="宋体"/>
          <w:color w:val="000000"/>
          <w:sz w:val="24"/>
          <w:szCs w:val="24"/>
          <w:highlight w:val="none"/>
        </w:rPr>
        <w:t>之日起计算。单位工程先于全部工程进行验收，单位工程缺陷责任期自单位工程验收合格之日起算</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5BDE6070">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15.3 质量保证金</w:t>
      </w:r>
    </w:p>
    <w:p w14:paraId="7D268E36">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关于是否扣留质量保证金的约定：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承包人向发包人支付审定金额的3%作为质量保证金 </w:t>
      </w:r>
      <w:r>
        <w:rPr>
          <w:rFonts w:ascii="宋体" w:hAnsi="宋体"/>
          <w:color w:val="000000"/>
          <w:sz w:val="24"/>
          <w:szCs w:val="24"/>
          <w:highlight w:val="none"/>
          <w:u w:val="single"/>
        </w:rPr>
        <w:t xml:space="preserve">  </w:t>
      </w:r>
      <w:r>
        <w:rPr>
          <w:rFonts w:ascii="宋体" w:hAnsi="宋体"/>
          <w:color w:val="000000"/>
          <w:sz w:val="24"/>
          <w:szCs w:val="24"/>
          <w:highlight w:val="none"/>
        </w:rPr>
        <w:t>。</w:t>
      </w:r>
      <w:r>
        <w:rPr>
          <w:rFonts w:hint="eastAsia" w:ascii="宋体" w:hAnsi="宋体"/>
          <w:color w:val="000000"/>
          <w:sz w:val="24"/>
          <w:szCs w:val="24"/>
          <w:highlight w:val="none"/>
        </w:rPr>
        <w:t>在工程项目竣工前，承包人按专用合同条款第3.7条提供履约担保的，发包人不得同时预留工程质量保证金。</w:t>
      </w:r>
    </w:p>
    <w:p w14:paraId="40103AF7">
      <w:pPr>
        <w:spacing w:line="360" w:lineRule="auto"/>
        <w:ind w:firstLine="480" w:firstLineChars="200"/>
        <w:jc w:val="left"/>
        <w:outlineLvl w:val="0"/>
        <w:rPr>
          <w:rFonts w:ascii="宋体" w:hAnsi="宋体"/>
          <w:color w:val="000000"/>
          <w:sz w:val="24"/>
          <w:szCs w:val="24"/>
          <w:highlight w:val="none"/>
        </w:rPr>
      </w:pPr>
      <w:r>
        <w:rPr>
          <w:rFonts w:ascii="宋体" w:hAnsi="宋体"/>
          <w:color w:val="000000"/>
          <w:sz w:val="24"/>
          <w:szCs w:val="24"/>
          <w:highlight w:val="none"/>
        </w:rPr>
        <w:t xml:space="preserve">15.3.1 </w:t>
      </w:r>
      <w:r>
        <w:rPr>
          <w:rFonts w:hint="eastAsia" w:ascii="宋体" w:hAnsi="宋体"/>
          <w:color w:val="000000"/>
          <w:sz w:val="24"/>
          <w:szCs w:val="24"/>
          <w:highlight w:val="none"/>
        </w:rPr>
        <w:t>承包人提供</w:t>
      </w:r>
      <w:r>
        <w:rPr>
          <w:rFonts w:ascii="宋体" w:hAnsi="宋体"/>
          <w:color w:val="000000"/>
          <w:sz w:val="24"/>
          <w:szCs w:val="24"/>
          <w:highlight w:val="none"/>
        </w:rPr>
        <w:t>质量保证金的</w:t>
      </w:r>
      <w:r>
        <w:rPr>
          <w:rFonts w:hint="eastAsia" w:ascii="宋体" w:hAnsi="宋体"/>
          <w:color w:val="000000"/>
          <w:sz w:val="24"/>
          <w:szCs w:val="24"/>
          <w:highlight w:val="none"/>
        </w:rPr>
        <w:t>方</w:t>
      </w:r>
      <w:r>
        <w:rPr>
          <w:rFonts w:ascii="宋体" w:hAnsi="宋体"/>
          <w:color w:val="000000"/>
          <w:sz w:val="24"/>
          <w:szCs w:val="24"/>
          <w:highlight w:val="none"/>
        </w:rPr>
        <w:t>式</w:t>
      </w:r>
    </w:p>
    <w:p w14:paraId="49B2DF9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质量保证金采用以下第</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3  </w:t>
      </w:r>
      <w:r>
        <w:rPr>
          <w:rFonts w:ascii="宋体" w:hAnsi="宋体"/>
          <w:color w:val="000000"/>
          <w:sz w:val="24"/>
          <w:szCs w:val="24"/>
          <w:highlight w:val="none"/>
        </w:rPr>
        <w:t>种方式：</w:t>
      </w:r>
    </w:p>
    <w:p w14:paraId="6E394141">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（1）质量保证金保函，保证金额为：</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 xml:space="preserve">； </w:t>
      </w:r>
    </w:p>
    <w:p w14:paraId="258955CC">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w:t>
      </w:r>
      <w:r>
        <w:rPr>
          <w:rFonts w:ascii="宋体" w:hAnsi="宋体"/>
          <w:color w:val="000000"/>
          <w:kern w:val="0"/>
          <w:sz w:val="24"/>
          <w:szCs w:val="24"/>
          <w:highlight w:val="none"/>
          <w:u w:val="single"/>
        </w:rPr>
        <w:t xml:space="preserve">  /  </w:t>
      </w:r>
      <w:r>
        <w:rPr>
          <w:rFonts w:ascii="宋体" w:hAnsi="宋体"/>
          <w:color w:val="000000"/>
          <w:kern w:val="0"/>
          <w:sz w:val="24"/>
          <w:szCs w:val="24"/>
          <w:highlight w:val="none"/>
        </w:rPr>
        <w:t>%的工程款；</w:t>
      </w:r>
    </w:p>
    <w:p w14:paraId="20AD3E44">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（3）其他</w:t>
      </w:r>
      <w:r>
        <w:rPr>
          <w:rFonts w:hint="eastAsia" w:ascii="宋体" w:hAnsi="宋体"/>
          <w:color w:val="000000"/>
          <w:kern w:val="0"/>
          <w:sz w:val="24"/>
          <w:szCs w:val="24"/>
          <w:highlight w:val="none"/>
        </w:rPr>
        <w:t>方</w:t>
      </w:r>
      <w:r>
        <w:rPr>
          <w:rFonts w:ascii="宋体" w:hAnsi="宋体"/>
          <w:color w:val="000000"/>
          <w:kern w:val="0"/>
          <w:sz w:val="24"/>
          <w:szCs w:val="24"/>
          <w:highlight w:val="none"/>
        </w:rPr>
        <w:t>式:</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工程结算审定价的3%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313A714C">
      <w:pPr>
        <w:spacing w:line="360" w:lineRule="auto"/>
        <w:ind w:firstLine="480" w:firstLineChars="200"/>
        <w:jc w:val="left"/>
        <w:outlineLvl w:val="0"/>
        <w:rPr>
          <w:rFonts w:ascii="宋体" w:hAnsi="宋体"/>
          <w:color w:val="000000"/>
          <w:sz w:val="24"/>
          <w:szCs w:val="24"/>
          <w:highlight w:val="none"/>
        </w:rPr>
      </w:pPr>
      <w:r>
        <w:rPr>
          <w:rFonts w:ascii="宋体" w:hAnsi="宋体"/>
          <w:color w:val="000000"/>
          <w:sz w:val="24"/>
          <w:szCs w:val="24"/>
          <w:highlight w:val="none"/>
        </w:rPr>
        <w:t xml:space="preserve">15.3.2 质量保证金的扣留 </w:t>
      </w:r>
    </w:p>
    <w:p w14:paraId="2A194C19">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质量保证金的扣留采取以下第</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3</w:t>
      </w:r>
      <w:r>
        <w:rPr>
          <w:rFonts w:ascii="宋体" w:hAnsi="宋体"/>
          <w:color w:val="000000"/>
          <w:sz w:val="24"/>
          <w:szCs w:val="24"/>
          <w:highlight w:val="none"/>
          <w:u w:val="single"/>
        </w:rPr>
        <w:t xml:space="preserve">  </w:t>
      </w:r>
      <w:r>
        <w:rPr>
          <w:rFonts w:ascii="宋体" w:hAnsi="宋体"/>
          <w:color w:val="000000"/>
          <w:sz w:val="24"/>
          <w:szCs w:val="24"/>
          <w:highlight w:val="none"/>
        </w:rPr>
        <w:t>种方式：</w:t>
      </w:r>
    </w:p>
    <w:p w14:paraId="27892C9B">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（1）在支付工程进度款时逐次扣留，在此情形下，质量保证金的计算基数不包括预付款的支付、扣回以及价格调整的金额；</w:t>
      </w:r>
    </w:p>
    <w:p w14:paraId="548101C3">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kern w:val="0"/>
          <w:sz w:val="24"/>
          <w:szCs w:val="24"/>
          <w:highlight w:val="none"/>
        </w:rPr>
        <w:t>（2）工程竣工结算时一次性扣留质量保证金；</w:t>
      </w:r>
    </w:p>
    <w:p w14:paraId="742D6C4E">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（3）其他扣留方式:</w:t>
      </w:r>
      <w:r>
        <w:rPr>
          <w:rFonts w:ascii="宋体" w:hAnsi="宋体"/>
          <w:color w:val="000000"/>
          <w:kern w:val="0"/>
          <w:sz w:val="24"/>
          <w:szCs w:val="24"/>
          <w:highlight w:val="none"/>
          <w:u w:val="single"/>
        </w:rPr>
        <w:t xml:space="preserve">  </w:t>
      </w:r>
      <w:r>
        <w:rPr>
          <w:rFonts w:hint="eastAsia" w:ascii="宋体" w:hAnsi="宋体"/>
          <w:color w:val="000000"/>
          <w:sz w:val="24"/>
          <w:szCs w:val="24"/>
          <w:highlight w:val="none"/>
          <w:u w:val="single"/>
        </w:rPr>
        <w:t>承包人向发包人支付审定金额的3%作为质量保证金</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6F66157C">
      <w:pPr>
        <w:spacing w:line="360" w:lineRule="auto"/>
        <w:ind w:firstLine="480" w:firstLineChars="200"/>
        <w:jc w:val="left"/>
        <w:rPr>
          <w:rFonts w:ascii="宋体" w:hAnsi="宋体"/>
          <w:color w:val="000000"/>
          <w:kern w:val="0"/>
          <w:sz w:val="24"/>
          <w:szCs w:val="24"/>
          <w:highlight w:val="none"/>
          <w:u w:val="single"/>
        </w:rPr>
      </w:pPr>
      <w:r>
        <w:rPr>
          <w:rFonts w:ascii="宋体" w:hAnsi="宋体"/>
          <w:color w:val="000000"/>
          <w:sz w:val="24"/>
          <w:szCs w:val="24"/>
          <w:highlight w:val="none"/>
        </w:rPr>
        <w:t>关于质量保证金的补充约定：</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rPr>
        <w:t>。</w:t>
      </w:r>
    </w:p>
    <w:bookmarkEnd w:id="954"/>
    <w:bookmarkEnd w:id="955"/>
    <w:p w14:paraId="3A5320BF">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15.4保修</w:t>
      </w:r>
    </w:p>
    <w:bookmarkEnd w:id="956"/>
    <w:p w14:paraId="221C0C0A">
      <w:pPr>
        <w:spacing w:line="360" w:lineRule="auto"/>
        <w:ind w:firstLine="468" w:firstLineChars="195"/>
        <w:jc w:val="left"/>
        <w:rPr>
          <w:rFonts w:ascii="宋体" w:hAnsi="宋体"/>
          <w:color w:val="000000"/>
          <w:sz w:val="24"/>
          <w:szCs w:val="24"/>
          <w:highlight w:val="none"/>
        </w:rPr>
      </w:pPr>
      <w:r>
        <w:rPr>
          <w:rFonts w:ascii="宋体" w:hAnsi="宋体"/>
          <w:color w:val="000000"/>
          <w:sz w:val="24"/>
          <w:szCs w:val="24"/>
          <w:highlight w:val="none"/>
        </w:rPr>
        <w:t>15.4.1 保修责任</w:t>
      </w:r>
    </w:p>
    <w:p w14:paraId="2906AE81">
      <w:pPr>
        <w:spacing w:line="360" w:lineRule="auto"/>
        <w:ind w:firstLine="468" w:firstLineChars="195"/>
        <w:jc w:val="left"/>
        <w:rPr>
          <w:rFonts w:ascii="宋体" w:hAnsi="宋体"/>
          <w:color w:val="000000"/>
          <w:kern w:val="0"/>
          <w:sz w:val="24"/>
          <w:szCs w:val="24"/>
          <w:highlight w:val="none"/>
        </w:rPr>
      </w:pPr>
      <w:r>
        <w:rPr>
          <w:rFonts w:ascii="宋体" w:hAnsi="宋体"/>
          <w:color w:val="000000"/>
          <w:sz w:val="24"/>
          <w:szCs w:val="24"/>
          <w:highlight w:val="none"/>
        </w:rPr>
        <w:t>工程保修期为：</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根据《建设工程质量管理条例》及有关规定约定,</w:t>
      </w:r>
      <w:r>
        <w:rPr>
          <w:rFonts w:hint="eastAsia" w:ascii="宋体" w:hAnsi="宋体"/>
          <w:highlight w:val="none"/>
        </w:rPr>
        <w:t xml:space="preserve"> </w:t>
      </w:r>
      <w:r>
        <w:rPr>
          <w:rFonts w:hint="eastAsia" w:ascii="宋体" w:hAnsi="宋体"/>
          <w:color w:val="000000"/>
          <w:kern w:val="0"/>
          <w:sz w:val="24"/>
          <w:szCs w:val="24"/>
          <w:highlight w:val="none"/>
          <w:u w:val="single"/>
        </w:rPr>
        <w:t xml:space="preserve">质量保修期自完工（指施工单位完成合同规定的相关工作内容，通过自行验收后，会同监理及发包人共同验收通过并提交相关的竣工资料，且将已完工程交付发包人入驻使用、并取得竣工备案证明）合格之日起计算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35D1329C">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u w:val="single"/>
        </w:rPr>
      </w:pPr>
      <w:r>
        <w:rPr>
          <w:rFonts w:ascii="宋体" w:hAnsi="宋体"/>
          <w:color w:val="000000"/>
          <w:kern w:val="0"/>
          <w:sz w:val="24"/>
          <w:szCs w:val="24"/>
          <w:highlight w:val="none"/>
          <w:u w:val="single"/>
        </w:rPr>
        <w:t>按国务院颁发的《建设工程质量管理条例》和上海市有关规定，及双方签订的《工程质量保修书》条款执行：有防水、防渗漏要求的施工项目保修期为五年，其余施工项目的保修期为两年</w:t>
      </w:r>
    </w:p>
    <w:p w14:paraId="006160A9">
      <w:pPr>
        <w:spacing w:line="360" w:lineRule="auto"/>
        <w:ind w:firstLine="468" w:firstLineChars="195"/>
        <w:jc w:val="left"/>
        <w:rPr>
          <w:rFonts w:ascii="宋体" w:hAnsi="宋体"/>
          <w:color w:val="000000"/>
          <w:sz w:val="24"/>
          <w:szCs w:val="24"/>
          <w:highlight w:val="none"/>
        </w:rPr>
      </w:pPr>
      <w:r>
        <w:rPr>
          <w:rFonts w:ascii="宋体" w:hAnsi="宋体"/>
          <w:color w:val="000000"/>
          <w:sz w:val="24"/>
          <w:szCs w:val="24"/>
          <w:highlight w:val="none"/>
        </w:rPr>
        <w:t>15.4.3 修复通知</w:t>
      </w:r>
    </w:p>
    <w:p w14:paraId="32C5E60C">
      <w:pPr>
        <w:spacing w:line="360" w:lineRule="auto"/>
        <w:ind w:firstLine="468" w:firstLineChars="195"/>
        <w:jc w:val="left"/>
        <w:rPr>
          <w:rFonts w:ascii="宋体" w:hAnsi="宋体"/>
          <w:color w:val="000000"/>
          <w:kern w:val="0"/>
          <w:sz w:val="24"/>
          <w:szCs w:val="24"/>
          <w:highlight w:val="none"/>
        </w:rPr>
      </w:pPr>
      <w:r>
        <w:rPr>
          <w:rFonts w:ascii="宋体" w:hAnsi="宋体"/>
          <w:color w:val="000000"/>
          <w:kern w:val="0"/>
          <w:sz w:val="24"/>
          <w:szCs w:val="24"/>
          <w:highlight w:val="none"/>
        </w:rPr>
        <w:t>承包人收到保修通知并到达工程现场的合理时间：</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承包人在工程保修期内未能及时响应的（约定期间：重大紧急维修24小时，一般维修72小时，或者以甲方书面通知为准），发包人有权另行组织抢修、急修，相关材料费及人工费支出从承包人质保金中扣除，超出保证金的部分，发包人有权继续向承包人追偿。同时承包人还应承担同比例的违约金 </w:t>
      </w:r>
      <w:r>
        <w:rPr>
          <w:rFonts w:ascii="宋体" w:hAnsi="宋体"/>
          <w:color w:val="000000"/>
          <w:kern w:val="0"/>
          <w:sz w:val="24"/>
          <w:szCs w:val="24"/>
          <w:highlight w:val="none"/>
        </w:rPr>
        <w:t>。</w:t>
      </w:r>
    </w:p>
    <w:bookmarkEnd w:id="957"/>
    <w:bookmarkEnd w:id="958"/>
    <w:bookmarkEnd w:id="959"/>
    <w:bookmarkEnd w:id="960"/>
    <w:p w14:paraId="6D172C1B">
      <w:pPr>
        <w:pStyle w:val="7"/>
        <w:spacing w:before="120" w:after="120" w:line="360" w:lineRule="auto"/>
        <w:rPr>
          <w:rFonts w:ascii="宋体" w:hAnsi="宋体"/>
          <w:b w:val="0"/>
          <w:color w:val="000000"/>
          <w:szCs w:val="24"/>
          <w:highlight w:val="none"/>
        </w:rPr>
      </w:pPr>
      <w:bookmarkStart w:id="983" w:name="_Toc351203648"/>
      <w:bookmarkStart w:id="984" w:name="_Toc280868717"/>
      <w:bookmarkStart w:id="985" w:name="_Toc280868718"/>
      <w:r>
        <w:rPr>
          <w:rFonts w:ascii="宋体" w:hAnsi="宋体"/>
          <w:b w:val="0"/>
          <w:color w:val="000000"/>
          <w:szCs w:val="24"/>
          <w:highlight w:val="none"/>
        </w:rPr>
        <w:t>16. 违约</w:t>
      </w:r>
      <w:bookmarkEnd w:id="983"/>
    </w:p>
    <w:p w14:paraId="2D03F68E">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16.1 发包人违约</w:t>
      </w:r>
    </w:p>
    <w:p w14:paraId="0C166B0C">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16.1.1发包人违约的情形</w:t>
      </w:r>
    </w:p>
    <w:p w14:paraId="53156D72">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发包人违约的其他情形：</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78149031">
      <w:pPr>
        <w:spacing w:line="360" w:lineRule="auto"/>
        <w:ind w:left="1200" w:hanging="1200" w:hangingChars="500"/>
        <w:jc w:val="left"/>
        <w:rPr>
          <w:rFonts w:ascii="宋体" w:hAnsi="宋体"/>
          <w:color w:val="000000"/>
          <w:kern w:val="0"/>
          <w:sz w:val="24"/>
          <w:szCs w:val="24"/>
          <w:highlight w:val="none"/>
        </w:rPr>
      </w:pPr>
      <w:r>
        <w:rPr>
          <w:rFonts w:ascii="宋体" w:hAnsi="宋体"/>
          <w:color w:val="000000"/>
          <w:kern w:val="0"/>
          <w:sz w:val="24"/>
          <w:szCs w:val="24"/>
          <w:highlight w:val="none"/>
        </w:rPr>
        <w:t xml:space="preserve">    16.1.2 发包人违约的责任</w:t>
      </w:r>
    </w:p>
    <w:p w14:paraId="47ECA99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发包人违约责任的承担方式和计算方法：</w:t>
      </w:r>
    </w:p>
    <w:p w14:paraId="5D325D51">
      <w:pPr>
        <w:spacing w:line="360" w:lineRule="auto"/>
        <w:ind w:firstLine="480" w:firstLineChars="200"/>
        <w:jc w:val="left"/>
        <w:rPr>
          <w:rFonts w:ascii="宋体" w:hAnsi="宋体"/>
          <w:color w:val="000000"/>
          <w:kern w:val="0"/>
          <w:sz w:val="24"/>
          <w:szCs w:val="24"/>
          <w:highlight w:val="none"/>
          <w:u w:val="single"/>
        </w:rPr>
      </w:pPr>
      <w:r>
        <w:rPr>
          <w:rFonts w:ascii="宋体" w:hAnsi="宋体"/>
          <w:color w:val="000000"/>
          <w:kern w:val="0"/>
          <w:sz w:val="24"/>
          <w:szCs w:val="24"/>
          <w:highlight w:val="none"/>
        </w:rPr>
        <w:t>（1）因发包人原因未能在计划开工日期前7天内下达开工通知的违约责任：</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7032E25C">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（2）因发包人原因未能按合同约定支付合同价款的违约责任：</w:t>
      </w:r>
      <w:r>
        <w:rPr>
          <w:rFonts w:ascii="宋体" w:hAnsi="宋体"/>
          <w:color w:val="000000"/>
          <w:kern w:val="0"/>
          <w:sz w:val="24"/>
          <w:szCs w:val="24"/>
          <w:highlight w:val="none"/>
          <w:u w:val="single"/>
        </w:rPr>
        <w:t xml:space="preserve">    /    </w:t>
      </w:r>
      <w:r>
        <w:rPr>
          <w:rFonts w:ascii="宋体" w:hAnsi="宋体"/>
          <w:color w:val="000000"/>
          <w:kern w:val="0"/>
          <w:sz w:val="24"/>
          <w:szCs w:val="24"/>
          <w:highlight w:val="none"/>
        </w:rPr>
        <w:t>。</w:t>
      </w:r>
    </w:p>
    <w:p w14:paraId="6B22DFE0">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（3）发包人违反第10.1款</w:t>
      </w:r>
      <w:r>
        <w:rPr>
          <w:rFonts w:hint="eastAsia" w:ascii="宋体" w:hAnsi="宋体"/>
          <w:color w:val="000000"/>
          <w:kern w:val="0"/>
          <w:sz w:val="24"/>
          <w:szCs w:val="24"/>
          <w:highlight w:val="none"/>
        </w:rPr>
        <w:t>〔</w:t>
      </w:r>
      <w:r>
        <w:rPr>
          <w:rFonts w:ascii="宋体" w:hAnsi="宋体"/>
          <w:color w:val="000000"/>
          <w:kern w:val="0"/>
          <w:sz w:val="24"/>
          <w:szCs w:val="24"/>
          <w:highlight w:val="none"/>
        </w:rPr>
        <w:t>变更的范围</w:t>
      </w:r>
      <w:r>
        <w:rPr>
          <w:rFonts w:hint="eastAsia" w:ascii="宋体" w:hAnsi="宋体"/>
          <w:color w:val="000000"/>
          <w:kern w:val="0"/>
          <w:sz w:val="24"/>
          <w:szCs w:val="24"/>
          <w:highlight w:val="none"/>
        </w:rPr>
        <w:t>〕</w:t>
      </w:r>
      <w:r>
        <w:rPr>
          <w:rFonts w:ascii="宋体" w:hAnsi="宋体"/>
          <w:color w:val="000000"/>
          <w:kern w:val="0"/>
          <w:sz w:val="24"/>
          <w:szCs w:val="24"/>
          <w:highlight w:val="none"/>
        </w:rPr>
        <w:t>第（2）项约定，自行实施被取消的工作或转由他人实施的违约责任：</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33F3895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（4）发包人提供的材料、工程设备的规格、数量或质量不符合合同约定，或因发包人原因导致交货日期延误或交货地点变更等情况的违约责任：</w:t>
      </w:r>
      <w:r>
        <w:rPr>
          <w:rFonts w:ascii="宋体" w:hAnsi="宋体"/>
          <w:color w:val="000000"/>
          <w:kern w:val="0"/>
          <w:sz w:val="24"/>
          <w:szCs w:val="24"/>
          <w:highlight w:val="none"/>
          <w:u w:val="single"/>
        </w:rPr>
        <w:t xml:space="preserve">    /   </w:t>
      </w:r>
      <w:r>
        <w:rPr>
          <w:rFonts w:ascii="宋体" w:hAnsi="宋体"/>
          <w:color w:val="000000"/>
          <w:kern w:val="0"/>
          <w:sz w:val="24"/>
          <w:szCs w:val="24"/>
          <w:highlight w:val="none"/>
        </w:rPr>
        <w:t>。</w:t>
      </w:r>
    </w:p>
    <w:p w14:paraId="20E896E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（5）因发包人违反合同约定造成暂停施工的违约责任：</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15F24D5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（6）发包人无正当理由没有在约定期限内发出复工指示，导致承包人无法复工的违约责任：</w:t>
      </w:r>
      <w:r>
        <w:rPr>
          <w:rFonts w:ascii="宋体" w:hAnsi="宋体"/>
          <w:color w:val="000000"/>
          <w:kern w:val="0"/>
          <w:sz w:val="24"/>
          <w:szCs w:val="24"/>
          <w:highlight w:val="none"/>
          <w:u w:val="single"/>
        </w:rPr>
        <w:t xml:space="preserve">       /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0B8E2DF8">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（7）</w:t>
      </w:r>
      <w:r>
        <w:rPr>
          <w:rFonts w:hint="eastAsia" w:ascii="宋体" w:hAnsi="宋体"/>
          <w:color w:val="000000"/>
          <w:kern w:val="0"/>
          <w:sz w:val="24"/>
          <w:szCs w:val="24"/>
          <w:highlight w:val="none"/>
        </w:rPr>
        <w:t>其他：</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68864661">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16.1.3 因发包人违约解除合同</w:t>
      </w:r>
    </w:p>
    <w:p w14:paraId="0246D56D">
      <w:pPr>
        <w:autoSpaceDE w:val="0"/>
        <w:autoSpaceDN w:val="0"/>
        <w:adjustRightInd w:val="0"/>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承包人按16.1.1项</w:t>
      </w:r>
      <w:r>
        <w:rPr>
          <w:rFonts w:hint="eastAsia" w:ascii="宋体" w:hAnsi="宋体"/>
          <w:color w:val="000000"/>
          <w:kern w:val="0"/>
          <w:sz w:val="24"/>
          <w:szCs w:val="24"/>
          <w:highlight w:val="none"/>
        </w:rPr>
        <w:t>〔</w:t>
      </w:r>
      <w:r>
        <w:rPr>
          <w:rFonts w:ascii="宋体" w:hAnsi="宋体"/>
          <w:color w:val="000000"/>
          <w:kern w:val="0"/>
          <w:sz w:val="24"/>
          <w:szCs w:val="24"/>
          <w:highlight w:val="none"/>
        </w:rPr>
        <w:t>发包人违约的情形</w:t>
      </w:r>
      <w:r>
        <w:rPr>
          <w:rFonts w:hint="eastAsia" w:ascii="宋体" w:hAnsi="宋体"/>
          <w:color w:val="000000"/>
          <w:kern w:val="0"/>
          <w:sz w:val="24"/>
          <w:szCs w:val="24"/>
          <w:highlight w:val="none"/>
        </w:rPr>
        <w:t>〕</w:t>
      </w:r>
      <w:r>
        <w:rPr>
          <w:rFonts w:ascii="宋体" w:hAnsi="宋体"/>
          <w:color w:val="000000"/>
          <w:kern w:val="0"/>
          <w:sz w:val="24"/>
          <w:szCs w:val="24"/>
          <w:highlight w:val="none"/>
        </w:rPr>
        <w:t>约定暂停施工满</w:t>
      </w:r>
      <w:r>
        <w:rPr>
          <w:rFonts w:ascii="宋体" w:hAnsi="宋体"/>
          <w:color w:val="000000"/>
          <w:kern w:val="0"/>
          <w:sz w:val="24"/>
          <w:szCs w:val="24"/>
          <w:highlight w:val="none"/>
          <w:u w:val="single"/>
        </w:rPr>
        <w:t xml:space="preserve">  /  </w:t>
      </w:r>
      <w:r>
        <w:rPr>
          <w:rFonts w:ascii="宋体" w:hAnsi="宋体"/>
          <w:color w:val="000000"/>
          <w:kern w:val="0"/>
          <w:sz w:val="24"/>
          <w:szCs w:val="24"/>
          <w:highlight w:val="none"/>
        </w:rPr>
        <w:t>天后发包人仍不纠正其违约行为并致使合同目的不能实现的，承包人有权解除合同。</w:t>
      </w:r>
    </w:p>
    <w:p w14:paraId="7276766F">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16.2 承包人违约</w:t>
      </w:r>
    </w:p>
    <w:p w14:paraId="45AA773D">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16.2.1 承包人违约的情形</w:t>
      </w:r>
    </w:p>
    <w:p w14:paraId="37AD33C1">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承包人违约的其他情形：</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1）承包人拒绝清除不合格工程。（2）承包人文件、承包人实施和竣工的工程不符合法律以及合同约定。（3）承包人未按时移交工程。（4）承包人未及时竣工退场。（5）承包人未经发包人许可擅自更换项目经理或主要技术、安全、质量负责人，发包人有权要求其撤销决定；承包人项目经理、技术负责人不能胜任本项目的，发包人有权要求其更换并得到发包人认可。对发包人上述要求拒不执行的，发包人有权解除本合同。（6）承包人不能按本合同规定保质保量的完成工程控制分时间节点和最终竣工时间的或某些事实致使发包人认为承包人不能胜任该项工程的，发包人有权解除本合同。（7）承包人不执行或不及时执行监理人或发包人代表的指令而给发包人造成的损失，由承包人承担。重复发生以上行为达到三次的，发包人有权解除本合同。（8）确保本工程质量达到一次性验收合。若达不到一次性验收合格标准，则总承包方需负责整改，直至验收合格为止，由此产生的费用由总承包方承担。由于整改或返工造成的工期延误仍按每逾期一天处罚1000元，上限为合同价格20%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0AA74FBA">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16.2.2承包人违约的责任</w:t>
      </w:r>
    </w:p>
    <w:p w14:paraId="4FAA5987">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承包人违约责任的承担方式和计算方法：</w:t>
      </w:r>
      <w:r>
        <w:rPr>
          <w:rFonts w:hint="eastAsia" w:ascii="宋体" w:hAnsi="宋体"/>
          <w:kern w:val="0"/>
          <w:sz w:val="24"/>
          <w:szCs w:val="24"/>
          <w:highlight w:val="none"/>
          <w:u w:val="single"/>
        </w:rPr>
        <w:t>承包人存在以下行为的，采购人有权要求解除合同，并由承包人承担由此引起的一切损失，并负责由此引起的一切法律责任，并赔偿由此引起的采购人的一切经济损失。1、本工程具体完成时间应服从采购人的总体要求，如果因承包人原因导致实际进度与采购人要求的进度计划严重滞后，承包人无措施或无法按工期完成或质量无法达到合同要求的，采购人有权对部分分项工程指定第三方施工，承包人必须无条件服从和配合；此分项工程费用由采购人按实际发生费用从承包人的工程款中扣除，并加收5%的管理费。2、承包人须服从采购人发布的各项符合现行法律、法规的管理规定，如承包人不服从采购人的管理，采购人根据情节情况有权收取一定金额的违约赔偿金；情节严重的，采购人有权解除合同并要求承包人支付合同价的20%违约金，承包人无条件退场</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72F57004">
      <w:pPr>
        <w:spacing w:line="360" w:lineRule="auto"/>
        <w:ind w:firstLine="480" w:firstLineChars="200"/>
        <w:jc w:val="left"/>
        <w:rPr>
          <w:rFonts w:ascii="宋体" w:hAnsi="宋体"/>
          <w:color w:val="000000"/>
          <w:kern w:val="0"/>
          <w:sz w:val="24"/>
          <w:szCs w:val="24"/>
          <w:highlight w:val="none"/>
        </w:rPr>
      </w:pPr>
      <w:r>
        <w:rPr>
          <w:rFonts w:ascii="宋体" w:hAnsi="宋体"/>
          <w:color w:val="000000"/>
          <w:kern w:val="0"/>
          <w:sz w:val="24"/>
          <w:szCs w:val="24"/>
          <w:highlight w:val="none"/>
        </w:rPr>
        <w:t>16.2.2.</w:t>
      </w:r>
      <w:r>
        <w:rPr>
          <w:rFonts w:hint="eastAsia" w:ascii="宋体" w:hAnsi="宋体"/>
          <w:color w:val="000000"/>
          <w:kern w:val="0"/>
          <w:sz w:val="24"/>
          <w:szCs w:val="24"/>
          <w:highlight w:val="none"/>
        </w:rPr>
        <w:t>1若承包人有拖欠、克扣工人劳动报酬行为的，发包人有权采取下列任一或全部措施，同时承包人应赔偿因此而给发包人造成的一切损失：</w:t>
      </w:r>
    </w:p>
    <w:p w14:paraId="4CD731FA">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1</w:t>
      </w:r>
      <w:r>
        <w:rPr>
          <w:rFonts w:hint="eastAsia" w:ascii="宋体" w:hAnsi="宋体"/>
          <w:color w:val="000000"/>
          <w:kern w:val="0"/>
          <w:sz w:val="24"/>
          <w:szCs w:val="24"/>
          <w:highlight w:val="none"/>
        </w:rPr>
        <w:t>）从应付给承包人的工程款中扣除相应款项</w:t>
      </w:r>
      <w:r>
        <w:rPr>
          <w:rFonts w:ascii="宋体" w:hAnsi="宋体"/>
          <w:color w:val="000000"/>
          <w:kern w:val="0"/>
          <w:sz w:val="24"/>
          <w:szCs w:val="24"/>
          <w:highlight w:val="none"/>
        </w:rPr>
        <w:t>,</w:t>
      </w:r>
      <w:r>
        <w:rPr>
          <w:rFonts w:hint="eastAsia" w:ascii="宋体" w:hAnsi="宋体"/>
          <w:color w:val="000000"/>
          <w:kern w:val="0"/>
          <w:sz w:val="24"/>
          <w:szCs w:val="24"/>
          <w:highlight w:val="none"/>
        </w:rPr>
        <w:t>直接支付给承包人所属工人；</w:t>
      </w:r>
    </w:p>
    <w:p w14:paraId="76A52CA4">
      <w:pPr>
        <w:spacing w:line="36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w:t>
      </w:r>
      <w:r>
        <w:rPr>
          <w:rFonts w:ascii="宋体" w:hAnsi="宋体"/>
          <w:color w:val="000000"/>
          <w:kern w:val="0"/>
          <w:sz w:val="24"/>
          <w:szCs w:val="24"/>
          <w:highlight w:val="none"/>
        </w:rPr>
        <w:t>2</w:t>
      </w:r>
      <w:r>
        <w:rPr>
          <w:rFonts w:hint="eastAsia" w:ascii="宋体" w:hAnsi="宋体"/>
          <w:color w:val="000000"/>
          <w:kern w:val="0"/>
          <w:sz w:val="24"/>
          <w:szCs w:val="24"/>
          <w:highlight w:val="none"/>
        </w:rPr>
        <w:t>）解除合同。</w:t>
      </w:r>
    </w:p>
    <w:p w14:paraId="64326BF5">
      <w:pPr>
        <w:spacing w:line="360" w:lineRule="auto"/>
        <w:ind w:firstLine="480" w:firstLineChars="200"/>
        <w:jc w:val="left"/>
        <w:rPr>
          <w:rFonts w:ascii="宋体" w:hAnsi="宋体"/>
          <w:color w:val="000000"/>
          <w:kern w:val="0"/>
          <w:sz w:val="24"/>
          <w:szCs w:val="24"/>
          <w:highlight w:val="none"/>
          <w:u w:val="single"/>
        </w:rPr>
      </w:pPr>
    </w:p>
    <w:p w14:paraId="55396A68">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16.2.3 因承包人违约解除合同</w:t>
      </w:r>
    </w:p>
    <w:p w14:paraId="16B3F3DF">
      <w:pPr>
        <w:spacing w:before="120" w:after="120"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关于承包人违约解除合同的特别约定：</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109F6E8F">
      <w:pPr>
        <w:spacing w:before="120" w:after="120" w:line="360" w:lineRule="auto"/>
        <w:ind w:firstLine="480" w:firstLineChars="200"/>
        <w:rPr>
          <w:rFonts w:ascii="宋体" w:hAnsi="宋体"/>
          <w:color w:val="000000"/>
          <w:kern w:val="0"/>
          <w:sz w:val="24"/>
          <w:szCs w:val="24"/>
          <w:highlight w:val="none"/>
        </w:rPr>
      </w:pPr>
      <w:r>
        <w:rPr>
          <w:rFonts w:ascii="宋体" w:hAnsi="宋体"/>
          <w:color w:val="000000"/>
          <w:kern w:val="0"/>
          <w:sz w:val="24"/>
          <w:szCs w:val="24"/>
          <w:highlight w:val="none"/>
        </w:rPr>
        <w:t>发包人</w:t>
      </w:r>
      <w:r>
        <w:rPr>
          <w:rFonts w:hint="eastAsia" w:ascii="宋体" w:hAnsi="宋体"/>
          <w:color w:val="000000"/>
          <w:kern w:val="0"/>
          <w:sz w:val="24"/>
          <w:szCs w:val="24"/>
          <w:highlight w:val="none"/>
        </w:rPr>
        <w:t>继续</w:t>
      </w:r>
      <w:r>
        <w:rPr>
          <w:rFonts w:ascii="宋体" w:hAnsi="宋体"/>
          <w:color w:val="000000"/>
          <w:kern w:val="0"/>
          <w:sz w:val="24"/>
          <w:szCs w:val="24"/>
          <w:highlight w:val="none"/>
        </w:rPr>
        <w:t>使用承包人在施工现场的材料、设备、临时工程、承包人文件和由承包人或以其名义编制的其他文件</w:t>
      </w:r>
      <w:r>
        <w:rPr>
          <w:rFonts w:hint="eastAsia" w:ascii="宋体" w:hAnsi="宋体"/>
          <w:color w:val="000000"/>
          <w:kern w:val="0"/>
          <w:sz w:val="24"/>
          <w:szCs w:val="24"/>
          <w:highlight w:val="none"/>
        </w:rPr>
        <w:t>的费用承担方式</w:t>
      </w:r>
      <w:r>
        <w:rPr>
          <w:rFonts w:ascii="宋体" w:hAnsi="宋体"/>
          <w:color w:val="000000"/>
          <w:kern w:val="0"/>
          <w:sz w:val="24"/>
          <w:szCs w:val="24"/>
          <w:highlight w:val="none"/>
        </w:rPr>
        <w:t>：</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由承包人承担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rPr>
        <w:t>。</w:t>
      </w:r>
    </w:p>
    <w:p w14:paraId="4F610E6F">
      <w:pPr>
        <w:pStyle w:val="7"/>
        <w:spacing w:before="120" w:after="120" w:line="360" w:lineRule="auto"/>
        <w:rPr>
          <w:rFonts w:ascii="宋体" w:hAnsi="宋体"/>
          <w:b w:val="0"/>
          <w:color w:val="000000"/>
          <w:szCs w:val="24"/>
          <w:highlight w:val="none"/>
        </w:rPr>
      </w:pPr>
      <w:bookmarkStart w:id="986" w:name="_Toc351203649"/>
      <w:r>
        <w:rPr>
          <w:rFonts w:ascii="宋体" w:hAnsi="宋体"/>
          <w:b w:val="0"/>
          <w:color w:val="000000"/>
          <w:szCs w:val="24"/>
          <w:highlight w:val="none"/>
        </w:rPr>
        <w:t>17. 不可抗力</w:t>
      </w:r>
      <w:bookmarkEnd w:id="986"/>
      <w:r>
        <w:rPr>
          <w:rFonts w:ascii="宋体" w:hAnsi="宋体"/>
          <w:b w:val="0"/>
          <w:color w:val="000000"/>
          <w:szCs w:val="24"/>
          <w:highlight w:val="none"/>
        </w:rPr>
        <w:t xml:space="preserve"> </w:t>
      </w:r>
      <w:bookmarkEnd w:id="984"/>
    </w:p>
    <w:p w14:paraId="597391CA">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17.1 不可抗力的确认</w:t>
      </w:r>
    </w:p>
    <w:p w14:paraId="41ACC794">
      <w:pPr>
        <w:spacing w:line="360" w:lineRule="auto"/>
        <w:ind w:firstLine="480" w:firstLineChars="200"/>
        <w:jc w:val="left"/>
        <w:rPr>
          <w:rFonts w:ascii="宋体" w:hAnsi="宋体"/>
          <w:color w:val="000000"/>
          <w:kern w:val="0"/>
          <w:sz w:val="24"/>
          <w:szCs w:val="24"/>
          <w:highlight w:val="none"/>
          <w:u w:val="single"/>
        </w:rPr>
      </w:pPr>
      <w:r>
        <w:rPr>
          <w:rFonts w:ascii="宋体" w:hAnsi="宋体"/>
          <w:color w:val="000000"/>
          <w:sz w:val="24"/>
          <w:szCs w:val="24"/>
          <w:highlight w:val="none"/>
        </w:rPr>
        <w:t xml:space="preserve">除通用合同条款约定的不可抗力事件之外，视为不可抗力的其他情形： </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自然灾害：包括上海市区11级以上的台风每周累计超过8小时；5级以上的地震；40℃以上连续3天的高温；海啸；20年一遇的暴雨、冰雹（需有气象部门的认定）、空中不明飞行物坠落（在施工范围内影响施工的）、其他严重影响施工的自然灾害（承包人提交证明材料报发包人认可）；</w:t>
      </w:r>
    </w:p>
    <w:p w14:paraId="1C714066">
      <w:pPr>
        <w:spacing w:line="360" w:lineRule="auto"/>
        <w:ind w:firstLine="480" w:firstLineChars="200"/>
        <w:jc w:val="left"/>
        <w:rPr>
          <w:rFonts w:ascii="宋体" w:hAnsi="宋体"/>
          <w:color w:val="000000"/>
          <w:kern w:val="0"/>
          <w:sz w:val="24"/>
          <w:szCs w:val="24"/>
          <w:highlight w:val="none"/>
          <w:u w:val="single"/>
        </w:rPr>
      </w:pPr>
      <w:r>
        <w:rPr>
          <w:rFonts w:hint="eastAsia" w:ascii="宋体" w:hAnsi="宋体"/>
          <w:color w:val="000000"/>
          <w:kern w:val="0"/>
          <w:sz w:val="24"/>
          <w:szCs w:val="24"/>
          <w:highlight w:val="none"/>
          <w:u w:val="single"/>
        </w:rPr>
        <w:t>政府行为：包括对合同履行有重大影响的政府禁令或新颁法律或规范；战争等；</w:t>
      </w:r>
    </w:p>
    <w:p w14:paraId="3FC05568">
      <w:pPr>
        <w:spacing w:line="360" w:lineRule="auto"/>
        <w:ind w:firstLine="480" w:firstLineChars="200"/>
        <w:jc w:val="left"/>
        <w:rPr>
          <w:rFonts w:ascii="宋体" w:hAnsi="宋体"/>
          <w:color w:val="000000"/>
          <w:kern w:val="0"/>
          <w:sz w:val="24"/>
          <w:szCs w:val="24"/>
          <w:highlight w:val="none"/>
          <w:u w:val="single"/>
        </w:rPr>
      </w:pPr>
      <w:r>
        <w:rPr>
          <w:rFonts w:hint="eastAsia" w:ascii="宋体" w:hAnsi="宋体"/>
          <w:color w:val="000000"/>
          <w:kern w:val="0"/>
          <w:sz w:val="24"/>
          <w:szCs w:val="24"/>
          <w:highlight w:val="none"/>
          <w:u w:val="single"/>
        </w:rPr>
        <w:t>社会异常事件：包括政变、叛乱、骚乱；严重影响施工的游行示威或罢工；重大传染性流行疾病防控措施（如非典等）；非承包人原因引起的重大火灾、爆炸等</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50995424">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17.4 因不可抗力解除合同</w:t>
      </w:r>
    </w:p>
    <w:p w14:paraId="253DCF5B">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合同解除后，发包人应在商定或确定发包人应支付款项后</w:t>
      </w:r>
      <w:r>
        <w:rPr>
          <w:rFonts w:ascii="宋体" w:hAnsi="宋体"/>
          <w:color w:val="000000"/>
          <w:sz w:val="24"/>
          <w:szCs w:val="24"/>
          <w:highlight w:val="none"/>
          <w:u w:val="single"/>
        </w:rPr>
        <w:t xml:space="preserve"> 90 </w:t>
      </w:r>
      <w:r>
        <w:rPr>
          <w:rFonts w:ascii="宋体" w:hAnsi="宋体"/>
          <w:color w:val="000000"/>
          <w:sz w:val="24"/>
          <w:szCs w:val="24"/>
          <w:highlight w:val="none"/>
        </w:rPr>
        <w:t>天内完成款项的支付。</w:t>
      </w:r>
    </w:p>
    <w:p w14:paraId="4F48AD93">
      <w:pPr>
        <w:pStyle w:val="7"/>
        <w:spacing w:before="120" w:after="120" w:line="360" w:lineRule="auto"/>
        <w:rPr>
          <w:rFonts w:ascii="宋体" w:hAnsi="宋体"/>
          <w:b w:val="0"/>
          <w:color w:val="000000"/>
          <w:szCs w:val="24"/>
          <w:highlight w:val="none"/>
        </w:rPr>
      </w:pPr>
      <w:bookmarkStart w:id="987" w:name="_Toc351203650"/>
      <w:r>
        <w:rPr>
          <w:rFonts w:ascii="宋体" w:hAnsi="宋体"/>
          <w:b w:val="0"/>
          <w:color w:val="000000"/>
          <w:szCs w:val="24"/>
          <w:highlight w:val="none"/>
        </w:rPr>
        <w:t>18. 保险</w:t>
      </w:r>
      <w:bookmarkEnd w:id="987"/>
    </w:p>
    <w:bookmarkEnd w:id="985"/>
    <w:p w14:paraId="3237C03D">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18.1 工程保险</w:t>
      </w:r>
    </w:p>
    <w:p w14:paraId="1FD6A3DA">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关于工程保险的特别约定：</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承包人办理施工场地内己方人员生命财产和机械设备保险，并承担由此发生的保险费。其他工程保险由双方视具体情况另行约定</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0858A4CF">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18.3 其他保险</w:t>
      </w:r>
    </w:p>
    <w:p w14:paraId="4BB75F08">
      <w:pPr>
        <w:spacing w:line="360" w:lineRule="auto"/>
        <w:ind w:firstLine="480" w:firstLineChars="200"/>
        <w:jc w:val="left"/>
        <w:rPr>
          <w:rFonts w:ascii="宋体" w:hAnsi="宋体"/>
          <w:color w:val="000000"/>
          <w:kern w:val="0"/>
          <w:sz w:val="24"/>
          <w:szCs w:val="24"/>
          <w:highlight w:val="none"/>
        </w:rPr>
      </w:pPr>
      <w:r>
        <w:rPr>
          <w:rFonts w:ascii="宋体" w:hAnsi="宋体"/>
          <w:color w:val="000000"/>
          <w:sz w:val="24"/>
          <w:szCs w:val="24"/>
          <w:highlight w:val="none"/>
        </w:rPr>
        <w:t>关于其他保险的约定：</w:t>
      </w:r>
      <w:r>
        <w:rPr>
          <w:rFonts w:ascii="宋体" w:hAnsi="宋体"/>
          <w:color w:val="000000"/>
          <w:kern w:val="0"/>
          <w:sz w:val="24"/>
          <w:szCs w:val="24"/>
          <w:highlight w:val="none"/>
          <w:u w:val="single"/>
        </w:rPr>
        <w:t xml:space="preserve"> </w:t>
      </w:r>
      <w:r>
        <w:rPr>
          <w:rFonts w:hint="eastAsia" w:ascii="宋体" w:hAnsi="宋体"/>
          <w:color w:val="000000"/>
          <w:kern w:val="0"/>
          <w:sz w:val="24"/>
          <w:szCs w:val="24"/>
          <w:highlight w:val="none"/>
          <w:u w:val="single"/>
        </w:rPr>
        <w:t xml:space="preserve">社会保险费（是指企业为职工（含外来从业人员）缴纳的城镇职工基本社会保险费），按有关规定由承包人负责办理，保险费用包含在合同价款中。承包人负责提供保险理赔所需资料，并保护好现场。   </w:t>
      </w:r>
      <w:r>
        <w:rPr>
          <w:rFonts w:ascii="宋体" w:hAnsi="宋体"/>
          <w:color w:val="000000"/>
          <w:kern w:val="0"/>
          <w:sz w:val="24"/>
          <w:szCs w:val="24"/>
          <w:highlight w:val="none"/>
          <w:u w:val="single"/>
        </w:rPr>
        <w:t xml:space="preserve">    </w:t>
      </w:r>
      <w:r>
        <w:rPr>
          <w:rFonts w:ascii="宋体" w:hAnsi="宋体"/>
          <w:color w:val="000000"/>
          <w:kern w:val="0"/>
          <w:sz w:val="24"/>
          <w:szCs w:val="24"/>
          <w:highlight w:val="none"/>
        </w:rPr>
        <w:t>。</w:t>
      </w:r>
    </w:p>
    <w:p w14:paraId="3BD1D0EB">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承包人是否应为其施工设备等办理财产保险：</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承包人自行投保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B48A4A7">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18.7 通知义务</w:t>
      </w:r>
    </w:p>
    <w:p w14:paraId="2CE1A057">
      <w:pPr>
        <w:spacing w:line="360" w:lineRule="auto"/>
        <w:ind w:firstLine="480" w:firstLineChars="200"/>
        <w:jc w:val="left"/>
        <w:rPr>
          <w:rFonts w:ascii="宋体" w:hAnsi="宋体"/>
          <w:color w:val="000000"/>
          <w:sz w:val="24"/>
          <w:szCs w:val="24"/>
          <w:highlight w:val="none"/>
        </w:rPr>
      </w:pPr>
      <w:r>
        <w:rPr>
          <w:rFonts w:ascii="宋体" w:hAnsi="宋体"/>
          <w:color w:val="000000"/>
          <w:kern w:val="0"/>
          <w:sz w:val="24"/>
          <w:szCs w:val="24"/>
          <w:highlight w:val="none"/>
        </w:rPr>
        <w:t>关于变更保险合同时的通知义务的约定：</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bookmarkEnd w:id="961"/>
    <w:bookmarkEnd w:id="962"/>
    <w:bookmarkEnd w:id="963"/>
    <w:bookmarkEnd w:id="964"/>
    <w:bookmarkEnd w:id="965"/>
    <w:bookmarkEnd w:id="966"/>
    <w:bookmarkEnd w:id="967"/>
    <w:bookmarkEnd w:id="968"/>
    <w:bookmarkEnd w:id="969"/>
    <w:bookmarkEnd w:id="970"/>
    <w:bookmarkEnd w:id="971"/>
    <w:bookmarkEnd w:id="972"/>
    <w:p w14:paraId="66D1053E">
      <w:pPr>
        <w:pStyle w:val="7"/>
        <w:spacing w:before="120" w:after="120" w:line="360" w:lineRule="auto"/>
        <w:rPr>
          <w:rFonts w:ascii="宋体" w:hAnsi="宋体"/>
          <w:b w:val="0"/>
          <w:color w:val="000000"/>
          <w:szCs w:val="24"/>
          <w:highlight w:val="none"/>
        </w:rPr>
      </w:pPr>
      <w:bookmarkStart w:id="988" w:name="_Toc351203651"/>
      <w:r>
        <w:rPr>
          <w:rFonts w:ascii="宋体" w:hAnsi="宋体"/>
          <w:b w:val="0"/>
          <w:color w:val="000000"/>
          <w:szCs w:val="24"/>
          <w:highlight w:val="none"/>
        </w:rPr>
        <w:t>20. 争议解决</w:t>
      </w:r>
      <w:bookmarkEnd w:id="988"/>
    </w:p>
    <w:bookmarkEnd w:id="973"/>
    <w:bookmarkEnd w:id="974"/>
    <w:p w14:paraId="7BC2FAFB">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20.3 争</w:t>
      </w:r>
      <w:bookmarkEnd w:id="975"/>
      <w:r>
        <w:rPr>
          <w:rFonts w:ascii="宋体" w:hAnsi="宋体"/>
          <w:color w:val="000000"/>
          <w:sz w:val="24"/>
          <w:szCs w:val="24"/>
          <w:highlight w:val="none"/>
        </w:rPr>
        <w:t>议评审</w:t>
      </w:r>
    </w:p>
    <w:p w14:paraId="022358C3">
      <w:pPr>
        <w:spacing w:line="360" w:lineRule="auto"/>
        <w:ind w:left="149" w:leftChars="71" w:firstLine="360" w:firstLineChars="150"/>
        <w:jc w:val="left"/>
        <w:rPr>
          <w:rFonts w:ascii="宋体" w:hAnsi="宋体"/>
          <w:color w:val="000000"/>
          <w:sz w:val="24"/>
          <w:szCs w:val="24"/>
          <w:highlight w:val="none"/>
        </w:rPr>
      </w:pPr>
      <w:r>
        <w:rPr>
          <w:rFonts w:ascii="宋体" w:hAnsi="宋体"/>
          <w:color w:val="000000"/>
          <w:sz w:val="24"/>
          <w:szCs w:val="24"/>
          <w:highlight w:val="none"/>
        </w:rPr>
        <w:t>合同当事人是否同意将工程争议提交争议评审小组决</w:t>
      </w:r>
      <w:r>
        <w:rPr>
          <w:rFonts w:hint="eastAsia" w:ascii="宋体" w:hAnsi="宋体"/>
          <w:color w:val="000000"/>
          <w:sz w:val="24"/>
          <w:szCs w:val="24"/>
          <w:highlight w:val="none"/>
        </w:rPr>
        <w:t>定：</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p w14:paraId="2110E1C5">
      <w:pPr>
        <w:spacing w:line="360" w:lineRule="auto"/>
        <w:ind w:firstLine="480" w:firstLineChars="200"/>
        <w:jc w:val="left"/>
        <w:outlineLvl w:val="0"/>
        <w:rPr>
          <w:rFonts w:ascii="宋体" w:hAnsi="宋体"/>
          <w:color w:val="000000"/>
          <w:sz w:val="24"/>
          <w:szCs w:val="24"/>
          <w:highlight w:val="none"/>
        </w:rPr>
      </w:pPr>
      <w:r>
        <w:rPr>
          <w:rFonts w:ascii="宋体" w:hAnsi="宋体"/>
          <w:color w:val="000000"/>
          <w:sz w:val="24"/>
          <w:szCs w:val="24"/>
          <w:highlight w:val="none"/>
        </w:rPr>
        <w:t>20.3.1 争议评审小组的确定</w:t>
      </w:r>
    </w:p>
    <w:p w14:paraId="1FB20D80">
      <w:pPr>
        <w:spacing w:line="360" w:lineRule="auto"/>
        <w:ind w:firstLine="480" w:firstLineChars="200"/>
        <w:jc w:val="left"/>
        <w:rPr>
          <w:rFonts w:ascii="宋体" w:hAnsi="宋体"/>
          <w:color w:val="000000"/>
          <w:sz w:val="24"/>
          <w:szCs w:val="24"/>
          <w:highlight w:val="none"/>
          <w:u w:val="single"/>
        </w:rPr>
      </w:pPr>
      <w:r>
        <w:rPr>
          <w:rFonts w:ascii="宋体" w:hAnsi="宋体"/>
          <w:color w:val="000000"/>
          <w:sz w:val="24"/>
          <w:szCs w:val="24"/>
          <w:highlight w:val="none"/>
        </w:rPr>
        <w:t>争议评审小组成员的确定：</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0CBCA432">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选定争议评审员的期限：</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3BF3CA96">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争议评审小组成员的报酬承担方式：</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12AFADB8">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其他事项的约定：</w:t>
      </w:r>
      <w:r>
        <w:rPr>
          <w:rFonts w:ascii="宋体" w:hAnsi="宋体"/>
          <w:color w:val="000000"/>
          <w:sz w:val="24"/>
          <w:szCs w:val="24"/>
          <w:highlight w:val="none"/>
          <w:u w:val="single"/>
        </w:rPr>
        <w:t xml:space="preserve">      /          </w:t>
      </w:r>
      <w:r>
        <w:rPr>
          <w:rFonts w:ascii="宋体" w:hAnsi="宋体"/>
          <w:color w:val="000000"/>
          <w:sz w:val="24"/>
          <w:szCs w:val="24"/>
          <w:highlight w:val="none"/>
        </w:rPr>
        <w:t>。</w:t>
      </w:r>
    </w:p>
    <w:p w14:paraId="78A81B6C">
      <w:pPr>
        <w:autoSpaceDE w:val="0"/>
        <w:autoSpaceDN w:val="0"/>
        <w:adjustRightInd w:val="0"/>
        <w:spacing w:line="360" w:lineRule="auto"/>
        <w:ind w:firstLine="480" w:firstLineChars="200"/>
        <w:jc w:val="left"/>
        <w:outlineLvl w:val="0"/>
        <w:rPr>
          <w:rFonts w:ascii="宋体" w:hAnsi="宋体"/>
          <w:color w:val="000000"/>
          <w:kern w:val="0"/>
          <w:sz w:val="24"/>
          <w:szCs w:val="24"/>
          <w:highlight w:val="none"/>
        </w:rPr>
      </w:pPr>
      <w:r>
        <w:rPr>
          <w:rFonts w:ascii="宋体" w:hAnsi="宋体"/>
          <w:color w:val="000000"/>
          <w:kern w:val="0"/>
          <w:sz w:val="24"/>
          <w:szCs w:val="24"/>
          <w:highlight w:val="none"/>
        </w:rPr>
        <w:t>20.3.2 争议评审小组的决定</w:t>
      </w:r>
    </w:p>
    <w:p w14:paraId="6430E52F">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合同当事人关于本项的约定：</w:t>
      </w:r>
      <w:r>
        <w:rPr>
          <w:rFonts w:ascii="宋体" w:hAnsi="宋体"/>
          <w:color w:val="000000"/>
          <w:sz w:val="24"/>
          <w:szCs w:val="24"/>
          <w:highlight w:val="none"/>
          <w:u w:val="single"/>
        </w:rPr>
        <w:t xml:space="preserve">      /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42D52C18">
      <w:pPr>
        <w:spacing w:after="120"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20.4仲裁或诉讼</w:t>
      </w:r>
      <w:bookmarkEnd w:id="976"/>
    </w:p>
    <w:p w14:paraId="07095D67">
      <w:pPr>
        <w:spacing w:after="120"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因合同及合同有关事项发生的争议，按下列第</w:t>
      </w:r>
      <w:r>
        <w:rPr>
          <w:rFonts w:ascii="宋体" w:hAnsi="宋体"/>
          <w:color w:val="000000"/>
          <w:sz w:val="24"/>
          <w:szCs w:val="24"/>
          <w:highlight w:val="none"/>
          <w:u w:val="single"/>
        </w:rPr>
        <w:t xml:space="preserve">  2  </w:t>
      </w:r>
      <w:r>
        <w:rPr>
          <w:rFonts w:ascii="宋体" w:hAnsi="宋体"/>
          <w:color w:val="000000"/>
          <w:sz w:val="24"/>
          <w:szCs w:val="24"/>
          <w:highlight w:val="none"/>
        </w:rPr>
        <w:t>种方式</w:t>
      </w:r>
      <w:r>
        <w:rPr>
          <w:rFonts w:hint="eastAsia" w:ascii="宋体" w:hAnsi="宋体"/>
          <w:color w:val="000000"/>
          <w:sz w:val="24"/>
          <w:szCs w:val="24"/>
          <w:highlight w:val="none"/>
        </w:rPr>
        <w:t>解</w:t>
      </w:r>
      <w:r>
        <w:rPr>
          <w:rFonts w:ascii="宋体" w:hAnsi="宋体"/>
          <w:color w:val="000000"/>
          <w:sz w:val="24"/>
          <w:szCs w:val="24"/>
          <w:highlight w:val="none"/>
        </w:rPr>
        <w:t>决：</w:t>
      </w:r>
    </w:p>
    <w:p w14:paraId="0D50F33D">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（1）向</w:t>
      </w:r>
      <w:r>
        <w:rPr>
          <w:rFonts w:ascii="宋体" w:hAnsi="宋体"/>
          <w:color w:val="000000"/>
          <w:sz w:val="24"/>
          <w:szCs w:val="24"/>
          <w:highlight w:val="none"/>
          <w:u w:val="single"/>
        </w:rPr>
        <w:t xml:space="preserve">         /            </w:t>
      </w:r>
      <w:r>
        <w:rPr>
          <w:rFonts w:ascii="宋体" w:hAnsi="宋体"/>
          <w:color w:val="000000"/>
          <w:sz w:val="24"/>
          <w:szCs w:val="24"/>
          <w:highlight w:val="none"/>
        </w:rPr>
        <w:t>仲裁委员会申请仲裁；</w:t>
      </w:r>
    </w:p>
    <w:p w14:paraId="75903530">
      <w:pPr>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（2）向</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工程所在地</w:t>
      </w:r>
      <w:r>
        <w:rPr>
          <w:rFonts w:ascii="宋体" w:hAnsi="宋体"/>
          <w:color w:val="000000"/>
          <w:sz w:val="24"/>
          <w:szCs w:val="24"/>
          <w:highlight w:val="none"/>
          <w:u w:val="single"/>
        </w:rPr>
        <w:t xml:space="preserve">      </w:t>
      </w:r>
      <w:r>
        <w:rPr>
          <w:rFonts w:ascii="宋体" w:hAnsi="宋体"/>
          <w:color w:val="000000"/>
          <w:sz w:val="24"/>
          <w:szCs w:val="24"/>
          <w:highlight w:val="none"/>
        </w:rPr>
        <w:t>人民法院起诉。</w:t>
      </w:r>
      <w:bookmarkEnd w:id="977"/>
      <w:bookmarkEnd w:id="978"/>
      <w:bookmarkEnd w:id="979"/>
      <w:bookmarkEnd w:id="980"/>
      <w:bookmarkEnd w:id="981"/>
      <w:bookmarkEnd w:id="982"/>
    </w:p>
    <w:p w14:paraId="38555DF6">
      <w:pPr>
        <w:pStyle w:val="7"/>
        <w:spacing w:before="0" w:after="0" w:line="500" w:lineRule="exact"/>
        <w:rPr>
          <w:rFonts w:ascii="宋体" w:hAnsi="宋体"/>
          <w:b w:val="0"/>
          <w:kern w:val="2"/>
          <w:highlight w:val="none"/>
        </w:rPr>
      </w:pPr>
      <w:r>
        <w:rPr>
          <w:rFonts w:hint="eastAsia" w:ascii="宋体" w:hAnsi="宋体"/>
          <w:b w:val="0"/>
          <w:kern w:val="2"/>
          <w:highlight w:val="none"/>
        </w:rPr>
        <w:t>21. 补充条款</w:t>
      </w:r>
    </w:p>
    <w:p w14:paraId="3E027305">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21.1施工单位不得以任何理由拖欠农民工工资，如因拖欠农民工工资引发群体性事件的，将被列入不良信誉记录“黑名单”，不得承建甲方工程项目。承包方在开工进场前提供现场施工人员名单，且必须在银行开设专用账户（包括农民工工资专用账户）。</w:t>
      </w:r>
    </w:p>
    <w:p w14:paraId="7F0359AF">
      <w:pPr>
        <w:spacing w:line="360" w:lineRule="auto"/>
        <w:jc w:val="left"/>
        <w:rPr>
          <w:rFonts w:ascii="宋体" w:hAnsi="宋体"/>
          <w:b/>
          <w:color w:val="000000"/>
          <w:sz w:val="24"/>
          <w:szCs w:val="24"/>
          <w:highlight w:val="none"/>
        </w:rPr>
      </w:pPr>
      <w:r>
        <w:rPr>
          <w:rFonts w:ascii="宋体" w:hAnsi="宋体"/>
          <w:color w:val="000000"/>
          <w:sz w:val="24"/>
          <w:szCs w:val="24"/>
          <w:highlight w:val="none"/>
        </w:rPr>
        <w:br w:type="page"/>
      </w:r>
      <w:bookmarkStart w:id="989" w:name="_Toc351203652"/>
      <w:r>
        <w:rPr>
          <w:rFonts w:ascii="宋体" w:hAnsi="宋体"/>
          <w:b/>
          <w:color w:val="000000"/>
          <w:sz w:val="24"/>
          <w:szCs w:val="24"/>
          <w:highlight w:val="none"/>
        </w:rPr>
        <w:t>附件</w:t>
      </w:r>
      <w:bookmarkEnd w:id="989"/>
    </w:p>
    <w:p w14:paraId="3E948ABB">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协议书附件：</w:t>
      </w:r>
    </w:p>
    <w:p w14:paraId="639B0106">
      <w:pPr>
        <w:spacing w:line="360" w:lineRule="auto"/>
        <w:jc w:val="left"/>
        <w:rPr>
          <w:rFonts w:ascii="宋体" w:hAnsi="宋体"/>
          <w:color w:val="000000"/>
          <w:sz w:val="24"/>
          <w:szCs w:val="24"/>
          <w:highlight w:val="none"/>
        </w:rPr>
      </w:pPr>
      <w:r>
        <w:rPr>
          <w:rFonts w:ascii="宋体" w:hAnsi="宋体"/>
          <w:color w:val="000000"/>
          <w:sz w:val="24"/>
          <w:szCs w:val="24"/>
          <w:highlight w:val="none"/>
        </w:rPr>
        <w:t>附件1：承包人承揽工程项目一览表</w:t>
      </w:r>
    </w:p>
    <w:p w14:paraId="5CD1FC6D">
      <w:pPr>
        <w:spacing w:line="360" w:lineRule="auto"/>
        <w:jc w:val="left"/>
        <w:rPr>
          <w:rFonts w:ascii="宋体" w:hAnsi="宋体"/>
          <w:color w:val="000000"/>
          <w:sz w:val="24"/>
          <w:szCs w:val="24"/>
          <w:highlight w:val="none"/>
        </w:rPr>
      </w:pPr>
      <w:r>
        <w:rPr>
          <w:rFonts w:ascii="宋体" w:hAnsi="宋体"/>
          <w:color w:val="000000"/>
          <w:sz w:val="24"/>
          <w:szCs w:val="24"/>
          <w:highlight w:val="none"/>
        </w:rPr>
        <w:t>附件2：发包人供应材料设备一览表</w:t>
      </w:r>
    </w:p>
    <w:p w14:paraId="7ECDD270">
      <w:pPr>
        <w:spacing w:line="360" w:lineRule="auto"/>
        <w:jc w:val="left"/>
        <w:rPr>
          <w:rFonts w:ascii="宋体" w:hAnsi="宋体"/>
          <w:color w:val="000000"/>
          <w:sz w:val="24"/>
          <w:szCs w:val="24"/>
          <w:highlight w:val="none"/>
        </w:rPr>
      </w:pPr>
      <w:r>
        <w:rPr>
          <w:rFonts w:ascii="宋体" w:hAnsi="宋体"/>
          <w:color w:val="000000"/>
          <w:sz w:val="24"/>
          <w:szCs w:val="24"/>
          <w:highlight w:val="none"/>
        </w:rPr>
        <w:t>附件3：工程质量保修书</w:t>
      </w:r>
    </w:p>
    <w:p w14:paraId="390F01A8">
      <w:pPr>
        <w:spacing w:line="360" w:lineRule="auto"/>
        <w:jc w:val="left"/>
        <w:rPr>
          <w:rFonts w:ascii="宋体" w:hAnsi="宋体"/>
          <w:color w:val="000000"/>
          <w:sz w:val="24"/>
          <w:szCs w:val="24"/>
          <w:highlight w:val="none"/>
        </w:rPr>
      </w:pPr>
      <w:r>
        <w:rPr>
          <w:rFonts w:ascii="宋体" w:hAnsi="宋体"/>
          <w:color w:val="000000"/>
          <w:sz w:val="24"/>
          <w:szCs w:val="24"/>
          <w:highlight w:val="none"/>
        </w:rPr>
        <w:t>附件4：主要建设工程文件目录</w:t>
      </w:r>
    </w:p>
    <w:p w14:paraId="0FBF6453">
      <w:pPr>
        <w:spacing w:line="360" w:lineRule="auto"/>
        <w:jc w:val="left"/>
        <w:rPr>
          <w:rFonts w:ascii="宋体" w:hAnsi="宋体"/>
          <w:color w:val="000000"/>
          <w:sz w:val="24"/>
          <w:szCs w:val="24"/>
          <w:highlight w:val="none"/>
        </w:rPr>
      </w:pPr>
      <w:r>
        <w:rPr>
          <w:rFonts w:ascii="宋体" w:hAnsi="宋体"/>
          <w:color w:val="000000"/>
          <w:sz w:val="24"/>
          <w:szCs w:val="24"/>
          <w:highlight w:val="none"/>
        </w:rPr>
        <w:t>附件5：承包人用于本工程施工的机械设备表</w:t>
      </w:r>
    </w:p>
    <w:p w14:paraId="3C7872E8">
      <w:pPr>
        <w:spacing w:line="360" w:lineRule="auto"/>
        <w:jc w:val="left"/>
        <w:rPr>
          <w:rFonts w:ascii="宋体" w:hAnsi="宋体"/>
          <w:color w:val="000000"/>
          <w:sz w:val="24"/>
          <w:szCs w:val="24"/>
          <w:highlight w:val="none"/>
        </w:rPr>
      </w:pPr>
      <w:r>
        <w:rPr>
          <w:rFonts w:ascii="宋体" w:hAnsi="宋体"/>
          <w:color w:val="000000"/>
          <w:sz w:val="24"/>
          <w:szCs w:val="24"/>
          <w:highlight w:val="none"/>
        </w:rPr>
        <w:t>附件6：承包人主要施工管理人员表</w:t>
      </w:r>
    </w:p>
    <w:p w14:paraId="73DD154E">
      <w:pPr>
        <w:spacing w:line="360" w:lineRule="auto"/>
        <w:jc w:val="left"/>
        <w:rPr>
          <w:rFonts w:ascii="宋体" w:hAnsi="宋体"/>
          <w:color w:val="000000"/>
          <w:sz w:val="24"/>
          <w:szCs w:val="24"/>
          <w:highlight w:val="none"/>
        </w:rPr>
      </w:pPr>
      <w:r>
        <w:rPr>
          <w:rFonts w:ascii="宋体" w:hAnsi="宋体"/>
          <w:color w:val="000000"/>
          <w:sz w:val="24"/>
          <w:szCs w:val="24"/>
          <w:highlight w:val="none"/>
        </w:rPr>
        <w:t>附件7：分包人主要施工管理人员表</w:t>
      </w:r>
    </w:p>
    <w:p w14:paraId="69F1F47C">
      <w:pPr>
        <w:spacing w:line="360" w:lineRule="auto"/>
        <w:jc w:val="left"/>
        <w:rPr>
          <w:rFonts w:ascii="宋体" w:hAnsi="宋体"/>
          <w:color w:val="000000"/>
          <w:sz w:val="24"/>
          <w:szCs w:val="24"/>
          <w:highlight w:val="none"/>
        </w:rPr>
      </w:pPr>
      <w:r>
        <w:rPr>
          <w:rFonts w:ascii="宋体" w:hAnsi="宋体"/>
          <w:color w:val="000000"/>
          <w:sz w:val="24"/>
          <w:szCs w:val="24"/>
          <w:highlight w:val="none"/>
        </w:rPr>
        <w:t>附件</w:t>
      </w:r>
      <w:r>
        <w:rPr>
          <w:rFonts w:hint="eastAsia" w:ascii="宋体" w:hAnsi="宋体"/>
          <w:color w:val="000000"/>
          <w:sz w:val="24"/>
          <w:szCs w:val="24"/>
          <w:highlight w:val="none"/>
          <w:lang w:val="en-US" w:eastAsia="zh-CN"/>
        </w:rPr>
        <w:t>8</w:t>
      </w:r>
      <w:r>
        <w:rPr>
          <w:rFonts w:ascii="宋体" w:hAnsi="宋体"/>
          <w:color w:val="000000"/>
          <w:sz w:val="24"/>
          <w:szCs w:val="24"/>
          <w:highlight w:val="none"/>
        </w:rPr>
        <w:t>：暂估价一览表</w:t>
      </w:r>
    </w:p>
    <w:p w14:paraId="72D2B356">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附件</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：廉政合同格式</w:t>
      </w:r>
    </w:p>
    <w:p w14:paraId="0ACF1F20">
      <w:pPr>
        <w:spacing w:line="360" w:lineRule="auto"/>
        <w:jc w:val="left"/>
        <w:rPr>
          <w:rFonts w:ascii="宋体" w:hAnsi="宋体"/>
          <w:color w:val="000000"/>
          <w:sz w:val="24"/>
          <w:szCs w:val="24"/>
          <w:highlight w:val="none"/>
        </w:rPr>
        <w:sectPr>
          <w:footerReference r:id="rId11" w:type="first"/>
          <w:pgSz w:w="11906" w:h="16838"/>
          <w:pgMar w:top="1418" w:right="1555" w:bottom="1418" w:left="1531" w:header="851" w:footer="992" w:gutter="0"/>
          <w:cols w:space="720" w:num="1"/>
          <w:titlePg/>
          <w:docGrid w:type="lines" w:linePitch="312" w:charSpace="0"/>
        </w:sectPr>
      </w:pPr>
      <w:r>
        <w:rPr>
          <w:rFonts w:hint="eastAsia" w:ascii="宋体" w:hAnsi="宋体"/>
          <w:color w:val="000000"/>
          <w:sz w:val="24"/>
          <w:szCs w:val="24"/>
          <w:highlight w:val="none"/>
        </w:rPr>
        <w:t>附件</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：出口管制及制裁合规条款</w:t>
      </w:r>
    </w:p>
    <w:p w14:paraId="23F19D63">
      <w:pPr>
        <w:spacing w:before="156" w:beforeLines="50" w:after="156" w:afterLines="50" w:line="440" w:lineRule="exact"/>
        <w:jc w:val="left"/>
        <w:rPr>
          <w:rFonts w:ascii="宋体" w:hAnsi="宋体"/>
          <w:color w:val="000000"/>
          <w:sz w:val="24"/>
          <w:szCs w:val="24"/>
          <w:highlight w:val="none"/>
        </w:rPr>
      </w:pPr>
      <w:r>
        <w:rPr>
          <w:rFonts w:hint="eastAsia" w:ascii="宋体" w:hAnsi="宋体"/>
          <w:color w:val="000000"/>
          <w:sz w:val="24"/>
          <w:szCs w:val="24"/>
          <w:highlight w:val="none"/>
        </w:rPr>
        <w:t>附件1：</w:t>
      </w:r>
    </w:p>
    <w:p w14:paraId="072FA0FB">
      <w:pPr>
        <w:spacing w:before="156" w:beforeLines="50" w:after="156" w:afterLines="50" w:line="440" w:lineRule="exact"/>
        <w:jc w:val="center"/>
        <w:rPr>
          <w:rFonts w:ascii="宋体" w:hAnsi="宋体"/>
          <w:color w:val="000000"/>
          <w:sz w:val="24"/>
          <w:szCs w:val="24"/>
          <w:highlight w:val="none"/>
        </w:rPr>
      </w:pPr>
      <w:r>
        <w:rPr>
          <w:rFonts w:ascii="宋体" w:hAnsi="宋体"/>
          <w:color w:val="000000"/>
          <w:sz w:val="24"/>
          <w:szCs w:val="24"/>
          <w:highlight w:val="none"/>
        </w:rPr>
        <w:t>承包人承揽工程项目一览表</w:t>
      </w:r>
    </w:p>
    <w:tbl>
      <w:tblPr>
        <w:tblStyle w:val="8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7251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493F71A2">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单位工程名称</w:t>
            </w:r>
          </w:p>
        </w:tc>
        <w:tc>
          <w:tcPr>
            <w:tcW w:w="1843" w:type="dxa"/>
            <w:tcBorders>
              <w:top w:val="single" w:color="auto" w:sz="12" w:space="0"/>
              <w:bottom w:val="double" w:color="auto" w:sz="6" w:space="0"/>
            </w:tcBorders>
            <w:vAlign w:val="center"/>
          </w:tcPr>
          <w:p w14:paraId="21F73363">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建设规模</w:t>
            </w:r>
          </w:p>
        </w:tc>
        <w:tc>
          <w:tcPr>
            <w:tcW w:w="1417" w:type="dxa"/>
            <w:tcBorders>
              <w:top w:val="single" w:color="auto" w:sz="12" w:space="0"/>
              <w:bottom w:val="double" w:color="auto" w:sz="6" w:space="0"/>
            </w:tcBorders>
            <w:vAlign w:val="center"/>
          </w:tcPr>
          <w:p w14:paraId="237B2725">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建筑面积(平方米)</w:t>
            </w:r>
          </w:p>
        </w:tc>
        <w:tc>
          <w:tcPr>
            <w:tcW w:w="2410" w:type="dxa"/>
            <w:tcBorders>
              <w:top w:val="single" w:color="auto" w:sz="12" w:space="0"/>
              <w:bottom w:val="double" w:color="auto" w:sz="6" w:space="0"/>
            </w:tcBorders>
            <w:vAlign w:val="center"/>
          </w:tcPr>
          <w:p w14:paraId="4699898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结构</w:t>
            </w:r>
            <w:r>
              <w:rPr>
                <w:rFonts w:hint="eastAsia" w:ascii="宋体" w:hAnsi="宋体"/>
                <w:color w:val="000000"/>
                <w:sz w:val="24"/>
                <w:szCs w:val="24"/>
                <w:highlight w:val="none"/>
              </w:rPr>
              <w:t>形式</w:t>
            </w:r>
          </w:p>
        </w:tc>
        <w:tc>
          <w:tcPr>
            <w:tcW w:w="850" w:type="dxa"/>
            <w:tcBorders>
              <w:top w:val="single" w:color="auto" w:sz="12" w:space="0"/>
              <w:bottom w:val="double" w:color="auto" w:sz="6" w:space="0"/>
            </w:tcBorders>
            <w:vAlign w:val="center"/>
          </w:tcPr>
          <w:p w14:paraId="0B3E377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层数</w:t>
            </w:r>
          </w:p>
        </w:tc>
        <w:tc>
          <w:tcPr>
            <w:tcW w:w="1560" w:type="dxa"/>
            <w:tcBorders>
              <w:top w:val="single" w:color="auto" w:sz="12" w:space="0"/>
              <w:bottom w:val="double" w:color="auto" w:sz="6" w:space="0"/>
            </w:tcBorders>
            <w:vAlign w:val="center"/>
          </w:tcPr>
          <w:p w14:paraId="6CE2C33E">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生产能力</w:t>
            </w:r>
          </w:p>
        </w:tc>
        <w:tc>
          <w:tcPr>
            <w:tcW w:w="2126" w:type="dxa"/>
            <w:tcBorders>
              <w:top w:val="single" w:color="auto" w:sz="12" w:space="0"/>
              <w:bottom w:val="double" w:color="auto" w:sz="6" w:space="0"/>
            </w:tcBorders>
            <w:vAlign w:val="center"/>
          </w:tcPr>
          <w:p w14:paraId="52691AC2">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设备安装内容</w:t>
            </w:r>
          </w:p>
        </w:tc>
        <w:tc>
          <w:tcPr>
            <w:tcW w:w="1417" w:type="dxa"/>
            <w:tcBorders>
              <w:top w:val="single" w:color="auto" w:sz="12" w:space="0"/>
              <w:bottom w:val="double" w:color="auto" w:sz="6" w:space="0"/>
            </w:tcBorders>
            <w:vAlign w:val="center"/>
          </w:tcPr>
          <w:p w14:paraId="25345A6C">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合同价格（元）</w:t>
            </w:r>
          </w:p>
        </w:tc>
        <w:tc>
          <w:tcPr>
            <w:tcW w:w="851" w:type="dxa"/>
            <w:tcBorders>
              <w:top w:val="single" w:color="auto" w:sz="12" w:space="0"/>
              <w:bottom w:val="double" w:color="auto" w:sz="6" w:space="0"/>
            </w:tcBorders>
            <w:vAlign w:val="center"/>
          </w:tcPr>
          <w:p w14:paraId="647DA1D2">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开工日期</w:t>
            </w:r>
          </w:p>
        </w:tc>
        <w:tc>
          <w:tcPr>
            <w:tcW w:w="850" w:type="dxa"/>
            <w:tcBorders>
              <w:top w:val="single" w:color="auto" w:sz="12" w:space="0"/>
              <w:bottom w:val="double" w:color="auto" w:sz="6" w:space="0"/>
            </w:tcBorders>
            <w:vAlign w:val="center"/>
          </w:tcPr>
          <w:p w14:paraId="42B5E528">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竣工日期</w:t>
            </w:r>
          </w:p>
        </w:tc>
      </w:tr>
      <w:tr w14:paraId="63F2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43FC26A4">
            <w:pPr>
              <w:pStyle w:val="34"/>
              <w:keepNext/>
              <w:spacing w:after="0" w:line="440" w:lineRule="exact"/>
              <w:ind w:left="63" w:right="63"/>
              <w:rPr>
                <w:rFonts w:ascii="宋体" w:hAnsi="宋体"/>
                <w:color w:val="000000"/>
                <w:sz w:val="24"/>
                <w:szCs w:val="24"/>
                <w:highlight w:val="none"/>
              </w:rPr>
            </w:pPr>
          </w:p>
        </w:tc>
        <w:tc>
          <w:tcPr>
            <w:tcW w:w="1843" w:type="dxa"/>
            <w:tcBorders>
              <w:top w:val="double" w:color="auto" w:sz="6" w:space="0"/>
              <w:bottom w:val="single" w:color="auto" w:sz="6" w:space="0"/>
            </w:tcBorders>
            <w:vAlign w:val="center"/>
          </w:tcPr>
          <w:p w14:paraId="3B632ADC">
            <w:pPr>
              <w:pStyle w:val="34"/>
              <w:keepNext/>
              <w:spacing w:after="0" w:line="440" w:lineRule="exact"/>
              <w:ind w:left="63" w:right="63"/>
              <w:rPr>
                <w:rFonts w:ascii="宋体" w:hAnsi="宋体"/>
                <w:color w:val="000000"/>
                <w:sz w:val="24"/>
                <w:szCs w:val="24"/>
                <w:highlight w:val="none"/>
              </w:rPr>
            </w:pPr>
          </w:p>
        </w:tc>
        <w:tc>
          <w:tcPr>
            <w:tcW w:w="1417" w:type="dxa"/>
            <w:tcBorders>
              <w:top w:val="double" w:color="auto" w:sz="6" w:space="0"/>
              <w:bottom w:val="single" w:color="auto" w:sz="6" w:space="0"/>
            </w:tcBorders>
            <w:vAlign w:val="center"/>
          </w:tcPr>
          <w:p w14:paraId="6670061F">
            <w:pPr>
              <w:pStyle w:val="34"/>
              <w:keepNext/>
              <w:spacing w:after="0" w:line="440" w:lineRule="exact"/>
              <w:ind w:left="63" w:right="63"/>
              <w:rPr>
                <w:rFonts w:ascii="宋体" w:hAnsi="宋体"/>
                <w:color w:val="000000"/>
                <w:sz w:val="24"/>
                <w:szCs w:val="24"/>
                <w:highlight w:val="none"/>
              </w:rPr>
            </w:pPr>
          </w:p>
        </w:tc>
        <w:tc>
          <w:tcPr>
            <w:tcW w:w="2410" w:type="dxa"/>
            <w:tcBorders>
              <w:top w:val="double" w:color="auto" w:sz="6" w:space="0"/>
              <w:bottom w:val="single" w:color="auto" w:sz="6" w:space="0"/>
            </w:tcBorders>
            <w:vAlign w:val="center"/>
          </w:tcPr>
          <w:p w14:paraId="72A7C90C">
            <w:pPr>
              <w:pStyle w:val="34"/>
              <w:keepNext/>
              <w:spacing w:after="0" w:line="440" w:lineRule="exact"/>
              <w:ind w:left="63" w:right="63"/>
              <w:rPr>
                <w:rFonts w:ascii="宋体" w:hAnsi="宋体"/>
                <w:color w:val="000000"/>
                <w:sz w:val="24"/>
                <w:szCs w:val="24"/>
                <w:highlight w:val="none"/>
              </w:rPr>
            </w:pPr>
          </w:p>
        </w:tc>
        <w:tc>
          <w:tcPr>
            <w:tcW w:w="850" w:type="dxa"/>
            <w:tcBorders>
              <w:top w:val="double" w:color="auto" w:sz="6" w:space="0"/>
              <w:bottom w:val="single" w:color="auto" w:sz="6" w:space="0"/>
            </w:tcBorders>
            <w:vAlign w:val="center"/>
          </w:tcPr>
          <w:p w14:paraId="29D8BFE1">
            <w:pPr>
              <w:pStyle w:val="34"/>
              <w:keepNext/>
              <w:spacing w:after="0" w:line="440" w:lineRule="exact"/>
              <w:ind w:left="63" w:right="63"/>
              <w:rPr>
                <w:rFonts w:ascii="宋体" w:hAnsi="宋体"/>
                <w:color w:val="000000"/>
                <w:sz w:val="24"/>
                <w:szCs w:val="24"/>
                <w:highlight w:val="none"/>
              </w:rPr>
            </w:pPr>
          </w:p>
        </w:tc>
        <w:tc>
          <w:tcPr>
            <w:tcW w:w="1560" w:type="dxa"/>
            <w:tcBorders>
              <w:top w:val="double" w:color="auto" w:sz="6" w:space="0"/>
              <w:bottom w:val="single" w:color="auto" w:sz="6" w:space="0"/>
            </w:tcBorders>
            <w:vAlign w:val="center"/>
          </w:tcPr>
          <w:p w14:paraId="7B45F194">
            <w:pPr>
              <w:pStyle w:val="34"/>
              <w:keepNext/>
              <w:spacing w:after="0" w:line="440" w:lineRule="exact"/>
              <w:ind w:left="63" w:right="63"/>
              <w:rPr>
                <w:rFonts w:ascii="宋体" w:hAnsi="宋体"/>
                <w:color w:val="000000"/>
                <w:sz w:val="24"/>
                <w:szCs w:val="24"/>
                <w:highlight w:val="none"/>
              </w:rPr>
            </w:pPr>
          </w:p>
        </w:tc>
        <w:tc>
          <w:tcPr>
            <w:tcW w:w="2126" w:type="dxa"/>
            <w:tcBorders>
              <w:top w:val="double" w:color="auto" w:sz="6" w:space="0"/>
              <w:bottom w:val="single" w:color="auto" w:sz="6" w:space="0"/>
            </w:tcBorders>
            <w:vAlign w:val="center"/>
          </w:tcPr>
          <w:p w14:paraId="4551A89C">
            <w:pPr>
              <w:pStyle w:val="34"/>
              <w:keepNext/>
              <w:spacing w:after="0" w:line="440" w:lineRule="exact"/>
              <w:ind w:left="63" w:right="63"/>
              <w:rPr>
                <w:rFonts w:ascii="宋体" w:hAnsi="宋体"/>
                <w:color w:val="000000"/>
                <w:sz w:val="24"/>
                <w:szCs w:val="24"/>
                <w:highlight w:val="none"/>
              </w:rPr>
            </w:pPr>
          </w:p>
        </w:tc>
        <w:tc>
          <w:tcPr>
            <w:tcW w:w="1417" w:type="dxa"/>
            <w:tcBorders>
              <w:top w:val="double" w:color="auto" w:sz="6" w:space="0"/>
              <w:bottom w:val="single" w:color="auto" w:sz="6" w:space="0"/>
            </w:tcBorders>
            <w:vAlign w:val="center"/>
          </w:tcPr>
          <w:p w14:paraId="68BE4D99">
            <w:pPr>
              <w:pStyle w:val="34"/>
              <w:keepNext/>
              <w:spacing w:after="0" w:line="440" w:lineRule="exact"/>
              <w:ind w:left="63" w:right="63"/>
              <w:rPr>
                <w:rFonts w:ascii="宋体" w:hAnsi="宋体"/>
                <w:color w:val="000000"/>
                <w:sz w:val="24"/>
                <w:szCs w:val="24"/>
                <w:highlight w:val="none"/>
              </w:rPr>
            </w:pPr>
          </w:p>
        </w:tc>
        <w:tc>
          <w:tcPr>
            <w:tcW w:w="851" w:type="dxa"/>
            <w:tcBorders>
              <w:top w:val="double" w:color="auto" w:sz="6" w:space="0"/>
              <w:bottom w:val="single" w:color="auto" w:sz="6" w:space="0"/>
            </w:tcBorders>
            <w:vAlign w:val="center"/>
          </w:tcPr>
          <w:p w14:paraId="67B3DA1F">
            <w:pPr>
              <w:pStyle w:val="34"/>
              <w:keepNext/>
              <w:spacing w:after="0" w:line="440" w:lineRule="exact"/>
              <w:ind w:left="63" w:right="63"/>
              <w:rPr>
                <w:rFonts w:ascii="宋体" w:hAnsi="宋体"/>
                <w:color w:val="000000"/>
                <w:sz w:val="24"/>
                <w:szCs w:val="24"/>
                <w:highlight w:val="none"/>
              </w:rPr>
            </w:pPr>
          </w:p>
        </w:tc>
        <w:tc>
          <w:tcPr>
            <w:tcW w:w="850" w:type="dxa"/>
            <w:tcBorders>
              <w:top w:val="double" w:color="auto" w:sz="6" w:space="0"/>
              <w:bottom w:val="single" w:color="auto" w:sz="6" w:space="0"/>
            </w:tcBorders>
            <w:vAlign w:val="center"/>
          </w:tcPr>
          <w:p w14:paraId="79C3B48B">
            <w:pPr>
              <w:pStyle w:val="34"/>
              <w:keepNext/>
              <w:spacing w:after="0" w:line="440" w:lineRule="exact"/>
              <w:ind w:left="63" w:right="63"/>
              <w:rPr>
                <w:rFonts w:ascii="宋体" w:hAnsi="宋体"/>
                <w:color w:val="000000"/>
                <w:sz w:val="24"/>
                <w:szCs w:val="24"/>
                <w:highlight w:val="none"/>
              </w:rPr>
            </w:pPr>
          </w:p>
        </w:tc>
      </w:tr>
      <w:tr w14:paraId="0517D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F47D342">
            <w:pPr>
              <w:pStyle w:val="34"/>
              <w:keepNext/>
              <w:spacing w:after="0" w:line="440" w:lineRule="exact"/>
              <w:ind w:left="63" w:right="63"/>
              <w:rPr>
                <w:rFonts w:ascii="宋体" w:hAnsi="宋体"/>
                <w:color w:val="000000"/>
                <w:sz w:val="24"/>
                <w:szCs w:val="24"/>
                <w:highlight w:val="none"/>
              </w:rPr>
            </w:pPr>
          </w:p>
        </w:tc>
        <w:tc>
          <w:tcPr>
            <w:tcW w:w="1843" w:type="dxa"/>
            <w:tcBorders>
              <w:top w:val="nil"/>
            </w:tcBorders>
            <w:vAlign w:val="center"/>
          </w:tcPr>
          <w:p w14:paraId="61806A6F">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16800DE7">
            <w:pPr>
              <w:pStyle w:val="34"/>
              <w:keepNext/>
              <w:spacing w:after="0" w:line="440" w:lineRule="exact"/>
              <w:ind w:left="63" w:right="63"/>
              <w:rPr>
                <w:rFonts w:ascii="宋体" w:hAnsi="宋体"/>
                <w:color w:val="000000"/>
                <w:sz w:val="24"/>
                <w:szCs w:val="24"/>
                <w:highlight w:val="none"/>
              </w:rPr>
            </w:pPr>
          </w:p>
        </w:tc>
        <w:tc>
          <w:tcPr>
            <w:tcW w:w="2410" w:type="dxa"/>
            <w:tcBorders>
              <w:top w:val="nil"/>
            </w:tcBorders>
            <w:vAlign w:val="center"/>
          </w:tcPr>
          <w:p w14:paraId="49A207C5">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6810FAE3">
            <w:pPr>
              <w:pStyle w:val="34"/>
              <w:keepNext/>
              <w:spacing w:after="0" w:line="440" w:lineRule="exact"/>
              <w:ind w:left="63" w:right="63"/>
              <w:rPr>
                <w:rFonts w:ascii="宋体" w:hAnsi="宋体"/>
                <w:color w:val="000000"/>
                <w:sz w:val="24"/>
                <w:szCs w:val="24"/>
                <w:highlight w:val="none"/>
              </w:rPr>
            </w:pPr>
          </w:p>
        </w:tc>
        <w:tc>
          <w:tcPr>
            <w:tcW w:w="1560" w:type="dxa"/>
            <w:tcBorders>
              <w:top w:val="nil"/>
            </w:tcBorders>
            <w:vAlign w:val="center"/>
          </w:tcPr>
          <w:p w14:paraId="6E75CD00">
            <w:pPr>
              <w:pStyle w:val="34"/>
              <w:keepNext/>
              <w:spacing w:after="0" w:line="440" w:lineRule="exact"/>
              <w:ind w:left="63" w:right="63"/>
              <w:rPr>
                <w:rFonts w:ascii="宋体" w:hAnsi="宋体"/>
                <w:color w:val="000000"/>
                <w:sz w:val="24"/>
                <w:szCs w:val="24"/>
                <w:highlight w:val="none"/>
              </w:rPr>
            </w:pPr>
          </w:p>
        </w:tc>
        <w:tc>
          <w:tcPr>
            <w:tcW w:w="2126" w:type="dxa"/>
            <w:tcBorders>
              <w:top w:val="nil"/>
            </w:tcBorders>
            <w:vAlign w:val="center"/>
          </w:tcPr>
          <w:p w14:paraId="3846607A">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7EEFFC50">
            <w:pPr>
              <w:pStyle w:val="34"/>
              <w:keepNext/>
              <w:spacing w:after="0" w:line="440" w:lineRule="exact"/>
              <w:ind w:left="63" w:right="63"/>
              <w:rPr>
                <w:rFonts w:ascii="宋体" w:hAnsi="宋体"/>
                <w:color w:val="000000"/>
                <w:sz w:val="24"/>
                <w:szCs w:val="24"/>
                <w:highlight w:val="none"/>
              </w:rPr>
            </w:pPr>
          </w:p>
        </w:tc>
        <w:tc>
          <w:tcPr>
            <w:tcW w:w="851" w:type="dxa"/>
            <w:tcBorders>
              <w:top w:val="nil"/>
            </w:tcBorders>
            <w:vAlign w:val="center"/>
          </w:tcPr>
          <w:p w14:paraId="57AF7AA7">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02014099">
            <w:pPr>
              <w:pStyle w:val="34"/>
              <w:keepNext/>
              <w:spacing w:after="0" w:line="440" w:lineRule="exact"/>
              <w:ind w:left="63" w:right="63"/>
              <w:rPr>
                <w:rFonts w:ascii="宋体" w:hAnsi="宋体"/>
                <w:color w:val="000000"/>
                <w:sz w:val="24"/>
                <w:szCs w:val="24"/>
                <w:highlight w:val="none"/>
              </w:rPr>
            </w:pPr>
          </w:p>
        </w:tc>
      </w:tr>
      <w:tr w14:paraId="0E751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FC2F263">
            <w:pPr>
              <w:pStyle w:val="34"/>
              <w:keepNext/>
              <w:spacing w:after="0" w:line="440" w:lineRule="exact"/>
              <w:ind w:left="63" w:right="63"/>
              <w:rPr>
                <w:rFonts w:ascii="宋体" w:hAnsi="宋体"/>
                <w:color w:val="000000"/>
                <w:sz w:val="24"/>
                <w:szCs w:val="24"/>
                <w:highlight w:val="none"/>
              </w:rPr>
            </w:pPr>
          </w:p>
        </w:tc>
        <w:tc>
          <w:tcPr>
            <w:tcW w:w="1843" w:type="dxa"/>
            <w:tcBorders>
              <w:top w:val="nil"/>
            </w:tcBorders>
            <w:vAlign w:val="center"/>
          </w:tcPr>
          <w:p w14:paraId="74D9C540">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61711E8F">
            <w:pPr>
              <w:pStyle w:val="34"/>
              <w:keepNext/>
              <w:spacing w:after="0" w:line="440" w:lineRule="exact"/>
              <w:ind w:left="63" w:right="63"/>
              <w:rPr>
                <w:rFonts w:ascii="宋体" w:hAnsi="宋体"/>
                <w:color w:val="000000"/>
                <w:sz w:val="24"/>
                <w:szCs w:val="24"/>
                <w:highlight w:val="none"/>
              </w:rPr>
            </w:pPr>
          </w:p>
        </w:tc>
        <w:tc>
          <w:tcPr>
            <w:tcW w:w="2410" w:type="dxa"/>
            <w:tcBorders>
              <w:top w:val="nil"/>
            </w:tcBorders>
            <w:vAlign w:val="center"/>
          </w:tcPr>
          <w:p w14:paraId="4BAE4CF5">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78CB3A40">
            <w:pPr>
              <w:pStyle w:val="34"/>
              <w:keepNext/>
              <w:spacing w:after="0" w:line="440" w:lineRule="exact"/>
              <w:ind w:left="63" w:right="63"/>
              <w:rPr>
                <w:rFonts w:ascii="宋体" w:hAnsi="宋体"/>
                <w:color w:val="000000"/>
                <w:sz w:val="24"/>
                <w:szCs w:val="24"/>
                <w:highlight w:val="none"/>
              </w:rPr>
            </w:pPr>
          </w:p>
        </w:tc>
        <w:tc>
          <w:tcPr>
            <w:tcW w:w="1560" w:type="dxa"/>
            <w:tcBorders>
              <w:top w:val="nil"/>
            </w:tcBorders>
            <w:vAlign w:val="center"/>
          </w:tcPr>
          <w:p w14:paraId="2786B4FE">
            <w:pPr>
              <w:pStyle w:val="34"/>
              <w:keepNext/>
              <w:spacing w:after="0" w:line="440" w:lineRule="exact"/>
              <w:ind w:left="63" w:right="63"/>
              <w:rPr>
                <w:rFonts w:ascii="宋体" w:hAnsi="宋体"/>
                <w:color w:val="000000"/>
                <w:sz w:val="24"/>
                <w:szCs w:val="24"/>
                <w:highlight w:val="none"/>
              </w:rPr>
            </w:pPr>
          </w:p>
        </w:tc>
        <w:tc>
          <w:tcPr>
            <w:tcW w:w="2126" w:type="dxa"/>
            <w:tcBorders>
              <w:top w:val="nil"/>
            </w:tcBorders>
            <w:vAlign w:val="center"/>
          </w:tcPr>
          <w:p w14:paraId="75DA44F8">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5194CFFC">
            <w:pPr>
              <w:pStyle w:val="34"/>
              <w:keepNext/>
              <w:spacing w:after="0" w:line="440" w:lineRule="exact"/>
              <w:ind w:left="63" w:right="63"/>
              <w:rPr>
                <w:rFonts w:ascii="宋体" w:hAnsi="宋体"/>
                <w:color w:val="000000"/>
                <w:sz w:val="24"/>
                <w:szCs w:val="24"/>
                <w:highlight w:val="none"/>
              </w:rPr>
            </w:pPr>
          </w:p>
        </w:tc>
        <w:tc>
          <w:tcPr>
            <w:tcW w:w="851" w:type="dxa"/>
            <w:tcBorders>
              <w:top w:val="nil"/>
            </w:tcBorders>
            <w:vAlign w:val="center"/>
          </w:tcPr>
          <w:p w14:paraId="54FBD3FB">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5C00316D">
            <w:pPr>
              <w:pStyle w:val="34"/>
              <w:keepNext/>
              <w:spacing w:after="0" w:line="440" w:lineRule="exact"/>
              <w:ind w:left="63" w:right="63"/>
              <w:rPr>
                <w:rFonts w:ascii="宋体" w:hAnsi="宋体"/>
                <w:color w:val="000000"/>
                <w:sz w:val="24"/>
                <w:szCs w:val="24"/>
                <w:highlight w:val="none"/>
              </w:rPr>
            </w:pPr>
          </w:p>
        </w:tc>
      </w:tr>
      <w:tr w14:paraId="23EC7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DCDAF44">
            <w:pPr>
              <w:pStyle w:val="34"/>
              <w:keepNext/>
              <w:spacing w:after="0" w:line="440" w:lineRule="exact"/>
              <w:ind w:left="63" w:right="63"/>
              <w:rPr>
                <w:rFonts w:ascii="宋体" w:hAnsi="宋体"/>
                <w:color w:val="000000"/>
                <w:sz w:val="24"/>
                <w:szCs w:val="24"/>
                <w:highlight w:val="none"/>
              </w:rPr>
            </w:pPr>
          </w:p>
        </w:tc>
        <w:tc>
          <w:tcPr>
            <w:tcW w:w="1843" w:type="dxa"/>
            <w:vAlign w:val="center"/>
          </w:tcPr>
          <w:p w14:paraId="16C9A63D">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50FB202A">
            <w:pPr>
              <w:pStyle w:val="34"/>
              <w:keepNext/>
              <w:spacing w:after="0" w:line="440" w:lineRule="exact"/>
              <w:ind w:left="63" w:right="63"/>
              <w:rPr>
                <w:rFonts w:ascii="宋体" w:hAnsi="宋体"/>
                <w:color w:val="000000"/>
                <w:sz w:val="24"/>
                <w:szCs w:val="24"/>
                <w:highlight w:val="none"/>
              </w:rPr>
            </w:pPr>
          </w:p>
        </w:tc>
        <w:tc>
          <w:tcPr>
            <w:tcW w:w="2410" w:type="dxa"/>
            <w:vAlign w:val="center"/>
          </w:tcPr>
          <w:p w14:paraId="4D0DD954">
            <w:pPr>
              <w:pStyle w:val="34"/>
              <w:keepNext/>
              <w:spacing w:after="0" w:line="440" w:lineRule="exact"/>
              <w:ind w:left="63" w:right="63"/>
              <w:rPr>
                <w:rFonts w:ascii="宋体" w:hAnsi="宋体"/>
                <w:color w:val="000000"/>
                <w:sz w:val="24"/>
                <w:szCs w:val="24"/>
                <w:highlight w:val="none"/>
              </w:rPr>
            </w:pPr>
          </w:p>
        </w:tc>
        <w:tc>
          <w:tcPr>
            <w:tcW w:w="850" w:type="dxa"/>
            <w:vAlign w:val="center"/>
          </w:tcPr>
          <w:p w14:paraId="27573ED6">
            <w:pPr>
              <w:pStyle w:val="34"/>
              <w:keepNext/>
              <w:spacing w:after="0" w:line="440" w:lineRule="exact"/>
              <w:ind w:left="63" w:right="63"/>
              <w:rPr>
                <w:rFonts w:ascii="宋体" w:hAnsi="宋体"/>
                <w:color w:val="000000"/>
                <w:sz w:val="24"/>
                <w:szCs w:val="24"/>
                <w:highlight w:val="none"/>
              </w:rPr>
            </w:pPr>
          </w:p>
        </w:tc>
        <w:tc>
          <w:tcPr>
            <w:tcW w:w="1560" w:type="dxa"/>
            <w:vAlign w:val="center"/>
          </w:tcPr>
          <w:p w14:paraId="591270FB">
            <w:pPr>
              <w:pStyle w:val="34"/>
              <w:keepNext/>
              <w:spacing w:after="0" w:line="440" w:lineRule="exact"/>
              <w:ind w:left="63" w:right="63"/>
              <w:rPr>
                <w:rFonts w:ascii="宋体" w:hAnsi="宋体"/>
                <w:color w:val="000000"/>
                <w:sz w:val="24"/>
                <w:szCs w:val="24"/>
                <w:highlight w:val="none"/>
              </w:rPr>
            </w:pPr>
          </w:p>
        </w:tc>
        <w:tc>
          <w:tcPr>
            <w:tcW w:w="2126" w:type="dxa"/>
            <w:vAlign w:val="center"/>
          </w:tcPr>
          <w:p w14:paraId="338533D6">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18226CBD">
            <w:pPr>
              <w:pStyle w:val="34"/>
              <w:keepNext/>
              <w:spacing w:after="0" w:line="440" w:lineRule="exact"/>
              <w:ind w:left="63" w:right="63"/>
              <w:rPr>
                <w:rFonts w:ascii="宋体" w:hAnsi="宋体"/>
                <w:color w:val="000000"/>
                <w:sz w:val="24"/>
                <w:szCs w:val="24"/>
                <w:highlight w:val="none"/>
              </w:rPr>
            </w:pPr>
          </w:p>
        </w:tc>
        <w:tc>
          <w:tcPr>
            <w:tcW w:w="851" w:type="dxa"/>
            <w:vAlign w:val="center"/>
          </w:tcPr>
          <w:p w14:paraId="7BB259E3">
            <w:pPr>
              <w:pStyle w:val="34"/>
              <w:keepNext/>
              <w:spacing w:after="0" w:line="440" w:lineRule="exact"/>
              <w:ind w:left="63" w:right="63"/>
              <w:rPr>
                <w:rFonts w:ascii="宋体" w:hAnsi="宋体"/>
                <w:color w:val="000000"/>
                <w:sz w:val="24"/>
                <w:szCs w:val="24"/>
                <w:highlight w:val="none"/>
              </w:rPr>
            </w:pPr>
          </w:p>
        </w:tc>
        <w:tc>
          <w:tcPr>
            <w:tcW w:w="850" w:type="dxa"/>
            <w:vAlign w:val="center"/>
          </w:tcPr>
          <w:p w14:paraId="042F4165">
            <w:pPr>
              <w:pStyle w:val="34"/>
              <w:keepNext/>
              <w:spacing w:after="0" w:line="440" w:lineRule="exact"/>
              <w:ind w:left="63" w:right="63"/>
              <w:rPr>
                <w:rFonts w:ascii="宋体" w:hAnsi="宋体"/>
                <w:color w:val="000000"/>
                <w:sz w:val="24"/>
                <w:szCs w:val="24"/>
                <w:highlight w:val="none"/>
              </w:rPr>
            </w:pPr>
          </w:p>
        </w:tc>
      </w:tr>
      <w:tr w14:paraId="4EA5C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0AF0E6F">
            <w:pPr>
              <w:pStyle w:val="34"/>
              <w:keepNext/>
              <w:spacing w:after="0" w:line="440" w:lineRule="exact"/>
              <w:ind w:left="63" w:right="63"/>
              <w:rPr>
                <w:rFonts w:ascii="宋体" w:hAnsi="宋体"/>
                <w:color w:val="000000"/>
                <w:sz w:val="24"/>
                <w:szCs w:val="24"/>
                <w:highlight w:val="none"/>
              </w:rPr>
            </w:pPr>
          </w:p>
        </w:tc>
        <w:tc>
          <w:tcPr>
            <w:tcW w:w="1843" w:type="dxa"/>
            <w:tcBorders>
              <w:top w:val="nil"/>
            </w:tcBorders>
            <w:vAlign w:val="center"/>
          </w:tcPr>
          <w:p w14:paraId="16C97C23">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4AAC0CF3">
            <w:pPr>
              <w:pStyle w:val="34"/>
              <w:keepNext/>
              <w:spacing w:after="0" w:line="440" w:lineRule="exact"/>
              <w:ind w:left="63" w:right="63"/>
              <w:rPr>
                <w:rFonts w:ascii="宋体" w:hAnsi="宋体"/>
                <w:color w:val="000000"/>
                <w:sz w:val="24"/>
                <w:szCs w:val="24"/>
                <w:highlight w:val="none"/>
              </w:rPr>
            </w:pPr>
          </w:p>
        </w:tc>
        <w:tc>
          <w:tcPr>
            <w:tcW w:w="2410" w:type="dxa"/>
            <w:tcBorders>
              <w:top w:val="nil"/>
            </w:tcBorders>
            <w:vAlign w:val="center"/>
          </w:tcPr>
          <w:p w14:paraId="4579B5FF">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6947CACE">
            <w:pPr>
              <w:pStyle w:val="34"/>
              <w:keepNext/>
              <w:spacing w:after="0" w:line="440" w:lineRule="exact"/>
              <w:ind w:left="63" w:right="63"/>
              <w:rPr>
                <w:rFonts w:ascii="宋体" w:hAnsi="宋体"/>
                <w:color w:val="000000"/>
                <w:sz w:val="24"/>
                <w:szCs w:val="24"/>
                <w:highlight w:val="none"/>
              </w:rPr>
            </w:pPr>
          </w:p>
        </w:tc>
        <w:tc>
          <w:tcPr>
            <w:tcW w:w="1560" w:type="dxa"/>
            <w:tcBorders>
              <w:top w:val="nil"/>
            </w:tcBorders>
            <w:vAlign w:val="center"/>
          </w:tcPr>
          <w:p w14:paraId="023C3282">
            <w:pPr>
              <w:pStyle w:val="34"/>
              <w:keepNext/>
              <w:spacing w:after="0" w:line="440" w:lineRule="exact"/>
              <w:ind w:left="63" w:right="63"/>
              <w:rPr>
                <w:rFonts w:ascii="宋体" w:hAnsi="宋体"/>
                <w:color w:val="000000"/>
                <w:sz w:val="24"/>
                <w:szCs w:val="24"/>
                <w:highlight w:val="none"/>
              </w:rPr>
            </w:pPr>
          </w:p>
        </w:tc>
        <w:tc>
          <w:tcPr>
            <w:tcW w:w="2126" w:type="dxa"/>
            <w:tcBorders>
              <w:top w:val="nil"/>
            </w:tcBorders>
            <w:vAlign w:val="center"/>
          </w:tcPr>
          <w:p w14:paraId="5A6A4765">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3A41C0F1">
            <w:pPr>
              <w:pStyle w:val="34"/>
              <w:keepNext/>
              <w:spacing w:after="0" w:line="440" w:lineRule="exact"/>
              <w:ind w:left="63" w:right="63"/>
              <w:rPr>
                <w:rFonts w:ascii="宋体" w:hAnsi="宋体"/>
                <w:color w:val="000000"/>
                <w:sz w:val="24"/>
                <w:szCs w:val="24"/>
                <w:highlight w:val="none"/>
              </w:rPr>
            </w:pPr>
          </w:p>
        </w:tc>
        <w:tc>
          <w:tcPr>
            <w:tcW w:w="851" w:type="dxa"/>
            <w:tcBorders>
              <w:top w:val="nil"/>
            </w:tcBorders>
            <w:vAlign w:val="center"/>
          </w:tcPr>
          <w:p w14:paraId="0793A077">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457FB093">
            <w:pPr>
              <w:pStyle w:val="34"/>
              <w:keepNext/>
              <w:spacing w:after="0" w:line="440" w:lineRule="exact"/>
              <w:ind w:left="63" w:right="63"/>
              <w:rPr>
                <w:rFonts w:ascii="宋体" w:hAnsi="宋体"/>
                <w:color w:val="000000"/>
                <w:sz w:val="24"/>
                <w:szCs w:val="24"/>
                <w:highlight w:val="none"/>
              </w:rPr>
            </w:pPr>
          </w:p>
        </w:tc>
      </w:tr>
      <w:tr w14:paraId="61B0E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98A1282">
            <w:pPr>
              <w:pStyle w:val="34"/>
              <w:keepNext/>
              <w:spacing w:after="0" w:line="440" w:lineRule="exact"/>
              <w:ind w:left="63" w:right="63"/>
              <w:rPr>
                <w:rFonts w:ascii="宋体" w:hAnsi="宋体"/>
                <w:color w:val="000000"/>
                <w:sz w:val="24"/>
                <w:szCs w:val="24"/>
                <w:highlight w:val="none"/>
              </w:rPr>
            </w:pPr>
          </w:p>
        </w:tc>
        <w:tc>
          <w:tcPr>
            <w:tcW w:w="1843" w:type="dxa"/>
            <w:vAlign w:val="center"/>
          </w:tcPr>
          <w:p w14:paraId="50F4D46D">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5B863336">
            <w:pPr>
              <w:pStyle w:val="34"/>
              <w:keepNext/>
              <w:spacing w:after="0" w:line="440" w:lineRule="exact"/>
              <w:ind w:left="63" w:right="63"/>
              <w:rPr>
                <w:rFonts w:ascii="宋体" w:hAnsi="宋体"/>
                <w:color w:val="000000"/>
                <w:sz w:val="24"/>
                <w:szCs w:val="24"/>
                <w:highlight w:val="none"/>
              </w:rPr>
            </w:pPr>
          </w:p>
        </w:tc>
        <w:tc>
          <w:tcPr>
            <w:tcW w:w="2410" w:type="dxa"/>
            <w:vAlign w:val="center"/>
          </w:tcPr>
          <w:p w14:paraId="466781BF">
            <w:pPr>
              <w:pStyle w:val="34"/>
              <w:keepNext/>
              <w:spacing w:after="0" w:line="440" w:lineRule="exact"/>
              <w:ind w:left="63" w:right="63"/>
              <w:rPr>
                <w:rFonts w:ascii="宋体" w:hAnsi="宋体"/>
                <w:color w:val="000000"/>
                <w:sz w:val="24"/>
                <w:szCs w:val="24"/>
                <w:highlight w:val="none"/>
              </w:rPr>
            </w:pPr>
          </w:p>
        </w:tc>
        <w:tc>
          <w:tcPr>
            <w:tcW w:w="850" w:type="dxa"/>
            <w:vAlign w:val="center"/>
          </w:tcPr>
          <w:p w14:paraId="0BE96225">
            <w:pPr>
              <w:pStyle w:val="34"/>
              <w:keepNext/>
              <w:spacing w:after="0" w:line="440" w:lineRule="exact"/>
              <w:ind w:left="63" w:right="63"/>
              <w:rPr>
                <w:rFonts w:ascii="宋体" w:hAnsi="宋体"/>
                <w:color w:val="000000"/>
                <w:sz w:val="24"/>
                <w:szCs w:val="24"/>
                <w:highlight w:val="none"/>
              </w:rPr>
            </w:pPr>
          </w:p>
        </w:tc>
        <w:tc>
          <w:tcPr>
            <w:tcW w:w="1560" w:type="dxa"/>
            <w:vAlign w:val="center"/>
          </w:tcPr>
          <w:p w14:paraId="1366CC2F">
            <w:pPr>
              <w:pStyle w:val="34"/>
              <w:keepNext/>
              <w:spacing w:after="0" w:line="440" w:lineRule="exact"/>
              <w:ind w:left="63" w:right="63"/>
              <w:rPr>
                <w:rFonts w:ascii="宋体" w:hAnsi="宋体"/>
                <w:color w:val="000000"/>
                <w:sz w:val="24"/>
                <w:szCs w:val="24"/>
                <w:highlight w:val="none"/>
              </w:rPr>
            </w:pPr>
          </w:p>
        </w:tc>
        <w:tc>
          <w:tcPr>
            <w:tcW w:w="2126" w:type="dxa"/>
            <w:vAlign w:val="center"/>
          </w:tcPr>
          <w:p w14:paraId="69B3D707">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334D0AF9">
            <w:pPr>
              <w:pStyle w:val="34"/>
              <w:keepNext/>
              <w:spacing w:after="0" w:line="440" w:lineRule="exact"/>
              <w:ind w:left="63" w:right="63"/>
              <w:rPr>
                <w:rFonts w:ascii="宋体" w:hAnsi="宋体"/>
                <w:color w:val="000000"/>
                <w:sz w:val="24"/>
                <w:szCs w:val="24"/>
                <w:highlight w:val="none"/>
              </w:rPr>
            </w:pPr>
          </w:p>
        </w:tc>
        <w:tc>
          <w:tcPr>
            <w:tcW w:w="851" w:type="dxa"/>
            <w:vAlign w:val="center"/>
          </w:tcPr>
          <w:p w14:paraId="2DAACDB9">
            <w:pPr>
              <w:pStyle w:val="34"/>
              <w:keepNext/>
              <w:spacing w:after="0" w:line="440" w:lineRule="exact"/>
              <w:ind w:left="63" w:right="63"/>
              <w:rPr>
                <w:rFonts w:ascii="宋体" w:hAnsi="宋体"/>
                <w:color w:val="000000"/>
                <w:sz w:val="24"/>
                <w:szCs w:val="24"/>
                <w:highlight w:val="none"/>
              </w:rPr>
            </w:pPr>
          </w:p>
        </w:tc>
        <w:tc>
          <w:tcPr>
            <w:tcW w:w="850" w:type="dxa"/>
            <w:vAlign w:val="center"/>
          </w:tcPr>
          <w:p w14:paraId="0CA2EED4">
            <w:pPr>
              <w:pStyle w:val="34"/>
              <w:keepNext/>
              <w:spacing w:after="0" w:line="440" w:lineRule="exact"/>
              <w:ind w:left="63" w:right="63"/>
              <w:rPr>
                <w:rFonts w:ascii="宋体" w:hAnsi="宋体"/>
                <w:color w:val="000000"/>
                <w:sz w:val="24"/>
                <w:szCs w:val="24"/>
                <w:highlight w:val="none"/>
              </w:rPr>
            </w:pPr>
          </w:p>
        </w:tc>
      </w:tr>
      <w:tr w14:paraId="266C8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B6C8CF0">
            <w:pPr>
              <w:pStyle w:val="34"/>
              <w:keepNext/>
              <w:spacing w:after="0" w:line="440" w:lineRule="exact"/>
              <w:ind w:left="63" w:right="63"/>
              <w:rPr>
                <w:rFonts w:ascii="宋体" w:hAnsi="宋体"/>
                <w:color w:val="000000"/>
                <w:sz w:val="24"/>
                <w:szCs w:val="24"/>
                <w:highlight w:val="none"/>
              </w:rPr>
            </w:pPr>
          </w:p>
        </w:tc>
        <w:tc>
          <w:tcPr>
            <w:tcW w:w="1843" w:type="dxa"/>
            <w:tcBorders>
              <w:top w:val="nil"/>
            </w:tcBorders>
            <w:vAlign w:val="center"/>
          </w:tcPr>
          <w:p w14:paraId="6E67A8C1">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19C1DE97">
            <w:pPr>
              <w:pStyle w:val="34"/>
              <w:keepNext/>
              <w:spacing w:after="0" w:line="440" w:lineRule="exact"/>
              <w:ind w:left="63" w:right="63"/>
              <w:rPr>
                <w:rFonts w:ascii="宋体" w:hAnsi="宋体"/>
                <w:color w:val="000000"/>
                <w:sz w:val="24"/>
                <w:szCs w:val="24"/>
                <w:highlight w:val="none"/>
              </w:rPr>
            </w:pPr>
          </w:p>
        </w:tc>
        <w:tc>
          <w:tcPr>
            <w:tcW w:w="2410" w:type="dxa"/>
            <w:tcBorders>
              <w:top w:val="nil"/>
            </w:tcBorders>
            <w:vAlign w:val="center"/>
          </w:tcPr>
          <w:p w14:paraId="3D84FEAD">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322B190D">
            <w:pPr>
              <w:pStyle w:val="34"/>
              <w:keepNext/>
              <w:spacing w:after="0" w:line="440" w:lineRule="exact"/>
              <w:ind w:left="63" w:right="63"/>
              <w:rPr>
                <w:rFonts w:ascii="宋体" w:hAnsi="宋体"/>
                <w:color w:val="000000"/>
                <w:sz w:val="24"/>
                <w:szCs w:val="24"/>
                <w:highlight w:val="none"/>
              </w:rPr>
            </w:pPr>
          </w:p>
        </w:tc>
        <w:tc>
          <w:tcPr>
            <w:tcW w:w="1560" w:type="dxa"/>
            <w:tcBorders>
              <w:top w:val="nil"/>
            </w:tcBorders>
            <w:vAlign w:val="center"/>
          </w:tcPr>
          <w:p w14:paraId="3A6CD845">
            <w:pPr>
              <w:pStyle w:val="34"/>
              <w:keepNext/>
              <w:spacing w:after="0" w:line="440" w:lineRule="exact"/>
              <w:ind w:left="63" w:right="63"/>
              <w:rPr>
                <w:rFonts w:ascii="宋体" w:hAnsi="宋体"/>
                <w:color w:val="000000"/>
                <w:sz w:val="24"/>
                <w:szCs w:val="24"/>
                <w:highlight w:val="none"/>
              </w:rPr>
            </w:pPr>
          </w:p>
        </w:tc>
        <w:tc>
          <w:tcPr>
            <w:tcW w:w="2126" w:type="dxa"/>
            <w:tcBorders>
              <w:top w:val="nil"/>
            </w:tcBorders>
            <w:vAlign w:val="center"/>
          </w:tcPr>
          <w:p w14:paraId="7CB1B304">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482DAC7E">
            <w:pPr>
              <w:pStyle w:val="34"/>
              <w:keepNext/>
              <w:spacing w:after="0" w:line="440" w:lineRule="exact"/>
              <w:ind w:left="63" w:right="63"/>
              <w:rPr>
                <w:rFonts w:ascii="宋体" w:hAnsi="宋体"/>
                <w:color w:val="000000"/>
                <w:sz w:val="24"/>
                <w:szCs w:val="24"/>
                <w:highlight w:val="none"/>
              </w:rPr>
            </w:pPr>
          </w:p>
        </w:tc>
        <w:tc>
          <w:tcPr>
            <w:tcW w:w="851" w:type="dxa"/>
            <w:tcBorders>
              <w:top w:val="nil"/>
            </w:tcBorders>
            <w:vAlign w:val="center"/>
          </w:tcPr>
          <w:p w14:paraId="1B3F4A59">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6613F360">
            <w:pPr>
              <w:pStyle w:val="34"/>
              <w:keepNext/>
              <w:spacing w:after="0" w:line="440" w:lineRule="exact"/>
              <w:ind w:left="63" w:right="63"/>
              <w:rPr>
                <w:rFonts w:ascii="宋体" w:hAnsi="宋体"/>
                <w:color w:val="000000"/>
                <w:sz w:val="24"/>
                <w:szCs w:val="24"/>
                <w:highlight w:val="none"/>
              </w:rPr>
            </w:pPr>
          </w:p>
        </w:tc>
      </w:tr>
      <w:tr w14:paraId="7CCD9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CC94C5C">
            <w:pPr>
              <w:pStyle w:val="34"/>
              <w:keepNext/>
              <w:spacing w:after="0" w:line="440" w:lineRule="exact"/>
              <w:ind w:left="63" w:right="63"/>
              <w:rPr>
                <w:rFonts w:ascii="宋体" w:hAnsi="宋体"/>
                <w:color w:val="000000"/>
                <w:sz w:val="24"/>
                <w:szCs w:val="24"/>
                <w:highlight w:val="none"/>
              </w:rPr>
            </w:pPr>
          </w:p>
        </w:tc>
        <w:tc>
          <w:tcPr>
            <w:tcW w:w="1843" w:type="dxa"/>
            <w:tcBorders>
              <w:top w:val="nil"/>
            </w:tcBorders>
            <w:vAlign w:val="center"/>
          </w:tcPr>
          <w:p w14:paraId="4183331F">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614D13F6">
            <w:pPr>
              <w:pStyle w:val="34"/>
              <w:keepNext/>
              <w:spacing w:after="0" w:line="440" w:lineRule="exact"/>
              <w:ind w:left="63" w:right="63"/>
              <w:rPr>
                <w:rFonts w:ascii="宋体" w:hAnsi="宋体"/>
                <w:color w:val="000000"/>
                <w:sz w:val="24"/>
                <w:szCs w:val="24"/>
                <w:highlight w:val="none"/>
              </w:rPr>
            </w:pPr>
          </w:p>
        </w:tc>
        <w:tc>
          <w:tcPr>
            <w:tcW w:w="2410" w:type="dxa"/>
            <w:tcBorders>
              <w:top w:val="nil"/>
            </w:tcBorders>
            <w:vAlign w:val="center"/>
          </w:tcPr>
          <w:p w14:paraId="6503AD31">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59180F0F">
            <w:pPr>
              <w:pStyle w:val="34"/>
              <w:keepNext/>
              <w:spacing w:after="0" w:line="440" w:lineRule="exact"/>
              <w:ind w:left="63" w:right="63"/>
              <w:rPr>
                <w:rFonts w:ascii="宋体" w:hAnsi="宋体"/>
                <w:color w:val="000000"/>
                <w:sz w:val="24"/>
                <w:szCs w:val="24"/>
                <w:highlight w:val="none"/>
              </w:rPr>
            </w:pPr>
          </w:p>
        </w:tc>
        <w:tc>
          <w:tcPr>
            <w:tcW w:w="1560" w:type="dxa"/>
            <w:tcBorders>
              <w:top w:val="nil"/>
            </w:tcBorders>
            <w:vAlign w:val="center"/>
          </w:tcPr>
          <w:p w14:paraId="0B069FA0">
            <w:pPr>
              <w:pStyle w:val="34"/>
              <w:keepNext/>
              <w:spacing w:after="0" w:line="440" w:lineRule="exact"/>
              <w:ind w:left="63" w:right="63"/>
              <w:rPr>
                <w:rFonts w:ascii="宋体" w:hAnsi="宋体"/>
                <w:color w:val="000000"/>
                <w:sz w:val="24"/>
                <w:szCs w:val="24"/>
                <w:highlight w:val="none"/>
              </w:rPr>
            </w:pPr>
          </w:p>
        </w:tc>
        <w:tc>
          <w:tcPr>
            <w:tcW w:w="2126" w:type="dxa"/>
            <w:tcBorders>
              <w:top w:val="nil"/>
            </w:tcBorders>
            <w:vAlign w:val="center"/>
          </w:tcPr>
          <w:p w14:paraId="18266331">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13B80CC5">
            <w:pPr>
              <w:pStyle w:val="34"/>
              <w:keepNext/>
              <w:spacing w:after="0" w:line="440" w:lineRule="exact"/>
              <w:ind w:left="63" w:right="63"/>
              <w:rPr>
                <w:rFonts w:ascii="宋体" w:hAnsi="宋体"/>
                <w:color w:val="000000"/>
                <w:sz w:val="24"/>
                <w:szCs w:val="24"/>
                <w:highlight w:val="none"/>
              </w:rPr>
            </w:pPr>
          </w:p>
        </w:tc>
        <w:tc>
          <w:tcPr>
            <w:tcW w:w="851" w:type="dxa"/>
            <w:tcBorders>
              <w:top w:val="nil"/>
            </w:tcBorders>
            <w:vAlign w:val="center"/>
          </w:tcPr>
          <w:p w14:paraId="16CE9D5D">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0F77AA51">
            <w:pPr>
              <w:pStyle w:val="34"/>
              <w:keepNext/>
              <w:spacing w:after="0" w:line="440" w:lineRule="exact"/>
              <w:ind w:left="63" w:right="63"/>
              <w:rPr>
                <w:rFonts w:ascii="宋体" w:hAnsi="宋体"/>
                <w:color w:val="000000"/>
                <w:sz w:val="24"/>
                <w:szCs w:val="24"/>
                <w:highlight w:val="none"/>
              </w:rPr>
            </w:pPr>
          </w:p>
        </w:tc>
      </w:tr>
      <w:tr w14:paraId="3ABC0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6CE8352">
            <w:pPr>
              <w:pStyle w:val="34"/>
              <w:keepNext/>
              <w:spacing w:after="0" w:line="440" w:lineRule="exact"/>
              <w:ind w:left="63" w:right="63"/>
              <w:rPr>
                <w:rFonts w:ascii="宋体" w:hAnsi="宋体"/>
                <w:color w:val="000000"/>
                <w:sz w:val="24"/>
                <w:szCs w:val="24"/>
                <w:highlight w:val="none"/>
              </w:rPr>
            </w:pPr>
          </w:p>
        </w:tc>
        <w:tc>
          <w:tcPr>
            <w:tcW w:w="1843" w:type="dxa"/>
            <w:vAlign w:val="center"/>
          </w:tcPr>
          <w:p w14:paraId="6B90CBB6">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2CE3E6C0">
            <w:pPr>
              <w:pStyle w:val="34"/>
              <w:keepNext/>
              <w:spacing w:after="0" w:line="440" w:lineRule="exact"/>
              <w:ind w:left="63" w:right="63"/>
              <w:rPr>
                <w:rFonts w:ascii="宋体" w:hAnsi="宋体"/>
                <w:color w:val="000000"/>
                <w:sz w:val="24"/>
                <w:szCs w:val="24"/>
                <w:highlight w:val="none"/>
              </w:rPr>
            </w:pPr>
          </w:p>
        </w:tc>
        <w:tc>
          <w:tcPr>
            <w:tcW w:w="2410" w:type="dxa"/>
            <w:vAlign w:val="center"/>
          </w:tcPr>
          <w:p w14:paraId="3E18214D">
            <w:pPr>
              <w:pStyle w:val="34"/>
              <w:keepNext/>
              <w:spacing w:after="0" w:line="440" w:lineRule="exact"/>
              <w:ind w:left="63" w:right="63"/>
              <w:rPr>
                <w:rFonts w:ascii="宋体" w:hAnsi="宋体"/>
                <w:color w:val="000000"/>
                <w:sz w:val="24"/>
                <w:szCs w:val="24"/>
                <w:highlight w:val="none"/>
              </w:rPr>
            </w:pPr>
          </w:p>
        </w:tc>
        <w:tc>
          <w:tcPr>
            <w:tcW w:w="850" w:type="dxa"/>
            <w:vAlign w:val="center"/>
          </w:tcPr>
          <w:p w14:paraId="3EC260BD">
            <w:pPr>
              <w:pStyle w:val="34"/>
              <w:keepNext/>
              <w:spacing w:after="0" w:line="440" w:lineRule="exact"/>
              <w:ind w:left="63" w:right="63"/>
              <w:rPr>
                <w:rFonts w:ascii="宋体" w:hAnsi="宋体"/>
                <w:color w:val="000000"/>
                <w:sz w:val="24"/>
                <w:szCs w:val="24"/>
                <w:highlight w:val="none"/>
              </w:rPr>
            </w:pPr>
          </w:p>
        </w:tc>
        <w:tc>
          <w:tcPr>
            <w:tcW w:w="1560" w:type="dxa"/>
            <w:vAlign w:val="center"/>
          </w:tcPr>
          <w:p w14:paraId="4205FD5D">
            <w:pPr>
              <w:pStyle w:val="34"/>
              <w:keepNext/>
              <w:spacing w:after="0" w:line="440" w:lineRule="exact"/>
              <w:ind w:left="63" w:right="63"/>
              <w:rPr>
                <w:rFonts w:ascii="宋体" w:hAnsi="宋体"/>
                <w:color w:val="000000"/>
                <w:sz w:val="24"/>
                <w:szCs w:val="24"/>
                <w:highlight w:val="none"/>
              </w:rPr>
            </w:pPr>
          </w:p>
        </w:tc>
        <w:tc>
          <w:tcPr>
            <w:tcW w:w="2126" w:type="dxa"/>
            <w:vAlign w:val="center"/>
          </w:tcPr>
          <w:p w14:paraId="7AD5B64B">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73BF4F75">
            <w:pPr>
              <w:pStyle w:val="34"/>
              <w:keepNext/>
              <w:spacing w:after="0" w:line="440" w:lineRule="exact"/>
              <w:ind w:left="63" w:right="63"/>
              <w:rPr>
                <w:rFonts w:ascii="宋体" w:hAnsi="宋体"/>
                <w:color w:val="000000"/>
                <w:sz w:val="24"/>
                <w:szCs w:val="24"/>
                <w:highlight w:val="none"/>
              </w:rPr>
            </w:pPr>
          </w:p>
        </w:tc>
        <w:tc>
          <w:tcPr>
            <w:tcW w:w="851" w:type="dxa"/>
            <w:vAlign w:val="center"/>
          </w:tcPr>
          <w:p w14:paraId="0D583138">
            <w:pPr>
              <w:pStyle w:val="34"/>
              <w:keepNext/>
              <w:spacing w:after="0" w:line="440" w:lineRule="exact"/>
              <w:ind w:left="63" w:right="63"/>
              <w:rPr>
                <w:rFonts w:ascii="宋体" w:hAnsi="宋体"/>
                <w:color w:val="000000"/>
                <w:sz w:val="24"/>
                <w:szCs w:val="24"/>
                <w:highlight w:val="none"/>
              </w:rPr>
            </w:pPr>
          </w:p>
        </w:tc>
        <w:tc>
          <w:tcPr>
            <w:tcW w:w="850" w:type="dxa"/>
            <w:vAlign w:val="center"/>
          </w:tcPr>
          <w:p w14:paraId="0B64F29C">
            <w:pPr>
              <w:pStyle w:val="34"/>
              <w:keepNext/>
              <w:spacing w:after="0" w:line="440" w:lineRule="exact"/>
              <w:ind w:left="63" w:right="63"/>
              <w:rPr>
                <w:rFonts w:ascii="宋体" w:hAnsi="宋体"/>
                <w:color w:val="000000"/>
                <w:sz w:val="24"/>
                <w:szCs w:val="24"/>
                <w:highlight w:val="none"/>
              </w:rPr>
            </w:pPr>
          </w:p>
        </w:tc>
      </w:tr>
      <w:tr w14:paraId="5F13E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A455BA3">
            <w:pPr>
              <w:pStyle w:val="34"/>
              <w:keepNext/>
              <w:spacing w:after="0" w:line="440" w:lineRule="exact"/>
              <w:ind w:left="63" w:right="63"/>
              <w:rPr>
                <w:rFonts w:ascii="宋体" w:hAnsi="宋体"/>
                <w:color w:val="000000"/>
                <w:sz w:val="24"/>
                <w:szCs w:val="24"/>
                <w:highlight w:val="none"/>
              </w:rPr>
            </w:pPr>
          </w:p>
        </w:tc>
        <w:tc>
          <w:tcPr>
            <w:tcW w:w="1843" w:type="dxa"/>
            <w:tcBorders>
              <w:top w:val="nil"/>
            </w:tcBorders>
            <w:vAlign w:val="center"/>
          </w:tcPr>
          <w:p w14:paraId="31D96903">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7C9E6809">
            <w:pPr>
              <w:pStyle w:val="34"/>
              <w:keepNext/>
              <w:spacing w:after="0" w:line="440" w:lineRule="exact"/>
              <w:ind w:left="63" w:right="63"/>
              <w:rPr>
                <w:rFonts w:ascii="宋体" w:hAnsi="宋体"/>
                <w:color w:val="000000"/>
                <w:sz w:val="24"/>
                <w:szCs w:val="24"/>
                <w:highlight w:val="none"/>
              </w:rPr>
            </w:pPr>
          </w:p>
        </w:tc>
        <w:tc>
          <w:tcPr>
            <w:tcW w:w="2410" w:type="dxa"/>
            <w:tcBorders>
              <w:top w:val="nil"/>
            </w:tcBorders>
            <w:vAlign w:val="center"/>
          </w:tcPr>
          <w:p w14:paraId="640A1A34">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729C1D52">
            <w:pPr>
              <w:pStyle w:val="34"/>
              <w:keepNext/>
              <w:spacing w:after="0" w:line="440" w:lineRule="exact"/>
              <w:ind w:left="63" w:right="63"/>
              <w:rPr>
                <w:rFonts w:ascii="宋体" w:hAnsi="宋体"/>
                <w:color w:val="000000"/>
                <w:sz w:val="24"/>
                <w:szCs w:val="24"/>
                <w:highlight w:val="none"/>
              </w:rPr>
            </w:pPr>
          </w:p>
        </w:tc>
        <w:tc>
          <w:tcPr>
            <w:tcW w:w="1560" w:type="dxa"/>
            <w:tcBorders>
              <w:top w:val="nil"/>
            </w:tcBorders>
            <w:vAlign w:val="center"/>
          </w:tcPr>
          <w:p w14:paraId="6A1DCA39">
            <w:pPr>
              <w:pStyle w:val="34"/>
              <w:keepNext/>
              <w:spacing w:after="0" w:line="440" w:lineRule="exact"/>
              <w:ind w:left="63" w:right="63"/>
              <w:rPr>
                <w:rFonts w:ascii="宋体" w:hAnsi="宋体"/>
                <w:color w:val="000000"/>
                <w:sz w:val="24"/>
                <w:szCs w:val="24"/>
                <w:highlight w:val="none"/>
              </w:rPr>
            </w:pPr>
          </w:p>
        </w:tc>
        <w:tc>
          <w:tcPr>
            <w:tcW w:w="2126" w:type="dxa"/>
            <w:tcBorders>
              <w:top w:val="nil"/>
            </w:tcBorders>
            <w:vAlign w:val="center"/>
          </w:tcPr>
          <w:p w14:paraId="13E3DB3B">
            <w:pPr>
              <w:pStyle w:val="34"/>
              <w:keepNext/>
              <w:spacing w:after="0" w:line="440" w:lineRule="exact"/>
              <w:ind w:left="63" w:right="63"/>
              <w:rPr>
                <w:rFonts w:ascii="宋体" w:hAnsi="宋体"/>
                <w:color w:val="000000"/>
                <w:sz w:val="24"/>
                <w:szCs w:val="24"/>
                <w:highlight w:val="none"/>
              </w:rPr>
            </w:pPr>
          </w:p>
        </w:tc>
        <w:tc>
          <w:tcPr>
            <w:tcW w:w="1417" w:type="dxa"/>
            <w:tcBorders>
              <w:top w:val="nil"/>
            </w:tcBorders>
            <w:vAlign w:val="center"/>
          </w:tcPr>
          <w:p w14:paraId="275E16D7">
            <w:pPr>
              <w:pStyle w:val="34"/>
              <w:keepNext/>
              <w:spacing w:after="0" w:line="440" w:lineRule="exact"/>
              <w:ind w:left="63" w:right="63"/>
              <w:rPr>
                <w:rFonts w:ascii="宋体" w:hAnsi="宋体"/>
                <w:color w:val="000000"/>
                <w:sz w:val="24"/>
                <w:szCs w:val="24"/>
                <w:highlight w:val="none"/>
              </w:rPr>
            </w:pPr>
          </w:p>
        </w:tc>
        <w:tc>
          <w:tcPr>
            <w:tcW w:w="851" w:type="dxa"/>
            <w:tcBorders>
              <w:top w:val="nil"/>
            </w:tcBorders>
            <w:vAlign w:val="center"/>
          </w:tcPr>
          <w:p w14:paraId="5F9EF69E">
            <w:pPr>
              <w:pStyle w:val="34"/>
              <w:keepNext/>
              <w:spacing w:after="0" w:line="440" w:lineRule="exact"/>
              <w:ind w:left="63" w:right="63"/>
              <w:rPr>
                <w:rFonts w:ascii="宋体" w:hAnsi="宋体"/>
                <w:color w:val="000000"/>
                <w:sz w:val="24"/>
                <w:szCs w:val="24"/>
                <w:highlight w:val="none"/>
              </w:rPr>
            </w:pPr>
          </w:p>
        </w:tc>
        <w:tc>
          <w:tcPr>
            <w:tcW w:w="850" w:type="dxa"/>
            <w:tcBorders>
              <w:top w:val="nil"/>
            </w:tcBorders>
            <w:vAlign w:val="center"/>
          </w:tcPr>
          <w:p w14:paraId="7067F44C">
            <w:pPr>
              <w:pStyle w:val="34"/>
              <w:keepNext/>
              <w:spacing w:after="0" w:line="440" w:lineRule="exact"/>
              <w:ind w:left="63" w:right="63"/>
              <w:rPr>
                <w:rFonts w:ascii="宋体" w:hAnsi="宋体"/>
                <w:color w:val="000000"/>
                <w:sz w:val="24"/>
                <w:szCs w:val="24"/>
                <w:highlight w:val="none"/>
              </w:rPr>
            </w:pPr>
          </w:p>
        </w:tc>
      </w:tr>
      <w:tr w14:paraId="4184E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A71B6DF">
            <w:pPr>
              <w:pStyle w:val="34"/>
              <w:keepNext/>
              <w:spacing w:after="0" w:line="440" w:lineRule="exact"/>
              <w:ind w:left="63" w:right="63"/>
              <w:rPr>
                <w:rFonts w:ascii="宋体" w:hAnsi="宋体"/>
                <w:color w:val="000000"/>
                <w:sz w:val="24"/>
                <w:szCs w:val="24"/>
                <w:highlight w:val="none"/>
              </w:rPr>
            </w:pPr>
          </w:p>
        </w:tc>
        <w:tc>
          <w:tcPr>
            <w:tcW w:w="1843" w:type="dxa"/>
            <w:vAlign w:val="center"/>
          </w:tcPr>
          <w:p w14:paraId="1781366C">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5311838E">
            <w:pPr>
              <w:pStyle w:val="34"/>
              <w:keepNext/>
              <w:spacing w:after="0" w:line="440" w:lineRule="exact"/>
              <w:ind w:left="63" w:right="63"/>
              <w:rPr>
                <w:rFonts w:ascii="宋体" w:hAnsi="宋体"/>
                <w:color w:val="000000"/>
                <w:sz w:val="24"/>
                <w:szCs w:val="24"/>
                <w:highlight w:val="none"/>
              </w:rPr>
            </w:pPr>
          </w:p>
        </w:tc>
        <w:tc>
          <w:tcPr>
            <w:tcW w:w="2410" w:type="dxa"/>
            <w:vAlign w:val="center"/>
          </w:tcPr>
          <w:p w14:paraId="61F0D2DF">
            <w:pPr>
              <w:pStyle w:val="34"/>
              <w:keepNext/>
              <w:spacing w:after="0" w:line="440" w:lineRule="exact"/>
              <w:ind w:left="63" w:right="63"/>
              <w:rPr>
                <w:rFonts w:ascii="宋体" w:hAnsi="宋体"/>
                <w:color w:val="000000"/>
                <w:sz w:val="24"/>
                <w:szCs w:val="24"/>
                <w:highlight w:val="none"/>
              </w:rPr>
            </w:pPr>
          </w:p>
        </w:tc>
        <w:tc>
          <w:tcPr>
            <w:tcW w:w="850" w:type="dxa"/>
            <w:vAlign w:val="center"/>
          </w:tcPr>
          <w:p w14:paraId="6ED6B19D">
            <w:pPr>
              <w:pStyle w:val="34"/>
              <w:keepNext/>
              <w:spacing w:after="0" w:line="440" w:lineRule="exact"/>
              <w:ind w:left="63" w:right="63"/>
              <w:rPr>
                <w:rFonts w:ascii="宋体" w:hAnsi="宋体"/>
                <w:color w:val="000000"/>
                <w:sz w:val="24"/>
                <w:szCs w:val="24"/>
                <w:highlight w:val="none"/>
              </w:rPr>
            </w:pPr>
          </w:p>
        </w:tc>
        <w:tc>
          <w:tcPr>
            <w:tcW w:w="1560" w:type="dxa"/>
            <w:vAlign w:val="center"/>
          </w:tcPr>
          <w:p w14:paraId="3D68D6DC">
            <w:pPr>
              <w:pStyle w:val="34"/>
              <w:keepNext/>
              <w:spacing w:after="0" w:line="440" w:lineRule="exact"/>
              <w:ind w:left="63" w:right="63"/>
              <w:rPr>
                <w:rFonts w:ascii="宋体" w:hAnsi="宋体"/>
                <w:color w:val="000000"/>
                <w:sz w:val="24"/>
                <w:szCs w:val="24"/>
                <w:highlight w:val="none"/>
              </w:rPr>
            </w:pPr>
          </w:p>
        </w:tc>
        <w:tc>
          <w:tcPr>
            <w:tcW w:w="2126" w:type="dxa"/>
            <w:vAlign w:val="center"/>
          </w:tcPr>
          <w:p w14:paraId="7A079574">
            <w:pPr>
              <w:pStyle w:val="34"/>
              <w:keepNext/>
              <w:spacing w:after="0" w:line="440" w:lineRule="exact"/>
              <w:ind w:left="63" w:right="63"/>
              <w:rPr>
                <w:rFonts w:ascii="宋体" w:hAnsi="宋体"/>
                <w:color w:val="000000"/>
                <w:sz w:val="24"/>
                <w:szCs w:val="24"/>
                <w:highlight w:val="none"/>
              </w:rPr>
            </w:pPr>
          </w:p>
        </w:tc>
        <w:tc>
          <w:tcPr>
            <w:tcW w:w="1417" w:type="dxa"/>
            <w:vAlign w:val="center"/>
          </w:tcPr>
          <w:p w14:paraId="0FFD73B0">
            <w:pPr>
              <w:pStyle w:val="34"/>
              <w:keepNext/>
              <w:spacing w:after="0" w:line="440" w:lineRule="exact"/>
              <w:ind w:left="63" w:right="63"/>
              <w:rPr>
                <w:rFonts w:ascii="宋体" w:hAnsi="宋体"/>
                <w:color w:val="000000"/>
                <w:sz w:val="24"/>
                <w:szCs w:val="24"/>
                <w:highlight w:val="none"/>
              </w:rPr>
            </w:pPr>
          </w:p>
        </w:tc>
        <w:tc>
          <w:tcPr>
            <w:tcW w:w="851" w:type="dxa"/>
            <w:vAlign w:val="center"/>
          </w:tcPr>
          <w:p w14:paraId="094BD3D3">
            <w:pPr>
              <w:pStyle w:val="34"/>
              <w:keepNext/>
              <w:spacing w:after="0" w:line="440" w:lineRule="exact"/>
              <w:ind w:left="63" w:right="63"/>
              <w:rPr>
                <w:rFonts w:ascii="宋体" w:hAnsi="宋体"/>
                <w:color w:val="000000"/>
                <w:sz w:val="24"/>
                <w:szCs w:val="24"/>
                <w:highlight w:val="none"/>
              </w:rPr>
            </w:pPr>
          </w:p>
        </w:tc>
        <w:tc>
          <w:tcPr>
            <w:tcW w:w="850" w:type="dxa"/>
            <w:vAlign w:val="center"/>
          </w:tcPr>
          <w:p w14:paraId="3D09F190">
            <w:pPr>
              <w:pStyle w:val="34"/>
              <w:keepNext/>
              <w:spacing w:after="0" w:line="440" w:lineRule="exact"/>
              <w:ind w:left="63" w:right="63"/>
              <w:rPr>
                <w:rFonts w:ascii="宋体" w:hAnsi="宋体"/>
                <w:color w:val="000000"/>
                <w:sz w:val="24"/>
                <w:szCs w:val="24"/>
                <w:highlight w:val="none"/>
              </w:rPr>
            </w:pPr>
          </w:p>
        </w:tc>
      </w:tr>
    </w:tbl>
    <w:p w14:paraId="73B71CE6">
      <w:pPr>
        <w:spacing w:line="440" w:lineRule="exact"/>
        <w:rPr>
          <w:rFonts w:ascii="宋体" w:hAnsi="宋体"/>
          <w:b/>
          <w:color w:val="000000"/>
          <w:sz w:val="24"/>
          <w:szCs w:val="24"/>
          <w:highlight w:val="none"/>
        </w:rPr>
        <w:sectPr>
          <w:pgSz w:w="16838" w:h="11906" w:orient="landscape"/>
          <w:pgMar w:top="1554" w:right="1418" w:bottom="1531" w:left="1418" w:header="851" w:footer="992" w:gutter="0"/>
          <w:cols w:space="720" w:num="1"/>
          <w:titlePg/>
          <w:docGrid w:type="linesAndChars" w:linePitch="312" w:charSpace="0"/>
        </w:sectPr>
      </w:pPr>
    </w:p>
    <w:p w14:paraId="67183CC3">
      <w:pPr>
        <w:spacing w:line="440" w:lineRule="exact"/>
        <w:rPr>
          <w:rFonts w:ascii="宋体" w:hAnsi="宋体"/>
          <w:color w:val="000000"/>
          <w:sz w:val="24"/>
          <w:szCs w:val="24"/>
          <w:highlight w:val="none"/>
        </w:rPr>
      </w:pPr>
      <w:r>
        <w:rPr>
          <w:rFonts w:ascii="宋体" w:hAnsi="宋体"/>
          <w:color w:val="000000"/>
          <w:sz w:val="24"/>
          <w:szCs w:val="24"/>
          <w:highlight w:val="none"/>
        </w:rPr>
        <w:t>附</w:t>
      </w:r>
      <w:bookmarkStart w:id="990" w:name="_Toc296346726"/>
      <w:bookmarkStart w:id="991" w:name="_Toc267261692"/>
      <w:bookmarkStart w:id="992" w:name="_Toc296503225"/>
      <w:bookmarkStart w:id="993" w:name="_Toc296347224"/>
      <w:bookmarkStart w:id="994" w:name="_Toc296891053"/>
      <w:bookmarkStart w:id="995" w:name="_Toc296944564"/>
      <w:bookmarkStart w:id="996" w:name="_Toc296891265"/>
      <w:r>
        <w:rPr>
          <w:rFonts w:ascii="宋体" w:hAnsi="宋体"/>
          <w:color w:val="000000"/>
          <w:sz w:val="24"/>
          <w:szCs w:val="24"/>
          <w:highlight w:val="none"/>
        </w:rPr>
        <w:t>件2：</w:t>
      </w:r>
    </w:p>
    <w:bookmarkEnd w:id="990"/>
    <w:bookmarkEnd w:id="991"/>
    <w:bookmarkEnd w:id="992"/>
    <w:bookmarkEnd w:id="993"/>
    <w:bookmarkEnd w:id="994"/>
    <w:bookmarkEnd w:id="995"/>
    <w:bookmarkEnd w:id="996"/>
    <w:p w14:paraId="27E0015F">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24"/>
          <w:szCs w:val="24"/>
          <w:highlight w:val="none"/>
        </w:rPr>
        <w:t>发包人供应材料设备一览表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15"/>
        <w:gridCol w:w="1071"/>
        <w:gridCol w:w="1190"/>
        <w:gridCol w:w="788"/>
        <w:gridCol w:w="715"/>
        <w:gridCol w:w="902"/>
        <w:gridCol w:w="833"/>
        <w:gridCol w:w="716"/>
        <w:gridCol w:w="1251"/>
        <w:gridCol w:w="833"/>
      </w:tblGrid>
      <w:tr w14:paraId="02D20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98" w:type="pct"/>
            <w:tcBorders>
              <w:top w:val="single" w:color="auto" w:sz="12" w:space="0"/>
              <w:bottom w:val="double" w:color="auto" w:sz="6" w:space="0"/>
            </w:tcBorders>
            <w:vAlign w:val="center"/>
          </w:tcPr>
          <w:p w14:paraId="57A16F0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序号</w:t>
            </w:r>
          </w:p>
        </w:tc>
        <w:tc>
          <w:tcPr>
            <w:tcW w:w="596" w:type="pct"/>
            <w:tcBorders>
              <w:top w:val="single" w:color="auto" w:sz="12" w:space="0"/>
              <w:bottom w:val="double" w:color="auto" w:sz="6" w:space="0"/>
            </w:tcBorders>
            <w:vAlign w:val="center"/>
          </w:tcPr>
          <w:p w14:paraId="672C5CDE">
            <w:pPr>
              <w:pStyle w:val="34"/>
              <w:keepNext/>
              <w:spacing w:after="0" w:line="440" w:lineRule="exact"/>
              <w:ind w:left="63" w:right="63"/>
              <w:rPr>
                <w:rFonts w:ascii="宋体" w:hAnsi="宋体"/>
                <w:color w:val="000000"/>
                <w:sz w:val="24"/>
                <w:szCs w:val="24"/>
                <w:highlight w:val="none"/>
              </w:rPr>
            </w:pPr>
            <w:r>
              <w:rPr>
                <w:rFonts w:hint="eastAsia" w:ascii="宋体" w:hAnsi="宋体"/>
                <w:color w:val="000000"/>
                <w:sz w:val="24"/>
                <w:szCs w:val="24"/>
                <w:highlight w:val="none"/>
              </w:rPr>
              <w:t xml:space="preserve">  </w:t>
            </w:r>
            <w:r>
              <w:rPr>
                <w:rFonts w:ascii="宋体" w:hAnsi="宋体"/>
                <w:color w:val="000000"/>
                <w:sz w:val="24"/>
                <w:szCs w:val="24"/>
                <w:highlight w:val="none"/>
              </w:rPr>
              <w:t>材料、</w:t>
            </w:r>
          </w:p>
          <w:p w14:paraId="2BF392E2">
            <w:pPr>
              <w:pStyle w:val="34"/>
              <w:keepNext/>
              <w:spacing w:after="0" w:line="440" w:lineRule="exact"/>
              <w:ind w:right="63"/>
              <w:rPr>
                <w:rFonts w:ascii="宋体" w:hAnsi="宋体"/>
                <w:color w:val="000000"/>
                <w:sz w:val="24"/>
                <w:szCs w:val="24"/>
                <w:highlight w:val="none"/>
              </w:rPr>
            </w:pPr>
            <w:r>
              <w:rPr>
                <w:rFonts w:ascii="宋体" w:hAnsi="宋体"/>
                <w:color w:val="000000"/>
                <w:sz w:val="24"/>
                <w:szCs w:val="24"/>
                <w:highlight w:val="none"/>
              </w:rPr>
              <w:t>设备品种</w:t>
            </w:r>
          </w:p>
        </w:tc>
        <w:tc>
          <w:tcPr>
            <w:tcW w:w="662" w:type="pct"/>
            <w:tcBorders>
              <w:top w:val="single" w:color="auto" w:sz="12" w:space="0"/>
              <w:bottom w:val="double" w:color="auto" w:sz="6" w:space="0"/>
            </w:tcBorders>
            <w:vAlign w:val="center"/>
          </w:tcPr>
          <w:p w14:paraId="3A56A09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规格型号</w:t>
            </w:r>
          </w:p>
        </w:tc>
        <w:tc>
          <w:tcPr>
            <w:tcW w:w="439" w:type="pct"/>
            <w:tcBorders>
              <w:top w:val="single" w:color="auto" w:sz="12" w:space="0"/>
              <w:bottom w:val="double" w:color="auto" w:sz="6" w:space="0"/>
            </w:tcBorders>
            <w:vAlign w:val="center"/>
          </w:tcPr>
          <w:p w14:paraId="285BE5C6">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单位</w:t>
            </w:r>
          </w:p>
        </w:tc>
        <w:tc>
          <w:tcPr>
            <w:tcW w:w="398" w:type="pct"/>
            <w:tcBorders>
              <w:top w:val="single" w:color="auto" w:sz="12" w:space="0"/>
              <w:bottom w:val="double" w:color="auto" w:sz="6" w:space="0"/>
            </w:tcBorders>
            <w:vAlign w:val="center"/>
          </w:tcPr>
          <w:p w14:paraId="688AAEC0">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数量</w:t>
            </w:r>
          </w:p>
        </w:tc>
        <w:tc>
          <w:tcPr>
            <w:tcW w:w="488" w:type="pct"/>
            <w:tcBorders>
              <w:top w:val="single" w:color="auto" w:sz="12" w:space="0"/>
              <w:bottom w:val="double" w:color="auto" w:sz="6" w:space="0"/>
            </w:tcBorders>
            <w:vAlign w:val="center"/>
          </w:tcPr>
          <w:p w14:paraId="2B5EE314">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单价</w:t>
            </w:r>
            <w:r>
              <w:rPr>
                <w:rFonts w:hint="eastAsia" w:ascii="宋体" w:hAnsi="宋体"/>
                <w:color w:val="000000"/>
                <w:sz w:val="24"/>
                <w:szCs w:val="24"/>
                <w:highlight w:val="none"/>
              </w:rPr>
              <w:t>（元）</w:t>
            </w:r>
          </w:p>
        </w:tc>
        <w:tc>
          <w:tcPr>
            <w:tcW w:w="463" w:type="pct"/>
            <w:tcBorders>
              <w:top w:val="single" w:color="auto" w:sz="12" w:space="0"/>
              <w:bottom w:val="double" w:color="auto" w:sz="6" w:space="0"/>
            </w:tcBorders>
            <w:vAlign w:val="center"/>
          </w:tcPr>
          <w:p w14:paraId="723A3C3F">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质量等级</w:t>
            </w:r>
          </w:p>
        </w:tc>
        <w:tc>
          <w:tcPr>
            <w:tcW w:w="398" w:type="pct"/>
            <w:tcBorders>
              <w:top w:val="single" w:color="auto" w:sz="12" w:space="0"/>
              <w:bottom w:val="double" w:color="auto" w:sz="6" w:space="0"/>
            </w:tcBorders>
            <w:vAlign w:val="center"/>
          </w:tcPr>
          <w:p w14:paraId="3F262FC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供应时间</w:t>
            </w:r>
          </w:p>
        </w:tc>
        <w:tc>
          <w:tcPr>
            <w:tcW w:w="695" w:type="pct"/>
            <w:tcBorders>
              <w:top w:val="single" w:color="auto" w:sz="12" w:space="0"/>
              <w:bottom w:val="double" w:color="auto" w:sz="6" w:space="0"/>
            </w:tcBorders>
            <w:vAlign w:val="center"/>
          </w:tcPr>
          <w:p w14:paraId="3702C420">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送达地点</w:t>
            </w:r>
          </w:p>
        </w:tc>
        <w:tc>
          <w:tcPr>
            <w:tcW w:w="463" w:type="pct"/>
            <w:tcBorders>
              <w:top w:val="single" w:color="auto" w:sz="12" w:space="0"/>
              <w:bottom w:val="double" w:color="auto" w:sz="6" w:space="0"/>
            </w:tcBorders>
            <w:vAlign w:val="center"/>
          </w:tcPr>
          <w:p w14:paraId="002ABE45">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备注</w:t>
            </w:r>
          </w:p>
        </w:tc>
      </w:tr>
      <w:tr w14:paraId="49CA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tcBorders>
              <w:top w:val="double" w:color="auto" w:sz="6" w:space="0"/>
              <w:bottom w:val="single" w:color="auto" w:sz="6" w:space="0"/>
            </w:tcBorders>
            <w:vAlign w:val="center"/>
          </w:tcPr>
          <w:p w14:paraId="4EF6FFFF">
            <w:pPr>
              <w:pStyle w:val="34"/>
              <w:keepNext/>
              <w:spacing w:after="0" w:line="440" w:lineRule="exact"/>
              <w:ind w:left="63" w:right="63"/>
              <w:rPr>
                <w:rFonts w:ascii="宋体" w:hAnsi="宋体"/>
                <w:color w:val="000000"/>
                <w:sz w:val="24"/>
                <w:szCs w:val="24"/>
                <w:highlight w:val="none"/>
              </w:rPr>
            </w:pPr>
          </w:p>
        </w:tc>
        <w:tc>
          <w:tcPr>
            <w:tcW w:w="596" w:type="pct"/>
            <w:tcBorders>
              <w:top w:val="double" w:color="auto" w:sz="6" w:space="0"/>
              <w:bottom w:val="single" w:color="auto" w:sz="6" w:space="0"/>
            </w:tcBorders>
            <w:vAlign w:val="center"/>
          </w:tcPr>
          <w:p w14:paraId="74C7C7B1">
            <w:pPr>
              <w:pStyle w:val="34"/>
              <w:keepNext/>
              <w:spacing w:after="0" w:line="440" w:lineRule="exact"/>
              <w:ind w:left="63" w:right="63"/>
              <w:rPr>
                <w:rFonts w:ascii="宋体" w:hAnsi="宋体"/>
                <w:color w:val="000000"/>
                <w:sz w:val="24"/>
                <w:szCs w:val="24"/>
                <w:highlight w:val="none"/>
              </w:rPr>
            </w:pPr>
          </w:p>
        </w:tc>
        <w:tc>
          <w:tcPr>
            <w:tcW w:w="662" w:type="pct"/>
            <w:tcBorders>
              <w:top w:val="double" w:color="auto" w:sz="6" w:space="0"/>
              <w:bottom w:val="single" w:color="auto" w:sz="6" w:space="0"/>
            </w:tcBorders>
            <w:vAlign w:val="center"/>
          </w:tcPr>
          <w:p w14:paraId="2F44CB10">
            <w:pPr>
              <w:pStyle w:val="34"/>
              <w:keepNext/>
              <w:spacing w:after="0" w:line="440" w:lineRule="exact"/>
              <w:ind w:left="63" w:right="63"/>
              <w:rPr>
                <w:rFonts w:ascii="宋体" w:hAnsi="宋体"/>
                <w:color w:val="000000"/>
                <w:sz w:val="24"/>
                <w:szCs w:val="24"/>
                <w:highlight w:val="none"/>
              </w:rPr>
            </w:pPr>
          </w:p>
        </w:tc>
        <w:tc>
          <w:tcPr>
            <w:tcW w:w="439" w:type="pct"/>
            <w:tcBorders>
              <w:top w:val="double" w:color="auto" w:sz="6" w:space="0"/>
              <w:bottom w:val="single" w:color="auto" w:sz="6" w:space="0"/>
            </w:tcBorders>
            <w:vAlign w:val="center"/>
          </w:tcPr>
          <w:p w14:paraId="7D2EDEBB">
            <w:pPr>
              <w:pStyle w:val="34"/>
              <w:keepNext/>
              <w:spacing w:after="0" w:line="440" w:lineRule="exact"/>
              <w:ind w:left="63" w:right="63"/>
              <w:rPr>
                <w:rFonts w:ascii="宋体" w:hAnsi="宋体"/>
                <w:color w:val="000000"/>
                <w:sz w:val="24"/>
                <w:szCs w:val="24"/>
                <w:highlight w:val="none"/>
              </w:rPr>
            </w:pPr>
          </w:p>
        </w:tc>
        <w:tc>
          <w:tcPr>
            <w:tcW w:w="398" w:type="pct"/>
            <w:tcBorders>
              <w:top w:val="double" w:color="auto" w:sz="6" w:space="0"/>
              <w:bottom w:val="single" w:color="auto" w:sz="6" w:space="0"/>
            </w:tcBorders>
            <w:vAlign w:val="center"/>
          </w:tcPr>
          <w:p w14:paraId="0A239570">
            <w:pPr>
              <w:pStyle w:val="34"/>
              <w:keepNext/>
              <w:spacing w:after="0" w:line="440" w:lineRule="exact"/>
              <w:ind w:left="63" w:right="63"/>
              <w:rPr>
                <w:rFonts w:ascii="宋体" w:hAnsi="宋体"/>
                <w:color w:val="000000"/>
                <w:sz w:val="24"/>
                <w:szCs w:val="24"/>
                <w:highlight w:val="none"/>
              </w:rPr>
            </w:pPr>
          </w:p>
        </w:tc>
        <w:tc>
          <w:tcPr>
            <w:tcW w:w="488" w:type="pct"/>
            <w:tcBorders>
              <w:top w:val="double" w:color="auto" w:sz="6" w:space="0"/>
              <w:bottom w:val="single" w:color="auto" w:sz="6" w:space="0"/>
            </w:tcBorders>
            <w:vAlign w:val="center"/>
          </w:tcPr>
          <w:p w14:paraId="12289393">
            <w:pPr>
              <w:pStyle w:val="34"/>
              <w:keepNext/>
              <w:spacing w:after="0" w:line="440" w:lineRule="exact"/>
              <w:ind w:left="63" w:right="63"/>
              <w:rPr>
                <w:rFonts w:ascii="宋体" w:hAnsi="宋体"/>
                <w:color w:val="000000"/>
                <w:sz w:val="24"/>
                <w:szCs w:val="24"/>
                <w:highlight w:val="none"/>
              </w:rPr>
            </w:pPr>
          </w:p>
        </w:tc>
        <w:tc>
          <w:tcPr>
            <w:tcW w:w="463" w:type="pct"/>
            <w:tcBorders>
              <w:top w:val="double" w:color="auto" w:sz="6" w:space="0"/>
              <w:bottom w:val="single" w:color="auto" w:sz="6" w:space="0"/>
            </w:tcBorders>
            <w:vAlign w:val="center"/>
          </w:tcPr>
          <w:p w14:paraId="39B2367C">
            <w:pPr>
              <w:pStyle w:val="34"/>
              <w:keepNext/>
              <w:spacing w:after="0" w:line="440" w:lineRule="exact"/>
              <w:ind w:left="63" w:right="63"/>
              <w:rPr>
                <w:rFonts w:ascii="宋体" w:hAnsi="宋体"/>
                <w:color w:val="000000"/>
                <w:sz w:val="24"/>
                <w:szCs w:val="24"/>
                <w:highlight w:val="none"/>
              </w:rPr>
            </w:pPr>
          </w:p>
        </w:tc>
        <w:tc>
          <w:tcPr>
            <w:tcW w:w="398" w:type="pct"/>
            <w:tcBorders>
              <w:top w:val="double" w:color="auto" w:sz="6" w:space="0"/>
              <w:bottom w:val="single" w:color="auto" w:sz="6" w:space="0"/>
            </w:tcBorders>
            <w:vAlign w:val="center"/>
          </w:tcPr>
          <w:p w14:paraId="04E102D9">
            <w:pPr>
              <w:pStyle w:val="34"/>
              <w:keepNext/>
              <w:spacing w:after="0" w:line="440" w:lineRule="exact"/>
              <w:ind w:left="63" w:right="63"/>
              <w:rPr>
                <w:rFonts w:ascii="宋体" w:hAnsi="宋体"/>
                <w:color w:val="000000"/>
                <w:sz w:val="24"/>
                <w:szCs w:val="24"/>
                <w:highlight w:val="none"/>
              </w:rPr>
            </w:pPr>
          </w:p>
        </w:tc>
        <w:tc>
          <w:tcPr>
            <w:tcW w:w="695" w:type="pct"/>
            <w:tcBorders>
              <w:top w:val="double" w:color="auto" w:sz="6" w:space="0"/>
              <w:bottom w:val="single" w:color="auto" w:sz="6" w:space="0"/>
            </w:tcBorders>
            <w:vAlign w:val="center"/>
          </w:tcPr>
          <w:p w14:paraId="47370377">
            <w:pPr>
              <w:pStyle w:val="34"/>
              <w:keepNext/>
              <w:spacing w:after="0" w:line="440" w:lineRule="exact"/>
              <w:ind w:left="63" w:right="63"/>
              <w:rPr>
                <w:rFonts w:ascii="宋体" w:hAnsi="宋体"/>
                <w:color w:val="000000"/>
                <w:sz w:val="24"/>
                <w:szCs w:val="24"/>
                <w:highlight w:val="none"/>
              </w:rPr>
            </w:pPr>
          </w:p>
        </w:tc>
        <w:tc>
          <w:tcPr>
            <w:tcW w:w="463" w:type="pct"/>
            <w:tcBorders>
              <w:top w:val="double" w:color="auto" w:sz="6" w:space="0"/>
              <w:bottom w:val="single" w:color="auto" w:sz="6" w:space="0"/>
            </w:tcBorders>
            <w:vAlign w:val="center"/>
          </w:tcPr>
          <w:p w14:paraId="248CD4C2">
            <w:pPr>
              <w:pStyle w:val="34"/>
              <w:keepNext/>
              <w:spacing w:after="0" w:line="440" w:lineRule="exact"/>
              <w:ind w:left="63" w:right="63"/>
              <w:rPr>
                <w:rFonts w:ascii="宋体" w:hAnsi="宋体"/>
                <w:color w:val="000000"/>
                <w:sz w:val="24"/>
                <w:szCs w:val="24"/>
                <w:highlight w:val="none"/>
              </w:rPr>
            </w:pPr>
          </w:p>
        </w:tc>
      </w:tr>
      <w:tr w14:paraId="5E0BD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tcBorders>
              <w:top w:val="nil"/>
            </w:tcBorders>
            <w:vAlign w:val="center"/>
          </w:tcPr>
          <w:p w14:paraId="05EE6D95">
            <w:pPr>
              <w:pStyle w:val="34"/>
              <w:keepNext/>
              <w:spacing w:after="0" w:line="440" w:lineRule="exact"/>
              <w:ind w:left="63" w:right="63"/>
              <w:rPr>
                <w:rFonts w:ascii="宋体" w:hAnsi="宋体"/>
                <w:color w:val="000000"/>
                <w:sz w:val="24"/>
                <w:szCs w:val="24"/>
                <w:highlight w:val="none"/>
              </w:rPr>
            </w:pPr>
          </w:p>
        </w:tc>
        <w:tc>
          <w:tcPr>
            <w:tcW w:w="596" w:type="pct"/>
            <w:tcBorders>
              <w:top w:val="nil"/>
            </w:tcBorders>
            <w:vAlign w:val="center"/>
          </w:tcPr>
          <w:p w14:paraId="26EE91B2">
            <w:pPr>
              <w:pStyle w:val="34"/>
              <w:keepNext/>
              <w:spacing w:after="0" w:line="440" w:lineRule="exact"/>
              <w:ind w:left="63" w:right="63"/>
              <w:rPr>
                <w:rFonts w:ascii="宋体" w:hAnsi="宋体"/>
                <w:color w:val="000000"/>
                <w:sz w:val="24"/>
                <w:szCs w:val="24"/>
                <w:highlight w:val="none"/>
              </w:rPr>
            </w:pPr>
          </w:p>
        </w:tc>
        <w:tc>
          <w:tcPr>
            <w:tcW w:w="662" w:type="pct"/>
            <w:tcBorders>
              <w:top w:val="nil"/>
            </w:tcBorders>
            <w:vAlign w:val="center"/>
          </w:tcPr>
          <w:p w14:paraId="295825B8">
            <w:pPr>
              <w:pStyle w:val="34"/>
              <w:keepNext/>
              <w:spacing w:after="0" w:line="440" w:lineRule="exact"/>
              <w:ind w:left="63" w:right="63"/>
              <w:rPr>
                <w:rFonts w:ascii="宋体" w:hAnsi="宋体"/>
                <w:color w:val="000000"/>
                <w:sz w:val="24"/>
                <w:szCs w:val="24"/>
                <w:highlight w:val="none"/>
              </w:rPr>
            </w:pPr>
          </w:p>
        </w:tc>
        <w:tc>
          <w:tcPr>
            <w:tcW w:w="439" w:type="pct"/>
            <w:tcBorders>
              <w:top w:val="nil"/>
            </w:tcBorders>
            <w:vAlign w:val="center"/>
          </w:tcPr>
          <w:p w14:paraId="35ABC555">
            <w:pPr>
              <w:pStyle w:val="34"/>
              <w:keepNext/>
              <w:spacing w:after="0" w:line="440" w:lineRule="exact"/>
              <w:ind w:left="63" w:right="63"/>
              <w:rPr>
                <w:rFonts w:ascii="宋体" w:hAnsi="宋体"/>
                <w:color w:val="000000"/>
                <w:sz w:val="24"/>
                <w:szCs w:val="24"/>
                <w:highlight w:val="none"/>
              </w:rPr>
            </w:pPr>
          </w:p>
        </w:tc>
        <w:tc>
          <w:tcPr>
            <w:tcW w:w="398" w:type="pct"/>
            <w:tcBorders>
              <w:top w:val="nil"/>
            </w:tcBorders>
            <w:vAlign w:val="center"/>
          </w:tcPr>
          <w:p w14:paraId="19BE1E48">
            <w:pPr>
              <w:pStyle w:val="34"/>
              <w:keepNext/>
              <w:spacing w:after="0" w:line="440" w:lineRule="exact"/>
              <w:ind w:left="63" w:right="63"/>
              <w:rPr>
                <w:rFonts w:ascii="宋体" w:hAnsi="宋体"/>
                <w:color w:val="000000"/>
                <w:sz w:val="24"/>
                <w:szCs w:val="24"/>
                <w:highlight w:val="none"/>
              </w:rPr>
            </w:pPr>
          </w:p>
        </w:tc>
        <w:tc>
          <w:tcPr>
            <w:tcW w:w="488" w:type="pct"/>
            <w:tcBorders>
              <w:top w:val="nil"/>
            </w:tcBorders>
            <w:vAlign w:val="center"/>
          </w:tcPr>
          <w:p w14:paraId="2D9C5FD0">
            <w:pPr>
              <w:pStyle w:val="34"/>
              <w:keepNext/>
              <w:spacing w:after="0" w:line="440" w:lineRule="exact"/>
              <w:ind w:left="63" w:right="63"/>
              <w:rPr>
                <w:rFonts w:ascii="宋体" w:hAnsi="宋体"/>
                <w:color w:val="000000"/>
                <w:sz w:val="24"/>
                <w:szCs w:val="24"/>
                <w:highlight w:val="none"/>
              </w:rPr>
            </w:pPr>
          </w:p>
        </w:tc>
        <w:tc>
          <w:tcPr>
            <w:tcW w:w="463" w:type="pct"/>
            <w:tcBorders>
              <w:top w:val="nil"/>
            </w:tcBorders>
            <w:vAlign w:val="center"/>
          </w:tcPr>
          <w:p w14:paraId="6314761E">
            <w:pPr>
              <w:pStyle w:val="34"/>
              <w:keepNext/>
              <w:spacing w:after="0" w:line="440" w:lineRule="exact"/>
              <w:ind w:left="63" w:right="63"/>
              <w:rPr>
                <w:rFonts w:ascii="宋体" w:hAnsi="宋体"/>
                <w:color w:val="000000"/>
                <w:sz w:val="24"/>
                <w:szCs w:val="24"/>
                <w:highlight w:val="none"/>
              </w:rPr>
            </w:pPr>
          </w:p>
        </w:tc>
        <w:tc>
          <w:tcPr>
            <w:tcW w:w="398" w:type="pct"/>
            <w:tcBorders>
              <w:top w:val="nil"/>
            </w:tcBorders>
            <w:vAlign w:val="center"/>
          </w:tcPr>
          <w:p w14:paraId="230448A6">
            <w:pPr>
              <w:pStyle w:val="34"/>
              <w:keepNext/>
              <w:spacing w:after="0" w:line="440" w:lineRule="exact"/>
              <w:ind w:left="63" w:right="63"/>
              <w:rPr>
                <w:rFonts w:ascii="宋体" w:hAnsi="宋体"/>
                <w:color w:val="000000"/>
                <w:sz w:val="24"/>
                <w:szCs w:val="24"/>
                <w:highlight w:val="none"/>
              </w:rPr>
            </w:pPr>
          </w:p>
        </w:tc>
        <w:tc>
          <w:tcPr>
            <w:tcW w:w="695" w:type="pct"/>
            <w:tcBorders>
              <w:top w:val="nil"/>
            </w:tcBorders>
            <w:vAlign w:val="center"/>
          </w:tcPr>
          <w:p w14:paraId="7663C36C">
            <w:pPr>
              <w:pStyle w:val="34"/>
              <w:keepNext/>
              <w:spacing w:after="0" w:line="440" w:lineRule="exact"/>
              <w:ind w:left="63" w:right="63"/>
              <w:rPr>
                <w:rFonts w:ascii="宋体" w:hAnsi="宋体"/>
                <w:color w:val="000000"/>
                <w:sz w:val="24"/>
                <w:szCs w:val="24"/>
                <w:highlight w:val="none"/>
              </w:rPr>
            </w:pPr>
          </w:p>
        </w:tc>
        <w:tc>
          <w:tcPr>
            <w:tcW w:w="463" w:type="pct"/>
            <w:tcBorders>
              <w:top w:val="nil"/>
            </w:tcBorders>
            <w:vAlign w:val="center"/>
          </w:tcPr>
          <w:p w14:paraId="6C4CEC22">
            <w:pPr>
              <w:pStyle w:val="34"/>
              <w:keepNext/>
              <w:spacing w:after="0" w:line="440" w:lineRule="exact"/>
              <w:ind w:left="63" w:right="63"/>
              <w:rPr>
                <w:rFonts w:ascii="宋体" w:hAnsi="宋体"/>
                <w:color w:val="000000"/>
                <w:sz w:val="24"/>
                <w:szCs w:val="24"/>
                <w:highlight w:val="none"/>
              </w:rPr>
            </w:pPr>
          </w:p>
        </w:tc>
      </w:tr>
      <w:tr w14:paraId="0E798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07141B44">
            <w:pPr>
              <w:pStyle w:val="34"/>
              <w:keepNext/>
              <w:spacing w:after="0" w:line="440" w:lineRule="exact"/>
              <w:ind w:left="63" w:right="63"/>
              <w:rPr>
                <w:rFonts w:ascii="宋体" w:hAnsi="宋体"/>
                <w:color w:val="000000"/>
                <w:sz w:val="24"/>
                <w:szCs w:val="24"/>
                <w:highlight w:val="none"/>
              </w:rPr>
            </w:pPr>
          </w:p>
        </w:tc>
        <w:tc>
          <w:tcPr>
            <w:tcW w:w="596" w:type="pct"/>
            <w:vAlign w:val="center"/>
          </w:tcPr>
          <w:p w14:paraId="2966C47D">
            <w:pPr>
              <w:pStyle w:val="34"/>
              <w:keepNext/>
              <w:spacing w:after="0" w:line="440" w:lineRule="exact"/>
              <w:ind w:left="63" w:right="63"/>
              <w:rPr>
                <w:rFonts w:ascii="宋体" w:hAnsi="宋体"/>
                <w:color w:val="000000"/>
                <w:sz w:val="24"/>
                <w:szCs w:val="24"/>
                <w:highlight w:val="none"/>
              </w:rPr>
            </w:pPr>
          </w:p>
        </w:tc>
        <w:tc>
          <w:tcPr>
            <w:tcW w:w="662" w:type="pct"/>
            <w:vAlign w:val="center"/>
          </w:tcPr>
          <w:p w14:paraId="668CBF82">
            <w:pPr>
              <w:pStyle w:val="34"/>
              <w:keepNext/>
              <w:spacing w:after="0" w:line="440" w:lineRule="exact"/>
              <w:ind w:left="63" w:right="63"/>
              <w:rPr>
                <w:rFonts w:ascii="宋体" w:hAnsi="宋体"/>
                <w:color w:val="000000"/>
                <w:sz w:val="24"/>
                <w:szCs w:val="24"/>
                <w:highlight w:val="none"/>
              </w:rPr>
            </w:pPr>
          </w:p>
        </w:tc>
        <w:tc>
          <w:tcPr>
            <w:tcW w:w="439" w:type="pct"/>
            <w:vAlign w:val="center"/>
          </w:tcPr>
          <w:p w14:paraId="409BBEBC">
            <w:pPr>
              <w:pStyle w:val="34"/>
              <w:keepNext/>
              <w:spacing w:after="0" w:line="440" w:lineRule="exact"/>
              <w:ind w:left="63" w:right="63"/>
              <w:rPr>
                <w:rFonts w:ascii="宋体" w:hAnsi="宋体"/>
                <w:color w:val="000000"/>
                <w:sz w:val="24"/>
                <w:szCs w:val="24"/>
                <w:highlight w:val="none"/>
              </w:rPr>
            </w:pPr>
          </w:p>
        </w:tc>
        <w:tc>
          <w:tcPr>
            <w:tcW w:w="398" w:type="pct"/>
            <w:vAlign w:val="center"/>
          </w:tcPr>
          <w:p w14:paraId="31F10A57">
            <w:pPr>
              <w:pStyle w:val="34"/>
              <w:keepNext/>
              <w:spacing w:after="0" w:line="440" w:lineRule="exact"/>
              <w:ind w:left="63" w:right="63"/>
              <w:rPr>
                <w:rFonts w:ascii="宋体" w:hAnsi="宋体"/>
                <w:color w:val="000000"/>
                <w:sz w:val="24"/>
                <w:szCs w:val="24"/>
                <w:highlight w:val="none"/>
              </w:rPr>
            </w:pPr>
          </w:p>
        </w:tc>
        <w:tc>
          <w:tcPr>
            <w:tcW w:w="488" w:type="pct"/>
            <w:vAlign w:val="center"/>
          </w:tcPr>
          <w:p w14:paraId="07266F7F">
            <w:pPr>
              <w:pStyle w:val="34"/>
              <w:keepNext/>
              <w:spacing w:after="0" w:line="440" w:lineRule="exact"/>
              <w:ind w:left="63" w:right="63"/>
              <w:rPr>
                <w:rFonts w:ascii="宋体" w:hAnsi="宋体"/>
                <w:color w:val="000000"/>
                <w:sz w:val="24"/>
                <w:szCs w:val="24"/>
                <w:highlight w:val="none"/>
              </w:rPr>
            </w:pPr>
          </w:p>
        </w:tc>
        <w:tc>
          <w:tcPr>
            <w:tcW w:w="463" w:type="pct"/>
            <w:vAlign w:val="center"/>
          </w:tcPr>
          <w:p w14:paraId="688FFDFA">
            <w:pPr>
              <w:pStyle w:val="34"/>
              <w:keepNext/>
              <w:spacing w:after="0" w:line="440" w:lineRule="exact"/>
              <w:ind w:left="63" w:right="63"/>
              <w:rPr>
                <w:rFonts w:ascii="宋体" w:hAnsi="宋体"/>
                <w:color w:val="000000"/>
                <w:sz w:val="24"/>
                <w:szCs w:val="24"/>
                <w:highlight w:val="none"/>
              </w:rPr>
            </w:pPr>
          </w:p>
        </w:tc>
        <w:tc>
          <w:tcPr>
            <w:tcW w:w="398" w:type="pct"/>
            <w:vAlign w:val="center"/>
          </w:tcPr>
          <w:p w14:paraId="770F4B6A">
            <w:pPr>
              <w:pStyle w:val="34"/>
              <w:keepNext/>
              <w:spacing w:after="0" w:line="440" w:lineRule="exact"/>
              <w:ind w:left="63" w:right="63"/>
              <w:rPr>
                <w:rFonts w:ascii="宋体" w:hAnsi="宋体"/>
                <w:color w:val="000000"/>
                <w:sz w:val="24"/>
                <w:szCs w:val="24"/>
                <w:highlight w:val="none"/>
              </w:rPr>
            </w:pPr>
          </w:p>
        </w:tc>
        <w:tc>
          <w:tcPr>
            <w:tcW w:w="695" w:type="pct"/>
            <w:vAlign w:val="center"/>
          </w:tcPr>
          <w:p w14:paraId="20CD1B6B">
            <w:pPr>
              <w:pStyle w:val="34"/>
              <w:keepNext/>
              <w:spacing w:after="0" w:line="440" w:lineRule="exact"/>
              <w:ind w:left="63" w:right="63"/>
              <w:rPr>
                <w:rFonts w:ascii="宋体" w:hAnsi="宋体"/>
                <w:color w:val="000000"/>
                <w:sz w:val="24"/>
                <w:szCs w:val="24"/>
                <w:highlight w:val="none"/>
              </w:rPr>
            </w:pPr>
          </w:p>
        </w:tc>
        <w:tc>
          <w:tcPr>
            <w:tcW w:w="463" w:type="pct"/>
            <w:vAlign w:val="center"/>
          </w:tcPr>
          <w:p w14:paraId="77A19FB9">
            <w:pPr>
              <w:pStyle w:val="34"/>
              <w:keepNext/>
              <w:spacing w:after="0" w:line="440" w:lineRule="exact"/>
              <w:ind w:left="63" w:right="63"/>
              <w:rPr>
                <w:rFonts w:ascii="宋体" w:hAnsi="宋体"/>
                <w:color w:val="000000"/>
                <w:sz w:val="24"/>
                <w:szCs w:val="24"/>
                <w:highlight w:val="none"/>
              </w:rPr>
            </w:pPr>
          </w:p>
        </w:tc>
      </w:tr>
      <w:tr w14:paraId="05793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66C32D29">
            <w:pPr>
              <w:pStyle w:val="34"/>
              <w:keepNext/>
              <w:spacing w:after="0" w:line="440" w:lineRule="exact"/>
              <w:ind w:left="63" w:right="63"/>
              <w:rPr>
                <w:rFonts w:ascii="宋体" w:hAnsi="宋体"/>
                <w:color w:val="000000"/>
                <w:sz w:val="24"/>
                <w:szCs w:val="24"/>
                <w:highlight w:val="none"/>
              </w:rPr>
            </w:pPr>
          </w:p>
        </w:tc>
        <w:tc>
          <w:tcPr>
            <w:tcW w:w="596" w:type="pct"/>
            <w:vAlign w:val="center"/>
          </w:tcPr>
          <w:p w14:paraId="68A8733B">
            <w:pPr>
              <w:pStyle w:val="34"/>
              <w:keepNext/>
              <w:spacing w:after="0" w:line="440" w:lineRule="exact"/>
              <w:ind w:left="63" w:right="63"/>
              <w:rPr>
                <w:rFonts w:ascii="宋体" w:hAnsi="宋体"/>
                <w:color w:val="000000"/>
                <w:sz w:val="24"/>
                <w:szCs w:val="24"/>
                <w:highlight w:val="none"/>
              </w:rPr>
            </w:pPr>
          </w:p>
        </w:tc>
        <w:tc>
          <w:tcPr>
            <w:tcW w:w="662" w:type="pct"/>
            <w:vAlign w:val="center"/>
          </w:tcPr>
          <w:p w14:paraId="21598982">
            <w:pPr>
              <w:pStyle w:val="34"/>
              <w:keepNext/>
              <w:spacing w:after="0" w:line="440" w:lineRule="exact"/>
              <w:ind w:left="63" w:right="63"/>
              <w:rPr>
                <w:rFonts w:ascii="宋体" w:hAnsi="宋体"/>
                <w:color w:val="000000"/>
                <w:sz w:val="24"/>
                <w:szCs w:val="24"/>
                <w:highlight w:val="none"/>
              </w:rPr>
            </w:pPr>
          </w:p>
        </w:tc>
        <w:tc>
          <w:tcPr>
            <w:tcW w:w="439" w:type="pct"/>
            <w:vAlign w:val="center"/>
          </w:tcPr>
          <w:p w14:paraId="02FD095C">
            <w:pPr>
              <w:pStyle w:val="34"/>
              <w:keepNext/>
              <w:spacing w:after="0" w:line="440" w:lineRule="exact"/>
              <w:ind w:left="63" w:right="63"/>
              <w:rPr>
                <w:rFonts w:ascii="宋体" w:hAnsi="宋体"/>
                <w:color w:val="000000"/>
                <w:sz w:val="24"/>
                <w:szCs w:val="24"/>
                <w:highlight w:val="none"/>
              </w:rPr>
            </w:pPr>
          </w:p>
        </w:tc>
        <w:tc>
          <w:tcPr>
            <w:tcW w:w="398" w:type="pct"/>
            <w:vAlign w:val="center"/>
          </w:tcPr>
          <w:p w14:paraId="405CCCB0">
            <w:pPr>
              <w:pStyle w:val="34"/>
              <w:keepNext/>
              <w:spacing w:after="0" w:line="440" w:lineRule="exact"/>
              <w:ind w:left="63" w:right="63"/>
              <w:rPr>
                <w:rFonts w:ascii="宋体" w:hAnsi="宋体"/>
                <w:color w:val="000000"/>
                <w:sz w:val="24"/>
                <w:szCs w:val="24"/>
                <w:highlight w:val="none"/>
              </w:rPr>
            </w:pPr>
          </w:p>
        </w:tc>
        <w:tc>
          <w:tcPr>
            <w:tcW w:w="488" w:type="pct"/>
            <w:vAlign w:val="center"/>
          </w:tcPr>
          <w:p w14:paraId="4325539B">
            <w:pPr>
              <w:pStyle w:val="34"/>
              <w:keepNext/>
              <w:spacing w:after="0" w:line="440" w:lineRule="exact"/>
              <w:ind w:left="63" w:right="63"/>
              <w:rPr>
                <w:rFonts w:ascii="宋体" w:hAnsi="宋体"/>
                <w:color w:val="000000"/>
                <w:sz w:val="24"/>
                <w:szCs w:val="24"/>
                <w:highlight w:val="none"/>
              </w:rPr>
            </w:pPr>
          </w:p>
        </w:tc>
        <w:tc>
          <w:tcPr>
            <w:tcW w:w="463" w:type="pct"/>
            <w:vAlign w:val="center"/>
          </w:tcPr>
          <w:p w14:paraId="0A053FB9">
            <w:pPr>
              <w:pStyle w:val="34"/>
              <w:keepNext/>
              <w:spacing w:after="0" w:line="440" w:lineRule="exact"/>
              <w:ind w:left="63" w:right="63"/>
              <w:rPr>
                <w:rFonts w:ascii="宋体" w:hAnsi="宋体"/>
                <w:color w:val="000000"/>
                <w:sz w:val="24"/>
                <w:szCs w:val="24"/>
                <w:highlight w:val="none"/>
              </w:rPr>
            </w:pPr>
          </w:p>
        </w:tc>
        <w:tc>
          <w:tcPr>
            <w:tcW w:w="398" w:type="pct"/>
            <w:vAlign w:val="center"/>
          </w:tcPr>
          <w:p w14:paraId="066A4A97">
            <w:pPr>
              <w:pStyle w:val="34"/>
              <w:keepNext/>
              <w:spacing w:after="0" w:line="440" w:lineRule="exact"/>
              <w:ind w:left="63" w:right="63"/>
              <w:rPr>
                <w:rFonts w:ascii="宋体" w:hAnsi="宋体"/>
                <w:color w:val="000000"/>
                <w:sz w:val="24"/>
                <w:szCs w:val="24"/>
                <w:highlight w:val="none"/>
              </w:rPr>
            </w:pPr>
          </w:p>
        </w:tc>
        <w:tc>
          <w:tcPr>
            <w:tcW w:w="695" w:type="pct"/>
            <w:vAlign w:val="center"/>
          </w:tcPr>
          <w:p w14:paraId="36BC470B">
            <w:pPr>
              <w:pStyle w:val="34"/>
              <w:keepNext/>
              <w:spacing w:after="0" w:line="440" w:lineRule="exact"/>
              <w:ind w:left="63" w:right="63"/>
              <w:rPr>
                <w:rFonts w:ascii="宋体" w:hAnsi="宋体"/>
                <w:color w:val="000000"/>
                <w:sz w:val="24"/>
                <w:szCs w:val="24"/>
                <w:highlight w:val="none"/>
              </w:rPr>
            </w:pPr>
          </w:p>
        </w:tc>
        <w:tc>
          <w:tcPr>
            <w:tcW w:w="463" w:type="pct"/>
            <w:vAlign w:val="center"/>
          </w:tcPr>
          <w:p w14:paraId="6FFE2FB5">
            <w:pPr>
              <w:pStyle w:val="34"/>
              <w:keepNext/>
              <w:spacing w:after="0" w:line="440" w:lineRule="exact"/>
              <w:ind w:left="63" w:right="63"/>
              <w:rPr>
                <w:rFonts w:ascii="宋体" w:hAnsi="宋体"/>
                <w:color w:val="000000"/>
                <w:sz w:val="24"/>
                <w:szCs w:val="24"/>
                <w:highlight w:val="none"/>
              </w:rPr>
            </w:pPr>
          </w:p>
        </w:tc>
      </w:tr>
      <w:tr w14:paraId="6CA8B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15D5907B">
            <w:pPr>
              <w:pStyle w:val="34"/>
              <w:keepNext/>
              <w:spacing w:after="0" w:line="440" w:lineRule="exact"/>
              <w:ind w:left="63" w:right="63"/>
              <w:rPr>
                <w:rFonts w:ascii="宋体" w:hAnsi="宋体"/>
                <w:color w:val="000000"/>
                <w:sz w:val="24"/>
                <w:szCs w:val="24"/>
                <w:highlight w:val="none"/>
              </w:rPr>
            </w:pPr>
          </w:p>
        </w:tc>
        <w:tc>
          <w:tcPr>
            <w:tcW w:w="596" w:type="pct"/>
            <w:vAlign w:val="center"/>
          </w:tcPr>
          <w:p w14:paraId="3D147861">
            <w:pPr>
              <w:pStyle w:val="34"/>
              <w:keepNext/>
              <w:spacing w:after="0" w:line="440" w:lineRule="exact"/>
              <w:ind w:left="63" w:right="63"/>
              <w:rPr>
                <w:rFonts w:ascii="宋体" w:hAnsi="宋体"/>
                <w:color w:val="000000"/>
                <w:sz w:val="24"/>
                <w:szCs w:val="24"/>
                <w:highlight w:val="none"/>
              </w:rPr>
            </w:pPr>
          </w:p>
        </w:tc>
        <w:tc>
          <w:tcPr>
            <w:tcW w:w="662" w:type="pct"/>
            <w:vAlign w:val="center"/>
          </w:tcPr>
          <w:p w14:paraId="555AF5D5">
            <w:pPr>
              <w:pStyle w:val="34"/>
              <w:keepNext/>
              <w:spacing w:after="0" w:line="440" w:lineRule="exact"/>
              <w:ind w:left="63" w:right="63"/>
              <w:rPr>
                <w:rFonts w:ascii="宋体" w:hAnsi="宋体"/>
                <w:color w:val="000000"/>
                <w:sz w:val="24"/>
                <w:szCs w:val="24"/>
                <w:highlight w:val="none"/>
              </w:rPr>
            </w:pPr>
          </w:p>
        </w:tc>
        <w:tc>
          <w:tcPr>
            <w:tcW w:w="439" w:type="pct"/>
            <w:vAlign w:val="center"/>
          </w:tcPr>
          <w:p w14:paraId="1D95C8FE">
            <w:pPr>
              <w:pStyle w:val="34"/>
              <w:keepNext/>
              <w:spacing w:after="0" w:line="440" w:lineRule="exact"/>
              <w:ind w:left="63" w:right="63"/>
              <w:rPr>
                <w:rFonts w:ascii="宋体" w:hAnsi="宋体"/>
                <w:color w:val="000000"/>
                <w:sz w:val="24"/>
                <w:szCs w:val="24"/>
                <w:highlight w:val="none"/>
              </w:rPr>
            </w:pPr>
          </w:p>
        </w:tc>
        <w:tc>
          <w:tcPr>
            <w:tcW w:w="398" w:type="pct"/>
            <w:vAlign w:val="center"/>
          </w:tcPr>
          <w:p w14:paraId="164C7F3C">
            <w:pPr>
              <w:pStyle w:val="34"/>
              <w:keepNext/>
              <w:spacing w:after="0" w:line="440" w:lineRule="exact"/>
              <w:ind w:left="63" w:right="63"/>
              <w:rPr>
                <w:rFonts w:ascii="宋体" w:hAnsi="宋体"/>
                <w:color w:val="000000"/>
                <w:sz w:val="24"/>
                <w:szCs w:val="24"/>
                <w:highlight w:val="none"/>
              </w:rPr>
            </w:pPr>
          </w:p>
        </w:tc>
        <w:tc>
          <w:tcPr>
            <w:tcW w:w="488" w:type="pct"/>
            <w:vAlign w:val="center"/>
          </w:tcPr>
          <w:p w14:paraId="0FB9D4CD">
            <w:pPr>
              <w:pStyle w:val="34"/>
              <w:keepNext/>
              <w:spacing w:after="0" w:line="440" w:lineRule="exact"/>
              <w:ind w:left="63" w:right="63"/>
              <w:rPr>
                <w:rFonts w:ascii="宋体" w:hAnsi="宋体"/>
                <w:color w:val="000000"/>
                <w:sz w:val="24"/>
                <w:szCs w:val="24"/>
                <w:highlight w:val="none"/>
              </w:rPr>
            </w:pPr>
          </w:p>
        </w:tc>
        <w:tc>
          <w:tcPr>
            <w:tcW w:w="463" w:type="pct"/>
            <w:vAlign w:val="center"/>
          </w:tcPr>
          <w:p w14:paraId="67257232">
            <w:pPr>
              <w:pStyle w:val="34"/>
              <w:keepNext/>
              <w:spacing w:after="0" w:line="440" w:lineRule="exact"/>
              <w:ind w:left="63" w:right="63"/>
              <w:rPr>
                <w:rFonts w:ascii="宋体" w:hAnsi="宋体"/>
                <w:color w:val="000000"/>
                <w:sz w:val="24"/>
                <w:szCs w:val="24"/>
                <w:highlight w:val="none"/>
              </w:rPr>
            </w:pPr>
          </w:p>
        </w:tc>
        <w:tc>
          <w:tcPr>
            <w:tcW w:w="398" w:type="pct"/>
            <w:vAlign w:val="center"/>
          </w:tcPr>
          <w:p w14:paraId="229ACB12">
            <w:pPr>
              <w:pStyle w:val="34"/>
              <w:keepNext/>
              <w:spacing w:after="0" w:line="440" w:lineRule="exact"/>
              <w:ind w:left="63" w:right="63"/>
              <w:rPr>
                <w:rFonts w:ascii="宋体" w:hAnsi="宋体"/>
                <w:color w:val="000000"/>
                <w:sz w:val="24"/>
                <w:szCs w:val="24"/>
                <w:highlight w:val="none"/>
              </w:rPr>
            </w:pPr>
          </w:p>
        </w:tc>
        <w:tc>
          <w:tcPr>
            <w:tcW w:w="695" w:type="pct"/>
            <w:vAlign w:val="center"/>
          </w:tcPr>
          <w:p w14:paraId="276D4263">
            <w:pPr>
              <w:pStyle w:val="34"/>
              <w:keepNext/>
              <w:spacing w:after="0" w:line="440" w:lineRule="exact"/>
              <w:ind w:left="63" w:right="63"/>
              <w:rPr>
                <w:rFonts w:ascii="宋体" w:hAnsi="宋体"/>
                <w:color w:val="000000"/>
                <w:sz w:val="24"/>
                <w:szCs w:val="24"/>
                <w:highlight w:val="none"/>
              </w:rPr>
            </w:pPr>
          </w:p>
        </w:tc>
        <w:tc>
          <w:tcPr>
            <w:tcW w:w="463" w:type="pct"/>
            <w:vAlign w:val="center"/>
          </w:tcPr>
          <w:p w14:paraId="2598A96E">
            <w:pPr>
              <w:pStyle w:val="34"/>
              <w:keepNext/>
              <w:spacing w:after="0" w:line="440" w:lineRule="exact"/>
              <w:ind w:left="63" w:right="63"/>
              <w:rPr>
                <w:rFonts w:ascii="宋体" w:hAnsi="宋体"/>
                <w:color w:val="000000"/>
                <w:sz w:val="24"/>
                <w:szCs w:val="24"/>
                <w:highlight w:val="none"/>
              </w:rPr>
            </w:pPr>
          </w:p>
        </w:tc>
      </w:tr>
      <w:tr w14:paraId="478D6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1F60E42A">
            <w:pPr>
              <w:pStyle w:val="34"/>
              <w:keepNext/>
              <w:spacing w:after="0" w:line="440" w:lineRule="exact"/>
              <w:ind w:left="63" w:right="63"/>
              <w:rPr>
                <w:rFonts w:ascii="宋体" w:hAnsi="宋体"/>
                <w:color w:val="000000"/>
                <w:sz w:val="24"/>
                <w:szCs w:val="24"/>
                <w:highlight w:val="none"/>
              </w:rPr>
            </w:pPr>
          </w:p>
        </w:tc>
        <w:tc>
          <w:tcPr>
            <w:tcW w:w="596" w:type="pct"/>
            <w:vAlign w:val="center"/>
          </w:tcPr>
          <w:p w14:paraId="631DEB9C">
            <w:pPr>
              <w:pStyle w:val="34"/>
              <w:keepNext/>
              <w:spacing w:after="0" w:line="440" w:lineRule="exact"/>
              <w:ind w:left="63" w:right="63"/>
              <w:rPr>
                <w:rFonts w:ascii="宋体" w:hAnsi="宋体"/>
                <w:color w:val="000000"/>
                <w:sz w:val="24"/>
                <w:szCs w:val="24"/>
                <w:highlight w:val="none"/>
              </w:rPr>
            </w:pPr>
          </w:p>
        </w:tc>
        <w:tc>
          <w:tcPr>
            <w:tcW w:w="662" w:type="pct"/>
            <w:vAlign w:val="center"/>
          </w:tcPr>
          <w:p w14:paraId="0DE49D09">
            <w:pPr>
              <w:pStyle w:val="34"/>
              <w:keepNext/>
              <w:spacing w:after="0" w:line="440" w:lineRule="exact"/>
              <w:ind w:left="63" w:right="63"/>
              <w:rPr>
                <w:rFonts w:ascii="宋体" w:hAnsi="宋体"/>
                <w:color w:val="000000"/>
                <w:sz w:val="24"/>
                <w:szCs w:val="24"/>
                <w:highlight w:val="none"/>
              </w:rPr>
            </w:pPr>
          </w:p>
        </w:tc>
        <w:tc>
          <w:tcPr>
            <w:tcW w:w="439" w:type="pct"/>
            <w:vAlign w:val="center"/>
          </w:tcPr>
          <w:p w14:paraId="16692230">
            <w:pPr>
              <w:pStyle w:val="34"/>
              <w:keepNext/>
              <w:spacing w:after="0" w:line="440" w:lineRule="exact"/>
              <w:ind w:left="63" w:right="63"/>
              <w:rPr>
                <w:rFonts w:ascii="宋体" w:hAnsi="宋体"/>
                <w:color w:val="000000"/>
                <w:sz w:val="24"/>
                <w:szCs w:val="24"/>
                <w:highlight w:val="none"/>
              </w:rPr>
            </w:pPr>
          </w:p>
        </w:tc>
        <w:tc>
          <w:tcPr>
            <w:tcW w:w="398" w:type="pct"/>
            <w:vAlign w:val="center"/>
          </w:tcPr>
          <w:p w14:paraId="5A513C97">
            <w:pPr>
              <w:pStyle w:val="34"/>
              <w:keepNext/>
              <w:spacing w:after="0" w:line="440" w:lineRule="exact"/>
              <w:ind w:left="63" w:right="63"/>
              <w:rPr>
                <w:rFonts w:ascii="宋体" w:hAnsi="宋体"/>
                <w:color w:val="000000"/>
                <w:sz w:val="24"/>
                <w:szCs w:val="24"/>
                <w:highlight w:val="none"/>
              </w:rPr>
            </w:pPr>
          </w:p>
        </w:tc>
        <w:tc>
          <w:tcPr>
            <w:tcW w:w="488" w:type="pct"/>
            <w:vAlign w:val="center"/>
          </w:tcPr>
          <w:p w14:paraId="798E4CB0">
            <w:pPr>
              <w:pStyle w:val="34"/>
              <w:keepNext/>
              <w:spacing w:after="0" w:line="440" w:lineRule="exact"/>
              <w:ind w:left="63" w:right="63"/>
              <w:rPr>
                <w:rFonts w:ascii="宋体" w:hAnsi="宋体"/>
                <w:color w:val="000000"/>
                <w:sz w:val="24"/>
                <w:szCs w:val="24"/>
                <w:highlight w:val="none"/>
              </w:rPr>
            </w:pPr>
          </w:p>
        </w:tc>
        <w:tc>
          <w:tcPr>
            <w:tcW w:w="463" w:type="pct"/>
            <w:vAlign w:val="center"/>
          </w:tcPr>
          <w:p w14:paraId="6320E1FD">
            <w:pPr>
              <w:pStyle w:val="34"/>
              <w:keepNext/>
              <w:spacing w:after="0" w:line="440" w:lineRule="exact"/>
              <w:ind w:left="63" w:right="63"/>
              <w:rPr>
                <w:rFonts w:ascii="宋体" w:hAnsi="宋体"/>
                <w:color w:val="000000"/>
                <w:sz w:val="24"/>
                <w:szCs w:val="24"/>
                <w:highlight w:val="none"/>
              </w:rPr>
            </w:pPr>
          </w:p>
        </w:tc>
        <w:tc>
          <w:tcPr>
            <w:tcW w:w="398" w:type="pct"/>
            <w:vAlign w:val="center"/>
          </w:tcPr>
          <w:p w14:paraId="7F8A9008">
            <w:pPr>
              <w:pStyle w:val="34"/>
              <w:keepNext/>
              <w:spacing w:after="0" w:line="440" w:lineRule="exact"/>
              <w:ind w:left="63" w:right="63"/>
              <w:rPr>
                <w:rFonts w:ascii="宋体" w:hAnsi="宋体"/>
                <w:color w:val="000000"/>
                <w:sz w:val="24"/>
                <w:szCs w:val="24"/>
                <w:highlight w:val="none"/>
              </w:rPr>
            </w:pPr>
          </w:p>
        </w:tc>
        <w:tc>
          <w:tcPr>
            <w:tcW w:w="695" w:type="pct"/>
            <w:vAlign w:val="center"/>
          </w:tcPr>
          <w:p w14:paraId="01C47D0B">
            <w:pPr>
              <w:pStyle w:val="34"/>
              <w:keepNext/>
              <w:spacing w:after="0" w:line="440" w:lineRule="exact"/>
              <w:ind w:left="63" w:right="63"/>
              <w:rPr>
                <w:rFonts w:ascii="宋体" w:hAnsi="宋体"/>
                <w:color w:val="000000"/>
                <w:sz w:val="24"/>
                <w:szCs w:val="24"/>
                <w:highlight w:val="none"/>
              </w:rPr>
            </w:pPr>
          </w:p>
        </w:tc>
        <w:tc>
          <w:tcPr>
            <w:tcW w:w="463" w:type="pct"/>
            <w:vAlign w:val="center"/>
          </w:tcPr>
          <w:p w14:paraId="69FDC577">
            <w:pPr>
              <w:pStyle w:val="34"/>
              <w:keepNext/>
              <w:spacing w:after="0" w:line="440" w:lineRule="exact"/>
              <w:ind w:left="63" w:right="63"/>
              <w:rPr>
                <w:rFonts w:ascii="宋体" w:hAnsi="宋体"/>
                <w:color w:val="000000"/>
                <w:sz w:val="24"/>
                <w:szCs w:val="24"/>
                <w:highlight w:val="none"/>
              </w:rPr>
            </w:pPr>
          </w:p>
        </w:tc>
      </w:tr>
      <w:tr w14:paraId="3B52B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16ED3583">
            <w:pPr>
              <w:pStyle w:val="34"/>
              <w:keepNext/>
              <w:spacing w:after="0" w:line="440" w:lineRule="exact"/>
              <w:ind w:left="63" w:right="63"/>
              <w:rPr>
                <w:rFonts w:ascii="宋体" w:hAnsi="宋体"/>
                <w:color w:val="000000"/>
                <w:sz w:val="24"/>
                <w:szCs w:val="24"/>
                <w:highlight w:val="none"/>
              </w:rPr>
            </w:pPr>
          </w:p>
        </w:tc>
        <w:tc>
          <w:tcPr>
            <w:tcW w:w="596" w:type="pct"/>
            <w:vAlign w:val="center"/>
          </w:tcPr>
          <w:p w14:paraId="252A905F">
            <w:pPr>
              <w:pStyle w:val="34"/>
              <w:keepNext/>
              <w:spacing w:after="0" w:line="440" w:lineRule="exact"/>
              <w:ind w:left="63" w:right="63"/>
              <w:rPr>
                <w:rFonts w:ascii="宋体" w:hAnsi="宋体"/>
                <w:color w:val="000000"/>
                <w:sz w:val="24"/>
                <w:szCs w:val="24"/>
                <w:highlight w:val="none"/>
              </w:rPr>
            </w:pPr>
          </w:p>
        </w:tc>
        <w:tc>
          <w:tcPr>
            <w:tcW w:w="662" w:type="pct"/>
            <w:vAlign w:val="center"/>
          </w:tcPr>
          <w:p w14:paraId="6CF165AD">
            <w:pPr>
              <w:pStyle w:val="34"/>
              <w:keepNext/>
              <w:spacing w:after="0" w:line="440" w:lineRule="exact"/>
              <w:ind w:left="63" w:right="63"/>
              <w:rPr>
                <w:rFonts w:ascii="宋体" w:hAnsi="宋体"/>
                <w:color w:val="000000"/>
                <w:sz w:val="24"/>
                <w:szCs w:val="24"/>
                <w:highlight w:val="none"/>
              </w:rPr>
            </w:pPr>
          </w:p>
        </w:tc>
        <w:tc>
          <w:tcPr>
            <w:tcW w:w="439" w:type="pct"/>
            <w:vAlign w:val="center"/>
          </w:tcPr>
          <w:p w14:paraId="03D67D89">
            <w:pPr>
              <w:pStyle w:val="34"/>
              <w:keepNext/>
              <w:spacing w:after="0" w:line="440" w:lineRule="exact"/>
              <w:ind w:left="63" w:right="63"/>
              <w:rPr>
                <w:rFonts w:ascii="宋体" w:hAnsi="宋体"/>
                <w:color w:val="000000"/>
                <w:sz w:val="24"/>
                <w:szCs w:val="24"/>
                <w:highlight w:val="none"/>
              </w:rPr>
            </w:pPr>
          </w:p>
        </w:tc>
        <w:tc>
          <w:tcPr>
            <w:tcW w:w="398" w:type="pct"/>
            <w:vAlign w:val="center"/>
          </w:tcPr>
          <w:p w14:paraId="569AA299">
            <w:pPr>
              <w:pStyle w:val="34"/>
              <w:keepNext/>
              <w:spacing w:after="0" w:line="440" w:lineRule="exact"/>
              <w:ind w:left="63" w:right="63"/>
              <w:rPr>
                <w:rFonts w:ascii="宋体" w:hAnsi="宋体"/>
                <w:color w:val="000000"/>
                <w:sz w:val="24"/>
                <w:szCs w:val="24"/>
                <w:highlight w:val="none"/>
              </w:rPr>
            </w:pPr>
          </w:p>
        </w:tc>
        <w:tc>
          <w:tcPr>
            <w:tcW w:w="488" w:type="pct"/>
            <w:vAlign w:val="center"/>
          </w:tcPr>
          <w:p w14:paraId="055C9968">
            <w:pPr>
              <w:pStyle w:val="34"/>
              <w:keepNext/>
              <w:spacing w:after="0" w:line="440" w:lineRule="exact"/>
              <w:ind w:left="63" w:right="63"/>
              <w:rPr>
                <w:rFonts w:ascii="宋体" w:hAnsi="宋体"/>
                <w:color w:val="000000"/>
                <w:sz w:val="24"/>
                <w:szCs w:val="24"/>
                <w:highlight w:val="none"/>
              </w:rPr>
            </w:pPr>
          </w:p>
        </w:tc>
        <w:tc>
          <w:tcPr>
            <w:tcW w:w="463" w:type="pct"/>
            <w:vAlign w:val="center"/>
          </w:tcPr>
          <w:p w14:paraId="4C75EBBE">
            <w:pPr>
              <w:pStyle w:val="34"/>
              <w:keepNext/>
              <w:spacing w:after="0" w:line="440" w:lineRule="exact"/>
              <w:ind w:left="63" w:right="63"/>
              <w:rPr>
                <w:rFonts w:ascii="宋体" w:hAnsi="宋体"/>
                <w:color w:val="000000"/>
                <w:sz w:val="24"/>
                <w:szCs w:val="24"/>
                <w:highlight w:val="none"/>
              </w:rPr>
            </w:pPr>
          </w:p>
        </w:tc>
        <w:tc>
          <w:tcPr>
            <w:tcW w:w="398" w:type="pct"/>
            <w:vAlign w:val="center"/>
          </w:tcPr>
          <w:p w14:paraId="62E1C45E">
            <w:pPr>
              <w:pStyle w:val="34"/>
              <w:keepNext/>
              <w:spacing w:after="0" w:line="440" w:lineRule="exact"/>
              <w:ind w:left="63" w:right="63"/>
              <w:rPr>
                <w:rFonts w:ascii="宋体" w:hAnsi="宋体"/>
                <w:color w:val="000000"/>
                <w:sz w:val="24"/>
                <w:szCs w:val="24"/>
                <w:highlight w:val="none"/>
              </w:rPr>
            </w:pPr>
          </w:p>
        </w:tc>
        <w:tc>
          <w:tcPr>
            <w:tcW w:w="695" w:type="pct"/>
            <w:vAlign w:val="center"/>
          </w:tcPr>
          <w:p w14:paraId="0A373D04">
            <w:pPr>
              <w:pStyle w:val="34"/>
              <w:keepNext/>
              <w:spacing w:after="0" w:line="440" w:lineRule="exact"/>
              <w:ind w:left="63" w:right="63"/>
              <w:rPr>
                <w:rFonts w:ascii="宋体" w:hAnsi="宋体"/>
                <w:color w:val="000000"/>
                <w:sz w:val="24"/>
                <w:szCs w:val="24"/>
                <w:highlight w:val="none"/>
              </w:rPr>
            </w:pPr>
          </w:p>
        </w:tc>
        <w:tc>
          <w:tcPr>
            <w:tcW w:w="463" w:type="pct"/>
            <w:vAlign w:val="center"/>
          </w:tcPr>
          <w:p w14:paraId="042C8764">
            <w:pPr>
              <w:pStyle w:val="34"/>
              <w:keepNext/>
              <w:spacing w:after="0" w:line="440" w:lineRule="exact"/>
              <w:ind w:left="63" w:right="63"/>
              <w:rPr>
                <w:rFonts w:ascii="宋体" w:hAnsi="宋体"/>
                <w:color w:val="000000"/>
                <w:sz w:val="24"/>
                <w:szCs w:val="24"/>
                <w:highlight w:val="none"/>
              </w:rPr>
            </w:pPr>
          </w:p>
        </w:tc>
      </w:tr>
      <w:tr w14:paraId="7FA83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70763B43">
            <w:pPr>
              <w:pStyle w:val="34"/>
              <w:keepNext/>
              <w:spacing w:after="0" w:line="440" w:lineRule="exact"/>
              <w:ind w:left="63" w:right="63"/>
              <w:rPr>
                <w:rFonts w:ascii="宋体" w:hAnsi="宋体"/>
                <w:color w:val="000000"/>
                <w:sz w:val="24"/>
                <w:szCs w:val="24"/>
                <w:highlight w:val="none"/>
              </w:rPr>
            </w:pPr>
          </w:p>
        </w:tc>
        <w:tc>
          <w:tcPr>
            <w:tcW w:w="596" w:type="pct"/>
            <w:vAlign w:val="center"/>
          </w:tcPr>
          <w:p w14:paraId="02CC787F">
            <w:pPr>
              <w:pStyle w:val="34"/>
              <w:keepNext/>
              <w:spacing w:after="0" w:line="440" w:lineRule="exact"/>
              <w:ind w:left="63" w:right="63"/>
              <w:rPr>
                <w:rFonts w:ascii="宋体" w:hAnsi="宋体"/>
                <w:color w:val="000000"/>
                <w:sz w:val="24"/>
                <w:szCs w:val="24"/>
                <w:highlight w:val="none"/>
              </w:rPr>
            </w:pPr>
          </w:p>
        </w:tc>
        <w:tc>
          <w:tcPr>
            <w:tcW w:w="662" w:type="pct"/>
            <w:vAlign w:val="center"/>
          </w:tcPr>
          <w:p w14:paraId="79375D0D">
            <w:pPr>
              <w:pStyle w:val="34"/>
              <w:keepNext/>
              <w:spacing w:after="0" w:line="440" w:lineRule="exact"/>
              <w:ind w:left="63" w:right="63"/>
              <w:rPr>
                <w:rFonts w:ascii="宋体" w:hAnsi="宋体"/>
                <w:color w:val="000000"/>
                <w:sz w:val="24"/>
                <w:szCs w:val="24"/>
                <w:highlight w:val="none"/>
              </w:rPr>
            </w:pPr>
          </w:p>
        </w:tc>
        <w:tc>
          <w:tcPr>
            <w:tcW w:w="439" w:type="pct"/>
            <w:vAlign w:val="center"/>
          </w:tcPr>
          <w:p w14:paraId="5BF9AF6A">
            <w:pPr>
              <w:pStyle w:val="34"/>
              <w:keepNext/>
              <w:spacing w:after="0" w:line="440" w:lineRule="exact"/>
              <w:ind w:left="63" w:right="63"/>
              <w:rPr>
                <w:rFonts w:ascii="宋体" w:hAnsi="宋体"/>
                <w:color w:val="000000"/>
                <w:sz w:val="24"/>
                <w:szCs w:val="24"/>
                <w:highlight w:val="none"/>
              </w:rPr>
            </w:pPr>
          </w:p>
        </w:tc>
        <w:tc>
          <w:tcPr>
            <w:tcW w:w="398" w:type="pct"/>
            <w:vAlign w:val="center"/>
          </w:tcPr>
          <w:p w14:paraId="14CB5173">
            <w:pPr>
              <w:pStyle w:val="34"/>
              <w:keepNext/>
              <w:spacing w:after="0" w:line="440" w:lineRule="exact"/>
              <w:ind w:left="63" w:right="63"/>
              <w:rPr>
                <w:rFonts w:ascii="宋体" w:hAnsi="宋体"/>
                <w:color w:val="000000"/>
                <w:sz w:val="24"/>
                <w:szCs w:val="24"/>
                <w:highlight w:val="none"/>
              </w:rPr>
            </w:pPr>
          </w:p>
        </w:tc>
        <w:tc>
          <w:tcPr>
            <w:tcW w:w="488" w:type="pct"/>
            <w:vAlign w:val="center"/>
          </w:tcPr>
          <w:p w14:paraId="57005762">
            <w:pPr>
              <w:pStyle w:val="34"/>
              <w:keepNext/>
              <w:spacing w:after="0" w:line="440" w:lineRule="exact"/>
              <w:ind w:left="63" w:right="63"/>
              <w:rPr>
                <w:rFonts w:ascii="宋体" w:hAnsi="宋体"/>
                <w:color w:val="000000"/>
                <w:sz w:val="24"/>
                <w:szCs w:val="24"/>
                <w:highlight w:val="none"/>
              </w:rPr>
            </w:pPr>
          </w:p>
        </w:tc>
        <w:tc>
          <w:tcPr>
            <w:tcW w:w="463" w:type="pct"/>
            <w:vAlign w:val="center"/>
          </w:tcPr>
          <w:p w14:paraId="432523B1">
            <w:pPr>
              <w:pStyle w:val="34"/>
              <w:keepNext/>
              <w:spacing w:after="0" w:line="440" w:lineRule="exact"/>
              <w:ind w:left="63" w:right="63"/>
              <w:rPr>
                <w:rFonts w:ascii="宋体" w:hAnsi="宋体"/>
                <w:color w:val="000000"/>
                <w:sz w:val="24"/>
                <w:szCs w:val="24"/>
                <w:highlight w:val="none"/>
              </w:rPr>
            </w:pPr>
          </w:p>
        </w:tc>
        <w:tc>
          <w:tcPr>
            <w:tcW w:w="398" w:type="pct"/>
            <w:vAlign w:val="center"/>
          </w:tcPr>
          <w:p w14:paraId="02D71605">
            <w:pPr>
              <w:pStyle w:val="34"/>
              <w:keepNext/>
              <w:spacing w:after="0" w:line="440" w:lineRule="exact"/>
              <w:ind w:left="63" w:right="63"/>
              <w:rPr>
                <w:rFonts w:ascii="宋体" w:hAnsi="宋体"/>
                <w:color w:val="000000"/>
                <w:sz w:val="24"/>
                <w:szCs w:val="24"/>
                <w:highlight w:val="none"/>
              </w:rPr>
            </w:pPr>
          </w:p>
        </w:tc>
        <w:tc>
          <w:tcPr>
            <w:tcW w:w="695" w:type="pct"/>
            <w:vAlign w:val="center"/>
          </w:tcPr>
          <w:p w14:paraId="107473B1">
            <w:pPr>
              <w:pStyle w:val="34"/>
              <w:keepNext/>
              <w:spacing w:after="0" w:line="440" w:lineRule="exact"/>
              <w:ind w:left="63" w:right="63"/>
              <w:rPr>
                <w:rFonts w:ascii="宋体" w:hAnsi="宋体"/>
                <w:color w:val="000000"/>
                <w:sz w:val="24"/>
                <w:szCs w:val="24"/>
                <w:highlight w:val="none"/>
              </w:rPr>
            </w:pPr>
          </w:p>
        </w:tc>
        <w:tc>
          <w:tcPr>
            <w:tcW w:w="463" w:type="pct"/>
            <w:vAlign w:val="center"/>
          </w:tcPr>
          <w:p w14:paraId="5E8717C8">
            <w:pPr>
              <w:pStyle w:val="34"/>
              <w:keepNext/>
              <w:spacing w:after="0" w:line="440" w:lineRule="exact"/>
              <w:ind w:left="63" w:right="63"/>
              <w:rPr>
                <w:rFonts w:ascii="宋体" w:hAnsi="宋体"/>
                <w:color w:val="000000"/>
                <w:sz w:val="24"/>
                <w:szCs w:val="24"/>
                <w:highlight w:val="none"/>
              </w:rPr>
            </w:pPr>
          </w:p>
        </w:tc>
      </w:tr>
      <w:tr w14:paraId="527D4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72C388D9">
            <w:pPr>
              <w:jc w:val="center"/>
              <w:rPr>
                <w:rFonts w:ascii="宋体" w:hAnsi="宋体"/>
                <w:color w:val="000000"/>
                <w:sz w:val="24"/>
                <w:szCs w:val="24"/>
                <w:highlight w:val="none"/>
              </w:rPr>
            </w:pPr>
          </w:p>
        </w:tc>
        <w:tc>
          <w:tcPr>
            <w:tcW w:w="596" w:type="pct"/>
            <w:vAlign w:val="center"/>
          </w:tcPr>
          <w:p w14:paraId="5265E23E">
            <w:pPr>
              <w:jc w:val="center"/>
              <w:rPr>
                <w:rFonts w:ascii="宋体" w:hAnsi="宋体"/>
                <w:color w:val="000000"/>
                <w:sz w:val="24"/>
                <w:szCs w:val="24"/>
                <w:highlight w:val="none"/>
              </w:rPr>
            </w:pPr>
          </w:p>
        </w:tc>
        <w:tc>
          <w:tcPr>
            <w:tcW w:w="662" w:type="pct"/>
            <w:vAlign w:val="center"/>
          </w:tcPr>
          <w:p w14:paraId="29A556A4">
            <w:pPr>
              <w:jc w:val="center"/>
              <w:rPr>
                <w:rFonts w:ascii="宋体" w:hAnsi="宋体"/>
                <w:color w:val="000000"/>
                <w:sz w:val="24"/>
                <w:szCs w:val="24"/>
                <w:highlight w:val="none"/>
              </w:rPr>
            </w:pPr>
          </w:p>
        </w:tc>
        <w:tc>
          <w:tcPr>
            <w:tcW w:w="439" w:type="pct"/>
            <w:vAlign w:val="center"/>
          </w:tcPr>
          <w:p w14:paraId="46F99D8E">
            <w:pPr>
              <w:jc w:val="center"/>
              <w:rPr>
                <w:rFonts w:ascii="宋体" w:hAnsi="宋体"/>
                <w:color w:val="000000"/>
                <w:sz w:val="24"/>
                <w:szCs w:val="24"/>
                <w:highlight w:val="none"/>
              </w:rPr>
            </w:pPr>
          </w:p>
        </w:tc>
        <w:tc>
          <w:tcPr>
            <w:tcW w:w="398" w:type="pct"/>
            <w:vAlign w:val="center"/>
          </w:tcPr>
          <w:p w14:paraId="711E3177">
            <w:pPr>
              <w:jc w:val="center"/>
              <w:rPr>
                <w:rFonts w:ascii="宋体" w:hAnsi="宋体"/>
                <w:color w:val="000000"/>
                <w:sz w:val="24"/>
                <w:szCs w:val="24"/>
                <w:highlight w:val="none"/>
              </w:rPr>
            </w:pPr>
          </w:p>
        </w:tc>
        <w:tc>
          <w:tcPr>
            <w:tcW w:w="488" w:type="pct"/>
            <w:vAlign w:val="center"/>
          </w:tcPr>
          <w:p w14:paraId="2E5C9D1D">
            <w:pPr>
              <w:jc w:val="center"/>
              <w:rPr>
                <w:rFonts w:ascii="宋体" w:hAnsi="宋体"/>
                <w:color w:val="000000"/>
                <w:sz w:val="24"/>
                <w:szCs w:val="24"/>
                <w:highlight w:val="none"/>
              </w:rPr>
            </w:pPr>
          </w:p>
        </w:tc>
        <w:tc>
          <w:tcPr>
            <w:tcW w:w="463" w:type="pct"/>
            <w:vAlign w:val="center"/>
          </w:tcPr>
          <w:p w14:paraId="3204372E">
            <w:pPr>
              <w:jc w:val="center"/>
              <w:rPr>
                <w:rFonts w:ascii="宋体" w:hAnsi="宋体"/>
                <w:color w:val="000000"/>
                <w:sz w:val="24"/>
                <w:szCs w:val="24"/>
                <w:highlight w:val="none"/>
              </w:rPr>
            </w:pPr>
          </w:p>
        </w:tc>
        <w:tc>
          <w:tcPr>
            <w:tcW w:w="398" w:type="pct"/>
            <w:vAlign w:val="center"/>
          </w:tcPr>
          <w:p w14:paraId="66C5AAC9">
            <w:pPr>
              <w:jc w:val="center"/>
              <w:rPr>
                <w:rFonts w:ascii="宋体" w:hAnsi="宋体"/>
                <w:color w:val="000000"/>
                <w:sz w:val="24"/>
                <w:szCs w:val="24"/>
                <w:highlight w:val="none"/>
              </w:rPr>
            </w:pPr>
          </w:p>
        </w:tc>
        <w:tc>
          <w:tcPr>
            <w:tcW w:w="695" w:type="pct"/>
            <w:vAlign w:val="center"/>
          </w:tcPr>
          <w:p w14:paraId="4835E15F">
            <w:pPr>
              <w:jc w:val="center"/>
              <w:rPr>
                <w:rFonts w:ascii="宋体" w:hAnsi="宋体"/>
                <w:color w:val="000000"/>
                <w:sz w:val="24"/>
                <w:szCs w:val="24"/>
                <w:highlight w:val="none"/>
              </w:rPr>
            </w:pPr>
          </w:p>
        </w:tc>
        <w:tc>
          <w:tcPr>
            <w:tcW w:w="463" w:type="pct"/>
            <w:vAlign w:val="center"/>
          </w:tcPr>
          <w:p w14:paraId="5613D91F">
            <w:pPr>
              <w:jc w:val="center"/>
              <w:rPr>
                <w:rFonts w:ascii="宋体" w:hAnsi="宋体"/>
                <w:color w:val="000000"/>
                <w:sz w:val="24"/>
                <w:szCs w:val="24"/>
                <w:highlight w:val="none"/>
              </w:rPr>
            </w:pPr>
          </w:p>
        </w:tc>
      </w:tr>
      <w:tr w14:paraId="1388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2BC2CA1F">
            <w:pPr>
              <w:pStyle w:val="34"/>
              <w:keepNext/>
              <w:spacing w:after="0" w:line="440" w:lineRule="exact"/>
              <w:ind w:left="63" w:right="63"/>
              <w:rPr>
                <w:rFonts w:ascii="宋体" w:hAnsi="宋体"/>
                <w:color w:val="000000"/>
                <w:sz w:val="24"/>
                <w:szCs w:val="24"/>
                <w:highlight w:val="none"/>
              </w:rPr>
            </w:pPr>
          </w:p>
        </w:tc>
        <w:tc>
          <w:tcPr>
            <w:tcW w:w="596" w:type="pct"/>
            <w:vAlign w:val="center"/>
          </w:tcPr>
          <w:p w14:paraId="6AD0CBF8">
            <w:pPr>
              <w:pStyle w:val="34"/>
              <w:keepNext/>
              <w:spacing w:after="0" w:line="440" w:lineRule="exact"/>
              <w:ind w:left="63" w:right="63"/>
              <w:rPr>
                <w:rFonts w:ascii="宋体" w:hAnsi="宋体"/>
                <w:color w:val="000000"/>
                <w:sz w:val="24"/>
                <w:szCs w:val="24"/>
                <w:highlight w:val="none"/>
              </w:rPr>
            </w:pPr>
          </w:p>
        </w:tc>
        <w:tc>
          <w:tcPr>
            <w:tcW w:w="662" w:type="pct"/>
            <w:vAlign w:val="center"/>
          </w:tcPr>
          <w:p w14:paraId="672DD896">
            <w:pPr>
              <w:pStyle w:val="34"/>
              <w:keepNext/>
              <w:spacing w:after="0" w:line="440" w:lineRule="exact"/>
              <w:ind w:left="63" w:right="63"/>
              <w:rPr>
                <w:rFonts w:ascii="宋体" w:hAnsi="宋体"/>
                <w:color w:val="000000"/>
                <w:sz w:val="24"/>
                <w:szCs w:val="24"/>
                <w:highlight w:val="none"/>
              </w:rPr>
            </w:pPr>
          </w:p>
        </w:tc>
        <w:tc>
          <w:tcPr>
            <w:tcW w:w="439" w:type="pct"/>
            <w:vAlign w:val="center"/>
          </w:tcPr>
          <w:p w14:paraId="64DAD71E">
            <w:pPr>
              <w:pStyle w:val="34"/>
              <w:keepNext/>
              <w:spacing w:after="0" w:line="440" w:lineRule="exact"/>
              <w:ind w:left="63" w:right="63"/>
              <w:rPr>
                <w:rFonts w:ascii="宋体" w:hAnsi="宋体"/>
                <w:color w:val="000000"/>
                <w:sz w:val="24"/>
                <w:szCs w:val="24"/>
                <w:highlight w:val="none"/>
              </w:rPr>
            </w:pPr>
          </w:p>
        </w:tc>
        <w:tc>
          <w:tcPr>
            <w:tcW w:w="398" w:type="pct"/>
            <w:vAlign w:val="center"/>
          </w:tcPr>
          <w:p w14:paraId="3A7B97EE">
            <w:pPr>
              <w:pStyle w:val="34"/>
              <w:keepNext/>
              <w:spacing w:after="0" w:line="440" w:lineRule="exact"/>
              <w:ind w:left="63" w:right="63"/>
              <w:rPr>
                <w:rFonts w:ascii="宋体" w:hAnsi="宋体"/>
                <w:color w:val="000000"/>
                <w:sz w:val="24"/>
                <w:szCs w:val="24"/>
                <w:highlight w:val="none"/>
              </w:rPr>
            </w:pPr>
          </w:p>
        </w:tc>
        <w:tc>
          <w:tcPr>
            <w:tcW w:w="488" w:type="pct"/>
            <w:vAlign w:val="center"/>
          </w:tcPr>
          <w:p w14:paraId="32804CDE">
            <w:pPr>
              <w:pStyle w:val="34"/>
              <w:keepNext/>
              <w:spacing w:after="0" w:line="440" w:lineRule="exact"/>
              <w:ind w:left="63" w:right="63"/>
              <w:rPr>
                <w:rFonts w:ascii="宋体" w:hAnsi="宋体"/>
                <w:color w:val="000000"/>
                <w:sz w:val="24"/>
                <w:szCs w:val="24"/>
                <w:highlight w:val="none"/>
              </w:rPr>
            </w:pPr>
          </w:p>
        </w:tc>
        <w:tc>
          <w:tcPr>
            <w:tcW w:w="463" w:type="pct"/>
            <w:vAlign w:val="center"/>
          </w:tcPr>
          <w:p w14:paraId="7F11BE75">
            <w:pPr>
              <w:pStyle w:val="34"/>
              <w:keepNext/>
              <w:spacing w:after="0" w:line="440" w:lineRule="exact"/>
              <w:ind w:left="63" w:right="63"/>
              <w:rPr>
                <w:rFonts w:ascii="宋体" w:hAnsi="宋体"/>
                <w:color w:val="000000"/>
                <w:sz w:val="24"/>
                <w:szCs w:val="24"/>
                <w:highlight w:val="none"/>
              </w:rPr>
            </w:pPr>
          </w:p>
        </w:tc>
        <w:tc>
          <w:tcPr>
            <w:tcW w:w="398" w:type="pct"/>
            <w:vAlign w:val="center"/>
          </w:tcPr>
          <w:p w14:paraId="66C4783A">
            <w:pPr>
              <w:pStyle w:val="34"/>
              <w:keepNext/>
              <w:spacing w:after="0" w:line="440" w:lineRule="exact"/>
              <w:ind w:left="63" w:right="63"/>
              <w:rPr>
                <w:rFonts w:ascii="宋体" w:hAnsi="宋体"/>
                <w:color w:val="000000"/>
                <w:sz w:val="24"/>
                <w:szCs w:val="24"/>
                <w:highlight w:val="none"/>
              </w:rPr>
            </w:pPr>
          </w:p>
        </w:tc>
        <w:tc>
          <w:tcPr>
            <w:tcW w:w="695" w:type="pct"/>
            <w:vAlign w:val="center"/>
          </w:tcPr>
          <w:p w14:paraId="1A452E4D">
            <w:pPr>
              <w:pStyle w:val="34"/>
              <w:keepNext/>
              <w:spacing w:after="0" w:line="440" w:lineRule="exact"/>
              <w:ind w:left="63" w:right="63"/>
              <w:rPr>
                <w:rFonts w:ascii="宋体" w:hAnsi="宋体"/>
                <w:color w:val="000000"/>
                <w:sz w:val="24"/>
                <w:szCs w:val="24"/>
                <w:highlight w:val="none"/>
              </w:rPr>
            </w:pPr>
          </w:p>
        </w:tc>
        <w:tc>
          <w:tcPr>
            <w:tcW w:w="463" w:type="pct"/>
            <w:vAlign w:val="center"/>
          </w:tcPr>
          <w:p w14:paraId="6B0E02A8">
            <w:pPr>
              <w:pStyle w:val="34"/>
              <w:keepNext/>
              <w:spacing w:after="0" w:line="440" w:lineRule="exact"/>
              <w:ind w:left="63" w:right="63"/>
              <w:rPr>
                <w:rFonts w:ascii="宋体" w:hAnsi="宋体"/>
                <w:color w:val="000000"/>
                <w:sz w:val="24"/>
                <w:szCs w:val="24"/>
                <w:highlight w:val="none"/>
              </w:rPr>
            </w:pPr>
          </w:p>
        </w:tc>
      </w:tr>
      <w:tr w14:paraId="705C3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0427910D">
            <w:pPr>
              <w:jc w:val="center"/>
              <w:rPr>
                <w:rFonts w:ascii="宋体" w:hAnsi="宋体"/>
                <w:color w:val="000000"/>
                <w:sz w:val="24"/>
                <w:szCs w:val="24"/>
                <w:highlight w:val="none"/>
              </w:rPr>
            </w:pPr>
          </w:p>
        </w:tc>
        <w:tc>
          <w:tcPr>
            <w:tcW w:w="596" w:type="pct"/>
            <w:vAlign w:val="center"/>
          </w:tcPr>
          <w:p w14:paraId="7CF44DE0">
            <w:pPr>
              <w:jc w:val="center"/>
              <w:rPr>
                <w:rFonts w:ascii="宋体" w:hAnsi="宋体"/>
                <w:color w:val="000000"/>
                <w:sz w:val="24"/>
                <w:szCs w:val="24"/>
                <w:highlight w:val="none"/>
              </w:rPr>
            </w:pPr>
          </w:p>
        </w:tc>
        <w:tc>
          <w:tcPr>
            <w:tcW w:w="662" w:type="pct"/>
            <w:vAlign w:val="center"/>
          </w:tcPr>
          <w:p w14:paraId="435C8662">
            <w:pPr>
              <w:jc w:val="center"/>
              <w:rPr>
                <w:rFonts w:ascii="宋体" w:hAnsi="宋体"/>
                <w:color w:val="000000"/>
                <w:sz w:val="24"/>
                <w:szCs w:val="24"/>
                <w:highlight w:val="none"/>
              </w:rPr>
            </w:pPr>
          </w:p>
        </w:tc>
        <w:tc>
          <w:tcPr>
            <w:tcW w:w="439" w:type="pct"/>
            <w:vAlign w:val="center"/>
          </w:tcPr>
          <w:p w14:paraId="4F9C28C1">
            <w:pPr>
              <w:jc w:val="center"/>
              <w:rPr>
                <w:rFonts w:ascii="宋体" w:hAnsi="宋体"/>
                <w:color w:val="000000"/>
                <w:sz w:val="24"/>
                <w:szCs w:val="24"/>
                <w:highlight w:val="none"/>
              </w:rPr>
            </w:pPr>
          </w:p>
        </w:tc>
        <w:tc>
          <w:tcPr>
            <w:tcW w:w="398" w:type="pct"/>
            <w:vAlign w:val="center"/>
          </w:tcPr>
          <w:p w14:paraId="34D45512">
            <w:pPr>
              <w:jc w:val="center"/>
              <w:rPr>
                <w:rFonts w:ascii="宋体" w:hAnsi="宋体"/>
                <w:color w:val="000000"/>
                <w:sz w:val="24"/>
                <w:szCs w:val="24"/>
                <w:highlight w:val="none"/>
              </w:rPr>
            </w:pPr>
          </w:p>
        </w:tc>
        <w:tc>
          <w:tcPr>
            <w:tcW w:w="488" w:type="pct"/>
            <w:vAlign w:val="center"/>
          </w:tcPr>
          <w:p w14:paraId="50D06F07">
            <w:pPr>
              <w:jc w:val="center"/>
              <w:rPr>
                <w:rFonts w:ascii="宋体" w:hAnsi="宋体"/>
                <w:color w:val="000000"/>
                <w:sz w:val="24"/>
                <w:szCs w:val="24"/>
                <w:highlight w:val="none"/>
              </w:rPr>
            </w:pPr>
          </w:p>
        </w:tc>
        <w:tc>
          <w:tcPr>
            <w:tcW w:w="463" w:type="pct"/>
            <w:vAlign w:val="center"/>
          </w:tcPr>
          <w:p w14:paraId="67403110">
            <w:pPr>
              <w:jc w:val="center"/>
              <w:rPr>
                <w:rFonts w:ascii="宋体" w:hAnsi="宋体"/>
                <w:color w:val="000000"/>
                <w:sz w:val="24"/>
                <w:szCs w:val="24"/>
                <w:highlight w:val="none"/>
              </w:rPr>
            </w:pPr>
          </w:p>
        </w:tc>
        <w:tc>
          <w:tcPr>
            <w:tcW w:w="398" w:type="pct"/>
            <w:vAlign w:val="center"/>
          </w:tcPr>
          <w:p w14:paraId="24A724A1">
            <w:pPr>
              <w:jc w:val="center"/>
              <w:rPr>
                <w:rFonts w:ascii="宋体" w:hAnsi="宋体"/>
                <w:color w:val="000000"/>
                <w:sz w:val="24"/>
                <w:szCs w:val="24"/>
                <w:highlight w:val="none"/>
              </w:rPr>
            </w:pPr>
          </w:p>
        </w:tc>
        <w:tc>
          <w:tcPr>
            <w:tcW w:w="695" w:type="pct"/>
            <w:vAlign w:val="center"/>
          </w:tcPr>
          <w:p w14:paraId="3B350AF5">
            <w:pPr>
              <w:jc w:val="center"/>
              <w:rPr>
                <w:rFonts w:ascii="宋体" w:hAnsi="宋体"/>
                <w:color w:val="000000"/>
                <w:sz w:val="24"/>
                <w:szCs w:val="24"/>
                <w:highlight w:val="none"/>
              </w:rPr>
            </w:pPr>
          </w:p>
        </w:tc>
        <w:tc>
          <w:tcPr>
            <w:tcW w:w="463" w:type="pct"/>
            <w:vAlign w:val="center"/>
          </w:tcPr>
          <w:p w14:paraId="7CF22401">
            <w:pPr>
              <w:jc w:val="center"/>
              <w:rPr>
                <w:rFonts w:ascii="宋体" w:hAnsi="宋体"/>
                <w:color w:val="000000"/>
                <w:sz w:val="24"/>
                <w:szCs w:val="24"/>
                <w:highlight w:val="none"/>
              </w:rPr>
            </w:pPr>
          </w:p>
        </w:tc>
      </w:tr>
      <w:tr w14:paraId="029E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1C3A0A1E">
            <w:pPr>
              <w:jc w:val="center"/>
              <w:rPr>
                <w:rFonts w:ascii="宋体" w:hAnsi="宋体"/>
                <w:color w:val="000000"/>
                <w:sz w:val="24"/>
                <w:szCs w:val="24"/>
                <w:highlight w:val="none"/>
              </w:rPr>
            </w:pPr>
          </w:p>
        </w:tc>
        <w:tc>
          <w:tcPr>
            <w:tcW w:w="596" w:type="pct"/>
            <w:vAlign w:val="center"/>
          </w:tcPr>
          <w:p w14:paraId="79A2F1BE">
            <w:pPr>
              <w:jc w:val="center"/>
              <w:rPr>
                <w:rFonts w:ascii="宋体" w:hAnsi="宋体"/>
                <w:color w:val="000000"/>
                <w:sz w:val="24"/>
                <w:szCs w:val="24"/>
                <w:highlight w:val="none"/>
              </w:rPr>
            </w:pPr>
          </w:p>
        </w:tc>
        <w:tc>
          <w:tcPr>
            <w:tcW w:w="662" w:type="pct"/>
            <w:vAlign w:val="center"/>
          </w:tcPr>
          <w:p w14:paraId="7B2105D9">
            <w:pPr>
              <w:jc w:val="center"/>
              <w:rPr>
                <w:rFonts w:ascii="宋体" w:hAnsi="宋体"/>
                <w:color w:val="000000"/>
                <w:sz w:val="24"/>
                <w:szCs w:val="24"/>
                <w:highlight w:val="none"/>
              </w:rPr>
            </w:pPr>
          </w:p>
        </w:tc>
        <w:tc>
          <w:tcPr>
            <w:tcW w:w="439" w:type="pct"/>
            <w:vAlign w:val="center"/>
          </w:tcPr>
          <w:p w14:paraId="3CEA518A">
            <w:pPr>
              <w:jc w:val="center"/>
              <w:rPr>
                <w:rFonts w:ascii="宋体" w:hAnsi="宋体"/>
                <w:color w:val="000000"/>
                <w:sz w:val="24"/>
                <w:szCs w:val="24"/>
                <w:highlight w:val="none"/>
              </w:rPr>
            </w:pPr>
          </w:p>
        </w:tc>
        <w:tc>
          <w:tcPr>
            <w:tcW w:w="398" w:type="pct"/>
            <w:vAlign w:val="center"/>
          </w:tcPr>
          <w:p w14:paraId="0446F0C8">
            <w:pPr>
              <w:jc w:val="center"/>
              <w:rPr>
                <w:rFonts w:ascii="宋体" w:hAnsi="宋体"/>
                <w:color w:val="000000"/>
                <w:sz w:val="24"/>
                <w:szCs w:val="24"/>
                <w:highlight w:val="none"/>
              </w:rPr>
            </w:pPr>
          </w:p>
        </w:tc>
        <w:tc>
          <w:tcPr>
            <w:tcW w:w="488" w:type="pct"/>
            <w:vAlign w:val="center"/>
          </w:tcPr>
          <w:p w14:paraId="308FCD5F">
            <w:pPr>
              <w:jc w:val="center"/>
              <w:rPr>
                <w:rFonts w:ascii="宋体" w:hAnsi="宋体"/>
                <w:color w:val="000000"/>
                <w:sz w:val="24"/>
                <w:szCs w:val="24"/>
                <w:highlight w:val="none"/>
              </w:rPr>
            </w:pPr>
          </w:p>
        </w:tc>
        <w:tc>
          <w:tcPr>
            <w:tcW w:w="463" w:type="pct"/>
            <w:vAlign w:val="center"/>
          </w:tcPr>
          <w:p w14:paraId="17C68F81">
            <w:pPr>
              <w:jc w:val="center"/>
              <w:rPr>
                <w:rFonts w:ascii="宋体" w:hAnsi="宋体"/>
                <w:color w:val="000000"/>
                <w:sz w:val="24"/>
                <w:szCs w:val="24"/>
                <w:highlight w:val="none"/>
              </w:rPr>
            </w:pPr>
          </w:p>
        </w:tc>
        <w:tc>
          <w:tcPr>
            <w:tcW w:w="398" w:type="pct"/>
            <w:vAlign w:val="center"/>
          </w:tcPr>
          <w:p w14:paraId="377C011C">
            <w:pPr>
              <w:jc w:val="center"/>
              <w:rPr>
                <w:rFonts w:ascii="宋体" w:hAnsi="宋体"/>
                <w:color w:val="000000"/>
                <w:sz w:val="24"/>
                <w:szCs w:val="24"/>
                <w:highlight w:val="none"/>
              </w:rPr>
            </w:pPr>
          </w:p>
        </w:tc>
        <w:tc>
          <w:tcPr>
            <w:tcW w:w="695" w:type="pct"/>
            <w:vAlign w:val="center"/>
          </w:tcPr>
          <w:p w14:paraId="2B436052">
            <w:pPr>
              <w:jc w:val="center"/>
              <w:rPr>
                <w:rFonts w:ascii="宋体" w:hAnsi="宋体"/>
                <w:color w:val="000000"/>
                <w:sz w:val="24"/>
                <w:szCs w:val="24"/>
                <w:highlight w:val="none"/>
              </w:rPr>
            </w:pPr>
          </w:p>
        </w:tc>
        <w:tc>
          <w:tcPr>
            <w:tcW w:w="463" w:type="pct"/>
            <w:vAlign w:val="center"/>
          </w:tcPr>
          <w:p w14:paraId="52D2F8C3">
            <w:pPr>
              <w:jc w:val="center"/>
              <w:rPr>
                <w:rFonts w:ascii="宋体" w:hAnsi="宋体"/>
                <w:color w:val="000000"/>
                <w:sz w:val="24"/>
                <w:szCs w:val="24"/>
                <w:highlight w:val="none"/>
              </w:rPr>
            </w:pPr>
          </w:p>
        </w:tc>
      </w:tr>
      <w:tr w14:paraId="1E295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0B6D4924">
            <w:pPr>
              <w:jc w:val="center"/>
              <w:rPr>
                <w:rFonts w:ascii="宋体" w:hAnsi="宋体"/>
                <w:color w:val="000000"/>
                <w:sz w:val="24"/>
                <w:szCs w:val="24"/>
                <w:highlight w:val="none"/>
              </w:rPr>
            </w:pPr>
          </w:p>
        </w:tc>
        <w:tc>
          <w:tcPr>
            <w:tcW w:w="596" w:type="pct"/>
            <w:vAlign w:val="center"/>
          </w:tcPr>
          <w:p w14:paraId="7A9BA858">
            <w:pPr>
              <w:jc w:val="center"/>
              <w:rPr>
                <w:rFonts w:ascii="宋体" w:hAnsi="宋体"/>
                <w:color w:val="000000"/>
                <w:sz w:val="24"/>
                <w:szCs w:val="24"/>
                <w:highlight w:val="none"/>
              </w:rPr>
            </w:pPr>
          </w:p>
        </w:tc>
        <w:tc>
          <w:tcPr>
            <w:tcW w:w="662" w:type="pct"/>
            <w:vAlign w:val="center"/>
          </w:tcPr>
          <w:p w14:paraId="409626A1">
            <w:pPr>
              <w:jc w:val="center"/>
              <w:rPr>
                <w:rFonts w:ascii="宋体" w:hAnsi="宋体"/>
                <w:color w:val="000000"/>
                <w:sz w:val="24"/>
                <w:szCs w:val="24"/>
                <w:highlight w:val="none"/>
              </w:rPr>
            </w:pPr>
          </w:p>
        </w:tc>
        <w:tc>
          <w:tcPr>
            <w:tcW w:w="439" w:type="pct"/>
            <w:vAlign w:val="center"/>
          </w:tcPr>
          <w:p w14:paraId="5B54C3FB">
            <w:pPr>
              <w:jc w:val="center"/>
              <w:rPr>
                <w:rFonts w:ascii="宋体" w:hAnsi="宋体"/>
                <w:color w:val="000000"/>
                <w:sz w:val="24"/>
                <w:szCs w:val="24"/>
                <w:highlight w:val="none"/>
              </w:rPr>
            </w:pPr>
          </w:p>
        </w:tc>
        <w:tc>
          <w:tcPr>
            <w:tcW w:w="398" w:type="pct"/>
            <w:vAlign w:val="center"/>
          </w:tcPr>
          <w:p w14:paraId="5DEF57B0">
            <w:pPr>
              <w:jc w:val="center"/>
              <w:rPr>
                <w:rFonts w:ascii="宋体" w:hAnsi="宋体"/>
                <w:color w:val="000000"/>
                <w:sz w:val="24"/>
                <w:szCs w:val="24"/>
                <w:highlight w:val="none"/>
              </w:rPr>
            </w:pPr>
          </w:p>
        </w:tc>
        <w:tc>
          <w:tcPr>
            <w:tcW w:w="488" w:type="pct"/>
            <w:vAlign w:val="center"/>
          </w:tcPr>
          <w:p w14:paraId="4203DD2B">
            <w:pPr>
              <w:jc w:val="center"/>
              <w:rPr>
                <w:rFonts w:ascii="宋体" w:hAnsi="宋体"/>
                <w:color w:val="000000"/>
                <w:sz w:val="24"/>
                <w:szCs w:val="24"/>
                <w:highlight w:val="none"/>
              </w:rPr>
            </w:pPr>
          </w:p>
        </w:tc>
        <w:tc>
          <w:tcPr>
            <w:tcW w:w="463" w:type="pct"/>
            <w:vAlign w:val="center"/>
          </w:tcPr>
          <w:p w14:paraId="2948997B">
            <w:pPr>
              <w:jc w:val="center"/>
              <w:rPr>
                <w:rFonts w:ascii="宋体" w:hAnsi="宋体"/>
                <w:color w:val="000000"/>
                <w:sz w:val="24"/>
                <w:szCs w:val="24"/>
                <w:highlight w:val="none"/>
              </w:rPr>
            </w:pPr>
          </w:p>
        </w:tc>
        <w:tc>
          <w:tcPr>
            <w:tcW w:w="398" w:type="pct"/>
            <w:vAlign w:val="center"/>
          </w:tcPr>
          <w:p w14:paraId="6134DBDF">
            <w:pPr>
              <w:jc w:val="center"/>
              <w:rPr>
                <w:rFonts w:ascii="宋体" w:hAnsi="宋体"/>
                <w:color w:val="000000"/>
                <w:sz w:val="24"/>
                <w:szCs w:val="24"/>
                <w:highlight w:val="none"/>
              </w:rPr>
            </w:pPr>
          </w:p>
        </w:tc>
        <w:tc>
          <w:tcPr>
            <w:tcW w:w="695" w:type="pct"/>
            <w:vAlign w:val="center"/>
          </w:tcPr>
          <w:p w14:paraId="43E3F232">
            <w:pPr>
              <w:jc w:val="center"/>
              <w:rPr>
                <w:rFonts w:ascii="宋体" w:hAnsi="宋体"/>
                <w:color w:val="000000"/>
                <w:sz w:val="24"/>
                <w:szCs w:val="24"/>
                <w:highlight w:val="none"/>
              </w:rPr>
            </w:pPr>
          </w:p>
        </w:tc>
        <w:tc>
          <w:tcPr>
            <w:tcW w:w="463" w:type="pct"/>
            <w:vAlign w:val="center"/>
          </w:tcPr>
          <w:p w14:paraId="1ACF4F7E">
            <w:pPr>
              <w:jc w:val="center"/>
              <w:rPr>
                <w:rFonts w:ascii="宋体" w:hAnsi="宋体"/>
                <w:color w:val="000000"/>
                <w:sz w:val="24"/>
                <w:szCs w:val="24"/>
                <w:highlight w:val="none"/>
              </w:rPr>
            </w:pPr>
          </w:p>
        </w:tc>
      </w:tr>
      <w:tr w14:paraId="30DE8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338B90FB">
            <w:pPr>
              <w:jc w:val="center"/>
              <w:rPr>
                <w:rFonts w:ascii="宋体" w:hAnsi="宋体"/>
                <w:color w:val="000000"/>
                <w:sz w:val="24"/>
                <w:szCs w:val="24"/>
                <w:highlight w:val="none"/>
              </w:rPr>
            </w:pPr>
          </w:p>
        </w:tc>
        <w:tc>
          <w:tcPr>
            <w:tcW w:w="596" w:type="pct"/>
            <w:vAlign w:val="center"/>
          </w:tcPr>
          <w:p w14:paraId="0C45B21F">
            <w:pPr>
              <w:jc w:val="center"/>
              <w:rPr>
                <w:rFonts w:ascii="宋体" w:hAnsi="宋体"/>
                <w:color w:val="000000"/>
                <w:sz w:val="24"/>
                <w:szCs w:val="24"/>
                <w:highlight w:val="none"/>
              </w:rPr>
            </w:pPr>
          </w:p>
        </w:tc>
        <w:tc>
          <w:tcPr>
            <w:tcW w:w="662" w:type="pct"/>
            <w:vAlign w:val="center"/>
          </w:tcPr>
          <w:p w14:paraId="68CF06EE">
            <w:pPr>
              <w:jc w:val="center"/>
              <w:rPr>
                <w:rFonts w:ascii="宋体" w:hAnsi="宋体"/>
                <w:color w:val="000000"/>
                <w:sz w:val="24"/>
                <w:szCs w:val="24"/>
                <w:highlight w:val="none"/>
              </w:rPr>
            </w:pPr>
          </w:p>
        </w:tc>
        <w:tc>
          <w:tcPr>
            <w:tcW w:w="439" w:type="pct"/>
            <w:vAlign w:val="center"/>
          </w:tcPr>
          <w:p w14:paraId="6949D716">
            <w:pPr>
              <w:jc w:val="center"/>
              <w:rPr>
                <w:rFonts w:ascii="宋体" w:hAnsi="宋体"/>
                <w:color w:val="000000"/>
                <w:sz w:val="24"/>
                <w:szCs w:val="24"/>
                <w:highlight w:val="none"/>
              </w:rPr>
            </w:pPr>
          </w:p>
        </w:tc>
        <w:tc>
          <w:tcPr>
            <w:tcW w:w="398" w:type="pct"/>
            <w:vAlign w:val="center"/>
          </w:tcPr>
          <w:p w14:paraId="50CD6625">
            <w:pPr>
              <w:jc w:val="center"/>
              <w:rPr>
                <w:rFonts w:ascii="宋体" w:hAnsi="宋体"/>
                <w:color w:val="000000"/>
                <w:sz w:val="24"/>
                <w:szCs w:val="24"/>
                <w:highlight w:val="none"/>
              </w:rPr>
            </w:pPr>
          </w:p>
        </w:tc>
        <w:tc>
          <w:tcPr>
            <w:tcW w:w="488" w:type="pct"/>
            <w:vAlign w:val="center"/>
          </w:tcPr>
          <w:p w14:paraId="72D47CA5">
            <w:pPr>
              <w:jc w:val="center"/>
              <w:rPr>
                <w:rFonts w:ascii="宋体" w:hAnsi="宋体"/>
                <w:color w:val="000000"/>
                <w:sz w:val="24"/>
                <w:szCs w:val="24"/>
                <w:highlight w:val="none"/>
              </w:rPr>
            </w:pPr>
          </w:p>
        </w:tc>
        <w:tc>
          <w:tcPr>
            <w:tcW w:w="463" w:type="pct"/>
            <w:vAlign w:val="center"/>
          </w:tcPr>
          <w:p w14:paraId="5CBEB2A9">
            <w:pPr>
              <w:jc w:val="center"/>
              <w:rPr>
                <w:rFonts w:ascii="宋体" w:hAnsi="宋体"/>
                <w:color w:val="000000"/>
                <w:sz w:val="24"/>
                <w:szCs w:val="24"/>
                <w:highlight w:val="none"/>
              </w:rPr>
            </w:pPr>
          </w:p>
        </w:tc>
        <w:tc>
          <w:tcPr>
            <w:tcW w:w="398" w:type="pct"/>
            <w:vAlign w:val="center"/>
          </w:tcPr>
          <w:p w14:paraId="1AD8ECD1">
            <w:pPr>
              <w:jc w:val="center"/>
              <w:rPr>
                <w:rFonts w:ascii="宋体" w:hAnsi="宋体"/>
                <w:color w:val="000000"/>
                <w:sz w:val="24"/>
                <w:szCs w:val="24"/>
                <w:highlight w:val="none"/>
              </w:rPr>
            </w:pPr>
          </w:p>
        </w:tc>
        <w:tc>
          <w:tcPr>
            <w:tcW w:w="695" w:type="pct"/>
            <w:vAlign w:val="center"/>
          </w:tcPr>
          <w:p w14:paraId="0F01C53A">
            <w:pPr>
              <w:jc w:val="center"/>
              <w:rPr>
                <w:rFonts w:ascii="宋体" w:hAnsi="宋体"/>
                <w:color w:val="000000"/>
                <w:sz w:val="24"/>
                <w:szCs w:val="24"/>
                <w:highlight w:val="none"/>
              </w:rPr>
            </w:pPr>
          </w:p>
        </w:tc>
        <w:tc>
          <w:tcPr>
            <w:tcW w:w="463" w:type="pct"/>
            <w:vAlign w:val="center"/>
          </w:tcPr>
          <w:p w14:paraId="51F7F77E">
            <w:pPr>
              <w:jc w:val="center"/>
              <w:rPr>
                <w:rFonts w:ascii="宋体" w:hAnsi="宋体"/>
                <w:color w:val="000000"/>
                <w:sz w:val="24"/>
                <w:szCs w:val="24"/>
                <w:highlight w:val="none"/>
              </w:rPr>
            </w:pPr>
          </w:p>
        </w:tc>
      </w:tr>
      <w:tr w14:paraId="2CDF4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646774F3">
            <w:pPr>
              <w:jc w:val="center"/>
              <w:rPr>
                <w:rFonts w:ascii="宋体" w:hAnsi="宋体"/>
                <w:color w:val="000000"/>
                <w:sz w:val="24"/>
                <w:szCs w:val="24"/>
                <w:highlight w:val="none"/>
              </w:rPr>
            </w:pPr>
          </w:p>
        </w:tc>
        <w:tc>
          <w:tcPr>
            <w:tcW w:w="596" w:type="pct"/>
            <w:vAlign w:val="center"/>
          </w:tcPr>
          <w:p w14:paraId="6FFE8C9B">
            <w:pPr>
              <w:jc w:val="center"/>
              <w:rPr>
                <w:rFonts w:ascii="宋体" w:hAnsi="宋体"/>
                <w:color w:val="000000"/>
                <w:sz w:val="24"/>
                <w:szCs w:val="24"/>
                <w:highlight w:val="none"/>
              </w:rPr>
            </w:pPr>
          </w:p>
        </w:tc>
        <w:tc>
          <w:tcPr>
            <w:tcW w:w="662" w:type="pct"/>
            <w:vAlign w:val="center"/>
          </w:tcPr>
          <w:p w14:paraId="1364F997">
            <w:pPr>
              <w:jc w:val="center"/>
              <w:rPr>
                <w:rFonts w:ascii="宋体" w:hAnsi="宋体"/>
                <w:color w:val="000000"/>
                <w:sz w:val="24"/>
                <w:szCs w:val="24"/>
                <w:highlight w:val="none"/>
              </w:rPr>
            </w:pPr>
          </w:p>
        </w:tc>
        <w:tc>
          <w:tcPr>
            <w:tcW w:w="439" w:type="pct"/>
            <w:vAlign w:val="center"/>
          </w:tcPr>
          <w:p w14:paraId="23C7E342">
            <w:pPr>
              <w:jc w:val="center"/>
              <w:rPr>
                <w:rFonts w:ascii="宋体" w:hAnsi="宋体"/>
                <w:color w:val="000000"/>
                <w:sz w:val="24"/>
                <w:szCs w:val="24"/>
                <w:highlight w:val="none"/>
              </w:rPr>
            </w:pPr>
          </w:p>
        </w:tc>
        <w:tc>
          <w:tcPr>
            <w:tcW w:w="398" w:type="pct"/>
            <w:vAlign w:val="center"/>
          </w:tcPr>
          <w:p w14:paraId="466626CE">
            <w:pPr>
              <w:jc w:val="center"/>
              <w:rPr>
                <w:rFonts w:ascii="宋体" w:hAnsi="宋体"/>
                <w:color w:val="000000"/>
                <w:sz w:val="24"/>
                <w:szCs w:val="24"/>
                <w:highlight w:val="none"/>
              </w:rPr>
            </w:pPr>
          </w:p>
        </w:tc>
        <w:tc>
          <w:tcPr>
            <w:tcW w:w="488" w:type="pct"/>
            <w:vAlign w:val="center"/>
          </w:tcPr>
          <w:p w14:paraId="57EB7FC8">
            <w:pPr>
              <w:jc w:val="center"/>
              <w:rPr>
                <w:rFonts w:ascii="宋体" w:hAnsi="宋体"/>
                <w:color w:val="000000"/>
                <w:sz w:val="24"/>
                <w:szCs w:val="24"/>
                <w:highlight w:val="none"/>
              </w:rPr>
            </w:pPr>
          </w:p>
        </w:tc>
        <w:tc>
          <w:tcPr>
            <w:tcW w:w="463" w:type="pct"/>
            <w:vAlign w:val="center"/>
          </w:tcPr>
          <w:p w14:paraId="0091F86C">
            <w:pPr>
              <w:jc w:val="center"/>
              <w:rPr>
                <w:rFonts w:ascii="宋体" w:hAnsi="宋体"/>
                <w:color w:val="000000"/>
                <w:sz w:val="24"/>
                <w:szCs w:val="24"/>
                <w:highlight w:val="none"/>
              </w:rPr>
            </w:pPr>
          </w:p>
        </w:tc>
        <w:tc>
          <w:tcPr>
            <w:tcW w:w="398" w:type="pct"/>
            <w:vAlign w:val="center"/>
          </w:tcPr>
          <w:p w14:paraId="7AF3F5C3">
            <w:pPr>
              <w:jc w:val="center"/>
              <w:rPr>
                <w:rFonts w:ascii="宋体" w:hAnsi="宋体"/>
                <w:color w:val="000000"/>
                <w:sz w:val="24"/>
                <w:szCs w:val="24"/>
                <w:highlight w:val="none"/>
              </w:rPr>
            </w:pPr>
          </w:p>
        </w:tc>
        <w:tc>
          <w:tcPr>
            <w:tcW w:w="695" w:type="pct"/>
            <w:vAlign w:val="center"/>
          </w:tcPr>
          <w:p w14:paraId="7C283253">
            <w:pPr>
              <w:jc w:val="center"/>
              <w:rPr>
                <w:rFonts w:ascii="宋体" w:hAnsi="宋体"/>
                <w:color w:val="000000"/>
                <w:sz w:val="24"/>
                <w:szCs w:val="24"/>
                <w:highlight w:val="none"/>
              </w:rPr>
            </w:pPr>
          </w:p>
        </w:tc>
        <w:tc>
          <w:tcPr>
            <w:tcW w:w="463" w:type="pct"/>
            <w:vAlign w:val="center"/>
          </w:tcPr>
          <w:p w14:paraId="2D1F8287">
            <w:pPr>
              <w:jc w:val="center"/>
              <w:rPr>
                <w:rFonts w:ascii="宋体" w:hAnsi="宋体"/>
                <w:color w:val="000000"/>
                <w:sz w:val="24"/>
                <w:szCs w:val="24"/>
                <w:highlight w:val="none"/>
              </w:rPr>
            </w:pPr>
          </w:p>
        </w:tc>
      </w:tr>
      <w:tr w14:paraId="566AD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0E0A43F7">
            <w:pPr>
              <w:jc w:val="center"/>
              <w:rPr>
                <w:rFonts w:ascii="宋体" w:hAnsi="宋体"/>
                <w:color w:val="000000"/>
                <w:sz w:val="24"/>
                <w:szCs w:val="24"/>
                <w:highlight w:val="none"/>
              </w:rPr>
            </w:pPr>
          </w:p>
        </w:tc>
        <w:tc>
          <w:tcPr>
            <w:tcW w:w="596" w:type="pct"/>
            <w:vAlign w:val="center"/>
          </w:tcPr>
          <w:p w14:paraId="3ADE20CA">
            <w:pPr>
              <w:jc w:val="center"/>
              <w:rPr>
                <w:rFonts w:ascii="宋体" w:hAnsi="宋体"/>
                <w:color w:val="000000"/>
                <w:sz w:val="24"/>
                <w:szCs w:val="24"/>
                <w:highlight w:val="none"/>
              </w:rPr>
            </w:pPr>
          </w:p>
        </w:tc>
        <w:tc>
          <w:tcPr>
            <w:tcW w:w="662" w:type="pct"/>
            <w:vAlign w:val="center"/>
          </w:tcPr>
          <w:p w14:paraId="769CB8DA">
            <w:pPr>
              <w:jc w:val="center"/>
              <w:rPr>
                <w:rFonts w:ascii="宋体" w:hAnsi="宋体"/>
                <w:color w:val="000000"/>
                <w:sz w:val="24"/>
                <w:szCs w:val="24"/>
                <w:highlight w:val="none"/>
              </w:rPr>
            </w:pPr>
          </w:p>
        </w:tc>
        <w:tc>
          <w:tcPr>
            <w:tcW w:w="439" w:type="pct"/>
            <w:vAlign w:val="center"/>
          </w:tcPr>
          <w:p w14:paraId="756C6A5E">
            <w:pPr>
              <w:jc w:val="center"/>
              <w:rPr>
                <w:rFonts w:ascii="宋体" w:hAnsi="宋体"/>
                <w:color w:val="000000"/>
                <w:sz w:val="24"/>
                <w:szCs w:val="24"/>
                <w:highlight w:val="none"/>
              </w:rPr>
            </w:pPr>
          </w:p>
        </w:tc>
        <w:tc>
          <w:tcPr>
            <w:tcW w:w="398" w:type="pct"/>
            <w:vAlign w:val="center"/>
          </w:tcPr>
          <w:p w14:paraId="5B399CFF">
            <w:pPr>
              <w:jc w:val="center"/>
              <w:rPr>
                <w:rFonts w:ascii="宋体" w:hAnsi="宋体"/>
                <w:color w:val="000000"/>
                <w:sz w:val="24"/>
                <w:szCs w:val="24"/>
                <w:highlight w:val="none"/>
              </w:rPr>
            </w:pPr>
          </w:p>
        </w:tc>
        <w:tc>
          <w:tcPr>
            <w:tcW w:w="488" w:type="pct"/>
            <w:vAlign w:val="center"/>
          </w:tcPr>
          <w:p w14:paraId="4C48BE6C">
            <w:pPr>
              <w:jc w:val="center"/>
              <w:rPr>
                <w:rFonts w:ascii="宋体" w:hAnsi="宋体"/>
                <w:color w:val="000000"/>
                <w:sz w:val="24"/>
                <w:szCs w:val="24"/>
                <w:highlight w:val="none"/>
              </w:rPr>
            </w:pPr>
          </w:p>
        </w:tc>
        <w:tc>
          <w:tcPr>
            <w:tcW w:w="463" w:type="pct"/>
            <w:vAlign w:val="center"/>
          </w:tcPr>
          <w:p w14:paraId="1DBE22A2">
            <w:pPr>
              <w:jc w:val="center"/>
              <w:rPr>
                <w:rFonts w:ascii="宋体" w:hAnsi="宋体"/>
                <w:color w:val="000000"/>
                <w:sz w:val="24"/>
                <w:szCs w:val="24"/>
                <w:highlight w:val="none"/>
              </w:rPr>
            </w:pPr>
          </w:p>
        </w:tc>
        <w:tc>
          <w:tcPr>
            <w:tcW w:w="398" w:type="pct"/>
            <w:vAlign w:val="center"/>
          </w:tcPr>
          <w:p w14:paraId="22435BD3">
            <w:pPr>
              <w:jc w:val="center"/>
              <w:rPr>
                <w:rFonts w:ascii="宋体" w:hAnsi="宋体"/>
                <w:color w:val="000000"/>
                <w:sz w:val="24"/>
                <w:szCs w:val="24"/>
                <w:highlight w:val="none"/>
              </w:rPr>
            </w:pPr>
          </w:p>
        </w:tc>
        <w:tc>
          <w:tcPr>
            <w:tcW w:w="695" w:type="pct"/>
            <w:vAlign w:val="center"/>
          </w:tcPr>
          <w:p w14:paraId="0D265F42">
            <w:pPr>
              <w:jc w:val="center"/>
              <w:rPr>
                <w:rFonts w:ascii="宋体" w:hAnsi="宋体"/>
                <w:color w:val="000000"/>
                <w:sz w:val="24"/>
                <w:szCs w:val="24"/>
                <w:highlight w:val="none"/>
              </w:rPr>
            </w:pPr>
          </w:p>
        </w:tc>
        <w:tc>
          <w:tcPr>
            <w:tcW w:w="463" w:type="pct"/>
            <w:vAlign w:val="center"/>
          </w:tcPr>
          <w:p w14:paraId="142123E5">
            <w:pPr>
              <w:jc w:val="center"/>
              <w:rPr>
                <w:rFonts w:ascii="宋体" w:hAnsi="宋体"/>
                <w:color w:val="000000"/>
                <w:sz w:val="24"/>
                <w:szCs w:val="24"/>
                <w:highlight w:val="none"/>
              </w:rPr>
            </w:pPr>
          </w:p>
        </w:tc>
      </w:tr>
      <w:tr w14:paraId="4DA9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5B8E142D">
            <w:pPr>
              <w:jc w:val="center"/>
              <w:rPr>
                <w:rFonts w:ascii="宋体" w:hAnsi="宋体"/>
                <w:color w:val="000000"/>
                <w:sz w:val="24"/>
                <w:szCs w:val="24"/>
                <w:highlight w:val="none"/>
              </w:rPr>
            </w:pPr>
          </w:p>
        </w:tc>
        <w:tc>
          <w:tcPr>
            <w:tcW w:w="596" w:type="pct"/>
            <w:vAlign w:val="center"/>
          </w:tcPr>
          <w:p w14:paraId="74A8D969">
            <w:pPr>
              <w:jc w:val="center"/>
              <w:rPr>
                <w:rFonts w:ascii="宋体" w:hAnsi="宋体"/>
                <w:color w:val="000000"/>
                <w:sz w:val="24"/>
                <w:szCs w:val="24"/>
                <w:highlight w:val="none"/>
              </w:rPr>
            </w:pPr>
          </w:p>
        </w:tc>
        <w:tc>
          <w:tcPr>
            <w:tcW w:w="662" w:type="pct"/>
            <w:vAlign w:val="center"/>
          </w:tcPr>
          <w:p w14:paraId="0CA993E6">
            <w:pPr>
              <w:jc w:val="center"/>
              <w:rPr>
                <w:rFonts w:ascii="宋体" w:hAnsi="宋体"/>
                <w:color w:val="000000"/>
                <w:sz w:val="24"/>
                <w:szCs w:val="24"/>
                <w:highlight w:val="none"/>
              </w:rPr>
            </w:pPr>
          </w:p>
        </w:tc>
        <w:tc>
          <w:tcPr>
            <w:tcW w:w="439" w:type="pct"/>
            <w:vAlign w:val="center"/>
          </w:tcPr>
          <w:p w14:paraId="609B90AE">
            <w:pPr>
              <w:jc w:val="center"/>
              <w:rPr>
                <w:rFonts w:ascii="宋体" w:hAnsi="宋体"/>
                <w:color w:val="000000"/>
                <w:sz w:val="24"/>
                <w:szCs w:val="24"/>
                <w:highlight w:val="none"/>
              </w:rPr>
            </w:pPr>
          </w:p>
        </w:tc>
        <w:tc>
          <w:tcPr>
            <w:tcW w:w="398" w:type="pct"/>
            <w:vAlign w:val="center"/>
          </w:tcPr>
          <w:p w14:paraId="4B0A50E8">
            <w:pPr>
              <w:jc w:val="center"/>
              <w:rPr>
                <w:rFonts w:ascii="宋体" w:hAnsi="宋体"/>
                <w:color w:val="000000"/>
                <w:sz w:val="24"/>
                <w:szCs w:val="24"/>
                <w:highlight w:val="none"/>
              </w:rPr>
            </w:pPr>
          </w:p>
        </w:tc>
        <w:tc>
          <w:tcPr>
            <w:tcW w:w="488" w:type="pct"/>
            <w:vAlign w:val="center"/>
          </w:tcPr>
          <w:p w14:paraId="65CEAB1F">
            <w:pPr>
              <w:jc w:val="center"/>
              <w:rPr>
                <w:rFonts w:ascii="宋体" w:hAnsi="宋体"/>
                <w:color w:val="000000"/>
                <w:sz w:val="24"/>
                <w:szCs w:val="24"/>
                <w:highlight w:val="none"/>
              </w:rPr>
            </w:pPr>
          </w:p>
        </w:tc>
        <w:tc>
          <w:tcPr>
            <w:tcW w:w="463" w:type="pct"/>
            <w:vAlign w:val="center"/>
          </w:tcPr>
          <w:p w14:paraId="4487B21B">
            <w:pPr>
              <w:jc w:val="center"/>
              <w:rPr>
                <w:rFonts w:ascii="宋体" w:hAnsi="宋体"/>
                <w:color w:val="000000"/>
                <w:sz w:val="24"/>
                <w:szCs w:val="24"/>
                <w:highlight w:val="none"/>
              </w:rPr>
            </w:pPr>
          </w:p>
        </w:tc>
        <w:tc>
          <w:tcPr>
            <w:tcW w:w="398" w:type="pct"/>
            <w:vAlign w:val="center"/>
          </w:tcPr>
          <w:p w14:paraId="24C89A97">
            <w:pPr>
              <w:jc w:val="center"/>
              <w:rPr>
                <w:rFonts w:ascii="宋体" w:hAnsi="宋体"/>
                <w:color w:val="000000"/>
                <w:sz w:val="24"/>
                <w:szCs w:val="24"/>
                <w:highlight w:val="none"/>
              </w:rPr>
            </w:pPr>
          </w:p>
        </w:tc>
        <w:tc>
          <w:tcPr>
            <w:tcW w:w="695" w:type="pct"/>
            <w:vAlign w:val="center"/>
          </w:tcPr>
          <w:p w14:paraId="3EDF5218">
            <w:pPr>
              <w:jc w:val="center"/>
              <w:rPr>
                <w:rFonts w:ascii="宋体" w:hAnsi="宋体"/>
                <w:color w:val="000000"/>
                <w:sz w:val="24"/>
                <w:szCs w:val="24"/>
                <w:highlight w:val="none"/>
              </w:rPr>
            </w:pPr>
          </w:p>
        </w:tc>
        <w:tc>
          <w:tcPr>
            <w:tcW w:w="463" w:type="pct"/>
            <w:vAlign w:val="center"/>
          </w:tcPr>
          <w:p w14:paraId="185D4840">
            <w:pPr>
              <w:jc w:val="center"/>
              <w:rPr>
                <w:rFonts w:ascii="宋体" w:hAnsi="宋体"/>
                <w:color w:val="000000"/>
                <w:sz w:val="24"/>
                <w:szCs w:val="24"/>
                <w:highlight w:val="none"/>
              </w:rPr>
            </w:pPr>
          </w:p>
        </w:tc>
      </w:tr>
      <w:tr w14:paraId="39919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8" w:type="pct"/>
            <w:vAlign w:val="center"/>
          </w:tcPr>
          <w:p w14:paraId="79583317">
            <w:pPr>
              <w:jc w:val="center"/>
              <w:rPr>
                <w:rFonts w:ascii="宋体" w:hAnsi="宋体"/>
                <w:color w:val="000000"/>
                <w:sz w:val="24"/>
                <w:szCs w:val="24"/>
                <w:highlight w:val="none"/>
              </w:rPr>
            </w:pPr>
          </w:p>
        </w:tc>
        <w:tc>
          <w:tcPr>
            <w:tcW w:w="596" w:type="pct"/>
            <w:vAlign w:val="center"/>
          </w:tcPr>
          <w:p w14:paraId="47AD0206">
            <w:pPr>
              <w:jc w:val="center"/>
              <w:rPr>
                <w:rFonts w:ascii="宋体" w:hAnsi="宋体"/>
                <w:color w:val="000000"/>
                <w:sz w:val="24"/>
                <w:szCs w:val="24"/>
                <w:highlight w:val="none"/>
              </w:rPr>
            </w:pPr>
          </w:p>
        </w:tc>
        <w:tc>
          <w:tcPr>
            <w:tcW w:w="662" w:type="pct"/>
            <w:vAlign w:val="center"/>
          </w:tcPr>
          <w:p w14:paraId="53338602">
            <w:pPr>
              <w:jc w:val="center"/>
              <w:rPr>
                <w:rFonts w:ascii="宋体" w:hAnsi="宋体"/>
                <w:color w:val="000000"/>
                <w:sz w:val="24"/>
                <w:szCs w:val="24"/>
                <w:highlight w:val="none"/>
              </w:rPr>
            </w:pPr>
          </w:p>
        </w:tc>
        <w:tc>
          <w:tcPr>
            <w:tcW w:w="439" w:type="pct"/>
            <w:vAlign w:val="center"/>
          </w:tcPr>
          <w:p w14:paraId="7AA8CECB">
            <w:pPr>
              <w:jc w:val="center"/>
              <w:rPr>
                <w:rFonts w:ascii="宋体" w:hAnsi="宋体"/>
                <w:color w:val="000000"/>
                <w:sz w:val="24"/>
                <w:szCs w:val="24"/>
                <w:highlight w:val="none"/>
              </w:rPr>
            </w:pPr>
          </w:p>
        </w:tc>
        <w:tc>
          <w:tcPr>
            <w:tcW w:w="398" w:type="pct"/>
            <w:vAlign w:val="center"/>
          </w:tcPr>
          <w:p w14:paraId="39123A4E">
            <w:pPr>
              <w:jc w:val="center"/>
              <w:rPr>
                <w:rFonts w:ascii="宋体" w:hAnsi="宋体"/>
                <w:color w:val="000000"/>
                <w:sz w:val="24"/>
                <w:szCs w:val="24"/>
                <w:highlight w:val="none"/>
              </w:rPr>
            </w:pPr>
          </w:p>
        </w:tc>
        <w:tc>
          <w:tcPr>
            <w:tcW w:w="488" w:type="pct"/>
            <w:vAlign w:val="center"/>
          </w:tcPr>
          <w:p w14:paraId="0B53A638">
            <w:pPr>
              <w:jc w:val="center"/>
              <w:rPr>
                <w:rFonts w:ascii="宋体" w:hAnsi="宋体"/>
                <w:color w:val="000000"/>
                <w:sz w:val="24"/>
                <w:szCs w:val="24"/>
                <w:highlight w:val="none"/>
              </w:rPr>
            </w:pPr>
          </w:p>
        </w:tc>
        <w:tc>
          <w:tcPr>
            <w:tcW w:w="463" w:type="pct"/>
            <w:vAlign w:val="center"/>
          </w:tcPr>
          <w:p w14:paraId="231C6AB1">
            <w:pPr>
              <w:jc w:val="center"/>
              <w:rPr>
                <w:rFonts w:ascii="宋体" w:hAnsi="宋体"/>
                <w:color w:val="000000"/>
                <w:sz w:val="24"/>
                <w:szCs w:val="24"/>
                <w:highlight w:val="none"/>
              </w:rPr>
            </w:pPr>
          </w:p>
        </w:tc>
        <w:tc>
          <w:tcPr>
            <w:tcW w:w="398" w:type="pct"/>
            <w:vAlign w:val="center"/>
          </w:tcPr>
          <w:p w14:paraId="1435D28F">
            <w:pPr>
              <w:jc w:val="center"/>
              <w:rPr>
                <w:rFonts w:ascii="宋体" w:hAnsi="宋体"/>
                <w:color w:val="000000"/>
                <w:sz w:val="24"/>
                <w:szCs w:val="24"/>
                <w:highlight w:val="none"/>
              </w:rPr>
            </w:pPr>
          </w:p>
        </w:tc>
        <w:tc>
          <w:tcPr>
            <w:tcW w:w="695" w:type="pct"/>
            <w:vAlign w:val="center"/>
          </w:tcPr>
          <w:p w14:paraId="6FDB6BA6">
            <w:pPr>
              <w:jc w:val="center"/>
              <w:rPr>
                <w:rFonts w:ascii="宋体" w:hAnsi="宋体"/>
                <w:color w:val="000000"/>
                <w:sz w:val="24"/>
                <w:szCs w:val="24"/>
                <w:highlight w:val="none"/>
              </w:rPr>
            </w:pPr>
          </w:p>
        </w:tc>
        <w:tc>
          <w:tcPr>
            <w:tcW w:w="463" w:type="pct"/>
            <w:vAlign w:val="center"/>
          </w:tcPr>
          <w:p w14:paraId="4FBDA5E2">
            <w:pPr>
              <w:jc w:val="center"/>
              <w:rPr>
                <w:rFonts w:ascii="宋体" w:hAnsi="宋体"/>
                <w:color w:val="000000"/>
                <w:sz w:val="24"/>
                <w:szCs w:val="24"/>
                <w:highlight w:val="none"/>
              </w:rPr>
            </w:pPr>
          </w:p>
        </w:tc>
      </w:tr>
    </w:tbl>
    <w:p w14:paraId="22224D36">
      <w:pPr>
        <w:spacing w:line="440" w:lineRule="exact"/>
        <w:rPr>
          <w:rFonts w:ascii="宋体" w:hAnsi="宋体"/>
          <w:color w:val="000000"/>
          <w:sz w:val="24"/>
          <w:szCs w:val="24"/>
          <w:highlight w:val="none"/>
        </w:rPr>
      </w:pPr>
    </w:p>
    <w:p w14:paraId="18F8CDB0">
      <w:pPr>
        <w:widowControl/>
        <w:jc w:val="left"/>
        <w:rPr>
          <w:rFonts w:ascii="宋体" w:hAnsi="宋体"/>
          <w:color w:val="000000"/>
          <w:sz w:val="24"/>
          <w:szCs w:val="24"/>
          <w:highlight w:val="none"/>
        </w:rPr>
      </w:pPr>
      <w:r>
        <w:rPr>
          <w:rFonts w:ascii="宋体" w:hAnsi="宋体"/>
          <w:color w:val="000000"/>
          <w:sz w:val="24"/>
          <w:szCs w:val="24"/>
          <w:highlight w:val="none"/>
        </w:rPr>
        <w:br w:type="page"/>
      </w:r>
    </w:p>
    <w:p w14:paraId="1BF78DD7">
      <w:pPr>
        <w:spacing w:line="440" w:lineRule="exact"/>
        <w:rPr>
          <w:rFonts w:ascii="宋体" w:hAnsi="宋体"/>
          <w:color w:val="000000"/>
          <w:sz w:val="24"/>
          <w:szCs w:val="24"/>
          <w:highlight w:val="none"/>
        </w:rPr>
      </w:pPr>
      <w:r>
        <w:rPr>
          <w:rFonts w:ascii="宋体" w:hAnsi="宋体"/>
          <w:color w:val="000000"/>
          <w:sz w:val="24"/>
          <w:szCs w:val="24"/>
          <w:highlight w:val="none"/>
        </w:rPr>
        <w:t>附</w:t>
      </w:r>
      <w:bookmarkStart w:id="997" w:name="_Toc267261693"/>
      <w:bookmarkStart w:id="998" w:name="_Toc296347225"/>
      <w:bookmarkStart w:id="999" w:name="_Toc296503226"/>
      <w:bookmarkStart w:id="1000" w:name="_Toc296891266"/>
      <w:bookmarkStart w:id="1001" w:name="_Toc296891054"/>
      <w:bookmarkStart w:id="1002" w:name="_Toc296346727"/>
      <w:bookmarkStart w:id="1003" w:name="_Toc296944565"/>
      <w:r>
        <w:rPr>
          <w:rFonts w:ascii="宋体" w:hAnsi="宋体"/>
          <w:color w:val="000000"/>
          <w:sz w:val="24"/>
          <w:szCs w:val="24"/>
          <w:highlight w:val="none"/>
        </w:rPr>
        <w:t>件3：</w:t>
      </w:r>
      <w:bookmarkEnd w:id="997"/>
      <w:bookmarkEnd w:id="998"/>
      <w:bookmarkEnd w:id="999"/>
      <w:bookmarkEnd w:id="1000"/>
      <w:bookmarkEnd w:id="1001"/>
      <w:bookmarkEnd w:id="1002"/>
      <w:bookmarkEnd w:id="1003"/>
      <w:r>
        <w:rPr>
          <w:rFonts w:ascii="宋体" w:hAnsi="宋体"/>
          <w:color w:val="000000"/>
          <w:sz w:val="24"/>
          <w:szCs w:val="24"/>
          <w:highlight w:val="none"/>
        </w:rPr>
        <w:t xml:space="preserve">    </w:t>
      </w:r>
    </w:p>
    <w:p w14:paraId="03092DBA">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24"/>
          <w:szCs w:val="24"/>
          <w:highlight w:val="none"/>
        </w:rPr>
        <w:t>工程质量保修书</w:t>
      </w:r>
    </w:p>
    <w:p w14:paraId="122BEA07">
      <w:pPr>
        <w:spacing w:line="440" w:lineRule="exact"/>
        <w:ind w:firstLine="480" w:firstLineChars="200"/>
        <w:rPr>
          <w:rFonts w:ascii="宋体" w:hAnsi="宋体"/>
          <w:color w:val="000000"/>
          <w:sz w:val="24"/>
          <w:szCs w:val="24"/>
          <w:highlight w:val="none"/>
        </w:rPr>
      </w:pPr>
      <w:r>
        <w:rPr>
          <w:rFonts w:ascii="宋体" w:hAnsi="宋体"/>
          <w:color w:val="000000"/>
          <w:sz w:val="24"/>
          <w:szCs w:val="24"/>
          <w:highlight w:val="none"/>
        </w:rPr>
        <w:t>发包人（全称）：</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w:t>
      </w:r>
    </w:p>
    <w:p w14:paraId="39BDBD87">
      <w:pPr>
        <w:spacing w:line="44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承</w:t>
      </w:r>
      <w:r>
        <w:rPr>
          <w:rFonts w:ascii="宋体" w:hAnsi="宋体"/>
          <w:color w:val="000000"/>
          <w:sz w:val="24"/>
          <w:szCs w:val="24"/>
          <w:highlight w:val="none"/>
        </w:rPr>
        <w:t>包人（全称）：</w:t>
      </w:r>
      <w:r>
        <w:rPr>
          <w:rFonts w:ascii="宋体" w:hAnsi="宋体"/>
          <w:color w:val="000000"/>
          <w:sz w:val="24"/>
          <w:szCs w:val="24"/>
          <w:highlight w:val="none"/>
          <w:u w:val="single"/>
        </w:rPr>
        <w:t xml:space="preserve">                                 </w:t>
      </w:r>
    </w:p>
    <w:p w14:paraId="3F1CAA40">
      <w:pPr>
        <w:spacing w:line="440" w:lineRule="exact"/>
        <w:rPr>
          <w:rFonts w:ascii="宋体" w:hAnsi="宋体"/>
          <w:color w:val="000000"/>
          <w:sz w:val="24"/>
          <w:szCs w:val="24"/>
          <w:highlight w:val="none"/>
        </w:rPr>
      </w:pPr>
    </w:p>
    <w:p w14:paraId="49BC3AA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发包人和承包人根据《中华人民共和国建筑法》和《建设工程质量管理条例》，经协商一致就</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2025年奥吉大厦装修及仓储场地翻新项目</w:t>
      </w:r>
      <w:r>
        <w:rPr>
          <w:rFonts w:ascii="宋体" w:hAnsi="宋体"/>
          <w:color w:val="000000"/>
          <w:sz w:val="24"/>
          <w:szCs w:val="24"/>
          <w:highlight w:val="none"/>
          <w:u w:val="single"/>
        </w:rPr>
        <w:t xml:space="preserve"> </w:t>
      </w:r>
      <w:r>
        <w:rPr>
          <w:rFonts w:ascii="宋体" w:hAnsi="宋体"/>
          <w:color w:val="000000"/>
          <w:sz w:val="24"/>
          <w:szCs w:val="24"/>
          <w:highlight w:val="none"/>
        </w:rPr>
        <w:t>（工程全称）签订工程质量保修书。</w:t>
      </w:r>
    </w:p>
    <w:p w14:paraId="55231DF7">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一、工程质量保修范围和内容</w:t>
      </w:r>
    </w:p>
    <w:p w14:paraId="3F416BE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承包人在质量保修期内，按照有关法律规定和合同约定，承担工程质量保修责任。</w:t>
      </w:r>
    </w:p>
    <w:p w14:paraId="3F5D3DB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7168AD8">
      <w:pPr>
        <w:spacing w:line="360" w:lineRule="auto"/>
        <w:outlineLvl w:val="0"/>
        <w:rPr>
          <w:rFonts w:ascii="宋体" w:hAnsi="宋体"/>
          <w:color w:val="000000"/>
          <w:sz w:val="24"/>
          <w:szCs w:val="24"/>
          <w:highlight w:val="none"/>
        </w:rPr>
      </w:pPr>
      <w:r>
        <w:rPr>
          <w:rFonts w:ascii="宋体" w:hAnsi="宋体"/>
          <w:color w:val="000000"/>
          <w:sz w:val="24"/>
          <w:szCs w:val="24"/>
          <w:highlight w:val="none"/>
        </w:rPr>
        <w:t>二、质量保修期</w:t>
      </w:r>
    </w:p>
    <w:p w14:paraId="36D98518">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根据《建设工程质量管理条例》及有关规定，工程的质量保修期如下：</w:t>
      </w:r>
    </w:p>
    <w:p w14:paraId="51D3B0AD">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1．地基基础工程和主体结构工程为设计文件规定的工程合理使用年限；</w:t>
      </w:r>
    </w:p>
    <w:p w14:paraId="412DB736">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sz w:val="24"/>
          <w:szCs w:val="24"/>
          <w:highlight w:val="none"/>
        </w:rPr>
        <w:t>．</w:t>
      </w:r>
      <w:r>
        <w:rPr>
          <w:rFonts w:ascii="宋体" w:hAnsi="宋体"/>
          <w:color w:val="000000"/>
          <w:sz w:val="24"/>
          <w:szCs w:val="24"/>
          <w:highlight w:val="none"/>
        </w:rPr>
        <w:t>屋面防水工程、有防水要求的卫生间、房间和外墙面的防渗</w:t>
      </w:r>
      <w:r>
        <w:rPr>
          <w:rFonts w:hint="eastAsia" w:ascii="宋体" w:hAnsi="宋体"/>
          <w:color w:val="000000"/>
          <w:sz w:val="24"/>
          <w:szCs w:val="24"/>
          <w:highlight w:val="none"/>
        </w:rPr>
        <w:t>为</w:t>
      </w:r>
      <w:r>
        <w:rPr>
          <w:rFonts w:hint="eastAsia" w:ascii="宋体" w:hAnsi="宋体"/>
          <w:color w:val="000000"/>
          <w:sz w:val="24"/>
          <w:szCs w:val="24"/>
          <w:highlight w:val="none"/>
          <w:u w:val="single"/>
        </w:rPr>
        <w:t xml:space="preserve">    5    </w:t>
      </w:r>
      <w:r>
        <w:rPr>
          <w:rFonts w:ascii="宋体" w:hAnsi="宋体"/>
          <w:color w:val="000000"/>
          <w:sz w:val="24"/>
          <w:szCs w:val="24"/>
          <w:highlight w:val="none"/>
        </w:rPr>
        <w:t>年；</w:t>
      </w:r>
    </w:p>
    <w:p w14:paraId="11DA6EB5">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w:t>
      </w:r>
      <w:r>
        <w:rPr>
          <w:rFonts w:ascii="宋体" w:hAnsi="宋体"/>
          <w:color w:val="000000"/>
          <w:sz w:val="24"/>
          <w:szCs w:val="24"/>
          <w:highlight w:val="none"/>
        </w:rPr>
        <w:t>装修工程为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w:t>
      </w:r>
      <w:r>
        <w:rPr>
          <w:rFonts w:ascii="宋体" w:hAnsi="宋体"/>
          <w:color w:val="000000"/>
          <w:sz w:val="24"/>
          <w:szCs w:val="24"/>
          <w:highlight w:val="none"/>
          <w:u w:val="single"/>
        </w:rPr>
        <w:t xml:space="preserve">   </w:t>
      </w:r>
      <w:r>
        <w:rPr>
          <w:rFonts w:ascii="宋体" w:hAnsi="宋体"/>
          <w:color w:val="000000"/>
          <w:sz w:val="24"/>
          <w:szCs w:val="24"/>
          <w:highlight w:val="none"/>
        </w:rPr>
        <w:t>年；</w:t>
      </w:r>
    </w:p>
    <w:p w14:paraId="03D5D24D">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w:t>
      </w:r>
      <w:r>
        <w:rPr>
          <w:rFonts w:ascii="宋体" w:hAnsi="宋体"/>
          <w:color w:val="000000"/>
          <w:sz w:val="24"/>
          <w:szCs w:val="24"/>
          <w:highlight w:val="none"/>
        </w:rPr>
        <w:t>电气管线、给排水管道、设备安装工程为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w:t>
      </w:r>
      <w:r>
        <w:rPr>
          <w:rFonts w:ascii="宋体" w:hAnsi="宋体"/>
          <w:color w:val="000000"/>
          <w:sz w:val="24"/>
          <w:szCs w:val="24"/>
          <w:highlight w:val="none"/>
          <w:u w:val="single"/>
        </w:rPr>
        <w:t xml:space="preserve">    </w:t>
      </w:r>
      <w:r>
        <w:rPr>
          <w:rFonts w:ascii="宋体" w:hAnsi="宋体"/>
          <w:color w:val="000000"/>
          <w:sz w:val="24"/>
          <w:szCs w:val="24"/>
          <w:highlight w:val="none"/>
        </w:rPr>
        <w:t>年；</w:t>
      </w:r>
    </w:p>
    <w:p w14:paraId="3CF17E75">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5．</w:t>
      </w:r>
      <w:r>
        <w:rPr>
          <w:rFonts w:ascii="宋体" w:hAnsi="宋体"/>
          <w:color w:val="000000"/>
          <w:sz w:val="24"/>
          <w:szCs w:val="24"/>
          <w:highlight w:val="none"/>
        </w:rPr>
        <w:t>供热与供冷系统为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w:t>
      </w:r>
      <w:r>
        <w:rPr>
          <w:rFonts w:ascii="宋体" w:hAnsi="宋体"/>
          <w:color w:val="000000"/>
          <w:sz w:val="24"/>
          <w:szCs w:val="24"/>
          <w:highlight w:val="none"/>
          <w:u w:val="single"/>
        </w:rPr>
        <w:t xml:space="preserve">  </w:t>
      </w:r>
      <w:r>
        <w:rPr>
          <w:rFonts w:ascii="宋体" w:hAnsi="宋体"/>
          <w:color w:val="000000"/>
          <w:sz w:val="24"/>
          <w:szCs w:val="24"/>
          <w:highlight w:val="none"/>
        </w:rPr>
        <w:t>个采暖期、供冷期；</w:t>
      </w:r>
    </w:p>
    <w:p w14:paraId="178D27F9">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6．</w:t>
      </w:r>
      <w:r>
        <w:rPr>
          <w:rFonts w:ascii="宋体" w:hAnsi="宋体"/>
          <w:color w:val="000000"/>
          <w:sz w:val="24"/>
          <w:szCs w:val="24"/>
          <w:highlight w:val="none"/>
        </w:rPr>
        <w:t>住宅小区内的给排水设施、道路等配套工程为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w:t>
      </w:r>
      <w:r>
        <w:rPr>
          <w:rFonts w:ascii="宋体" w:hAnsi="宋体"/>
          <w:color w:val="000000"/>
          <w:sz w:val="24"/>
          <w:szCs w:val="24"/>
          <w:highlight w:val="none"/>
          <w:u w:val="single"/>
        </w:rPr>
        <w:t xml:space="preserve">    </w:t>
      </w:r>
      <w:r>
        <w:rPr>
          <w:rFonts w:ascii="宋体" w:hAnsi="宋体"/>
          <w:color w:val="000000"/>
          <w:sz w:val="24"/>
          <w:szCs w:val="24"/>
          <w:highlight w:val="none"/>
        </w:rPr>
        <w:t>年；</w:t>
      </w:r>
    </w:p>
    <w:p w14:paraId="34BA2084">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其他项目保修期限约定如下：</w:t>
      </w:r>
      <w:r>
        <w:rPr>
          <w:rFonts w:hint="eastAsia" w:ascii="宋体" w:hAnsi="宋体"/>
          <w:color w:val="000000"/>
          <w:sz w:val="24"/>
          <w:szCs w:val="24"/>
          <w:highlight w:val="none"/>
          <w:u w:val="single"/>
        </w:rPr>
        <w:t xml:space="preserve">   无</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637E344E">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质量保修期自工程竣工验收合格之日起计算。</w:t>
      </w:r>
    </w:p>
    <w:p w14:paraId="7BA971B1">
      <w:pPr>
        <w:spacing w:line="360" w:lineRule="auto"/>
        <w:ind w:firstLine="480" w:firstLineChars="200"/>
        <w:outlineLvl w:val="0"/>
        <w:rPr>
          <w:rFonts w:ascii="宋体" w:hAnsi="宋体"/>
          <w:color w:val="000000"/>
          <w:sz w:val="24"/>
          <w:szCs w:val="24"/>
          <w:highlight w:val="none"/>
        </w:rPr>
      </w:pPr>
      <w:r>
        <w:rPr>
          <w:rFonts w:ascii="宋体" w:hAnsi="宋体"/>
          <w:color w:val="000000"/>
          <w:sz w:val="24"/>
          <w:szCs w:val="24"/>
          <w:highlight w:val="none"/>
        </w:rPr>
        <w:t>三、缺陷责任期</w:t>
      </w:r>
    </w:p>
    <w:p w14:paraId="2E7B9FF1">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工程缺陷责任期为</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24</w:t>
      </w:r>
      <w:r>
        <w:rPr>
          <w:rFonts w:ascii="宋体" w:hAnsi="宋体"/>
          <w:color w:val="000000"/>
          <w:sz w:val="24"/>
          <w:szCs w:val="24"/>
          <w:highlight w:val="none"/>
          <w:u w:val="single"/>
        </w:rPr>
        <w:t xml:space="preserve">    </w:t>
      </w:r>
      <w:r>
        <w:rPr>
          <w:rFonts w:ascii="宋体" w:hAnsi="宋体"/>
          <w:color w:val="000000"/>
          <w:sz w:val="24"/>
          <w:szCs w:val="24"/>
          <w:highlight w:val="none"/>
        </w:rPr>
        <w:t>个月，缺陷责任期自工程</w:t>
      </w:r>
      <w:r>
        <w:rPr>
          <w:rFonts w:hint="eastAsia" w:ascii="宋体" w:hAnsi="宋体"/>
          <w:color w:val="000000"/>
          <w:sz w:val="24"/>
          <w:szCs w:val="24"/>
          <w:highlight w:val="none"/>
        </w:rPr>
        <w:t>通过竣工验收</w:t>
      </w:r>
      <w:r>
        <w:rPr>
          <w:rFonts w:ascii="宋体" w:hAnsi="宋体"/>
          <w:color w:val="000000"/>
          <w:sz w:val="24"/>
          <w:szCs w:val="24"/>
          <w:highlight w:val="none"/>
        </w:rPr>
        <w:t>之日起计算。单位工程先于全部工程进行验收，单位工程缺陷责任期自单位工程验收合格之日起算。</w:t>
      </w:r>
    </w:p>
    <w:p w14:paraId="57B3B824">
      <w:pPr>
        <w:spacing w:line="360" w:lineRule="auto"/>
        <w:ind w:firstLine="480" w:firstLineChars="200"/>
        <w:rPr>
          <w:rFonts w:ascii="宋体" w:hAnsi="宋体"/>
          <w:color w:val="000000"/>
          <w:sz w:val="24"/>
          <w:szCs w:val="24"/>
          <w:highlight w:val="none"/>
        </w:rPr>
      </w:pPr>
      <w:r>
        <w:rPr>
          <w:rFonts w:ascii="宋体" w:hAnsi="宋体"/>
          <w:color w:val="000000"/>
          <w:sz w:val="24"/>
          <w:szCs w:val="24"/>
          <w:highlight w:val="none"/>
        </w:rPr>
        <w:t>缺陷责任期终止后，发包人应退还剩余的质量保证金。</w:t>
      </w:r>
    </w:p>
    <w:p w14:paraId="24AC23E2">
      <w:pPr>
        <w:spacing w:line="360" w:lineRule="auto"/>
        <w:outlineLvl w:val="0"/>
        <w:rPr>
          <w:rFonts w:ascii="宋体" w:hAnsi="宋体"/>
          <w:color w:val="000000"/>
          <w:sz w:val="24"/>
          <w:szCs w:val="24"/>
          <w:highlight w:val="none"/>
        </w:rPr>
      </w:pPr>
      <w:r>
        <w:rPr>
          <w:rFonts w:ascii="宋体" w:hAnsi="宋体"/>
          <w:color w:val="000000"/>
          <w:sz w:val="24"/>
          <w:szCs w:val="24"/>
          <w:highlight w:val="none"/>
        </w:rPr>
        <w:t xml:space="preserve">    四、质量保修责任</w:t>
      </w:r>
    </w:p>
    <w:p w14:paraId="7AE950AB">
      <w:pPr>
        <w:spacing w:line="360" w:lineRule="auto"/>
        <w:ind w:left="105" w:leftChars="50" w:firstLine="491" w:firstLineChars="205"/>
        <w:rPr>
          <w:rFonts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sz w:val="24"/>
          <w:szCs w:val="24"/>
          <w:highlight w:val="none"/>
        </w:rPr>
        <w:t>．</w:t>
      </w:r>
      <w:r>
        <w:rPr>
          <w:rFonts w:ascii="宋体" w:hAnsi="宋体"/>
          <w:color w:val="000000"/>
          <w:sz w:val="24"/>
          <w:szCs w:val="24"/>
          <w:highlight w:val="none"/>
        </w:rPr>
        <w:t>属于保修范围、内容的项目，承包人应当在接到保修通知之日起7天内派人保修。承包人不在约定期限内派人保修的，发包人可以委托他人修理。</w:t>
      </w:r>
    </w:p>
    <w:p w14:paraId="63C89978">
      <w:pPr>
        <w:spacing w:line="360" w:lineRule="auto"/>
        <w:ind w:left="105" w:leftChars="50" w:firstLine="491" w:firstLineChars="205"/>
        <w:rPr>
          <w:rFonts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sz w:val="24"/>
          <w:szCs w:val="24"/>
          <w:highlight w:val="none"/>
        </w:rPr>
        <w:t>．</w:t>
      </w:r>
      <w:r>
        <w:rPr>
          <w:rFonts w:ascii="宋体" w:hAnsi="宋体"/>
          <w:color w:val="000000"/>
          <w:sz w:val="24"/>
          <w:szCs w:val="24"/>
          <w:highlight w:val="none"/>
        </w:rPr>
        <w:t>发生紧急事故需抢修的，承包人在接到事故通知后，应当立即到达事故现场抢修。</w:t>
      </w:r>
    </w:p>
    <w:p w14:paraId="21B4796C">
      <w:pPr>
        <w:spacing w:line="360" w:lineRule="auto"/>
        <w:ind w:left="105" w:leftChars="50" w:firstLine="491" w:firstLineChars="205"/>
        <w:rPr>
          <w:rFonts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sz w:val="24"/>
          <w:szCs w:val="24"/>
          <w:highlight w:val="none"/>
        </w:rPr>
        <w:t>．</w:t>
      </w:r>
      <w:r>
        <w:rPr>
          <w:rFonts w:ascii="宋体" w:hAnsi="宋体"/>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A2DC22">
      <w:pPr>
        <w:spacing w:line="360" w:lineRule="auto"/>
        <w:ind w:left="420" w:leftChars="200" w:firstLine="120" w:firstLineChars="50"/>
        <w:rPr>
          <w:rFonts w:ascii="宋体" w:hAnsi="宋体"/>
          <w:color w:val="000000"/>
          <w:sz w:val="24"/>
          <w:szCs w:val="24"/>
          <w:highlight w:val="none"/>
        </w:rPr>
      </w:pPr>
      <w:r>
        <w:rPr>
          <w:rFonts w:hint="eastAsia" w:ascii="宋体" w:hAnsi="宋体"/>
          <w:color w:val="000000"/>
          <w:sz w:val="24"/>
          <w:szCs w:val="24"/>
          <w:highlight w:val="none"/>
        </w:rPr>
        <w:t>4</w:t>
      </w:r>
      <w:r>
        <w:rPr>
          <w:rFonts w:hint="eastAsia" w:ascii="宋体" w:hAnsi="宋体"/>
          <w:sz w:val="24"/>
          <w:szCs w:val="24"/>
          <w:highlight w:val="none"/>
        </w:rPr>
        <w:t>．</w:t>
      </w:r>
      <w:r>
        <w:rPr>
          <w:rFonts w:ascii="宋体" w:hAnsi="宋体"/>
          <w:color w:val="000000"/>
          <w:sz w:val="24"/>
          <w:szCs w:val="24"/>
          <w:highlight w:val="none"/>
        </w:rPr>
        <w:t>质量保修完成后，由发包人组织验收。</w:t>
      </w:r>
    </w:p>
    <w:p w14:paraId="39E3CB29">
      <w:pPr>
        <w:spacing w:line="360" w:lineRule="auto"/>
        <w:ind w:left="420" w:leftChars="200" w:firstLine="120" w:firstLineChars="50"/>
        <w:rPr>
          <w:rFonts w:ascii="宋体" w:hAnsi="宋体"/>
          <w:color w:val="000000"/>
          <w:sz w:val="24"/>
          <w:szCs w:val="24"/>
          <w:highlight w:val="none"/>
        </w:rPr>
      </w:pPr>
      <w:r>
        <w:rPr>
          <w:rFonts w:ascii="宋体" w:hAnsi="宋体"/>
          <w:color w:val="000000"/>
          <w:sz w:val="24"/>
          <w:szCs w:val="24"/>
          <w:highlight w:val="none"/>
        </w:rPr>
        <w:t>五、保修费用</w:t>
      </w:r>
    </w:p>
    <w:p w14:paraId="72F5B052">
      <w:pPr>
        <w:spacing w:line="360" w:lineRule="auto"/>
        <w:ind w:left="420" w:leftChars="200" w:firstLine="120" w:firstLineChars="50"/>
        <w:rPr>
          <w:rFonts w:ascii="宋体" w:hAnsi="宋体"/>
          <w:color w:val="000000"/>
          <w:sz w:val="24"/>
          <w:szCs w:val="24"/>
          <w:highlight w:val="none"/>
        </w:rPr>
      </w:pPr>
      <w:r>
        <w:rPr>
          <w:rFonts w:ascii="宋体" w:hAnsi="宋体"/>
          <w:color w:val="000000"/>
          <w:sz w:val="24"/>
          <w:szCs w:val="24"/>
          <w:highlight w:val="none"/>
        </w:rPr>
        <w:t>保修费用由造成质量缺陷的责任方承担。</w:t>
      </w:r>
    </w:p>
    <w:p w14:paraId="25E24722">
      <w:pPr>
        <w:spacing w:line="360" w:lineRule="auto"/>
        <w:ind w:firstLine="600"/>
        <w:jc w:val="left"/>
        <w:outlineLvl w:val="0"/>
        <w:rPr>
          <w:rFonts w:ascii="宋体" w:hAnsi="宋体"/>
          <w:color w:val="000000"/>
          <w:sz w:val="24"/>
          <w:szCs w:val="24"/>
          <w:highlight w:val="none"/>
          <w:u w:val="single"/>
        </w:rPr>
      </w:pPr>
      <w:r>
        <w:rPr>
          <w:rFonts w:ascii="宋体" w:hAnsi="宋体"/>
          <w:bCs/>
          <w:color w:val="000000"/>
          <w:sz w:val="24"/>
          <w:szCs w:val="24"/>
          <w:highlight w:val="none"/>
        </w:rPr>
        <w:t>六、</w:t>
      </w:r>
      <w:r>
        <w:rPr>
          <w:rFonts w:ascii="宋体" w:hAnsi="宋体"/>
          <w:color w:val="000000"/>
          <w:sz w:val="24"/>
          <w:szCs w:val="24"/>
          <w:highlight w:val="none"/>
        </w:rPr>
        <w:t>双方约定的其他工程质量保修事项：</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74CF9BD8">
      <w:pPr>
        <w:spacing w:line="360" w:lineRule="auto"/>
        <w:ind w:firstLine="456" w:firstLineChars="190"/>
        <w:rPr>
          <w:rFonts w:ascii="宋体" w:hAnsi="宋体"/>
          <w:color w:val="000000"/>
          <w:sz w:val="24"/>
          <w:szCs w:val="24"/>
          <w:highlight w:val="none"/>
        </w:rPr>
      </w:pPr>
      <w:r>
        <w:rPr>
          <w:rFonts w:ascii="宋体" w:hAnsi="宋体"/>
          <w:color w:val="000000"/>
          <w:sz w:val="24"/>
          <w:szCs w:val="24"/>
          <w:highlight w:val="none"/>
        </w:rPr>
        <w:t>工程质量保修书由发包人、承包人在工程竣工验收前共同签署，作为施工合同附件，其有效期限至保修期满。</w:t>
      </w:r>
    </w:p>
    <w:p w14:paraId="5B9AAC05">
      <w:pPr>
        <w:spacing w:line="360" w:lineRule="auto"/>
        <w:ind w:firstLine="420"/>
        <w:rPr>
          <w:rFonts w:ascii="宋体" w:hAnsi="宋体"/>
          <w:color w:val="000000"/>
          <w:sz w:val="24"/>
          <w:szCs w:val="24"/>
          <w:highlight w:val="none"/>
        </w:rPr>
      </w:pPr>
    </w:p>
    <w:p w14:paraId="57C63413">
      <w:pPr>
        <w:spacing w:line="360" w:lineRule="auto"/>
        <w:rPr>
          <w:rFonts w:ascii="宋体" w:hAnsi="宋体"/>
          <w:color w:val="000000"/>
          <w:sz w:val="24"/>
          <w:szCs w:val="24"/>
          <w:highlight w:val="none"/>
        </w:rPr>
      </w:pPr>
      <w:r>
        <w:rPr>
          <w:rFonts w:ascii="宋体" w:hAnsi="宋体"/>
          <w:color w:val="000000"/>
          <w:sz w:val="24"/>
          <w:szCs w:val="24"/>
          <w:highlight w:val="none"/>
        </w:rPr>
        <w:t>发包人(公章)：</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承包人(公章)：</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69C8AB32">
      <w:pPr>
        <w:spacing w:line="360" w:lineRule="auto"/>
        <w:rPr>
          <w:rFonts w:ascii="宋体" w:hAnsi="宋体"/>
          <w:color w:val="000000"/>
          <w:sz w:val="24"/>
          <w:szCs w:val="24"/>
          <w:highlight w:val="none"/>
        </w:rPr>
      </w:pPr>
      <w:r>
        <w:rPr>
          <w:rFonts w:ascii="宋体" w:hAnsi="宋体"/>
          <w:color w:val="000000"/>
          <w:sz w:val="24"/>
          <w:szCs w:val="24"/>
          <w:highlight w:val="none"/>
        </w:rPr>
        <w:t>地  址：</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地  址：</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p w14:paraId="54B34B73">
      <w:pPr>
        <w:spacing w:line="360" w:lineRule="auto"/>
        <w:rPr>
          <w:rFonts w:ascii="宋体" w:hAnsi="宋体"/>
          <w:color w:val="000000"/>
          <w:sz w:val="24"/>
          <w:szCs w:val="24"/>
          <w:highlight w:val="none"/>
          <w:u w:val="single"/>
        </w:rPr>
      </w:pPr>
      <w:r>
        <w:rPr>
          <w:rFonts w:ascii="宋体" w:hAnsi="宋体"/>
          <w:color w:val="000000"/>
          <w:sz w:val="24"/>
          <w:szCs w:val="24"/>
          <w:highlight w:val="none"/>
        </w:rPr>
        <w:t>法定代表人(签字)：</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 xml:space="preserve"> 法定代表人(签字)：</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p>
    <w:p w14:paraId="42761A34">
      <w:pPr>
        <w:spacing w:line="360" w:lineRule="auto"/>
        <w:rPr>
          <w:rFonts w:ascii="宋体" w:hAnsi="宋体"/>
          <w:color w:val="000000"/>
          <w:sz w:val="24"/>
          <w:szCs w:val="24"/>
          <w:highlight w:val="none"/>
        </w:rPr>
      </w:pPr>
      <w:r>
        <w:rPr>
          <w:rFonts w:ascii="宋体" w:hAnsi="宋体"/>
          <w:color w:val="000000"/>
          <w:sz w:val="24"/>
          <w:szCs w:val="24"/>
          <w:highlight w:val="none"/>
        </w:rPr>
        <w:t>委托代理人(签字)：</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 xml:space="preserve"> 委托代理人(签字)：</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p>
    <w:p w14:paraId="19F25BA4">
      <w:pPr>
        <w:spacing w:line="360" w:lineRule="auto"/>
        <w:rPr>
          <w:rFonts w:ascii="宋体" w:hAnsi="宋体"/>
          <w:color w:val="000000"/>
          <w:sz w:val="24"/>
          <w:szCs w:val="24"/>
          <w:highlight w:val="none"/>
          <w:u w:val="single"/>
        </w:rPr>
      </w:pPr>
      <w:r>
        <w:rPr>
          <w:rFonts w:ascii="宋体" w:hAnsi="宋体"/>
          <w:color w:val="000000"/>
          <w:sz w:val="24"/>
          <w:szCs w:val="24"/>
          <w:highlight w:val="none"/>
        </w:rPr>
        <w:t>电  话：</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电  话：</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4A037D8D">
      <w:pPr>
        <w:spacing w:line="360" w:lineRule="auto"/>
        <w:rPr>
          <w:rFonts w:ascii="宋体" w:hAnsi="宋体"/>
          <w:color w:val="000000"/>
          <w:sz w:val="24"/>
          <w:szCs w:val="24"/>
          <w:highlight w:val="none"/>
        </w:rPr>
      </w:pPr>
      <w:r>
        <w:rPr>
          <w:rFonts w:ascii="宋体" w:hAnsi="宋体"/>
          <w:color w:val="000000"/>
          <w:sz w:val="24"/>
          <w:szCs w:val="24"/>
          <w:highlight w:val="none"/>
        </w:rPr>
        <w:t>传  真：</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传  真：</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191CA74A">
      <w:pPr>
        <w:spacing w:line="360" w:lineRule="auto"/>
        <w:rPr>
          <w:rFonts w:ascii="宋体" w:hAnsi="宋体"/>
          <w:color w:val="000000"/>
          <w:sz w:val="24"/>
          <w:szCs w:val="24"/>
          <w:highlight w:val="none"/>
          <w:u w:val="single"/>
        </w:rPr>
      </w:pPr>
      <w:r>
        <w:rPr>
          <w:rFonts w:ascii="宋体" w:hAnsi="宋体"/>
          <w:color w:val="000000"/>
          <w:sz w:val="24"/>
          <w:szCs w:val="24"/>
          <w:highlight w:val="none"/>
        </w:rPr>
        <w:t>开户银行：</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rPr>
        <w:t xml:space="preserve"> 开户银行：</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74BB0AF7">
      <w:pPr>
        <w:spacing w:line="360" w:lineRule="auto"/>
        <w:rPr>
          <w:rFonts w:ascii="宋体" w:hAnsi="宋体"/>
          <w:color w:val="000000"/>
          <w:sz w:val="24"/>
          <w:szCs w:val="24"/>
          <w:highlight w:val="none"/>
        </w:rPr>
      </w:pPr>
      <w:r>
        <w:rPr>
          <w:rFonts w:ascii="宋体" w:hAnsi="宋体"/>
          <w:color w:val="000000"/>
          <w:sz w:val="24"/>
          <w:szCs w:val="24"/>
          <w:highlight w:val="none"/>
        </w:rPr>
        <w:t>账  号：</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账</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号：</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46A09500">
      <w:pPr>
        <w:spacing w:line="360" w:lineRule="auto"/>
        <w:rPr>
          <w:rFonts w:ascii="宋体" w:hAnsi="宋体"/>
          <w:color w:val="000000"/>
          <w:sz w:val="24"/>
          <w:szCs w:val="24"/>
          <w:highlight w:val="none"/>
        </w:rPr>
      </w:pPr>
      <w:r>
        <w:rPr>
          <w:rFonts w:ascii="宋体" w:hAnsi="宋体"/>
          <w:color w:val="000000"/>
          <w:sz w:val="24"/>
          <w:szCs w:val="24"/>
          <w:highlight w:val="none"/>
        </w:rPr>
        <w:t>邮政编码：</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ascii="宋体" w:hAnsi="宋体"/>
          <w:color w:val="000000"/>
          <w:sz w:val="24"/>
          <w:szCs w:val="24"/>
          <w:highlight w:val="none"/>
        </w:rPr>
        <w:t xml:space="preserve"> 邮政编码：</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14:paraId="198107BB">
      <w:pPr>
        <w:spacing w:line="440" w:lineRule="exact"/>
        <w:rPr>
          <w:rFonts w:ascii="宋体" w:hAnsi="宋体"/>
          <w:color w:val="000000"/>
          <w:sz w:val="24"/>
          <w:szCs w:val="24"/>
          <w:highlight w:val="none"/>
        </w:rPr>
      </w:pPr>
      <w:r>
        <w:rPr>
          <w:rFonts w:ascii="宋体" w:hAnsi="宋体"/>
          <w:b/>
          <w:color w:val="000000"/>
          <w:sz w:val="24"/>
          <w:szCs w:val="24"/>
          <w:highlight w:val="none"/>
        </w:rPr>
        <w:br w:type="page"/>
      </w:r>
      <w:r>
        <w:rPr>
          <w:rFonts w:ascii="宋体" w:hAnsi="宋体"/>
          <w:color w:val="000000"/>
          <w:sz w:val="24"/>
          <w:szCs w:val="24"/>
          <w:highlight w:val="none"/>
        </w:rPr>
        <w:t>附件4：</w:t>
      </w:r>
    </w:p>
    <w:p w14:paraId="0612458A">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24"/>
          <w:szCs w:val="24"/>
          <w:highlight w:val="none"/>
        </w:rPr>
        <w:t>主要建设工程文件目录</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7FA3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06025FE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文件名称</w:t>
            </w:r>
          </w:p>
        </w:tc>
        <w:tc>
          <w:tcPr>
            <w:tcW w:w="1276" w:type="dxa"/>
            <w:tcBorders>
              <w:top w:val="single" w:color="auto" w:sz="12" w:space="0"/>
              <w:bottom w:val="double" w:color="auto" w:sz="6" w:space="0"/>
            </w:tcBorders>
            <w:vAlign w:val="center"/>
          </w:tcPr>
          <w:p w14:paraId="2424FCAD">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套数</w:t>
            </w:r>
          </w:p>
        </w:tc>
        <w:tc>
          <w:tcPr>
            <w:tcW w:w="1450" w:type="dxa"/>
            <w:tcBorders>
              <w:top w:val="single" w:color="auto" w:sz="12" w:space="0"/>
              <w:bottom w:val="double" w:color="auto" w:sz="6" w:space="0"/>
            </w:tcBorders>
            <w:vAlign w:val="center"/>
          </w:tcPr>
          <w:p w14:paraId="39FE4CB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费用</w:t>
            </w:r>
            <w:r>
              <w:rPr>
                <w:rFonts w:hint="eastAsia" w:ascii="宋体" w:hAnsi="宋体"/>
                <w:color w:val="000000"/>
                <w:sz w:val="24"/>
                <w:szCs w:val="24"/>
                <w:highlight w:val="none"/>
              </w:rPr>
              <w:t>（元）</w:t>
            </w:r>
          </w:p>
        </w:tc>
        <w:tc>
          <w:tcPr>
            <w:tcW w:w="1243" w:type="dxa"/>
            <w:tcBorders>
              <w:top w:val="single" w:color="auto" w:sz="12" w:space="0"/>
              <w:bottom w:val="double" w:color="auto" w:sz="6" w:space="0"/>
            </w:tcBorders>
            <w:vAlign w:val="center"/>
          </w:tcPr>
          <w:p w14:paraId="6BD105F4">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质量</w:t>
            </w:r>
          </w:p>
        </w:tc>
        <w:tc>
          <w:tcPr>
            <w:tcW w:w="1450" w:type="dxa"/>
            <w:tcBorders>
              <w:top w:val="single" w:color="auto" w:sz="12" w:space="0"/>
              <w:bottom w:val="double" w:color="auto" w:sz="6" w:space="0"/>
            </w:tcBorders>
          </w:tcPr>
          <w:p w14:paraId="4CDE51CF">
            <w:pPr>
              <w:spacing w:line="440" w:lineRule="exact"/>
              <w:jc w:val="center"/>
              <w:rPr>
                <w:rFonts w:ascii="宋体" w:hAnsi="宋体"/>
                <w:color w:val="000000"/>
                <w:sz w:val="24"/>
                <w:szCs w:val="24"/>
                <w:highlight w:val="none"/>
              </w:rPr>
            </w:pPr>
            <w:r>
              <w:rPr>
                <w:rFonts w:ascii="宋体" w:hAnsi="宋体"/>
                <w:color w:val="000000"/>
                <w:sz w:val="24"/>
                <w:szCs w:val="24"/>
                <w:highlight w:val="none"/>
              </w:rPr>
              <w:t>移交时间</w:t>
            </w:r>
          </w:p>
        </w:tc>
        <w:tc>
          <w:tcPr>
            <w:tcW w:w="1667" w:type="dxa"/>
            <w:tcBorders>
              <w:top w:val="single" w:color="auto" w:sz="12" w:space="0"/>
              <w:bottom w:val="double" w:color="auto" w:sz="6" w:space="0"/>
            </w:tcBorders>
          </w:tcPr>
          <w:p w14:paraId="07F548E5">
            <w:pPr>
              <w:spacing w:line="440" w:lineRule="exact"/>
              <w:jc w:val="center"/>
              <w:rPr>
                <w:rFonts w:ascii="宋体" w:hAnsi="宋体"/>
                <w:color w:val="000000"/>
                <w:sz w:val="24"/>
                <w:szCs w:val="24"/>
                <w:highlight w:val="none"/>
              </w:rPr>
            </w:pPr>
            <w:r>
              <w:rPr>
                <w:rFonts w:ascii="宋体" w:hAnsi="宋体"/>
                <w:color w:val="000000"/>
                <w:sz w:val="24"/>
                <w:szCs w:val="24"/>
                <w:highlight w:val="none"/>
              </w:rPr>
              <w:t>责任人</w:t>
            </w:r>
          </w:p>
        </w:tc>
      </w:tr>
      <w:tr w14:paraId="0DB45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794352">
            <w:pPr>
              <w:pStyle w:val="34"/>
              <w:keepNext/>
              <w:spacing w:after="0" w:line="440" w:lineRule="exact"/>
              <w:ind w:left="63" w:right="63"/>
              <w:rPr>
                <w:rFonts w:ascii="宋体" w:hAnsi="宋体"/>
                <w:color w:val="000000"/>
                <w:sz w:val="24"/>
                <w:szCs w:val="24"/>
                <w:highlight w:val="none"/>
              </w:rPr>
            </w:pPr>
          </w:p>
        </w:tc>
        <w:tc>
          <w:tcPr>
            <w:tcW w:w="1276" w:type="dxa"/>
            <w:tcBorders>
              <w:top w:val="double" w:color="auto" w:sz="6" w:space="0"/>
              <w:bottom w:val="single" w:color="auto" w:sz="6" w:space="0"/>
            </w:tcBorders>
            <w:vAlign w:val="center"/>
          </w:tcPr>
          <w:p w14:paraId="3B185F48">
            <w:pPr>
              <w:pStyle w:val="34"/>
              <w:keepNext/>
              <w:spacing w:after="0" w:line="440" w:lineRule="exact"/>
              <w:ind w:left="63" w:right="63"/>
              <w:rPr>
                <w:rFonts w:ascii="宋体" w:hAnsi="宋体"/>
                <w:color w:val="000000"/>
                <w:sz w:val="24"/>
                <w:szCs w:val="24"/>
                <w:highlight w:val="none"/>
              </w:rPr>
            </w:pPr>
          </w:p>
        </w:tc>
        <w:tc>
          <w:tcPr>
            <w:tcW w:w="1450" w:type="dxa"/>
            <w:tcBorders>
              <w:top w:val="double" w:color="auto" w:sz="6" w:space="0"/>
              <w:bottom w:val="single" w:color="auto" w:sz="6" w:space="0"/>
            </w:tcBorders>
            <w:vAlign w:val="center"/>
          </w:tcPr>
          <w:p w14:paraId="310C135E">
            <w:pPr>
              <w:pStyle w:val="34"/>
              <w:keepNext/>
              <w:spacing w:after="0" w:line="440" w:lineRule="exact"/>
              <w:ind w:left="63" w:right="63"/>
              <w:rPr>
                <w:rFonts w:ascii="宋体" w:hAnsi="宋体"/>
                <w:color w:val="000000"/>
                <w:sz w:val="24"/>
                <w:szCs w:val="24"/>
                <w:highlight w:val="none"/>
              </w:rPr>
            </w:pPr>
          </w:p>
        </w:tc>
        <w:tc>
          <w:tcPr>
            <w:tcW w:w="1243" w:type="dxa"/>
            <w:tcBorders>
              <w:top w:val="double" w:color="auto" w:sz="6" w:space="0"/>
              <w:bottom w:val="single" w:color="auto" w:sz="6" w:space="0"/>
            </w:tcBorders>
            <w:vAlign w:val="center"/>
          </w:tcPr>
          <w:p w14:paraId="374FB831">
            <w:pPr>
              <w:pStyle w:val="34"/>
              <w:keepNext/>
              <w:spacing w:after="0" w:line="440" w:lineRule="exact"/>
              <w:ind w:left="63" w:right="63"/>
              <w:rPr>
                <w:rFonts w:ascii="宋体" w:hAnsi="宋体"/>
                <w:color w:val="000000"/>
                <w:sz w:val="24"/>
                <w:szCs w:val="24"/>
                <w:highlight w:val="none"/>
              </w:rPr>
            </w:pPr>
          </w:p>
        </w:tc>
        <w:tc>
          <w:tcPr>
            <w:tcW w:w="1450" w:type="dxa"/>
            <w:tcBorders>
              <w:top w:val="double" w:color="auto" w:sz="6" w:space="0"/>
              <w:bottom w:val="single" w:color="auto" w:sz="6" w:space="0"/>
            </w:tcBorders>
            <w:vAlign w:val="center"/>
          </w:tcPr>
          <w:p w14:paraId="085A0EBD">
            <w:pPr>
              <w:pStyle w:val="34"/>
              <w:keepNext/>
              <w:spacing w:after="0" w:line="440" w:lineRule="exact"/>
              <w:ind w:left="63" w:right="63"/>
              <w:rPr>
                <w:rFonts w:ascii="宋体" w:hAnsi="宋体"/>
                <w:color w:val="000000"/>
                <w:sz w:val="24"/>
                <w:szCs w:val="24"/>
                <w:highlight w:val="none"/>
              </w:rPr>
            </w:pPr>
          </w:p>
        </w:tc>
        <w:tc>
          <w:tcPr>
            <w:tcW w:w="1667" w:type="dxa"/>
            <w:tcBorders>
              <w:top w:val="double" w:color="auto" w:sz="6" w:space="0"/>
              <w:bottom w:val="single" w:color="auto" w:sz="6" w:space="0"/>
            </w:tcBorders>
            <w:vAlign w:val="center"/>
          </w:tcPr>
          <w:p w14:paraId="01F42176">
            <w:pPr>
              <w:pStyle w:val="34"/>
              <w:keepNext/>
              <w:spacing w:after="0" w:line="440" w:lineRule="exact"/>
              <w:ind w:left="63" w:right="63"/>
              <w:rPr>
                <w:rFonts w:ascii="宋体" w:hAnsi="宋体"/>
                <w:color w:val="000000"/>
                <w:sz w:val="24"/>
                <w:szCs w:val="24"/>
                <w:highlight w:val="none"/>
              </w:rPr>
            </w:pPr>
          </w:p>
        </w:tc>
      </w:tr>
      <w:tr w14:paraId="39DEF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9E8D998">
            <w:pPr>
              <w:pStyle w:val="34"/>
              <w:keepNext/>
              <w:spacing w:after="0" w:line="440" w:lineRule="exact"/>
              <w:ind w:left="63" w:right="63"/>
              <w:rPr>
                <w:rFonts w:ascii="宋体" w:hAnsi="宋体"/>
                <w:color w:val="000000"/>
                <w:sz w:val="24"/>
                <w:szCs w:val="24"/>
                <w:highlight w:val="none"/>
              </w:rPr>
            </w:pPr>
          </w:p>
        </w:tc>
        <w:tc>
          <w:tcPr>
            <w:tcW w:w="1276" w:type="dxa"/>
            <w:tcBorders>
              <w:top w:val="nil"/>
            </w:tcBorders>
            <w:vAlign w:val="center"/>
          </w:tcPr>
          <w:p w14:paraId="54F075AF">
            <w:pPr>
              <w:pStyle w:val="34"/>
              <w:keepNext/>
              <w:spacing w:after="0" w:line="440" w:lineRule="exact"/>
              <w:ind w:left="63" w:right="63"/>
              <w:rPr>
                <w:rFonts w:ascii="宋体" w:hAnsi="宋体"/>
                <w:color w:val="000000"/>
                <w:sz w:val="24"/>
                <w:szCs w:val="24"/>
                <w:highlight w:val="none"/>
              </w:rPr>
            </w:pPr>
          </w:p>
        </w:tc>
        <w:tc>
          <w:tcPr>
            <w:tcW w:w="1450" w:type="dxa"/>
            <w:tcBorders>
              <w:top w:val="nil"/>
            </w:tcBorders>
            <w:vAlign w:val="center"/>
          </w:tcPr>
          <w:p w14:paraId="27DF8FC5">
            <w:pPr>
              <w:pStyle w:val="34"/>
              <w:keepNext/>
              <w:spacing w:after="0" w:line="440" w:lineRule="exact"/>
              <w:ind w:left="63" w:right="63"/>
              <w:rPr>
                <w:rFonts w:ascii="宋体" w:hAnsi="宋体"/>
                <w:color w:val="000000"/>
                <w:sz w:val="24"/>
                <w:szCs w:val="24"/>
                <w:highlight w:val="none"/>
              </w:rPr>
            </w:pPr>
          </w:p>
        </w:tc>
        <w:tc>
          <w:tcPr>
            <w:tcW w:w="1243" w:type="dxa"/>
            <w:tcBorders>
              <w:top w:val="nil"/>
            </w:tcBorders>
            <w:vAlign w:val="center"/>
          </w:tcPr>
          <w:p w14:paraId="469B4033">
            <w:pPr>
              <w:pStyle w:val="34"/>
              <w:keepNext/>
              <w:spacing w:after="0" w:line="440" w:lineRule="exact"/>
              <w:ind w:left="63" w:right="63"/>
              <w:rPr>
                <w:rFonts w:ascii="宋体" w:hAnsi="宋体"/>
                <w:color w:val="000000"/>
                <w:sz w:val="24"/>
                <w:szCs w:val="24"/>
                <w:highlight w:val="none"/>
              </w:rPr>
            </w:pPr>
          </w:p>
        </w:tc>
        <w:tc>
          <w:tcPr>
            <w:tcW w:w="1450" w:type="dxa"/>
            <w:tcBorders>
              <w:top w:val="nil"/>
            </w:tcBorders>
            <w:vAlign w:val="center"/>
          </w:tcPr>
          <w:p w14:paraId="4CFAB0E1">
            <w:pPr>
              <w:pStyle w:val="34"/>
              <w:keepNext/>
              <w:spacing w:after="0" w:line="440" w:lineRule="exact"/>
              <w:ind w:left="63" w:right="63"/>
              <w:rPr>
                <w:rFonts w:ascii="宋体" w:hAnsi="宋体"/>
                <w:color w:val="000000"/>
                <w:sz w:val="24"/>
                <w:szCs w:val="24"/>
                <w:highlight w:val="none"/>
              </w:rPr>
            </w:pPr>
          </w:p>
        </w:tc>
        <w:tc>
          <w:tcPr>
            <w:tcW w:w="1667" w:type="dxa"/>
            <w:tcBorders>
              <w:top w:val="nil"/>
            </w:tcBorders>
            <w:vAlign w:val="center"/>
          </w:tcPr>
          <w:p w14:paraId="48608519">
            <w:pPr>
              <w:pStyle w:val="34"/>
              <w:keepNext/>
              <w:spacing w:after="0" w:line="440" w:lineRule="exact"/>
              <w:ind w:left="63" w:right="63"/>
              <w:rPr>
                <w:rFonts w:ascii="宋体" w:hAnsi="宋体"/>
                <w:color w:val="000000"/>
                <w:sz w:val="24"/>
                <w:szCs w:val="24"/>
                <w:highlight w:val="none"/>
              </w:rPr>
            </w:pPr>
          </w:p>
        </w:tc>
      </w:tr>
      <w:tr w14:paraId="582BF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99DFEF0">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7D4A1D04">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1F482EDF">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2F3AE3C6">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0140F6B4">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34450DB7">
            <w:pPr>
              <w:pStyle w:val="34"/>
              <w:keepNext/>
              <w:spacing w:after="0" w:line="440" w:lineRule="exact"/>
              <w:ind w:left="63" w:right="63"/>
              <w:rPr>
                <w:rFonts w:ascii="宋体" w:hAnsi="宋体"/>
                <w:color w:val="000000"/>
                <w:sz w:val="24"/>
                <w:szCs w:val="24"/>
                <w:highlight w:val="none"/>
              </w:rPr>
            </w:pPr>
          </w:p>
        </w:tc>
      </w:tr>
      <w:tr w14:paraId="46BE5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925BE87">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280B05D4">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49EB661D">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66B9470A">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6CE74909">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7FE9C884">
            <w:pPr>
              <w:pStyle w:val="34"/>
              <w:keepNext/>
              <w:spacing w:after="0" w:line="440" w:lineRule="exact"/>
              <w:ind w:left="63" w:right="63"/>
              <w:rPr>
                <w:rFonts w:ascii="宋体" w:hAnsi="宋体"/>
                <w:color w:val="000000"/>
                <w:sz w:val="24"/>
                <w:szCs w:val="24"/>
                <w:highlight w:val="none"/>
              </w:rPr>
            </w:pPr>
          </w:p>
        </w:tc>
      </w:tr>
      <w:tr w14:paraId="61C7D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0691CBC">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2B800435">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692E29A9">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2B013261">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67F681FC">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76E59D13">
            <w:pPr>
              <w:pStyle w:val="34"/>
              <w:keepNext/>
              <w:spacing w:after="0" w:line="440" w:lineRule="exact"/>
              <w:ind w:left="63" w:right="63"/>
              <w:rPr>
                <w:rFonts w:ascii="宋体" w:hAnsi="宋体"/>
                <w:color w:val="000000"/>
                <w:sz w:val="24"/>
                <w:szCs w:val="24"/>
                <w:highlight w:val="none"/>
              </w:rPr>
            </w:pPr>
          </w:p>
        </w:tc>
      </w:tr>
      <w:tr w14:paraId="6B6FF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933F0E">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6AE6E548">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36F6FC42">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3C38489E">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5646AAAA">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700E30B8">
            <w:pPr>
              <w:pStyle w:val="34"/>
              <w:keepNext/>
              <w:spacing w:after="0" w:line="440" w:lineRule="exact"/>
              <w:ind w:left="63" w:right="63"/>
              <w:rPr>
                <w:rFonts w:ascii="宋体" w:hAnsi="宋体"/>
                <w:color w:val="000000"/>
                <w:sz w:val="24"/>
                <w:szCs w:val="24"/>
                <w:highlight w:val="none"/>
              </w:rPr>
            </w:pPr>
          </w:p>
        </w:tc>
      </w:tr>
      <w:tr w14:paraId="7C5A1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08E336C">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2A579911">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7D97EB0D">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482155AC">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41E07C61">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5C10675C">
            <w:pPr>
              <w:pStyle w:val="34"/>
              <w:keepNext/>
              <w:spacing w:after="0" w:line="440" w:lineRule="exact"/>
              <w:ind w:left="63" w:right="63"/>
              <w:rPr>
                <w:rFonts w:ascii="宋体" w:hAnsi="宋体"/>
                <w:color w:val="000000"/>
                <w:sz w:val="24"/>
                <w:szCs w:val="24"/>
                <w:highlight w:val="none"/>
              </w:rPr>
            </w:pPr>
          </w:p>
        </w:tc>
      </w:tr>
      <w:tr w14:paraId="7F799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54ECD7">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230EC242">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083F22C4">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792562EF">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2A5171B2">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118391B5">
            <w:pPr>
              <w:pStyle w:val="34"/>
              <w:keepNext/>
              <w:spacing w:after="0" w:line="440" w:lineRule="exact"/>
              <w:ind w:left="63" w:right="63"/>
              <w:rPr>
                <w:rFonts w:ascii="宋体" w:hAnsi="宋体"/>
                <w:color w:val="000000"/>
                <w:sz w:val="24"/>
                <w:szCs w:val="24"/>
                <w:highlight w:val="none"/>
              </w:rPr>
            </w:pPr>
          </w:p>
        </w:tc>
      </w:tr>
      <w:tr w14:paraId="6369E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5AEACC8">
            <w:pPr>
              <w:rPr>
                <w:rFonts w:ascii="宋体" w:hAnsi="宋体"/>
                <w:color w:val="000000"/>
                <w:sz w:val="24"/>
                <w:szCs w:val="24"/>
                <w:highlight w:val="none"/>
              </w:rPr>
            </w:pPr>
          </w:p>
        </w:tc>
        <w:tc>
          <w:tcPr>
            <w:tcW w:w="1276" w:type="dxa"/>
          </w:tcPr>
          <w:p w14:paraId="49276054">
            <w:pPr>
              <w:rPr>
                <w:rFonts w:ascii="宋体" w:hAnsi="宋体"/>
                <w:color w:val="000000"/>
                <w:sz w:val="24"/>
                <w:szCs w:val="24"/>
                <w:highlight w:val="none"/>
              </w:rPr>
            </w:pPr>
          </w:p>
        </w:tc>
        <w:tc>
          <w:tcPr>
            <w:tcW w:w="1450" w:type="dxa"/>
          </w:tcPr>
          <w:p w14:paraId="06A7511C">
            <w:pPr>
              <w:rPr>
                <w:rFonts w:ascii="宋体" w:hAnsi="宋体"/>
                <w:color w:val="000000"/>
                <w:sz w:val="24"/>
                <w:szCs w:val="24"/>
                <w:highlight w:val="none"/>
              </w:rPr>
            </w:pPr>
          </w:p>
        </w:tc>
        <w:tc>
          <w:tcPr>
            <w:tcW w:w="1243" w:type="dxa"/>
          </w:tcPr>
          <w:p w14:paraId="5BDF4370">
            <w:pPr>
              <w:rPr>
                <w:rFonts w:ascii="宋体" w:hAnsi="宋体"/>
                <w:color w:val="000000"/>
                <w:sz w:val="24"/>
                <w:szCs w:val="24"/>
                <w:highlight w:val="none"/>
              </w:rPr>
            </w:pPr>
          </w:p>
        </w:tc>
        <w:tc>
          <w:tcPr>
            <w:tcW w:w="1450" w:type="dxa"/>
          </w:tcPr>
          <w:p w14:paraId="1F2AF63B">
            <w:pPr>
              <w:rPr>
                <w:rFonts w:ascii="宋体" w:hAnsi="宋体"/>
                <w:color w:val="000000"/>
                <w:sz w:val="24"/>
                <w:szCs w:val="24"/>
                <w:highlight w:val="none"/>
              </w:rPr>
            </w:pPr>
          </w:p>
        </w:tc>
        <w:tc>
          <w:tcPr>
            <w:tcW w:w="1667" w:type="dxa"/>
          </w:tcPr>
          <w:p w14:paraId="4E350768">
            <w:pPr>
              <w:rPr>
                <w:rFonts w:ascii="宋体" w:hAnsi="宋体"/>
                <w:color w:val="000000"/>
                <w:sz w:val="24"/>
                <w:szCs w:val="24"/>
                <w:highlight w:val="none"/>
              </w:rPr>
            </w:pPr>
          </w:p>
        </w:tc>
      </w:tr>
      <w:tr w14:paraId="34290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21CCA50">
            <w:pPr>
              <w:pStyle w:val="34"/>
              <w:keepNext/>
              <w:spacing w:after="0" w:line="440" w:lineRule="exact"/>
              <w:ind w:left="63" w:right="63"/>
              <w:rPr>
                <w:rFonts w:ascii="宋体" w:hAnsi="宋体"/>
                <w:color w:val="000000"/>
                <w:sz w:val="24"/>
                <w:szCs w:val="24"/>
                <w:highlight w:val="none"/>
              </w:rPr>
            </w:pPr>
          </w:p>
        </w:tc>
        <w:tc>
          <w:tcPr>
            <w:tcW w:w="1276" w:type="dxa"/>
            <w:vAlign w:val="center"/>
          </w:tcPr>
          <w:p w14:paraId="558A52AD">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36929B2D">
            <w:pPr>
              <w:pStyle w:val="34"/>
              <w:keepNext/>
              <w:spacing w:after="0" w:line="440" w:lineRule="exact"/>
              <w:ind w:left="63" w:right="63"/>
              <w:rPr>
                <w:rFonts w:ascii="宋体" w:hAnsi="宋体"/>
                <w:color w:val="000000"/>
                <w:sz w:val="24"/>
                <w:szCs w:val="24"/>
                <w:highlight w:val="none"/>
              </w:rPr>
            </w:pPr>
          </w:p>
        </w:tc>
        <w:tc>
          <w:tcPr>
            <w:tcW w:w="1243" w:type="dxa"/>
            <w:vAlign w:val="center"/>
          </w:tcPr>
          <w:p w14:paraId="3157EF81">
            <w:pPr>
              <w:pStyle w:val="34"/>
              <w:keepNext/>
              <w:spacing w:after="0" w:line="440" w:lineRule="exact"/>
              <w:ind w:left="63" w:right="63"/>
              <w:rPr>
                <w:rFonts w:ascii="宋体" w:hAnsi="宋体"/>
                <w:color w:val="000000"/>
                <w:sz w:val="24"/>
                <w:szCs w:val="24"/>
                <w:highlight w:val="none"/>
              </w:rPr>
            </w:pPr>
          </w:p>
        </w:tc>
        <w:tc>
          <w:tcPr>
            <w:tcW w:w="1450" w:type="dxa"/>
            <w:vAlign w:val="center"/>
          </w:tcPr>
          <w:p w14:paraId="158BFFC2">
            <w:pPr>
              <w:pStyle w:val="34"/>
              <w:keepNext/>
              <w:spacing w:after="0" w:line="440" w:lineRule="exact"/>
              <w:ind w:left="63" w:right="63"/>
              <w:rPr>
                <w:rFonts w:ascii="宋体" w:hAnsi="宋体"/>
                <w:color w:val="000000"/>
                <w:sz w:val="24"/>
                <w:szCs w:val="24"/>
                <w:highlight w:val="none"/>
              </w:rPr>
            </w:pPr>
          </w:p>
        </w:tc>
        <w:tc>
          <w:tcPr>
            <w:tcW w:w="1667" w:type="dxa"/>
            <w:vAlign w:val="center"/>
          </w:tcPr>
          <w:p w14:paraId="36DF6B6D">
            <w:pPr>
              <w:pStyle w:val="34"/>
              <w:keepNext/>
              <w:spacing w:after="0" w:line="440" w:lineRule="exact"/>
              <w:ind w:left="63" w:right="63"/>
              <w:rPr>
                <w:rFonts w:ascii="宋体" w:hAnsi="宋体"/>
                <w:color w:val="000000"/>
                <w:sz w:val="24"/>
                <w:szCs w:val="24"/>
                <w:highlight w:val="none"/>
              </w:rPr>
            </w:pPr>
          </w:p>
        </w:tc>
      </w:tr>
      <w:tr w14:paraId="1DE74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4D9BED9">
            <w:pPr>
              <w:rPr>
                <w:rFonts w:ascii="宋体" w:hAnsi="宋体"/>
                <w:color w:val="000000"/>
                <w:sz w:val="24"/>
                <w:szCs w:val="24"/>
                <w:highlight w:val="none"/>
              </w:rPr>
            </w:pPr>
          </w:p>
        </w:tc>
        <w:tc>
          <w:tcPr>
            <w:tcW w:w="1276" w:type="dxa"/>
          </w:tcPr>
          <w:p w14:paraId="507B3F0E">
            <w:pPr>
              <w:rPr>
                <w:rFonts w:ascii="宋体" w:hAnsi="宋体"/>
                <w:color w:val="000000"/>
                <w:sz w:val="24"/>
                <w:szCs w:val="24"/>
                <w:highlight w:val="none"/>
              </w:rPr>
            </w:pPr>
          </w:p>
        </w:tc>
        <w:tc>
          <w:tcPr>
            <w:tcW w:w="1450" w:type="dxa"/>
          </w:tcPr>
          <w:p w14:paraId="232EED14">
            <w:pPr>
              <w:rPr>
                <w:rFonts w:ascii="宋体" w:hAnsi="宋体"/>
                <w:color w:val="000000"/>
                <w:sz w:val="24"/>
                <w:szCs w:val="24"/>
                <w:highlight w:val="none"/>
              </w:rPr>
            </w:pPr>
          </w:p>
        </w:tc>
        <w:tc>
          <w:tcPr>
            <w:tcW w:w="1243" w:type="dxa"/>
          </w:tcPr>
          <w:p w14:paraId="5A49EECE">
            <w:pPr>
              <w:rPr>
                <w:rFonts w:ascii="宋体" w:hAnsi="宋体"/>
                <w:color w:val="000000"/>
                <w:sz w:val="24"/>
                <w:szCs w:val="24"/>
                <w:highlight w:val="none"/>
              </w:rPr>
            </w:pPr>
          </w:p>
        </w:tc>
        <w:tc>
          <w:tcPr>
            <w:tcW w:w="1450" w:type="dxa"/>
          </w:tcPr>
          <w:p w14:paraId="615B4D2B">
            <w:pPr>
              <w:rPr>
                <w:rFonts w:ascii="宋体" w:hAnsi="宋体"/>
                <w:color w:val="000000"/>
                <w:sz w:val="24"/>
                <w:szCs w:val="24"/>
                <w:highlight w:val="none"/>
              </w:rPr>
            </w:pPr>
          </w:p>
        </w:tc>
        <w:tc>
          <w:tcPr>
            <w:tcW w:w="1667" w:type="dxa"/>
          </w:tcPr>
          <w:p w14:paraId="06AC5FE3">
            <w:pPr>
              <w:rPr>
                <w:rFonts w:ascii="宋体" w:hAnsi="宋体"/>
                <w:color w:val="000000"/>
                <w:sz w:val="24"/>
                <w:szCs w:val="24"/>
                <w:highlight w:val="none"/>
              </w:rPr>
            </w:pPr>
          </w:p>
        </w:tc>
      </w:tr>
      <w:tr w14:paraId="65FBE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C56CF81">
            <w:pPr>
              <w:rPr>
                <w:rFonts w:ascii="宋体" w:hAnsi="宋体"/>
                <w:color w:val="000000"/>
                <w:sz w:val="24"/>
                <w:szCs w:val="24"/>
                <w:highlight w:val="none"/>
              </w:rPr>
            </w:pPr>
          </w:p>
        </w:tc>
        <w:tc>
          <w:tcPr>
            <w:tcW w:w="1276" w:type="dxa"/>
          </w:tcPr>
          <w:p w14:paraId="39636C1E">
            <w:pPr>
              <w:rPr>
                <w:rFonts w:ascii="宋体" w:hAnsi="宋体"/>
                <w:color w:val="000000"/>
                <w:sz w:val="24"/>
                <w:szCs w:val="24"/>
                <w:highlight w:val="none"/>
              </w:rPr>
            </w:pPr>
          </w:p>
        </w:tc>
        <w:tc>
          <w:tcPr>
            <w:tcW w:w="1450" w:type="dxa"/>
          </w:tcPr>
          <w:p w14:paraId="36379616">
            <w:pPr>
              <w:rPr>
                <w:rFonts w:ascii="宋体" w:hAnsi="宋体"/>
                <w:color w:val="000000"/>
                <w:sz w:val="24"/>
                <w:szCs w:val="24"/>
                <w:highlight w:val="none"/>
              </w:rPr>
            </w:pPr>
          </w:p>
        </w:tc>
        <w:tc>
          <w:tcPr>
            <w:tcW w:w="1243" w:type="dxa"/>
          </w:tcPr>
          <w:p w14:paraId="0D85A602">
            <w:pPr>
              <w:rPr>
                <w:rFonts w:ascii="宋体" w:hAnsi="宋体"/>
                <w:color w:val="000000"/>
                <w:sz w:val="24"/>
                <w:szCs w:val="24"/>
                <w:highlight w:val="none"/>
              </w:rPr>
            </w:pPr>
          </w:p>
        </w:tc>
        <w:tc>
          <w:tcPr>
            <w:tcW w:w="1450" w:type="dxa"/>
          </w:tcPr>
          <w:p w14:paraId="5B3E504D">
            <w:pPr>
              <w:rPr>
                <w:rFonts w:ascii="宋体" w:hAnsi="宋体"/>
                <w:color w:val="000000"/>
                <w:sz w:val="24"/>
                <w:szCs w:val="24"/>
                <w:highlight w:val="none"/>
              </w:rPr>
            </w:pPr>
          </w:p>
        </w:tc>
        <w:tc>
          <w:tcPr>
            <w:tcW w:w="1667" w:type="dxa"/>
          </w:tcPr>
          <w:p w14:paraId="009B6EF2">
            <w:pPr>
              <w:rPr>
                <w:rFonts w:ascii="宋体" w:hAnsi="宋体"/>
                <w:color w:val="000000"/>
                <w:sz w:val="24"/>
                <w:szCs w:val="24"/>
                <w:highlight w:val="none"/>
              </w:rPr>
            </w:pPr>
          </w:p>
        </w:tc>
      </w:tr>
      <w:tr w14:paraId="025DB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CB2284C">
            <w:pPr>
              <w:rPr>
                <w:rFonts w:ascii="宋体" w:hAnsi="宋体"/>
                <w:color w:val="000000"/>
                <w:sz w:val="24"/>
                <w:szCs w:val="24"/>
                <w:highlight w:val="none"/>
              </w:rPr>
            </w:pPr>
          </w:p>
        </w:tc>
        <w:tc>
          <w:tcPr>
            <w:tcW w:w="1276" w:type="dxa"/>
          </w:tcPr>
          <w:p w14:paraId="29C0ACF3">
            <w:pPr>
              <w:rPr>
                <w:rFonts w:ascii="宋体" w:hAnsi="宋体"/>
                <w:color w:val="000000"/>
                <w:sz w:val="24"/>
                <w:szCs w:val="24"/>
                <w:highlight w:val="none"/>
              </w:rPr>
            </w:pPr>
          </w:p>
        </w:tc>
        <w:tc>
          <w:tcPr>
            <w:tcW w:w="1450" w:type="dxa"/>
          </w:tcPr>
          <w:p w14:paraId="5FB7A8BD">
            <w:pPr>
              <w:rPr>
                <w:rFonts w:ascii="宋体" w:hAnsi="宋体"/>
                <w:color w:val="000000"/>
                <w:sz w:val="24"/>
                <w:szCs w:val="24"/>
                <w:highlight w:val="none"/>
              </w:rPr>
            </w:pPr>
          </w:p>
        </w:tc>
        <w:tc>
          <w:tcPr>
            <w:tcW w:w="1243" w:type="dxa"/>
          </w:tcPr>
          <w:p w14:paraId="23D138EC">
            <w:pPr>
              <w:rPr>
                <w:rFonts w:ascii="宋体" w:hAnsi="宋体"/>
                <w:color w:val="000000"/>
                <w:sz w:val="24"/>
                <w:szCs w:val="24"/>
                <w:highlight w:val="none"/>
              </w:rPr>
            </w:pPr>
          </w:p>
        </w:tc>
        <w:tc>
          <w:tcPr>
            <w:tcW w:w="1450" w:type="dxa"/>
          </w:tcPr>
          <w:p w14:paraId="2C817C8B">
            <w:pPr>
              <w:rPr>
                <w:rFonts w:ascii="宋体" w:hAnsi="宋体"/>
                <w:color w:val="000000"/>
                <w:sz w:val="24"/>
                <w:szCs w:val="24"/>
                <w:highlight w:val="none"/>
              </w:rPr>
            </w:pPr>
          </w:p>
        </w:tc>
        <w:tc>
          <w:tcPr>
            <w:tcW w:w="1667" w:type="dxa"/>
          </w:tcPr>
          <w:p w14:paraId="7E93ACEB">
            <w:pPr>
              <w:rPr>
                <w:rFonts w:ascii="宋体" w:hAnsi="宋体"/>
                <w:color w:val="000000"/>
                <w:sz w:val="24"/>
                <w:szCs w:val="24"/>
                <w:highlight w:val="none"/>
              </w:rPr>
            </w:pPr>
          </w:p>
        </w:tc>
      </w:tr>
      <w:tr w14:paraId="45199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1514E0B">
            <w:pPr>
              <w:rPr>
                <w:rFonts w:ascii="宋体" w:hAnsi="宋体"/>
                <w:color w:val="000000"/>
                <w:sz w:val="24"/>
                <w:szCs w:val="24"/>
                <w:highlight w:val="none"/>
              </w:rPr>
            </w:pPr>
          </w:p>
        </w:tc>
        <w:tc>
          <w:tcPr>
            <w:tcW w:w="1276" w:type="dxa"/>
          </w:tcPr>
          <w:p w14:paraId="072BDADD">
            <w:pPr>
              <w:rPr>
                <w:rFonts w:ascii="宋体" w:hAnsi="宋体"/>
                <w:color w:val="000000"/>
                <w:sz w:val="24"/>
                <w:szCs w:val="24"/>
                <w:highlight w:val="none"/>
              </w:rPr>
            </w:pPr>
          </w:p>
        </w:tc>
        <w:tc>
          <w:tcPr>
            <w:tcW w:w="1450" w:type="dxa"/>
          </w:tcPr>
          <w:p w14:paraId="3877F2C1">
            <w:pPr>
              <w:rPr>
                <w:rFonts w:ascii="宋体" w:hAnsi="宋体"/>
                <w:color w:val="000000"/>
                <w:sz w:val="24"/>
                <w:szCs w:val="24"/>
                <w:highlight w:val="none"/>
              </w:rPr>
            </w:pPr>
          </w:p>
        </w:tc>
        <w:tc>
          <w:tcPr>
            <w:tcW w:w="1243" w:type="dxa"/>
          </w:tcPr>
          <w:p w14:paraId="6CA89EDE">
            <w:pPr>
              <w:rPr>
                <w:rFonts w:ascii="宋体" w:hAnsi="宋体"/>
                <w:color w:val="000000"/>
                <w:sz w:val="24"/>
                <w:szCs w:val="24"/>
                <w:highlight w:val="none"/>
              </w:rPr>
            </w:pPr>
          </w:p>
        </w:tc>
        <w:tc>
          <w:tcPr>
            <w:tcW w:w="1450" w:type="dxa"/>
          </w:tcPr>
          <w:p w14:paraId="1BE392CD">
            <w:pPr>
              <w:rPr>
                <w:rFonts w:ascii="宋体" w:hAnsi="宋体"/>
                <w:color w:val="000000"/>
                <w:sz w:val="24"/>
                <w:szCs w:val="24"/>
                <w:highlight w:val="none"/>
              </w:rPr>
            </w:pPr>
          </w:p>
        </w:tc>
        <w:tc>
          <w:tcPr>
            <w:tcW w:w="1667" w:type="dxa"/>
          </w:tcPr>
          <w:p w14:paraId="04838889">
            <w:pPr>
              <w:rPr>
                <w:rFonts w:ascii="宋体" w:hAnsi="宋体"/>
                <w:color w:val="000000"/>
                <w:sz w:val="24"/>
                <w:szCs w:val="24"/>
                <w:highlight w:val="none"/>
              </w:rPr>
            </w:pPr>
          </w:p>
        </w:tc>
      </w:tr>
      <w:tr w14:paraId="2D3AC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2A4248E">
            <w:pPr>
              <w:rPr>
                <w:rFonts w:ascii="宋体" w:hAnsi="宋体"/>
                <w:color w:val="000000"/>
                <w:sz w:val="24"/>
                <w:szCs w:val="24"/>
                <w:highlight w:val="none"/>
              </w:rPr>
            </w:pPr>
          </w:p>
        </w:tc>
        <w:tc>
          <w:tcPr>
            <w:tcW w:w="1276" w:type="dxa"/>
          </w:tcPr>
          <w:p w14:paraId="6E1B13A1">
            <w:pPr>
              <w:rPr>
                <w:rFonts w:ascii="宋体" w:hAnsi="宋体"/>
                <w:color w:val="000000"/>
                <w:sz w:val="24"/>
                <w:szCs w:val="24"/>
                <w:highlight w:val="none"/>
              </w:rPr>
            </w:pPr>
          </w:p>
        </w:tc>
        <w:tc>
          <w:tcPr>
            <w:tcW w:w="1450" w:type="dxa"/>
          </w:tcPr>
          <w:p w14:paraId="1FCD029A">
            <w:pPr>
              <w:rPr>
                <w:rFonts w:ascii="宋体" w:hAnsi="宋体"/>
                <w:color w:val="000000"/>
                <w:sz w:val="24"/>
                <w:szCs w:val="24"/>
                <w:highlight w:val="none"/>
              </w:rPr>
            </w:pPr>
          </w:p>
        </w:tc>
        <w:tc>
          <w:tcPr>
            <w:tcW w:w="1243" w:type="dxa"/>
          </w:tcPr>
          <w:p w14:paraId="16E982C6">
            <w:pPr>
              <w:rPr>
                <w:rFonts w:ascii="宋体" w:hAnsi="宋体"/>
                <w:color w:val="000000"/>
                <w:sz w:val="24"/>
                <w:szCs w:val="24"/>
                <w:highlight w:val="none"/>
              </w:rPr>
            </w:pPr>
          </w:p>
        </w:tc>
        <w:tc>
          <w:tcPr>
            <w:tcW w:w="1450" w:type="dxa"/>
          </w:tcPr>
          <w:p w14:paraId="174A9B95">
            <w:pPr>
              <w:rPr>
                <w:rFonts w:ascii="宋体" w:hAnsi="宋体"/>
                <w:color w:val="000000"/>
                <w:sz w:val="24"/>
                <w:szCs w:val="24"/>
                <w:highlight w:val="none"/>
              </w:rPr>
            </w:pPr>
          </w:p>
        </w:tc>
        <w:tc>
          <w:tcPr>
            <w:tcW w:w="1667" w:type="dxa"/>
          </w:tcPr>
          <w:p w14:paraId="243F58B4">
            <w:pPr>
              <w:rPr>
                <w:rFonts w:ascii="宋体" w:hAnsi="宋体"/>
                <w:color w:val="000000"/>
                <w:sz w:val="24"/>
                <w:szCs w:val="24"/>
                <w:highlight w:val="none"/>
              </w:rPr>
            </w:pPr>
          </w:p>
        </w:tc>
      </w:tr>
      <w:tr w14:paraId="35FF2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2D89083">
            <w:pPr>
              <w:rPr>
                <w:rFonts w:ascii="宋体" w:hAnsi="宋体"/>
                <w:color w:val="000000"/>
                <w:sz w:val="24"/>
                <w:szCs w:val="24"/>
                <w:highlight w:val="none"/>
              </w:rPr>
            </w:pPr>
          </w:p>
        </w:tc>
        <w:tc>
          <w:tcPr>
            <w:tcW w:w="1276" w:type="dxa"/>
          </w:tcPr>
          <w:p w14:paraId="092CCA4F">
            <w:pPr>
              <w:rPr>
                <w:rFonts w:ascii="宋体" w:hAnsi="宋体"/>
                <w:color w:val="000000"/>
                <w:sz w:val="24"/>
                <w:szCs w:val="24"/>
                <w:highlight w:val="none"/>
              </w:rPr>
            </w:pPr>
          </w:p>
        </w:tc>
        <w:tc>
          <w:tcPr>
            <w:tcW w:w="1450" w:type="dxa"/>
          </w:tcPr>
          <w:p w14:paraId="1659EE93">
            <w:pPr>
              <w:rPr>
                <w:rFonts w:ascii="宋体" w:hAnsi="宋体"/>
                <w:color w:val="000000"/>
                <w:sz w:val="24"/>
                <w:szCs w:val="24"/>
                <w:highlight w:val="none"/>
              </w:rPr>
            </w:pPr>
          </w:p>
        </w:tc>
        <w:tc>
          <w:tcPr>
            <w:tcW w:w="1243" w:type="dxa"/>
          </w:tcPr>
          <w:p w14:paraId="132247E2">
            <w:pPr>
              <w:rPr>
                <w:rFonts w:ascii="宋体" w:hAnsi="宋体"/>
                <w:color w:val="000000"/>
                <w:sz w:val="24"/>
                <w:szCs w:val="24"/>
                <w:highlight w:val="none"/>
              </w:rPr>
            </w:pPr>
          </w:p>
        </w:tc>
        <w:tc>
          <w:tcPr>
            <w:tcW w:w="1450" w:type="dxa"/>
          </w:tcPr>
          <w:p w14:paraId="252C71B6">
            <w:pPr>
              <w:rPr>
                <w:rFonts w:ascii="宋体" w:hAnsi="宋体"/>
                <w:color w:val="000000"/>
                <w:sz w:val="24"/>
                <w:szCs w:val="24"/>
                <w:highlight w:val="none"/>
              </w:rPr>
            </w:pPr>
          </w:p>
        </w:tc>
        <w:tc>
          <w:tcPr>
            <w:tcW w:w="1667" w:type="dxa"/>
          </w:tcPr>
          <w:p w14:paraId="351306F8">
            <w:pPr>
              <w:rPr>
                <w:rFonts w:ascii="宋体" w:hAnsi="宋体"/>
                <w:color w:val="000000"/>
                <w:sz w:val="24"/>
                <w:szCs w:val="24"/>
                <w:highlight w:val="none"/>
              </w:rPr>
            </w:pPr>
          </w:p>
        </w:tc>
      </w:tr>
      <w:tr w14:paraId="09406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86B03AC">
            <w:pPr>
              <w:rPr>
                <w:rFonts w:ascii="宋体" w:hAnsi="宋体"/>
                <w:color w:val="000000"/>
                <w:sz w:val="24"/>
                <w:szCs w:val="24"/>
                <w:highlight w:val="none"/>
              </w:rPr>
            </w:pPr>
          </w:p>
        </w:tc>
        <w:tc>
          <w:tcPr>
            <w:tcW w:w="1276" w:type="dxa"/>
          </w:tcPr>
          <w:p w14:paraId="5C78AD95">
            <w:pPr>
              <w:rPr>
                <w:rFonts w:ascii="宋体" w:hAnsi="宋体"/>
                <w:color w:val="000000"/>
                <w:sz w:val="24"/>
                <w:szCs w:val="24"/>
                <w:highlight w:val="none"/>
              </w:rPr>
            </w:pPr>
          </w:p>
        </w:tc>
        <w:tc>
          <w:tcPr>
            <w:tcW w:w="1450" w:type="dxa"/>
          </w:tcPr>
          <w:p w14:paraId="1CA80DA4">
            <w:pPr>
              <w:rPr>
                <w:rFonts w:ascii="宋体" w:hAnsi="宋体"/>
                <w:color w:val="000000"/>
                <w:sz w:val="24"/>
                <w:szCs w:val="24"/>
                <w:highlight w:val="none"/>
              </w:rPr>
            </w:pPr>
          </w:p>
        </w:tc>
        <w:tc>
          <w:tcPr>
            <w:tcW w:w="1243" w:type="dxa"/>
          </w:tcPr>
          <w:p w14:paraId="761FFE41">
            <w:pPr>
              <w:rPr>
                <w:rFonts w:ascii="宋体" w:hAnsi="宋体"/>
                <w:color w:val="000000"/>
                <w:sz w:val="24"/>
                <w:szCs w:val="24"/>
                <w:highlight w:val="none"/>
              </w:rPr>
            </w:pPr>
          </w:p>
        </w:tc>
        <w:tc>
          <w:tcPr>
            <w:tcW w:w="1450" w:type="dxa"/>
          </w:tcPr>
          <w:p w14:paraId="4469EDDD">
            <w:pPr>
              <w:rPr>
                <w:rFonts w:ascii="宋体" w:hAnsi="宋体"/>
                <w:color w:val="000000"/>
                <w:sz w:val="24"/>
                <w:szCs w:val="24"/>
                <w:highlight w:val="none"/>
              </w:rPr>
            </w:pPr>
          </w:p>
        </w:tc>
        <w:tc>
          <w:tcPr>
            <w:tcW w:w="1667" w:type="dxa"/>
          </w:tcPr>
          <w:p w14:paraId="2ED700A4">
            <w:pPr>
              <w:rPr>
                <w:rFonts w:ascii="宋体" w:hAnsi="宋体"/>
                <w:color w:val="000000"/>
                <w:sz w:val="24"/>
                <w:szCs w:val="24"/>
                <w:highlight w:val="none"/>
              </w:rPr>
            </w:pPr>
          </w:p>
        </w:tc>
      </w:tr>
      <w:tr w14:paraId="3E0A0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B29F0F">
            <w:pPr>
              <w:rPr>
                <w:rFonts w:ascii="宋体" w:hAnsi="宋体"/>
                <w:color w:val="000000"/>
                <w:sz w:val="24"/>
                <w:szCs w:val="24"/>
                <w:highlight w:val="none"/>
              </w:rPr>
            </w:pPr>
          </w:p>
        </w:tc>
        <w:tc>
          <w:tcPr>
            <w:tcW w:w="1276" w:type="dxa"/>
          </w:tcPr>
          <w:p w14:paraId="0D8CA49F">
            <w:pPr>
              <w:rPr>
                <w:rFonts w:ascii="宋体" w:hAnsi="宋体"/>
                <w:color w:val="000000"/>
                <w:sz w:val="24"/>
                <w:szCs w:val="24"/>
                <w:highlight w:val="none"/>
              </w:rPr>
            </w:pPr>
          </w:p>
        </w:tc>
        <w:tc>
          <w:tcPr>
            <w:tcW w:w="1450" w:type="dxa"/>
          </w:tcPr>
          <w:p w14:paraId="679414A4">
            <w:pPr>
              <w:rPr>
                <w:rFonts w:ascii="宋体" w:hAnsi="宋体"/>
                <w:color w:val="000000"/>
                <w:sz w:val="24"/>
                <w:szCs w:val="24"/>
                <w:highlight w:val="none"/>
              </w:rPr>
            </w:pPr>
          </w:p>
        </w:tc>
        <w:tc>
          <w:tcPr>
            <w:tcW w:w="1243" w:type="dxa"/>
          </w:tcPr>
          <w:p w14:paraId="36E8D037">
            <w:pPr>
              <w:rPr>
                <w:rFonts w:ascii="宋体" w:hAnsi="宋体"/>
                <w:color w:val="000000"/>
                <w:sz w:val="24"/>
                <w:szCs w:val="24"/>
                <w:highlight w:val="none"/>
              </w:rPr>
            </w:pPr>
          </w:p>
        </w:tc>
        <w:tc>
          <w:tcPr>
            <w:tcW w:w="1450" w:type="dxa"/>
          </w:tcPr>
          <w:p w14:paraId="1C889264">
            <w:pPr>
              <w:rPr>
                <w:rFonts w:ascii="宋体" w:hAnsi="宋体"/>
                <w:color w:val="000000"/>
                <w:sz w:val="24"/>
                <w:szCs w:val="24"/>
                <w:highlight w:val="none"/>
              </w:rPr>
            </w:pPr>
          </w:p>
        </w:tc>
        <w:tc>
          <w:tcPr>
            <w:tcW w:w="1667" w:type="dxa"/>
          </w:tcPr>
          <w:p w14:paraId="3E64D9F3">
            <w:pPr>
              <w:rPr>
                <w:rFonts w:ascii="宋体" w:hAnsi="宋体"/>
                <w:color w:val="000000"/>
                <w:sz w:val="24"/>
                <w:szCs w:val="24"/>
                <w:highlight w:val="none"/>
              </w:rPr>
            </w:pPr>
          </w:p>
        </w:tc>
      </w:tr>
      <w:tr w14:paraId="06748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C8F8B6">
            <w:pPr>
              <w:rPr>
                <w:rFonts w:ascii="宋体" w:hAnsi="宋体"/>
                <w:color w:val="000000"/>
                <w:sz w:val="24"/>
                <w:szCs w:val="24"/>
                <w:highlight w:val="none"/>
              </w:rPr>
            </w:pPr>
          </w:p>
        </w:tc>
        <w:tc>
          <w:tcPr>
            <w:tcW w:w="1276" w:type="dxa"/>
          </w:tcPr>
          <w:p w14:paraId="12FA339D">
            <w:pPr>
              <w:rPr>
                <w:rFonts w:ascii="宋体" w:hAnsi="宋体"/>
                <w:color w:val="000000"/>
                <w:sz w:val="24"/>
                <w:szCs w:val="24"/>
                <w:highlight w:val="none"/>
              </w:rPr>
            </w:pPr>
          </w:p>
        </w:tc>
        <w:tc>
          <w:tcPr>
            <w:tcW w:w="1450" w:type="dxa"/>
          </w:tcPr>
          <w:p w14:paraId="239ACB2E">
            <w:pPr>
              <w:rPr>
                <w:rFonts w:ascii="宋体" w:hAnsi="宋体"/>
                <w:color w:val="000000"/>
                <w:sz w:val="24"/>
                <w:szCs w:val="24"/>
                <w:highlight w:val="none"/>
              </w:rPr>
            </w:pPr>
          </w:p>
        </w:tc>
        <w:tc>
          <w:tcPr>
            <w:tcW w:w="1243" w:type="dxa"/>
          </w:tcPr>
          <w:p w14:paraId="04715F95">
            <w:pPr>
              <w:rPr>
                <w:rFonts w:ascii="宋体" w:hAnsi="宋体"/>
                <w:color w:val="000000"/>
                <w:sz w:val="24"/>
                <w:szCs w:val="24"/>
                <w:highlight w:val="none"/>
              </w:rPr>
            </w:pPr>
          </w:p>
        </w:tc>
        <w:tc>
          <w:tcPr>
            <w:tcW w:w="1450" w:type="dxa"/>
          </w:tcPr>
          <w:p w14:paraId="0C6C8FA1">
            <w:pPr>
              <w:rPr>
                <w:rFonts w:ascii="宋体" w:hAnsi="宋体"/>
                <w:color w:val="000000"/>
                <w:sz w:val="24"/>
                <w:szCs w:val="24"/>
                <w:highlight w:val="none"/>
              </w:rPr>
            </w:pPr>
          </w:p>
        </w:tc>
        <w:tc>
          <w:tcPr>
            <w:tcW w:w="1667" w:type="dxa"/>
          </w:tcPr>
          <w:p w14:paraId="3BCEC551">
            <w:pPr>
              <w:rPr>
                <w:rFonts w:ascii="宋体" w:hAnsi="宋体"/>
                <w:color w:val="000000"/>
                <w:sz w:val="24"/>
                <w:szCs w:val="24"/>
                <w:highlight w:val="none"/>
              </w:rPr>
            </w:pPr>
          </w:p>
        </w:tc>
      </w:tr>
    </w:tbl>
    <w:p w14:paraId="55AE31F6">
      <w:pPr>
        <w:spacing w:line="440" w:lineRule="exact"/>
        <w:rPr>
          <w:rFonts w:ascii="宋体" w:hAnsi="宋体"/>
          <w:color w:val="000000"/>
          <w:sz w:val="24"/>
          <w:szCs w:val="24"/>
          <w:highlight w:val="none"/>
        </w:rPr>
      </w:pPr>
      <w:r>
        <w:rPr>
          <w:rFonts w:ascii="宋体" w:hAnsi="宋体"/>
          <w:color w:val="000000"/>
          <w:sz w:val="24"/>
          <w:szCs w:val="24"/>
          <w:highlight w:val="none"/>
        </w:rPr>
        <w:br w:type="page"/>
      </w:r>
      <w:r>
        <w:rPr>
          <w:rFonts w:ascii="宋体" w:hAnsi="宋体"/>
          <w:color w:val="000000"/>
          <w:sz w:val="24"/>
          <w:szCs w:val="24"/>
          <w:highlight w:val="none"/>
        </w:rPr>
        <w:t>附</w:t>
      </w:r>
      <w:bookmarkStart w:id="1004" w:name="_Toc296891267"/>
      <w:bookmarkStart w:id="1005" w:name="_Toc296891055"/>
      <w:bookmarkStart w:id="1006" w:name="_Toc296347226"/>
      <w:bookmarkStart w:id="1007" w:name="_Toc296346728"/>
      <w:bookmarkStart w:id="1008" w:name="_Toc296944566"/>
      <w:bookmarkStart w:id="1009" w:name="_Toc296503227"/>
      <w:bookmarkStart w:id="1010" w:name="_Toc267261698"/>
      <w:r>
        <w:rPr>
          <w:rFonts w:ascii="宋体" w:hAnsi="宋体"/>
          <w:color w:val="000000"/>
          <w:sz w:val="24"/>
          <w:szCs w:val="24"/>
          <w:highlight w:val="none"/>
        </w:rPr>
        <w:t>件5：</w:t>
      </w:r>
    </w:p>
    <w:bookmarkEnd w:id="1004"/>
    <w:bookmarkEnd w:id="1005"/>
    <w:bookmarkEnd w:id="1006"/>
    <w:bookmarkEnd w:id="1007"/>
    <w:bookmarkEnd w:id="1008"/>
    <w:bookmarkEnd w:id="1009"/>
    <w:bookmarkEnd w:id="1010"/>
    <w:p w14:paraId="16BF9D3C">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24"/>
          <w:szCs w:val="24"/>
          <w:highlight w:val="none"/>
        </w:rPr>
        <w:t>承包人用于本工程施工的机械设备表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66"/>
        <w:gridCol w:w="1303"/>
        <w:gridCol w:w="781"/>
        <w:gridCol w:w="972"/>
        <w:gridCol w:w="810"/>
        <w:gridCol w:w="938"/>
        <w:gridCol w:w="1360"/>
        <w:gridCol w:w="938"/>
        <w:gridCol w:w="846"/>
      </w:tblGrid>
      <w:tr w14:paraId="04DCB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bottom w:val="double" w:color="auto" w:sz="6" w:space="0"/>
            </w:tcBorders>
            <w:vAlign w:val="center"/>
          </w:tcPr>
          <w:p w14:paraId="4FFFCBBB">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序号</w:t>
            </w:r>
          </w:p>
        </w:tc>
        <w:tc>
          <w:tcPr>
            <w:tcW w:w="723" w:type="pct"/>
            <w:tcBorders>
              <w:top w:val="single" w:color="auto" w:sz="12" w:space="0"/>
              <w:bottom w:val="double" w:color="auto" w:sz="6" w:space="0"/>
            </w:tcBorders>
            <w:vAlign w:val="center"/>
          </w:tcPr>
          <w:p w14:paraId="2337A2F8">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机械或设备名称</w:t>
            </w:r>
          </w:p>
        </w:tc>
        <w:tc>
          <w:tcPr>
            <w:tcW w:w="433" w:type="pct"/>
            <w:tcBorders>
              <w:top w:val="single" w:color="auto" w:sz="12" w:space="0"/>
              <w:bottom w:val="double" w:color="auto" w:sz="6" w:space="0"/>
            </w:tcBorders>
            <w:vAlign w:val="center"/>
          </w:tcPr>
          <w:p w14:paraId="2873DC5C">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规格型号</w:t>
            </w:r>
          </w:p>
        </w:tc>
        <w:tc>
          <w:tcPr>
            <w:tcW w:w="539" w:type="pct"/>
            <w:tcBorders>
              <w:top w:val="single" w:color="auto" w:sz="12" w:space="0"/>
              <w:bottom w:val="double" w:color="auto" w:sz="6" w:space="0"/>
            </w:tcBorders>
            <w:vAlign w:val="center"/>
          </w:tcPr>
          <w:p w14:paraId="7FD98E35">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数量</w:t>
            </w:r>
          </w:p>
        </w:tc>
        <w:tc>
          <w:tcPr>
            <w:tcW w:w="449" w:type="pct"/>
            <w:tcBorders>
              <w:top w:val="single" w:color="auto" w:sz="12" w:space="0"/>
              <w:bottom w:val="double" w:color="auto" w:sz="6" w:space="0"/>
            </w:tcBorders>
            <w:vAlign w:val="center"/>
          </w:tcPr>
          <w:p w14:paraId="583190D2">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产地</w:t>
            </w:r>
          </w:p>
        </w:tc>
        <w:tc>
          <w:tcPr>
            <w:tcW w:w="520" w:type="pct"/>
            <w:tcBorders>
              <w:top w:val="single" w:color="auto" w:sz="12" w:space="0"/>
              <w:bottom w:val="double" w:color="auto" w:sz="6" w:space="0"/>
            </w:tcBorders>
            <w:vAlign w:val="center"/>
          </w:tcPr>
          <w:p w14:paraId="008DB504">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制造年份</w:t>
            </w:r>
          </w:p>
        </w:tc>
        <w:tc>
          <w:tcPr>
            <w:tcW w:w="754" w:type="pct"/>
            <w:tcBorders>
              <w:top w:val="single" w:color="auto" w:sz="12" w:space="0"/>
              <w:bottom w:val="double" w:color="auto" w:sz="6" w:space="0"/>
            </w:tcBorders>
            <w:vAlign w:val="center"/>
          </w:tcPr>
          <w:p w14:paraId="5765FD12">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额定功率(kW)</w:t>
            </w:r>
          </w:p>
        </w:tc>
        <w:tc>
          <w:tcPr>
            <w:tcW w:w="520" w:type="pct"/>
            <w:tcBorders>
              <w:top w:val="single" w:color="auto" w:sz="12" w:space="0"/>
              <w:bottom w:val="double" w:color="auto" w:sz="6" w:space="0"/>
            </w:tcBorders>
            <w:vAlign w:val="center"/>
          </w:tcPr>
          <w:p w14:paraId="7EAA723B">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生产能力</w:t>
            </w:r>
          </w:p>
        </w:tc>
        <w:tc>
          <w:tcPr>
            <w:tcW w:w="469" w:type="pct"/>
            <w:tcBorders>
              <w:top w:val="single" w:color="auto" w:sz="12" w:space="0"/>
              <w:bottom w:val="double" w:color="auto" w:sz="6" w:space="0"/>
            </w:tcBorders>
            <w:vAlign w:val="center"/>
          </w:tcPr>
          <w:p w14:paraId="6BED2CCE">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备注</w:t>
            </w:r>
          </w:p>
        </w:tc>
      </w:tr>
      <w:tr w14:paraId="6EF46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6" w:space="0"/>
              <w:bottom w:val="single" w:color="auto" w:sz="6" w:space="0"/>
            </w:tcBorders>
            <w:vAlign w:val="center"/>
          </w:tcPr>
          <w:p w14:paraId="23BB4F33">
            <w:pPr>
              <w:pStyle w:val="34"/>
              <w:keepNext/>
              <w:spacing w:after="0" w:line="440" w:lineRule="exact"/>
              <w:ind w:left="63" w:right="63"/>
              <w:rPr>
                <w:rFonts w:ascii="宋体" w:hAnsi="宋体"/>
                <w:color w:val="000000"/>
                <w:sz w:val="24"/>
                <w:szCs w:val="24"/>
                <w:highlight w:val="none"/>
              </w:rPr>
            </w:pPr>
          </w:p>
        </w:tc>
        <w:tc>
          <w:tcPr>
            <w:tcW w:w="723" w:type="pct"/>
            <w:tcBorders>
              <w:top w:val="double" w:color="auto" w:sz="6" w:space="0"/>
              <w:bottom w:val="single" w:color="auto" w:sz="6" w:space="0"/>
            </w:tcBorders>
            <w:vAlign w:val="center"/>
          </w:tcPr>
          <w:p w14:paraId="63DA0D2D">
            <w:pPr>
              <w:pStyle w:val="34"/>
              <w:keepNext/>
              <w:spacing w:after="0" w:line="440" w:lineRule="exact"/>
              <w:ind w:left="63" w:right="63"/>
              <w:rPr>
                <w:rFonts w:ascii="宋体" w:hAnsi="宋体"/>
                <w:color w:val="000000"/>
                <w:sz w:val="24"/>
                <w:szCs w:val="24"/>
                <w:highlight w:val="none"/>
              </w:rPr>
            </w:pPr>
          </w:p>
        </w:tc>
        <w:tc>
          <w:tcPr>
            <w:tcW w:w="433" w:type="pct"/>
            <w:tcBorders>
              <w:top w:val="double" w:color="auto" w:sz="6" w:space="0"/>
              <w:bottom w:val="single" w:color="auto" w:sz="6" w:space="0"/>
            </w:tcBorders>
            <w:vAlign w:val="center"/>
          </w:tcPr>
          <w:p w14:paraId="3F385349">
            <w:pPr>
              <w:pStyle w:val="34"/>
              <w:keepNext/>
              <w:spacing w:after="0" w:line="440" w:lineRule="exact"/>
              <w:ind w:left="63" w:right="63"/>
              <w:rPr>
                <w:rFonts w:ascii="宋体" w:hAnsi="宋体"/>
                <w:color w:val="000000"/>
                <w:sz w:val="24"/>
                <w:szCs w:val="24"/>
                <w:highlight w:val="none"/>
              </w:rPr>
            </w:pPr>
          </w:p>
        </w:tc>
        <w:tc>
          <w:tcPr>
            <w:tcW w:w="539" w:type="pct"/>
            <w:tcBorders>
              <w:top w:val="double" w:color="auto" w:sz="6" w:space="0"/>
              <w:bottom w:val="single" w:color="auto" w:sz="6" w:space="0"/>
            </w:tcBorders>
            <w:vAlign w:val="center"/>
          </w:tcPr>
          <w:p w14:paraId="6EDFEC7C">
            <w:pPr>
              <w:pStyle w:val="34"/>
              <w:keepNext/>
              <w:spacing w:after="0" w:line="440" w:lineRule="exact"/>
              <w:ind w:left="63" w:right="63"/>
              <w:rPr>
                <w:rFonts w:ascii="宋体" w:hAnsi="宋体"/>
                <w:color w:val="000000"/>
                <w:sz w:val="24"/>
                <w:szCs w:val="24"/>
                <w:highlight w:val="none"/>
              </w:rPr>
            </w:pPr>
          </w:p>
        </w:tc>
        <w:tc>
          <w:tcPr>
            <w:tcW w:w="449" w:type="pct"/>
            <w:tcBorders>
              <w:top w:val="double" w:color="auto" w:sz="6" w:space="0"/>
              <w:bottom w:val="single" w:color="auto" w:sz="6" w:space="0"/>
            </w:tcBorders>
            <w:vAlign w:val="center"/>
          </w:tcPr>
          <w:p w14:paraId="1F805081">
            <w:pPr>
              <w:pStyle w:val="34"/>
              <w:keepNext/>
              <w:spacing w:after="0" w:line="440" w:lineRule="exact"/>
              <w:ind w:left="63" w:right="63"/>
              <w:rPr>
                <w:rFonts w:ascii="宋体" w:hAnsi="宋体"/>
                <w:color w:val="000000"/>
                <w:sz w:val="24"/>
                <w:szCs w:val="24"/>
                <w:highlight w:val="none"/>
              </w:rPr>
            </w:pPr>
          </w:p>
        </w:tc>
        <w:tc>
          <w:tcPr>
            <w:tcW w:w="520" w:type="pct"/>
            <w:tcBorders>
              <w:top w:val="double" w:color="auto" w:sz="6" w:space="0"/>
              <w:bottom w:val="single" w:color="auto" w:sz="6" w:space="0"/>
            </w:tcBorders>
            <w:vAlign w:val="center"/>
          </w:tcPr>
          <w:p w14:paraId="189D174B">
            <w:pPr>
              <w:pStyle w:val="34"/>
              <w:keepNext/>
              <w:spacing w:after="0" w:line="440" w:lineRule="exact"/>
              <w:ind w:left="63" w:right="63"/>
              <w:rPr>
                <w:rFonts w:ascii="宋体" w:hAnsi="宋体"/>
                <w:color w:val="000000"/>
                <w:sz w:val="24"/>
                <w:szCs w:val="24"/>
                <w:highlight w:val="none"/>
              </w:rPr>
            </w:pPr>
          </w:p>
        </w:tc>
        <w:tc>
          <w:tcPr>
            <w:tcW w:w="754" w:type="pct"/>
            <w:tcBorders>
              <w:top w:val="double" w:color="auto" w:sz="6" w:space="0"/>
              <w:bottom w:val="single" w:color="auto" w:sz="6" w:space="0"/>
            </w:tcBorders>
            <w:vAlign w:val="center"/>
          </w:tcPr>
          <w:p w14:paraId="5D935516">
            <w:pPr>
              <w:pStyle w:val="34"/>
              <w:keepNext/>
              <w:spacing w:after="0" w:line="440" w:lineRule="exact"/>
              <w:ind w:left="63" w:right="63"/>
              <w:rPr>
                <w:rFonts w:ascii="宋体" w:hAnsi="宋体"/>
                <w:color w:val="000000"/>
                <w:sz w:val="24"/>
                <w:szCs w:val="24"/>
                <w:highlight w:val="none"/>
              </w:rPr>
            </w:pPr>
          </w:p>
        </w:tc>
        <w:tc>
          <w:tcPr>
            <w:tcW w:w="520" w:type="pct"/>
            <w:tcBorders>
              <w:top w:val="double" w:color="auto" w:sz="6" w:space="0"/>
              <w:bottom w:val="single" w:color="auto" w:sz="6" w:space="0"/>
            </w:tcBorders>
            <w:vAlign w:val="center"/>
          </w:tcPr>
          <w:p w14:paraId="783419B6">
            <w:pPr>
              <w:pStyle w:val="34"/>
              <w:keepNext/>
              <w:spacing w:after="0" w:line="440" w:lineRule="exact"/>
              <w:ind w:left="63" w:right="63"/>
              <w:rPr>
                <w:rFonts w:ascii="宋体" w:hAnsi="宋体"/>
                <w:color w:val="000000"/>
                <w:sz w:val="24"/>
                <w:szCs w:val="24"/>
                <w:highlight w:val="none"/>
              </w:rPr>
            </w:pPr>
          </w:p>
        </w:tc>
        <w:tc>
          <w:tcPr>
            <w:tcW w:w="469" w:type="pct"/>
            <w:tcBorders>
              <w:top w:val="double" w:color="auto" w:sz="6" w:space="0"/>
              <w:bottom w:val="single" w:color="auto" w:sz="6" w:space="0"/>
            </w:tcBorders>
            <w:vAlign w:val="center"/>
          </w:tcPr>
          <w:p w14:paraId="01CB4A77">
            <w:pPr>
              <w:pStyle w:val="34"/>
              <w:keepNext/>
              <w:spacing w:after="0" w:line="440" w:lineRule="exact"/>
              <w:ind w:left="63" w:right="63"/>
              <w:rPr>
                <w:rFonts w:ascii="宋体" w:hAnsi="宋体"/>
                <w:color w:val="000000"/>
                <w:sz w:val="24"/>
                <w:szCs w:val="24"/>
                <w:highlight w:val="none"/>
              </w:rPr>
            </w:pPr>
          </w:p>
        </w:tc>
      </w:tr>
      <w:tr w14:paraId="51D5E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tcBorders>
            <w:vAlign w:val="center"/>
          </w:tcPr>
          <w:p w14:paraId="313B789A">
            <w:pPr>
              <w:pStyle w:val="34"/>
              <w:keepNext/>
              <w:spacing w:after="0" w:line="440" w:lineRule="exact"/>
              <w:ind w:left="63" w:right="63"/>
              <w:rPr>
                <w:rFonts w:ascii="宋体" w:hAnsi="宋体"/>
                <w:color w:val="000000"/>
                <w:sz w:val="24"/>
                <w:szCs w:val="24"/>
                <w:highlight w:val="none"/>
              </w:rPr>
            </w:pPr>
          </w:p>
        </w:tc>
        <w:tc>
          <w:tcPr>
            <w:tcW w:w="723" w:type="pct"/>
            <w:tcBorders>
              <w:top w:val="nil"/>
            </w:tcBorders>
            <w:vAlign w:val="center"/>
          </w:tcPr>
          <w:p w14:paraId="518E8170">
            <w:pPr>
              <w:pStyle w:val="34"/>
              <w:keepNext/>
              <w:spacing w:after="0" w:line="440" w:lineRule="exact"/>
              <w:ind w:left="63" w:right="63"/>
              <w:rPr>
                <w:rFonts w:ascii="宋体" w:hAnsi="宋体"/>
                <w:color w:val="000000"/>
                <w:sz w:val="24"/>
                <w:szCs w:val="24"/>
                <w:highlight w:val="none"/>
              </w:rPr>
            </w:pPr>
          </w:p>
        </w:tc>
        <w:tc>
          <w:tcPr>
            <w:tcW w:w="433" w:type="pct"/>
            <w:tcBorders>
              <w:top w:val="nil"/>
            </w:tcBorders>
            <w:vAlign w:val="center"/>
          </w:tcPr>
          <w:p w14:paraId="63088931">
            <w:pPr>
              <w:pStyle w:val="34"/>
              <w:keepNext/>
              <w:spacing w:after="0" w:line="440" w:lineRule="exact"/>
              <w:ind w:left="63" w:right="63"/>
              <w:rPr>
                <w:rFonts w:ascii="宋体" w:hAnsi="宋体"/>
                <w:color w:val="000000"/>
                <w:sz w:val="24"/>
                <w:szCs w:val="24"/>
                <w:highlight w:val="none"/>
              </w:rPr>
            </w:pPr>
          </w:p>
        </w:tc>
        <w:tc>
          <w:tcPr>
            <w:tcW w:w="539" w:type="pct"/>
            <w:tcBorders>
              <w:top w:val="nil"/>
            </w:tcBorders>
            <w:vAlign w:val="center"/>
          </w:tcPr>
          <w:p w14:paraId="5983FF08">
            <w:pPr>
              <w:pStyle w:val="34"/>
              <w:keepNext/>
              <w:spacing w:after="0" w:line="440" w:lineRule="exact"/>
              <w:ind w:left="63" w:right="63"/>
              <w:rPr>
                <w:rFonts w:ascii="宋体" w:hAnsi="宋体"/>
                <w:color w:val="000000"/>
                <w:sz w:val="24"/>
                <w:szCs w:val="24"/>
                <w:highlight w:val="none"/>
              </w:rPr>
            </w:pPr>
          </w:p>
        </w:tc>
        <w:tc>
          <w:tcPr>
            <w:tcW w:w="449" w:type="pct"/>
            <w:tcBorders>
              <w:top w:val="nil"/>
            </w:tcBorders>
            <w:vAlign w:val="center"/>
          </w:tcPr>
          <w:p w14:paraId="37DBB4C4">
            <w:pPr>
              <w:pStyle w:val="34"/>
              <w:keepNext/>
              <w:spacing w:after="0" w:line="440" w:lineRule="exact"/>
              <w:ind w:left="63" w:right="63"/>
              <w:rPr>
                <w:rFonts w:ascii="宋体" w:hAnsi="宋体"/>
                <w:color w:val="000000"/>
                <w:sz w:val="24"/>
                <w:szCs w:val="24"/>
                <w:highlight w:val="none"/>
              </w:rPr>
            </w:pPr>
          </w:p>
        </w:tc>
        <w:tc>
          <w:tcPr>
            <w:tcW w:w="520" w:type="pct"/>
            <w:tcBorders>
              <w:top w:val="nil"/>
            </w:tcBorders>
            <w:vAlign w:val="center"/>
          </w:tcPr>
          <w:p w14:paraId="02B29B66">
            <w:pPr>
              <w:pStyle w:val="34"/>
              <w:keepNext/>
              <w:spacing w:after="0" w:line="440" w:lineRule="exact"/>
              <w:ind w:left="63" w:right="63"/>
              <w:rPr>
                <w:rFonts w:ascii="宋体" w:hAnsi="宋体"/>
                <w:color w:val="000000"/>
                <w:sz w:val="24"/>
                <w:szCs w:val="24"/>
                <w:highlight w:val="none"/>
              </w:rPr>
            </w:pPr>
          </w:p>
        </w:tc>
        <w:tc>
          <w:tcPr>
            <w:tcW w:w="754" w:type="pct"/>
            <w:tcBorders>
              <w:top w:val="nil"/>
            </w:tcBorders>
            <w:vAlign w:val="center"/>
          </w:tcPr>
          <w:p w14:paraId="19004384">
            <w:pPr>
              <w:pStyle w:val="34"/>
              <w:keepNext/>
              <w:spacing w:after="0" w:line="440" w:lineRule="exact"/>
              <w:ind w:left="63" w:right="63"/>
              <w:rPr>
                <w:rFonts w:ascii="宋体" w:hAnsi="宋体"/>
                <w:color w:val="000000"/>
                <w:sz w:val="24"/>
                <w:szCs w:val="24"/>
                <w:highlight w:val="none"/>
              </w:rPr>
            </w:pPr>
          </w:p>
        </w:tc>
        <w:tc>
          <w:tcPr>
            <w:tcW w:w="520" w:type="pct"/>
            <w:tcBorders>
              <w:top w:val="nil"/>
            </w:tcBorders>
            <w:vAlign w:val="center"/>
          </w:tcPr>
          <w:p w14:paraId="3A2ADFEB">
            <w:pPr>
              <w:pStyle w:val="34"/>
              <w:keepNext/>
              <w:spacing w:after="0" w:line="440" w:lineRule="exact"/>
              <w:ind w:left="63" w:right="63"/>
              <w:rPr>
                <w:rFonts w:ascii="宋体" w:hAnsi="宋体"/>
                <w:color w:val="000000"/>
                <w:sz w:val="24"/>
                <w:szCs w:val="24"/>
                <w:highlight w:val="none"/>
              </w:rPr>
            </w:pPr>
          </w:p>
        </w:tc>
        <w:tc>
          <w:tcPr>
            <w:tcW w:w="469" w:type="pct"/>
            <w:tcBorders>
              <w:top w:val="nil"/>
            </w:tcBorders>
            <w:vAlign w:val="center"/>
          </w:tcPr>
          <w:p w14:paraId="19DD175C">
            <w:pPr>
              <w:pStyle w:val="34"/>
              <w:keepNext/>
              <w:spacing w:after="0" w:line="440" w:lineRule="exact"/>
              <w:ind w:left="63" w:right="63"/>
              <w:rPr>
                <w:rFonts w:ascii="宋体" w:hAnsi="宋体"/>
                <w:color w:val="000000"/>
                <w:sz w:val="24"/>
                <w:szCs w:val="24"/>
                <w:highlight w:val="none"/>
              </w:rPr>
            </w:pPr>
          </w:p>
        </w:tc>
      </w:tr>
      <w:tr w14:paraId="28320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62CA8AF">
            <w:pPr>
              <w:pStyle w:val="34"/>
              <w:keepNext/>
              <w:spacing w:after="0" w:line="440" w:lineRule="exact"/>
              <w:ind w:left="63" w:right="63"/>
              <w:rPr>
                <w:rFonts w:ascii="宋体" w:hAnsi="宋体"/>
                <w:color w:val="000000"/>
                <w:sz w:val="24"/>
                <w:szCs w:val="24"/>
                <w:highlight w:val="none"/>
              </w:rPr>
            </w:pPr>
          </w:p>
        </w:tc>
        <w:tc>
          <w:tcPr>
            <w:tcW w:w="723" w:type="pct"/>
            <w:vAlign w:val="center"/>
          </w:tcPr>
          <w:p w14:paraId="4A4FF92C">
            <w:pPr>
              <w:pStyle w:val="34"/>
              <w:keepNext/>
              <w:spacing w:after="0" w:line="440" w:lineRule="exact"/>
              <w:ind w:left="63" w:right="63"/>
              <w:rPr>
                <w:rFonts w:ascii="宋体" w:hAnsi="宋体"/>
                <w:color w:val="000000"/>
                <w:sz w:val="24"/>
                <w:szCs w:val="24"/>
                <w:highlight w:val="none"/>
              </w:rPr>
            </w:pPr>
          </w:p>
        </w:tc>
        <w:tc>
          <w:tcPr>
            <w:tcW w:w="433" w:type="pct"/>
            <w:vAlign w:val="center"/>
          </w:tcPr>
          <w:p w14:paraId="7916DE47">
            <w:pPr>
              <w:pStyle w:val="34"/>
              <w:keepNext/>
              <w:spacing w:after="0" w:line="440" w:lineRule="exact"/>
              <w:ind w:left="63" w:right="63"/>
              <w:rPr>
                <w:rFonts w:ascii="宋体" w:hAnsi="宋体"/>
                <w:color w:val="000000"/>
                <w:sz w:val="24"/>
                <w:szCs w:val="24"/>
                <w:highlight w:val="none"/>
              </w:rPr>
            </w:pPr>
          </w:p>
        </w:tc>
        <w:tc>
          <w:tcPr>
            <w:tcW w:w="539" w:type="pct"/>
            <w:vAlign w:val="center"/>
          </w:tcPr>
          <w:p w14:paraId="7D5A4D10">
            <w:pPr>
              <w:pStyle w:val="34"/>
              <w:keepNext/>
              <w:spacing w:after="0" w:line="440" w:lineRule="exact"/>
              <w:ind w:left="63" w:right="63"/>
              <w:rPr>
                <w:rFonts w:ascii="宋体" w:hAnsi="宋体"/>
                <w:color w:val="000000"/>
                <w:sz w:val="24"/>
                <w:szCs w:val="24"/>
                <w:highlight w:val="none"/>
              </w:rPr>
            </w:pPr>
          </w:p>
        </w:tc>
        <w:tc>
          <w:tcPr>
            <w:tcW w:w="449" w:type="pct"/>
            <w:vAlign w:val="center"/>
          </w:tcPr>
          <w:p w14:paraId="0C4B6802">
            <w:pPr>
              <w:pStyle w:val="34"/>
              <w:keepNext/>
              <w:spacing w:after="0" w:line="440" w:lineRule="exact"/>
              <w:ind w:left="63" w:right="63"/>
              <w:rPr>
                <w:rFonts w:ascii="宋体" w:hAnsi="宋体"/>
                <w:color w:val="000000"/>
                <w:sz w:val="24"/>
                <w:szCs w:val="24"/>
                <w:highlight w:val="none"/>
              </w:rPr>
            </w:pPr>
          </w:p>
        </w:tc>
        <w:tc>
          <w:tcPr>
            <w:tcW w:w="520" w:type="pct"/>
            <w:vAlign w:val="center"/>
          </w:tcPr>
          <w:p w14:paraId="43E1DEAE">
            <w:pPr>
              <w:pStyle w:val="34"/>
              <w:keepNext/>
              <w:spacing w:after="0" w:line="440" w:lineRule="exact"/>
              <w:ind w:left="63" w:right="63"/>
              <w:rPr>
                <w:rFonts w:ascii="宋体" w:hAnsi="宋体"/>
                <w:color w:val="000000"/>
                <w:sz w:val="24"/>
                <w:szCs w:val="24"/>
                <w:highlight w:val="none"/>
              </w:rPr>
            </w:pPr>
          </w:p>
        </w:tc>
        <w:tc>
          <w:tcPr>
            <w:tcW w:w="754" w:type="pct"/>
            <w:vAlign w:val="center"/>
          </w:tcPr>
          <w:p w14:paraId="4B289DC4">
            <w:pPr>
              <w:pStyle w:val="34"/>
              <w:keepNext/>
              <w:spacing w:after="0" w:line="440" w:lineRule="exact"/>
              <w:ind w:left="63" w:right="63"/>
              <w:rPr>
                <w:rFonts w:ascii="宋体" w:hAnsi="宋体"/>
                <w:color w:val="000000"/>
                <w:sz w:val="24"/>
                <w:szCs w:val="24"/>
                <w:highlight w:val="none"/>
              </w:rPr>
            </w:pPr>
          </w:p>
        </w:tc>
        <w:tc>
          <w:tcPr>
            <w:tcW w:w="520" w:type="pct"/>
            <w:vAlign w:val="center"/>
          </w:tcPr>
          <w:p w14:paraId="703938E6">
            <w:pPr>
              <w:pStyle w:val="34"/>
              <w:keepNext/>
              <w:spacing w:after="0" w:line="440" w:lineRule="exact"/>
              <w:ind w:left="63" w:right="63"/>
              <w:rPr>
                <w:rFonts w:ascii="宋体" w:hAnsi="宋体"/>
                <w:color w:val="000000"/>
                <w:sz w:val="24"/>
                <w:szCs w:val="24"/>
                <w:highlight w:val="none"/>
              </w:rPr>
            </w:pPr>
          </w:p>
        </w:tc>
        <w:tc>
          <w:tcPr>
            <w:tcW w:w="469" w:type="pct"/>
            <w:vAlign w:val="center"/>
          </w:tcPr>
          <w:p w14:paraId="5E48C172">
            <w:pPr>
              <w:pStyle w:val="34"/>
              <w:keepNext/>
              <w:spacing w:after="0" w:line="440" w:lineRule="exact"/>
              <w:ind w:left="63" w:right="63"/>
              <w:rPr>
                <w:rFonts w:ascii="宋体" w:hAnsi="宋体"/>
                <w:color w:val="000000"/>
                <w:sz w:val="24"/>
                <w:szCs w:val="24"/>
                <w:highlight w:val="none"/>
              </w:rPr>
            </w:pPr>
          </w:p>
        </w:tc>
      </w:tr>
      <w:tr w14:paraId="3C92D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2396E514">
            <w:pPr>
              <w:pStyle w:val="34"/>
              <w:keepNext/>
              <w:spacing w:after="0" w:line="440" w:lineRule="exact"/>
              <w:ind w:left="63" w:right="63"/>
              <w:rPr>
                <w:rFonts w:ascii="宋体" w:hAnsi="宋体"/>
                <w:color w:val="000000"/>
                <w:sz w:val="24"/>
                <w:szCs w:val="24"/>
                <w:highlight w:val="none"/>
              </w:rPr>
            </w:pPr>
          </w:p>
        </w:tc>
        <w:tc>
          <w:tcPr>
            <w:tcW w:w="723" w:type="pct"/>
            <w:vAlign w:val="center"/>
          </w:tcPr>
          <w:p w14:paraId="6EDF03A9">
            <w:pPr>
              <w:pStyle w:val="34"/>
              <w:keepNext/>
              <w:spacing w:after="0" w:line="440" w:lineRule="exact"/>
              <w:ind w:left="63" w:right="63"/>
              <w:rPr>
                <w:rFonts w:ascii="宋体" w:hAnsi="宋体"/>
                <w:color w:val="000000"/>
                <w:sz w:val="24"/>
                <w:szCs w:val="24"/>
                <w:highlight w:val="none"/>
              </w:rPr>
            </w:pPr>
          </w:p>
        </w:tc>
        <w:tc>
          <w:tcPr>
            <w:tcW w:w="433" w:type="pct"/>
            <w:vAlign w:val="center"/>
          </w:tcPr>
          <w:p w14:paraId="7C9C4A99">
            <w:pPr>
              <w:pStyle w:val="34"/>
              <w:keepNext/>
              <w:spacing w:after="0" w:line="440" w:lineRule="exact"/>
              <w:ind w:left="63" w:right="63"/>
              <w:rPr>
                <w:rFonts w:ascii="宋体" w:hAnsi="宋体"/>
                <w:color w:val="000000"/>
                <w:sz w:val="24"/>
                <w:szCs w:val="24"/>
                <w:highlight w:val="none"/>
              </w:rPr>
            </w:pPr>
          </w:p>
        </w:tc>
        <w:tc>
          <w:tcPr>
            <w:tcW w:w="539" w:type="pct"/>
            <w:vAlign w:val="center"/>
          </w:tcPr>
          <w:p w14:paraId="12E6D87B">
            <w:pPr>
              <w:pStyle w:val="34"/>
              <w:keepNext/>
              <w:spacing w:after="0" w:line="440" w:lineRule="exact"/>
              <w:ind w:left="63" w:right="63"/>
              <w:rPr>
                <w:rFonts w:ascii="宋体" w:hAnsi="宋体"/>
                <w:color w:val="000000"/>
                <w:sz w:val="24"/>
                <w:szCs w:val="24"/>
                <w:highlight w:val="none"/>
              </w:rPr>
            </w:pPr>
          </w:p>
        </w:tc>
        <w:tc>
          <w:tcPr>
            <w:tcW w:w="449" w:type="pct"/>
            <w:vAlign w:val="center"/>
          </w:tcPr>
          <w:p w14:paraId="3D0B94C4">
            <w:pPr>
              <w:pStyle w:val="34"/>
              <w:keepNext/>
              <w:spacing w:after="0" w:line="440" w:lineRule="exact"/>
              <w:ind w:left="63" w:right="63"/>
              <w:rPr>
                <w:rFonts w:ascii="宋体" w:hAnsi="宋体"/>
                <w:color w:val="000000"/>
                <w:sz w:val="24"/>
                <w:szCs w:val="24"/>
                <w:highlight w:val="none"/>
              </w:rPr>
            </w:pPr>
          </w:p>
        </w:tc>
        <w:tc>
          <w:tcPr>
            <w:tcW w:w="520" w:type="pct"/>
            <w:vAlign w:val="center"/>
          </w:tcPr>
          <w:p w14:paraId="0056F1E2">
            <w:pPr>
              <w:pStyle w:val="34"/>
              <w:keepNext/>
              <w:spacing w:after="0" w:line="440" w:lineRule="exact"/>
              <w:ind w:left="63" w:right="63"/>
              <w:rPr>
                <w:rFonts w:ascii="宋体" w:hAnsi="宋体"/>
                <w:color w:val="000000"/>
                <w:sz w:val="24"/>
                <w:szCs w:val="24"/>
                <w:highlight w:val="none"/>
              </w:rPr>
            </w:pPr>
          </w:p>
        </w:tc>
        <w:tc>
          <w:tcPr>
            <w:tcW w:w="754" w:type="pct"/>
            <w:vAlign w:val="center"/>
          </w:tcPr>
          <w:p w14:paraId="228A13F1">
            <w:pPr>
              <w:pStyle w:val="34"/>
              <w:keepNext/>
              <w:spacing w:after="0" w:line="440" w:lineRule="exact"/>
              <w:ind w:left="63" w:right="63"/>
              <w:rPr>
                <w:rFonts w:ascii="宋体" w:hAnsi="宋体"/>
                <w:color w:val="000000"/>
                <w:sz w:val="24"/>
                <w:szCs w:val="24"/>
                <w:highlight w:val="none"/>
              </w:rPr>
            </w:pPr>
          </w:p>
        </w:tc>
        <w:tc>
          <w:tcPr>
            <w:tcW w:w="520" w:type="pct"/>
            <w:vAlign w:val="center"/>
          </w:tcPr>
          <w:p w14:paraId="262BB7CE">
            <w:pPr>
              <w:pStyle w:val="34"/>
              <w:keepNext/>
              <w:spacing w:after="0" w:line="440" w:lineRule="exact"/>
              <w:ind w:left="63" w:right="63"/>
              <w:rPr>
                <w:rFonts w:ascii="宋体" w:hAnsi="宋体"/>
                <w:color w:val="000000"/>
                <w:sz w:val="24"/>
                <w:szCs w:val="24"/>
                <w:highlight w:val="none"/>
              </w:rPr>
            </w:pPr>
          </w:p>
        </w:tc>
        <w:tc>
          <w:tcPr>
            <w:tcW w:w="469" w:type="pct"/>
            <w:vAlign w:val="center"/>
          </w:tcPr>
          <w:p w14:paraId="763724FC">
            <w:pPr>
              <w:pStyle w:val="34"/>
              <w:keepNext/>
              <w:spacing w:after="0" w:line="440" w:lineRule="exact"/>
              <w:ind w:left="63" w:right="63"/>
              <w:rPr>
                <w:rFonts w:ascii="宋体" w:hAnsi="宋体"/>
                <w:color w:val="000000"/>
                <w:sz w:val="24"/>
                <w:szCs w:val="24"/>
                <w:highlight w:val="none"/>
              </w:rPr>
            </w:pPr>
          </w:p>
        </w:tc>
      </w:tr>
      <w:tr w14:paraId="40836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697CC649">
            <w:pPr>
              <w:pStyle w:val="34"/>
              <w:keepNext/>
              <w:spacing w:after="0" w:line="440" w:lineRule="exact"/>
              <w:ind w:left="63" w:right="63"/>
              <w:rPr>
                <w:rFonts w:ascii="宋体" w:hAnsi="宋体"/>
                <w:color w:val="000000"/>
                <w:sz w:val="24"/>
                <w:szCs w:val="24"/>
                <w:highlight w:val="none"/>
              </w:rPr>
            </w:pPr>
          </w:p>
        </w:tc>
        <w:tc>
          <w:tcPr>
            <w:tcW w:w="723" w:type="pct"/>
            <w:vAlign w:val="center"/>
          </w:tcPr>
          <w:p w14:paraId="72CFBDFA">
            <w:pPr>
              <w:pStyle w:val="34"/>
              <w:keepNext/>
              <w:spacing w:after="0" w:line="440" w:lineRule="exact"/>
              <w:ind w:left="63" w:right="63"/>
              <w:rPr>
                <w:rFonts w:ascii="宋体" w:hAnsi="宋体"/>
                <w:color w:val="000000"/>
                <w:sz w:val="24"/>
                <w:szCs w:val="24"/>
                <w:highlight w:val="none"/>
              </w:rPr>
            </w:pPr>
          </w:p>
        </w:tc>
        <w:tc>
          <w:tcPr>
            <w:tcW w:w="433" w:type="pct"/>
            <w:vAlign w:val="center"/>
          </w:tcPr>
          <w:p w14:paraId="26B80965">
            <w:pPr>
              <w:pStyle w:val="34"/>
              <w:keepNext/>
              <w:spacing w:after="0" w:line="440" w:lineRule="exact"/>
              <w:ind w:left="63" w:right="63"/>
              <w:rPr>
                <w:rFonts w:ascii="宋体" w:hAnsi="宋体"/>
                <w:color w:val="000000"/>
                <w:sz w:val="24"/>
                <w:szCs w:val="24"/>
                <w:highlight w:val="none"/>
              </w:rPr>
            </w:pPr>
          </w:p>
        </w:tc>
        <w:tc>
          <w:tcPr>
            <w:tcW w:w="539" w:type="pct"/>
            <w:vAlign w:val="center"/>
          </w:tcPr>
          <w:p w14:paraId="7D4D3EFB">
            <w:pPr>
              <w:pStyle w:val="34"/>
              <w:keepNext/>
              <w:spacing w:after="0" w:line="440" w:lineRule="exact"/>
              <w:ind w:left="63" w:right="63"/>
              <w:rPr>
                <w:rFonts w:ascii="宋体" w:hAnsi="宋体"/>
                <w:color w:val="000000"/>
                <w:sz w:val="24"/>
                <w:szCs w:val="24"/>
                <w:highlight w:val="none"/>
              </w:rPr>
            </w:pPr>
          </w:p>
        </w:tc>
        <w:tc>
          <w:tcPr>
            <w:tcW w:w="449" w:type="pct"/>
            <w:vAlign w:val="center"/>
          </w:tcPr>
          <w:p w14:paraId="1776147A">
            <w:pPr>
              <w:pStyle w:val="34"/>
              <w:keepNext/>
              <w:spacing w:after="0" w:line="440" w:lineRule="exact"/>
              <w:ind w:left="63" w:right="63"/>
              <w:rPr>
                <w:rFonts w:ascii="宋体" w:hAnsi="宋体"/>
                <w:color w:val="000000"/>
                <w:sz w:val="24"/>
                <w:szCs w:val="24"/>
                <w:highlight w:val="none"/>
              </w:rPr>
            </w:pPr>
          </w:p>
        </w:tc>
        <w:tc>
          <w:tcPr>
            <w:tcW w:w="520" w:type="pct"/>
            <w:vAlign w:val="center"/>
          </w:tcPr>
          <w:p w14:paraId="27FC5860">
            <w:pPr>
              <w:pStyle w:val="34"/>
              <w:keepNext/>
              <w:spacing w:after="0" w:line="440" w:lineRule="exact"/>
              <w:ind w:left="63" w:right="63"/>
              <w:rPr>
                <w:rFonts w:ascii="宋体" w:hAnsi="宋体"/>
                <w:color w:val="000000"/>
                <w:sz w:val="24"/>
                <w:szCs w:val="24"/>
                <w:highlight w:val="none"/>
              </w:rPr>
            </w:pPr>
          </w:p>
        </w:tc>
        <w:tc>
          <w:tcPr>
            <w:tcW w:w="754" w:type="pct"/>
            <w:vAlign w:val="center"/>
          </w:tcPr>
          <w:p w14:paraId="16D71C5D">
            <w:pPr>
              <w:pStyle w:val="34"/>
              <w:keepNext/>
              <w:spacing w:after="0" w:line="440" w:lineRule="exact"/>
              <w:ind w:left="63" w:right="63"/>
              <w:rPr>
                <w:rFonts w:ascii="宋体" w:hAnsi="宋体"/>
                <w:color w:val="000000"/>
                <w:sz w:val="24"/>
                <w:szCs w:val="24"/>
                <w:highlight w:val="none"/>
              </w:rPr>
            </w:pPr>
          </w:p>
        </w:tc>
        <w:tc>
          <w:tcPr>
            <w:tcW w:w="520" w:type="pct"/>
            <w:vAlign w:val="center"/>
          </w:tcPr>
          <w:p w14:paraId="5567EC2F">
            <w:pPr>
              <w:pStyle w:val="34"/>
              <w:keepNext/>
              <w:spacing w:after="0" w:line="440" w:lineRule="exact"/>
              <w:ind w:left="63" w:right="63"/>
              <w:rPr>
                <w:rFonts w:ascii="宋体" w:hAnsi="宋体"/>
                <w:color w:val="000000"/>
                <w:sz w:val="24"/>
                <w:szCs w:val="24"/>
                <w:highlight w:val="none"/>
              </w:rPr>
            </w:pPr>
          </w:p>
        </w:tc>
        <w:tc>
          <w:tcPr>
            <w:tcW w:w="469" w:type="pct"/>
            <w:vAlign w:val="center"/>
          </w:tcPr>
          <w:p w14:paraId="0EDC9D18">
            <w:pPr>
              <w:pStyle w:val="34"/>
              <w:keepNext/>
              <w:spacing w:after="0" w:line="440" w:lineRule="exact"/>
              <w:ind w:left="63" w:right="63"/>
              <w:rPr>
                <w:rFonts w:ascii="宋体" w:hAnsi="宋体"/>
                <w:color w:val="000000"/>
                <w:sz w:val="24"/>
                <w:szCs w:val="24"/>
                <w:highlight w:val="none"/>
              </w:rPr>
            </w:pPr>
          </w:p>
        </w:tc>
      </w:tr>
      <w:tr w14:paraId="4E550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0C6A8E2E">
            <w:pPr>
              <w:pStyle w:val="34"/>
              <w:keepNext/>
              <w:spacing w:after="0" w:line="440" w:lineRule="exact"/>
              <w:ind w:left="63" w:right="63"/>
              <w:rPr>
                <w:rFonts w:ascii="宋体" w:hAnsi="宋体"/>
                <w:color w:val="000000"/>
                <w:sz w:val="24"/>
                <w:szCs w:val="24"/>
                <w:highlight w:val="none"/>
              </w:rPr>
            </w:pPr>
          </w:p>
        </w:tc>
        <w:tc>
          <w:tcPr>
            <w:tcW w:w="723" w:type="pct"/>
            <w:vAlign w:val="center"/>
          </w:tcPr>
          <w:p w14:paraId="6EDD35D4">
            <w:pPr>
              <w:pStyle w:val="34"/>
              <w:keepNext/>
              <w:spacing w:after="0" w:line="440" w:lineRule="exact"/>
              <w:ind w:left="63" w:right="63"/>
              <w:rPr>
                <w:rFonts w:ascii="宋体" w:hAnsi="宋体"/>
                <w:color w:val="000000"/>
                <w:sz w:val="24"/>
                <w:szCs w:val="24"/>
                <w:highlight w:val="none"/>
              </w:rPr>
            </w:pPr>
          </w:p>
        </w:tc>
        <w:tc>
          <w:tcPr>
            <w:tcW w:w="433" w:type="pct"/>
            <w:vAlign w:val="center"/>
          </w:tcPr>
          <w:p w14:paraId="3766EBEB">
            <w:pPr>
              <w:pStyle w:val="34"/>
              <w:keepNext/>
              <w:spacing w:after="0" w:line="440" w:lineRule="exact"/>
              <w:ind w:left="63" w:right="63"/>
              <w:rPr>
                <w:rFonts w:ascii="宋体" w:hAnsi="宋体"/>
                <w:color w:val="000000"/>
                <w:sz w:val="24"/>
                <w:szCs w:val="24"/>
                <w:highlight w:val="none"/>
              </w:rPr>
            </w:pPr>
          </w:p>
        </w:tc>
        <w:tc>
          <w:tcPr>
            <w:tcW w:w="539" w:type="pct"/>
            <w:vAlign w:val="center"/>
          </w:tcPr>
          <w:p w14:paraId="0275716A">
            <w:pPr>
              <w:pStyle w:val="34"/>
              <w:keepNext/>
              <w:spacing w:after="0" w:line="440" w:lineRule="exact"/>
              <w:ind w:left="63" w:right="63"/>
              <w:rPr>
                <w:rFonts w:ascii="宋体" w:hAnsi="宋体"/>
                <w:color w:val="000000"/>
                <w:sz w:val="24"/>
                <w:szCs w:val="24"/>
                <w:highlight w:val="none"/>
              </w:rPr>
            </w:pPr>
          </w:p>
        </w:tc>
        <w:tc>
          <w:tcPr>
            <w:tcW w:w="449" w:type="pct"/>
            <w:vAlign w:val="center"/>
          </w:tcPr>
          <w:p w14:paraId="6E8C9738">
            <w:pPr>
              <w:pStyle w:val="34"/>
              <w:keepNext/>
              <w:spacing w:after="0" w:line="440" w:lineRule="exact"/>
              <w:ind w:left="63" w:right="63"/>
              <w:rPr>
                <w:rFonts w:ascii="宋体" w:hAnsi="宋体"/>
                <w:color w:val="000000"/>
                <w:sz w:val="24"/>
                <w:szCs w:val="24"/>
                <w:highlight w:val="none"/>
              </w:rPr>
            </w:pPr>
          </w:p>
        </w:tc>
        <w:tc>
          <w:tcPr>
            <w:tcW w:w="520" w:type="pct"/>
            <w:vAlign w:val="center"/>
          </w:tcPr>
          <w:p w14:paraId="22922387">
            <w:pPr>
              <w:pStyle w:val="34"/>
              <w:keepNext/>
              <w:spacing w:after="0" w:line="440" w:lineRule="exact"/>
              <w:ind w:left="63" w:right="63"/>
              <w:rPr>
                <w:rFonts w:ascii="宋体" w:hAnsi="宋体"/>
                <w:color w:val="000000"/>
                <w:sz w:val="24"/>
                <w:szCs w:val="24"/>
                <w:highlight w:val="none"/>
              </w:rPr>
            </w:pPr>
          </w:p>
        </w:tc>
        <w:tc>
          <w:tcPr>
            <w:tcW w:w="754" w:type="pct"/>
            <w:vAlign w:val="center"/>
          </w:tcPr>
          <w:p w14:paraId="5B69B6E7">
            <w:pPr>
              <w:pStyle w:val="34"/>
              <w:keepNext/>
              <w:spacing w:after="0" w:line="440" w:lineRule="exact"/>
              <w:ind w:left="63" w:right="63"/>
              <w:rPr>
                <w:rFonts w:ascii="宋体" w:hAnsi="宋体"/>
                <w:color w:val="000000"/>
                <w:sz w:val="24"/>
                <w:szCs w:val="24"/>
                <w:highlight w:val="none"/>
              </w:rPr>
            </w:pPr>
          </w:p>
        </w:tc>
        <w:tc>
          <w:tcPr>
            <w:tcW w:w="520" w:type="pct"/>
            <w:vAlign w:val="center"/>
          </w:tcPr>
          <w:p w14:paraId="019A92FD">
            <w:pPr>
              <w:pStyle w:val="34"/>
              <w:keepNext/>
              <w:spacing w:after="0" w:line="440" w:lineRule="exact"/>
              <w:ind w:left="63" w:right="63"/>
              <w:rPr>
                <w:rFonts w:ascii="宋体" w:hAnsi="宋体"/>
                <w:color w:val="000000"/>
                <w:sz w:val="24"/>
                <w:szCs w:val="24"/>
                <w:highlight w:val="none"/>
              </w:rPr>
            </w:pPr>
          </w:p>
        </w:tc>
        <w:tc>
          <w:tcPr>
            <w:tcW w:w="469" w:type="pct"/>
            <w:vAlign w:val="center"/>
          </w:tcPr>
          <w:p w14:paraId="2205A9F0">
            <w:pPr>
              <w:pStyle w:val="34"/>
              <w:keepNext/>
              <w:spacing w:after="0" w:line="440" w:lineRule="exact"/>
              <w:ind w:left="63" w:right="63"/>
              <w:rPr>
                <w:rFonts w:ascii="宋体" w:hAnsi="宋体"/>
                <w:color w:val="000000"/>
                <w:sz w:val="24"/>
                <w:szCs w:val="24"/>
                <w:highlight w:val="none"/>
              </w:rPr>
            </w:pPr>
          </w:p>
        </w:tc>
      </w:tr>
      <w:tr w14:paraId="6D16A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30102C64">
            <w:pPr>
              <w:pStyle w:val="34"/>
              <w:keepNext/>
              <w:spacing w:after="0" w:line="440" w:lineRule="exact"/>
              <w:ind w:left="63" w:right="63"/>
              <w:rPr>
                <w:rFonts w:ascii="宋体" w:hAnsi="宋体"/>
                <w:color w:val="000000"/>
                <w:sz w:val="24"/>
                <w:szCs w:val="24"/>
                <w:highlight w:val="none"/>
              </w:rPr>
            </w:pPr>
          </w:p>
        </w:tc>
        <w:tc>
          <w:tcPr>
            <w:tcW w:w="723" w:type="pct"/>
            <w:vAlign w:val="center"/>
          </w:tcPr>
          <w:p w14:paraId="7783BB9C">
            <w:pPr>
              <w:pStyle w:val="34"/>
              <w:keepNext/>
              <w:spacing w:after="0" w:line="440" w:lineRule="exact"/>
              <w:ind w:left="63" w:right="63"/>
              <w:rPr>
                <w:rFonts w:ascii="宋体" w:hAnsi="宋体"/>
                <w:color w:val="000000"/>
                <w:sz w:val="24"/>
                <w:szCs w:val="24"/>
                <w:highlight w:val="none"/>
              </w:rPr>
            </w:pPr>
          </w:p>
        </w:tc>
        <w:tc>
          <w:tcPr>
            <w:tcW w:w="433" w:type="pct"/>
            <w:vAlign w:val="center"/>
          </w:tcPr>
          <w:p w14:paraId="13C15439">
            <w:pPr>
              <w:pStyle w:val="34"/>
              <w:keepNext/>
              <w:spacing w:after="0" w:line="440" w:lineRule="exact"/>
              <w:ind w:left="63" w:right="63"/>
              <w:rPr>
                <w:rFonts w:ascii="宋体" w:hAnsi="宋体"/>
                <w:color w:val="000000"/>
                <w:sz w:val="24"/>
                <w:szCs w:val="24"/>
                <w:highlight w:val="none"/>
              </w:rPr>
            </w:pPr>
          </w:p>
        </w:tc>
        <w:tc>
          <w:tcPr>
            <w:tcW w:w="539" w:type="pct"/>
            <w:vAlign w:val="center"/>
          </w:tcPr>
          <w:p w14:paraId="7AC8CE9E">
            <w:pPr>
              <w:pStyle w:val="34"/>
              <w:keepNext/>
              <w:spacing w:after="0" w:line="440" w:lineRule="exact"/>
              <w:ind w:left="63" w:right="63"/>
              <w:rPr>
                <w:rFonts w:ascii="宋体" w:hAnsi="宋体"/>
                <w:color w:val="000000"/>
                <w:sz w:val="24"/>
                <w:szCs w:val="24"/>
                <w:highlight w:val="none"/>
              </w:rPr>
            </w:pPr>
          </w:p>
        </w:tc>
        <w:tc>
          <w:tcPr>
            <w:tcW w:w="449" w:type="pct"/>
            <w:vAlign w:val="center"/>
          </w:tcPr>
          <w:p w14:paraId="04AB8148">
            <w:pPr>
              <w:pStyle w:val="34"/>
              <w:keepNext/>
              <w:spacing w:after="0" w:line="440" w:lineRule="exact"/>
              <w:ind w:left="63" w:right="63"/>
              <w:rPr>
                <w:rFonts w:ascii="宋体" w:hAnsi="宋体"/>
                <w:color w:val="000000"/>
                <w:sz w:val="24"/>
                <w:szCs w:val="24"/>
                <w:highlight w:val="none"/>
              </w:rPr>
            </w:pPr>
          </w:p>
        </w:tc>
        <w:tc>
          <w:tcPr>
            <w:tcW w:w="520" w:type="pct"/>
            <w:vAlign w:val="center"/>
          </w:tcPr>
          <w:p w14:paraId="428B60A0">
            <w:pPr>
              <w:pStyle w:val="34"/>
              <w:keepNext/>
              <w:spacing w:after="0" w:line="440" w:lineRule="exact"/>
              <w:ind w:left="63" w:right="63"/>
              <w:rPr>
                <w:rFonts w:ascii="宋体" w:hAnsi="宋体"/>
                <w:color w:val="000000"/>
                <w:sz w:val="24"/>
                <w:szCs w:val="24"/>
                <w:highlight w:val="none"/>
              </w:rPr>
            </w:pPr>
          </w:p>
        </w:tc>
        <w:tc>
          <w:tcPr>
            <w:tcW w:w="754" w:type="pct"/>
            <w:vAlign w:val="center"/>
          </w:tcPr>
          <w:p w14:paraId="7806C02D">
            <w:pPr>
              <w:pStyle w:val="34"/>
              <w:keepNext/>
              <w:spacing w:after="0" w:line="440" w:lineRule="exact"/>
              <w:ind w:left="63" w:right="63"/>
              <w:rPr>
                <w:rFonts w:ascii="宋体" w:hAnsi="宋体"/>
                <w:color w:val="000000"/>
                <w:sz w:val="24"/>
                <w:szCs w:val="24"/>
                <w:highlight w:val="none"/>
              </w:rPr>
            </w:pPr>
          </w:p>
        </w:tc>
        <w:tc>
          <w:tcPr>
            <w:tcW w:w="520" w:type="pct"/>
            <w:vAlign w:val="center"/>
          </w:tcPr>
          <w:p w14:paraId="36076753">
            <w:pPr>
              <w:pStyle w:val="34"/>
              <w:keepNext/>
              <w:spacing w:after="0" w:line="440" w:lineRule="exact"/>
              <w:ind w:left="63" w:right="63"/>
              <w:rPr>
                <w:rFonts w:ascii="宋体" w:hAnsi="宋体"/>
                <w:color w:val="000000"/>
                <w:sz w:val="24"/>
                <w:szCs w:val="24"/>
                <w:highlight w:val="none"/>
              </w:rPr>
            </w:pPr>
          </w:p>
        </w:tc>
        <w:tc>
          <w:tcPr>
            <w:tcW w:w="469" w:type="pct"/>
            <w:vAlign w:val="center"/>
          </w:tcPr>
          <w:p w14:paraId="5513A10F">
            <w:pPr>
              <w:pStyle w:val="34"/>
              <w:keepNext/>
              <w:spacing w:after="0" w:line="440" w:lineRule="exact"/>
              <w:ind w:left="63" w:right="63"/>
              <w:rPr>
                <w:rFonts w:ascii="宋体" w:hAnsi="宋体"/>
                <w:color w:val="000000"/>
                <w:sz w:val="24"/>
                <w:szCs w:val="24"/>
                <w:highlight w:val="none"/>
              </w:rPr>
            </w:pPr>
          </w:p>
        </w:tc>
      </w:tr>
      <w:tr w14:paraId="2D32D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9452764">
            <w:pPr>
              <w:pStyle w:val="34"/>
              <w:keepNext/>
              <w:spacing w:after="0" w:line="440" w:lineRule="exact"/>
              <w:ind w:left="63" w:right="63"/>
              <w:rPr>
                <w:rFonts w:ascii="宋体" w:hAnsi="宋体"/>
                <w:color w:val="000000"/>
                <w:sz w:val="24"/>
                <w:szCs w:val="24"/>
                <w:highlight w:val="none"/>
              </w:rPr>
            </w:pPr>
          </w:p>
        </w:tc>
        <w:tc>
          <w:tcPr>
            <w:tcW w:w="723" w:type="pct"/>
            <w:vAlign w:val="center"/>
          </w:tcPr>
          <w:p w14:paraId="0D04DEB4">
            <w:pPr>
              <w:pStyle w:val="34"/>
              <w:keepNext/>
              <w:spacing w:after="0" w:line="440" w:lineRule="exact"/>
              <w:ind w:left="63" w:right="63"/>
              <w:rPr>
                <w:rFonts w:ascii="宋体" w:hAnsi="宋体"/>
                <w:color w:val="000000"/>
                <w:sz w:val="24"/>
                <w:szCs w:val="24"/>
                <w:highlight w:val="none"/>
              </w:rPr>
            </w:pPr>
          </w:p>
        </w:tc>
        <w:tc>
          <w:tcPr>
            <w:tcW w:w="433" w:type="pct"/>
            <w:vAlign w:val="center"/>
          </w:tcPr>
          <w:p w14:paraId="0EE05BC9">
            <w:pPr>
              <w:pStyle w:val="34"/>
              <w:keepNext/>
              <w:spacing w:after="0" w:line="440" w:lineRule="exact"/>
              <w:ind w:left="63" w:right="63"/>
              <w:rPr>
                <w:rFonts w:ascii="宋体" w:hAnsi="宋体"/>
                <w:color w:val="000000"/>
                <w:sz w:val="24"/>
                <w:szCs w:val="24"/>
                <w:highlight w:val="none"/>
              </w:rPr>
            </w:pPr>
          </w:p>
        </w:tc>
        <w:tc>
          <w:tcPr>
            <w:tcW w:w="539" w:type="pct"/>
            <w:vAlign w:val="center"/>
          </w:tcPr>
          <w:p w14:paraId="502DF0EE">
            <w:pPr>
              <w:pStyle w:val="34"/>
              <w:keepNext/>
              <w:spacing w:after="0" w:line="440" w:lineRule="exact"/>
              <w:ind w:left="63" w:right="63"/>
              <w:rPr>
                <w:rFonts w:ascii="宋体" w:hAnsi="宋体"/>
                <w:color w:val="000000"/>
                <w:sz w:val="24"/>
                <w:szCs w:val="24"/>
                <w:highlight w:val="none"/>
              </w:rPr>
            </w:pPr>
          </w:p>
        </w:tc>
        <w:tc>
          <w:tcPr>
            <w:tcW w:w="449" w:type="pct"/>
            <w:vAlign w:val="center"/>
          </w:tcPr>
          <w:p w14:paraId="0D80BC2C">
            <w:pPr>
              <w:pStyle w:val="34"/>
              <w:keepNext/>
              <w:spacing w:after="0" w:line="440" w:lineRule="exact"/>
              <w:ind w:left="63" w:right="63"/>
              <w:rPr>
                <w:rFonts w:ascii="宋体" w:hAnsi="宋体"/>
                <w:color w:val="000000"/>
                <w:sz w:val="24"/>
                <w:szCs w:val="24"/>
                <w:highlight w:val="none"/>
              </w:rPr>
            </w:pPr>
          </w:p>
        </w:tc>
        <w:tc>
          <w:tcPr>
            <w:tcW w:w="520" w:type="pct"/>
            <w:vAlign w:val="center"/>
          </w:tcPr>
          <w:p w14:paraId="1EBF9211">
            <w:pPr>
              <w:pStyle w:val="34"/>
              <w:keepNext/>
              <w:spacing w:after="0" w:line="440" w:lineRule="exact"/>
              <w:ind w:left="63" w:right="63"/>
              <w:rPr>
                <w:rFonts w:ascii="宋体" w:hAnsi="宋体"/>
                <w:color w:val="000000"/>
                <w:sz w:val="24"/>
                <w:szCs w:val="24"/>
                <w:highlight w:val="none"/>
              </w:rPr>
            </w:pPr>
          </w:p>
        </w:tc>
        <w:tc>
          <w:tcPr>
            <w:tcW w:w="754" w:type="pct"/>
            <w:vAlign w:val="center"/>
          </w:tcPr>
          <w:p w14:paraId="365364DA">
            <w:pPr>
              <w:pStyle w:val="34"/>
              <w:keepNext/>
              <w:spacing w:after="0" w:line="440" w:lineRule="exact"/>
              <w:ind w:left="63" w:right="63"/>
              <w:rPr>
                <w:rFonts w:ascii="宋体" w:hAnsi="宋体"/>
                <w:color w:val="000000"/>
                <w:sz w:val="24"/>
                <w:szCs w:val="24"/>
                <w:highlight w:val="none"/>
              </w:rPr>
            </w:pPr>
          </w:p>
        </w:tc>
        <w:tc>
          <w:tcPr>
            <w:tcW w:w="520" w:type="pct"/>
            <w:vAlign w:val="center"/>
          </w:tcPr>
          <w:p w14:paraId="3850CE65">
            <w:pPr>
              <w:pStyle w:val="34"/>
              <w:keepNext/>
              <w:spacing w:after="0" w:line="440" w:lineRule="exact"/>
              <w:ind w:left="63" w:right="63"/>
              <w:rPr>
                <w:rFonts w:ascii="宋体" w:hAnsi="宋体"/>
                <w:color w:val="000000"/>
                <w:sz w:val="24"/>
                <w:szCs w:val="24"/>
                <w:highlight w:val="none"/>
              </w:rPr>
            </w:pPr>
          </w:p>
        </w:tc>
        <w:tc>
          <w:tcPr>
            <w:tcW w:w="469" w:type="pct"/>
            <w:vAlign w:val="center"/>
          </w:tcPr>
          <w:p w14:paraId="0F0AD24F">
            <w:pPr>
              <w:pStyle w:val="34"/>
              <w:keepNext/>
              <w:spacing w:after="0" w:line="440" w:lineRule="exact"/>
              <w:ind w:left="63" w:right="63"/>
              <w:rPr>
                <w:rFonts w:ascii="宋体" w:hAnsi="宋体"/>
                <w:color w:val="000000"/>
                <w:sz w:val="24"/>
                <w:szCs w:val="24"/>
                <w:highlight w:val="none"/>
              </w:rPr>
            </w:pPr>
          </w:p>
        </w:tc>
      </w:tr>
      <w:tr w14:paraId="487A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136703FC">
            <w:pPr>
              <w:rPr>
                <w:rFonts w:ascii="宋体" w:hAnsi="宋体"/>
                <w:color w:val="000000"/>
                <w:sz w:val="24"/>
                <w:szCs w:val="24"/>
                <w:highlight w:val="none"/>
              </w:rPr>
            </w:pPr>
          </w:p>
        </w:tc>
        <w:tc>
          <w:tcPr>
            <w:tcW w:w="723" w:type="pct"/>
          </w:tcPr>
          <w:p w14:paraId="7210A7A5">
            <w:pPr>
              <w:rPr>
                <w:rFonts w:ascii="宋体" w:hAnsi="宋体"/>
                <w:color w:val="000000"/>
                <w:sz w:val="24"/>
                <w:szCs w:val="24"/>
                <w:highlight w:val="none"/>
              </w:rPr>
            </w:pPr>
          </w:p>
        </w:tc>
        <w:tc>
          <w:tcPr>
            <w:tcW w:w="433" w:type="pct"/>
          </w:tcPr>
          <w:p w14:paraId="03FC61A0">
            <w:pPr>
              <w:rPr>
                <w:rFonts w:ascii="宋体" w:hAnsi="宋体"/>
                <w:color w:val="000000"/>
                <w:sz w:val="24"/>
                <w:szCs w:val="24"/>
                <w:highlight w:val="none"/>
              </w:rPr>
            </w:pPr>
          </w:p>
        </w:tc>
        <w:tc>
          <w:tcPr>
            <w:tcW w:w="539" w:type="pct"/>
          </w:tcPr>
          <w:p w14:paraId="0439F432">
            <w:pPr>
              <w:rPr>
                <w:rFonts w:ascii="宋体" w:hAnsi="宋体"/>
                <w:color w:val="000000"/>
                <w:sz w:val="24"/>
                <w:szCs w:val="24"/>
                <w:highlight w:val="none"/>
              </w:rPr>
            </w:pPr>
          </w:p>
        </w:tc>
        <w:tc>
          <w:tcPr>
            <w:tcW w:w="449" w:type="pct"/>
          </w:tcPr>
          <w:p w14:paraId="3E59D710">
            <w:pPr>
              <w:rPr>
                <w:rFonts w:ascii="宋体" w:hAnsi="宋体"/>
                <w:color w:val="000000"/>
                <w:sz w:val="24"/>
                <w:szCs w:val="24"/>
                <w:highlight w:val="none"/>
              </w:rPr>
            </w:pPr>
          </w:p>
        </w:tc>
        <w:tc>
          <w:tcPr>
            <w:tcW w:w="520" w:type="pct"/>
          </w:tcPr>
          <w:p w14:paraId="179C63CC">
            <w:pPr>
              <w:rPr>
                <w:rFonts w:ascii="宋体" w:hAnsi="宋体"/>
                <w:color w:val="000000"/>
                <w:sz w:val="24"/>
                <w:szCs w:val="24"/>
                <w:highlight w:val="none"/>
              </w:rPr>
            </w:pPr>
          </w:p>
        </w:tc>
        <w:tc>
          <w:tcPr>
            <w:tcW w:w="754" w:type="pct"/>
          </w:tcPr>
          <w:p w14:paraId="65AD3A8F">
            <w:pPr>
              <w:rPr>
                <w:rFonts w:ascii="宋体" w:hAnsi="宋体"/>
                <w:color w:val="000000"/>
                <w:sz w:val="24"/>
                <w:szCs w:val="24"/>
                <w:highlight w:val="none"/>
              </w:rPr>
            </w:pPr>
          </w:p>
        </w:tc>
        <w:tc>
          <w:tcPr>
            <w:tcW w:w="520" w:type="pct"/>
          </w:tcPr>
          <w:p w14:paraId="41AC7BA8">
            <w:pPr>
              <w:rPr>
                <w:rFonts w:ascii="宋体" w:hAnsi="宋体"/>
                <w:color w:val="000000"/>
                <w:sz w:val="24"/>
                <w:szCs w:val="24"/>
                <w:highlight w:val="none"/>
              </w:rPr>
            </w:pPr>
          </w:p>
        </w:tc>
        <w:tc>
          <w:tcPr>
            <w:tcW w:w="469" w:type="pct"/>
          </w:tcPr>
          <w:p w14:paraId="1110B19A">
            <w:pPr>
              <w:rPr>
                <w:rFonts w:ascii="宋体" w:hAnsi="宋体"/>
                <w:color w:val="000000"/>
                <w:sz w:val="24"/>
                <w:szCs w:val="24"/>
                <w:highlight w:val="none"/>
              </w:rPr>
            </w:pPr>
          </w:p>
        </w:tc>
      </w:tr>
      <w:tr w14:paraId="4ABF5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vAlign w:val="center"/>
          </w:tcPr>
          <w:p w14:paraId="10EC6833">
            <w:pPr>
              <w:pStyle w:val="34"/>
              <w:keepNext/>
              <w:spacing w:after="0" w:line="440" w:lineRule="exact"/>
              <w:ind w:left="63" w:right="63"/>
              <w:rPr>
                <w:rFonts w:ascii="宋体" w:hAnsi="宋体"/>
                <w:color w:val="000000"/>
                <w:sz w:val="24"/>
                <w:szCs w:val="24"/>
                <w:highlight w:val="none"/>
              </w:rPr>
            </w:pPr>
          </w:p>
        </w:tc>
        <w:tc>
          <w:tcPr>
            <w:tcW w:w="723" w:type="pct"/>
            <w:vAlign w:val="center"/>
          </w:tcPr>
          <w:p w14:paraId="58662566">
            <w:pPr>
              <w:pStyle w:val="34"/>
              <w:keepNext/>
              <w:spacing w:after="0" w:line="440" w:lineRule="exact"/>
              <w:ind w:left="63" w:right="63"/>
              <w:rPr>
                <w:rFonts w:ascii="宋体" w:hAnsi="宋体"/>
                <w:color w:val="000000"/>
                <w:sz w:val="24"/>
                <w:szCs w:val="24"/>
                <w:highlight w:val="none"/>
              </w:rPr>
            </w:pPr>
          </w:p>
        </w:tc>
        <w:tc>
          <w:tcPr>
            <w:tcW w:w="433" w:type="pct"/>
            <w:vAlign w:val="center"/>
          </w:tcPr>
          <w:p w14:paraId="61B58EB9">
            <w:pPr>
              <w:pStyle w:val="34"/>
              <w:keepNext/>
              <w:spacing w:after="0" w:line="440" w:lineRule="exact"/>
              <w:ind w:left="63" w:right="63"/>
              <w:rPr>
                <w:rFonts w:ascii="宋体" w:hAnsi="宋体"/>
                <w:color w:val="000000"/>
                <w:sz w:val="24"/>
                <w:szCs w:val="24"/>
                <w:highlight w:val="none"/>
              </w:rPr>
            </w:pPr>
          </w:p>
        </w:tc>
        <w:tc>
          <w:tcPr>
            <w:tcW w:w="539" w:type="pct"/>
            <w:vAlign w:val="center"/>
          </w:tcPr>
          <w:p w14:paraId="0D3132CA">
            <w:pPr>
              <w:pStyle w:val="34"/>
              <w:keepNext/>
              <w:spacing w:after="0" w:line="440" w:lineRule="exact"/>
              <w:ind w:left="63" w:right="63"/>
              <w:rPr>
                <w:rFonts w:ascii="宋体" w:hAnsi="宋体"/>
                <w:color w:val="000000"/>
                <w:sz w:val="24"/>
                <w:szCs w:val="24"/>
                <w:highlight w:val="none"/>
              </w:rPr>
            </w:pPr>
          </w:p>
        </w:tc>
        <w:tc>
          <w:tcPr>
            <w:tcW w:w="449" w:type="pct"/>
            <w:vAlign w:val="center"/>
          </w:tcPr>
          <w:p w14:paraId="33763238">
            <w:pPr>
              <w:pStyle w:val="34"/>
              <w:keepNext/>
              <w:spacing w:after="0" w:line="440" w:lineRule="exact"/>
              <w:ind w:left="63" w:right="63"/>
              <w:rPr>
                <w:rFonts w:ascii="宋体" w:hAnsi="宋体"/>
                <w:color w:val="000000"/>
                <w:sz w:val="24"/>
                <w:szCs w:val="24"/>
                <w:highlight w:val="none"/>
              </w:rPr>
            </w:pPr>
          </w:p>
        </w:tc>
        <w:tc>
          <w:tcPr>
            <w:tcW w:w="520" w:type="pct"/>
            <w:vAlign w:val="center"/>
          </w:tcPr>
          <w:p w14:paraId="58716915">
            <w:pPr>
              <w:pStyle w:val="34"/>
              <w:keepNext/>
              <w:spacing w:after="0" w:line="440" w:lineRule="exact"/>
              <w:ind w:left="63" w:right="63"/>
              <w:rPr>
                <w:rFonts w:ascii="宋体" w:hAnsi="宋体"/>
                <w:color w:val="000000"/>
                <w:sz w:val="24"/>
                <w:szCs w:val="24"/>
                <w:highlight w:val="none"/>
              </w:rPr>
            </w:pPr>
          </w:p>
        </w:tc>
        <w:tc>
          <w:tcPr>
            <w:tcW w:w="754" w:type="pct"/>
            <w:vAlign w:val="center"/>
          </w:tcPr>
          <w:p w14:paraId="11D92333">
            <w:pPr>
              <w:pStyle w:val="34"/>
              <w:keepNext/>
              <w:spacing w:after="0" w:line="440" w:lineRule="exact"/>
              <w:ind w:left="63" w:right="63"/>
              <w:rPr>
                <w:rFonts w:ascii="宋体" w:hAnsi="宋体"/>
                <w:color w:val="000000"/>
                <w:sz w:val="24"/>
                <w:szCs w:val="24"/>
                <w:highlight w:val="none"/>
              </w:rPr>
            </w:pPr>
          </w:p>
        </w:tc>
        <w:tc>
          <w:tcPr>
            <w:tcW w:w="520" w:type="pct"/>
            <w:vAlign w:val="center"/>
          </w:tcPr>
          <w:p w14:paraId="52280377">
            <w:pPr>
              <w:pStyle w:val="34"/>
              <w:keepNext/>
              <w:spacing w:after="0" w:line="440" w:lineRule="exact"/>
              <w:ind w:left="63" w:right="63"/>
              <w:rPr>
                <w:rFonts w:ascii="宋体" w:hAnsi="宋体"/>
                <w:color w:val="000000"/>
                <w:sz w:val="24"/>
                <w:szCs w:val="24"/>
                <w:highlight w:val="none"/>
              </w:rPr>
            </w:pPr>
          </w:p>
        </w:tc>
        <w:tc>
          <w:tcPr>
            <w:tcW w:w="469" w:type="pct"/>
            <w:vAlign w:val="center"/>
          </w:tcPr>
          <w:p w14:paraId="6419BEF3">
            <w:pPr>
              <w:pStyle w:val="34"/>
              <w:keepNext/>
              <w:spacing w:after="0" w:line="440" w:lineRule="exact"/>
              <w:ind w:left="63" w:right="63"/>
              <w:rPr>
                <w:rFonts w:ascii="宋体" w:hAnsi="宋体"/>
                <w:color w:val="000000"/>
                <w:sz w:val="24"/>
                <w:szCs w:val="24"/>
                <w:highlight w:val="none"/>
              </w:rPr>
            </w:pPr>
          </w:p>
        </w:tc>
      </w:tr>
      <w:tr w14:paraId="361E0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2A990F65">
            <w:pPr>
              <w:rPr>
                <w:rFonts w:ascii="宋体" w:hAnsi="宋体"/>
                <w:color w:val="000000"/>
                <w:sz w:val="24"/>
                <w:szCs w:val="24"/>
                <w:highlight w:val="none"/>
              </w:rPr>
            </w:pPr>
          </w:p>
        </w:tc>
        <w:tc>
          <w:tcPr>
            <w:tcW w:w="723" w:type="pct"/>
          </w:tcPr>
          <w:p w14:paraId="4CF066B0">
            <w:pPr>
              <w:rPr>
                <w:rFonts w:ascii="宋体" w:hAnsi="宋体"/>
                <w:color w:val="000000"/>
                <w:sz w:val="24"/>
                <w:szCs w:val="24"/>
                <w:highlight w:val="none"/>
              </w:rPr>
            </w:pPr>
          </w:p>
        </w:tc>
        <w:tc>
          <w:tcPr>
            <w:tcW w:w="433" w:type="pct"/>
          </w:tcPr>
          <w:p w14:paraId="3DA05557">
            <w:pPr>
              <w:rPr>
                <w:rFonts w:ascii="宋体" w:hAnsi="宋体"/>
                <w:color w:val="000000"/>
                <w:sz w:val="24"/>
                <w:szCs w:val="24"/>
                <w:highlight w:val="none"/>
              </w:rPr>
            </w:pPr>
          </w:p>
        </w:tc>
        <w:tc>
          <w:tcPr>
            <w:tcW w:w="539" w:type="pct"/>
          </w:tcPr>
          <w:p w14:paraId="4AF6B78E">
            <w:pPr>
              <w:rPr>
                <w:rFonts w:ascii="宋体" w:hAnsi="宋体"/>
                <w:color w:val="000000"/>
                <w:sz w:val="24"/>
                <w:szCs w:val="24"/>
                <w:highlight w:val="none"/>
              </w:rPr>
            </w:pPr>
          </w:p>
        </w:tc>
        <w:tc>
          <w:tcPr>
            <w:tcW w:w="449" w:type="pct"/>
          </w:tcPr>
          <w:p w14:paraId="75ECB154">
            <w:pPr>
              <w:rPr>
                <w:rFonts w:ascii="宋体" w:hAnsi="宋体"/>
                <w:color w:val="000000"/>
                <w:sz w:val="24"/>
                <w:szCs w:val="24"/>
                <w:highlight w:val="none"/>
              </w:rPr>
            </w:pPr>
          </w:p>
        </w:tc>
        <w:tc>
          <w:tcPr>
            <w:tcW w:w="520" w:type="pct"/>
          </w:tcPr>
          <w:p w14:paraId="145BCF31">
            <w:pPr>
              <w:rPr>
                <w:rFonts w:ascii="宋体" w:hAnsi="宋体"/>
                <w:color w:val="000000"/>
                <w:sz w:val="24"/>
                <w:szCs w:val="24"/>
                <w:highlight w:val="none"/>
              </w:rPr>
            </w:pPr>
          </w:p>
        </w:tc>
        <w:tc>
          <w:tcPr>
            <w:tcW w:w="754" w:type="pct"/>
          </w:tcPr>
          <w:p w14:paraId="21283F07">
            <w:pPr>
              <w:rPr>
                <w:rFonts w:ascii="宋体" w:hAnsi="宋体"/>
                <w:color w:val="000000"/>
                <w:sz w:val="24"/>
                <w:szCs w:val="24"/>
                <w:highlight w:val="none"/>
              </w:rPr>
            </w:pPr>
          </w:p>
        </w:tc>
        <w:tc>
          <w:tcPr>
            <w:tcW w:w="520" w:type="pct"/>
          </w:tcPr>
          <w:p w14:paraId="2006BA2C">
            <w:pPr>
              <w:rPr>
                <w:rFonts w:ascii="宋体" w:hAnsi="宋体"/>
                <w:color w:val="000000"/>
                <w:sz w:val="24"/>
                <w:szCs w:val="24"/>
                <w:highlight w:val="none"/>
              </w:rPr>
            </w:pPr>
          </w:p>
        </w:tc>
        <w:tc>
          <w:tcPr>
            <w:tcW w:w="469" w:type="pct"/>
          </w:tcPr>
          <w:p w14:paraId="3D210087">
            <w:pPr>
              <w:rPr>
                <w:rFonts w:ascii="宋体" w:hAnsi="宋体"/>
                <w:color w:val="000000"/>
                <w:sz w:val="24"/>
                <w:szCs w:val="24"/>
                <w:highlight w:val="none"/>
              </w:rPr>
            </w:pPr>
          </w:p>
        </w:tc>
      </w:tr>
      <w:tr w14:paraId="06DA0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9E6215A">
            <w:pPr>
              <w:rPr>
                <w:rFonts w:ascii="宋体" w:hAnsi="宋体"/>
                <w:color w:val="000000"/>
                <w:sz w:val="24"/>
                <w:szCs w:val="24"/>
                <w:highlight w:val="none"/>
              </w:rPr>
            </w:pPr>
          </w:p>
        </w:tc>
        <w:tc>
          <w:tcPr>
            <w:tcW w:w="723" w:type="pct"/>
          </w:tcPr>
          <w:p w14:paraId="4C9A5DCD">
            <w:pPr>
              <w:rPr>
                <w:rFonts w:ascii="宋体" w:hAnsi="宋体"/>
                <w:color w:val="000000"/>
                <w:sz w:val="24"/>
                <w:szCs w:val="24"/>
                <w:highlight w:val="none"/>
              </w:rPr>
            </w:pPr>
          </w:p>
        </w:tc>
        <w:tc>
          <w:tcPr>
            <w:tcW w:w="433" w:type="pct"/>
          </w:tcPr>
          <w:p w14:paraId="590D4EB9">
            <w:pPr>
              <w:rPr>
                <w:rFonts w:ascii="宋体" w:hAnsi="宋体"/>
                <w:color w:val="000000"/>
                <w:sz w:val="24"/>
                <w:szCs w:val="24"/>
                <w:highlight w:val="none"/>
              </w:rPr>
            </w:pPr>
          </w:p>
        </w:tc>
        <w:tc>
          <w:tcPr>
            <w:tcW w:w="539" w:type="pct"/>
          </w:tcPr>
          <w:p w14:paraId="6E91F375">
            <w:pPr>
              <w:rPr>
                <w:rFonts w:ascii="宋体" w:hAnsi="宋体"/>
                <w:color w:val="000000"/>
                <w:sz w:val="24"/>
                <w:szCs w:val="24"/>
                <w:highlight w:val="none"/>
              </w:rPr>
            </w:pPr>
          </w:p>
        </w:tc>
        <w:tc>
          <w:tcPr>
            <w:tcW w:w="449" w:type="pct"/>
          </w:tcPr>
          <w:p w14:paraId="7035D10D">
            <w:pPr>
              <w:rPr>
                <w:rFonts w:ascii="宋体" w:hAnsi="宋体"/>
                <w:color w:val="000000"/>
                <w:sz w:val="24"/>
                <w:szCs w:val="24"/>
                <w:highlight w:val="none"/>
              </w:rPr>
            </w:pPr>
          </w:p>
        </w:tc>
        <w:tc>
          <w:tcPr>
            <w:tcW w:w="520" w:type="pct"/>
          </w:tcPr>
          <w:p w14:paraId="5BA1E22C">
            <w:pPr>
              <w:rPr>
                <w:rFonts w:ascii="宋体" w:hAnsi="宋体"/>
                <w:color w:val="000000"/>
                <w:sz w:val="24"/>
                <w:szCs w:val="24"/>
                <w:highlight w:val="none"/>
              </w:rPr>
            </w:pPr>
          </w:p>
        </w:tc>
        <w:tc>
          <w:tcPr>
            <w:tcW w:w="754" w:type="pct"/>
          </w:tcPr>
          <w:p w14:paraId="6C6E94F6">
            <w:pPr>
              <w:rPr>
                <w:rFonts w:ascii="宋体" w:hAnsi="宋体"/>
                <w:color w:val="000000"/>
                <w:sz w:val="24"/>
                <w:szCs w:val="24"/>
                <w:highlight w:val="none"/>
              </w:rPr>
            </w:pPr>
          </w:p>
        </w:tc>
        <w:tc>
          <w:tcPr>
            <w:tcW w:w="520" w:type="pct"/>
          </w:tcPr>
          <w:p w14:paraId="69559F8B">
            <w:pPr>
              <w:rPr>
                <w:rFonts w:ascii="宋体" w:hAnsi="宋体"/>
                <w:color w:val="000000"/>
                <w:sz w:val="24"/>
                <w:szCs w:val="24"/>
                <w:highlight w:val="none"/>
              </w:rPr>
            </w:pPr>
          </w:p>
        </w:tc>
        <w:tc>
          <w:tcPr>
            <w:tcW w:w="469" w:type="pct"/>
          </w:tcPr>
          <w:p w14:paraId="14D69335">
            <w:pPr>
              <w:rPr>
                <w:rFonts w:ascii="宋体" w:hAnsi="宋体"/>
                <w:color w:val="000000"/>
                <w:sz w:val="24"/>
                <w:szCs w:val="24"/>
                <w:highlight w:val="none"/>
              </w:rPr>
            </w:pPr>
          </w:p>
        </w:tc>
      </w:tr>
      <w:tr w14:paraId="0ECDC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755CFDF9">
            <w:pPr>
              <w:rPr>
                <w:rFonts w:ascii="宋体" w:hAnsi="宋体"/>
                <w:color w:val="000000"/>
                <w:sz w:val="24"/>
                <w:szCs w:val="24"/>
                <w:highlight w:val="none"/>
              </w:rPr>
            </w:pPr>
          </w:p>
        </w:tc>
        <w:tc>
          <w:tcPr>
            <w:tcW w:w="723" w:type="pct"/>
          </w:tcPr>
          <w:p w14:paraId="0B883DEF">
            <w:pPr>
              <w:rPr>
                <w:rFonts w:ascii="宋体" w:hAnsi="宋体"/>
                <w:color w:val="000000"/>
                <w:sz w:val="24"/>
                <w:szCs w:val="24"/>
                <w:highlight w:val="none"/>
              </w:rPr>
            </w:pPr>
          </w:p>
        </w:tc>
        <w:tc>
          <w:tcPr>
            <w:tcW w:w="433" w:type="pct"/>
          </w:tcPr>
          <w:p w14:paraId="04BCB2B3">
            <w:pPr>
              <w:rPr>
                <w:rFonts w:ascii="宋体" w:hAnsi="宋体"/>
                <w:color w:val="000000"/>
                <w:sz w:val="24"/>
                <w:szCs w:val="24"/>
                <w:highlight w:val="none"/>
              </w:rPr>
            </w:pPr>
          </w:p>
        </w:tc>
        <w:tc>
          <w:tcPr>
            <w:tcW w:w="539" w:type="pct"/>
          </w:tcPr>
          <w:p w14:paraId="56202B55">
            <w:pPr>
              <w:rPr>
                <w:rFonts w:ascii="宋体" w:hAnsi="宋体"/>
                <w:color w:val="000000"/>
                <w:sz w:val="24"/>
                <w:szCs w:val="24"/>
                <w:highlight w:val="none"/>
              </w:rPr>
            </w:pPr>
          </w:p>
        </w:tc>
        <w:tc>
          <w:tcPr>
            <w:tcW w:w="449" w:type="pct"/>
          </w:tcPr>
          <w:p w14:paraId="2B2B3F76">
            <w:pPr>
              <w:rPr>
                <w:rFonts w:ascii="宋体" w:hAnsi="宋体"/>
                <w:color w:val="000000"/>
                <w:sz w:val="24"/>
                <w:szCs w:val="24"/>
                <w:highlight w:val="none"/>
              </w:rPr>
            </w:pPr>
          </w:p>
        </w:tc>
        <w:tc>
          <w:tcPr>
            <w:tcW w:w="520" w:type="pct"/>
          </w:tcPr>
          <w:p w14:paraId="352E54B4">
            <w:pPr>
              <w:rPr>
                <w:rFonts w:ascii="宋体" w:hAnsi="宋体"/>
                <w:color w:val="000000"/>
                <w:sz w:val="24"/>
                <w:szCs w:val="24"/>
                <w:highlight w:val="none"/>
              </w:rPr>
            </w:pPr>
          </w:p>
        </w:tc>
        <w:tc>
          <w:tcPr>
            <w:tcW w:w="754" w:type="pct"/>
          </w:tcPr>
          <w:p w14:paraId="4D745821">
            <w:pPr>
              <w:rPr>
                <w:rFonts w:ascii="宋体" w:hAnsi="宋体"/>
                <w:color w:val="000000"/>
                <w:sz w:val="24"/>
                <w:szCs w:val="24"/>
                <w:highlight w:val="none"/>
              </w:rPr>
            </w:pPr>
          </w:p>
        </w:tc>
        <w:tc>
          <w:tcPr>
            <w:tcW w:w="520" w:type="pct"/>
          </w:tcPr>
          <w:p w14:paraId="0365C28F">
            <w:pPr>
              <w:rPr>
                <w:rFonts w:ascii="宋体" w:hAnsi="宋体"/>
                <w:color w:val="000000"/>
                <w:sz w:val="24"/>
                <w:szCs w:val="24"/>
                <w:highlight w:val="none"/>
              </w:rPr>
            </w:pPr>
          </w:p>
        </w:tc>
        <w:tc>
          <w:tcPr>
            <w:tcW w:w="469" w:type="pct"/>
          </w:tcPr>
          <w:p w14:paraId="71E58FE2">
            <w:pPr>
              <w:rPr>
                <w:rFonts w:ascii="宋体" w:hAnsi="宋体"/>
                <w:color w:val="000000"/>
                <w:sz w:val="24"/>
                <w:szCs w:val="24"/>
                <w:highlight w:val="none"/>
              </w:rPr>
            </w:pPr>
          </w:p>
        </w:tc>
      </w:tr>
      <w:tr w14:paraId="48FD2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07D25B4C">
            <w:pPr>
              <w:rPr>
                <w:rFonts w:ascii="宋体" w:hAnsi="宋体"/>
                <w:color w:val="000000"/>
                <w:sz w:val="24"/>
                <w:szCs w:val="24"/>
                <w:highlight w:val="none"/>
              </w:rPr>
            </w:pPr>
          </w:p>
        </w:tc>
        <w:tc>
          <w:tcPr>
            <w:tcW w:w="723" w:type="pct"/>
          </w:tcPr>
          <w:p w14:paraId="2C052D81">
            <w:pPr>
              <w:rPr>
                <w:rFonts w:ascii="宋体" w:hAnsi="宋体"/>
                <w:color w:val="000000"/>
                <w:sz w:val="24"/>
                <w:szCs w:val="24"/>
                <w:highlight w:val="none"/>
              </w:rPr>
            </w:pPr>
          </w:p>
        </w:tc>
        <w:tc>
          <w:tcPr>
            <w:tcW w:w="433" w:type="pct"/>
          </w:tcPr>
          <w:p w14:paraId="5DAF7EDC">
            <w:pPr>
              <w:rPr>
                <w:rFonts w:ascii="宋体" w:hAnsi="宋体"/>
                <w:color w:val="000000"/>
                <w:sz w:val="24"/>
                <w:szCs w:val="24"/>
                <w:highlight w:val="none"/>
              </w:rPr>
            </w:pPr>
          </w:p>
        </w:tc>
        <w:tc>
          <w:tcPr>
            <w:tcW w:w="539" w:type="pct"/>
          </w:tcPr>
          <w:p w14:paraId="30A2A553">
            <w:pPr>
              <w:rPr>
                <w:rFonts w:ascii="宋体" w:hAnsi="宋体"/>
                <w:color w:val="000000"/>
                <w:sz w:val="24"/>
                <w:szCs w:val="24"/>
                <w:highlight w:val="none"/>
              </w:rPr>
            </w:pPr>
          </w:p>
        </w:tc>
        <w:tc>
          <w:tcPr>
            <w:tcW w:w="449" w:type="pct"/>
          </w:tcPr>
          <w:p w14:paraId="6AAD2E1A">
            <w:pPr>
              <w:rPr>
                <w:rFonts w:ascii="宋体" w:hAnsi="宋体"/>
                <w:color w:val="000000"/>
                <w:sz w:val="24"/>
                <w:szCs w:val="24"/>
                <w:highlight w:val="none"/>
              </w:rPr>
            </w:pPr>
          </w:p>
        </w:tc>
        <w:tc>
          <w:tcPr>
            <w:tcW w:w="520" w:type="pct"/>
          </w:tcPr>
          <w:p w14:paraId="10CE8A31">
            <w:pPr>
              <w:rPr>
                <w:rFonts w:ascii="宋体" w:hAnsi="宋体"/>
                <w:color w:val="000000"/>
                <w:sz w:val="24"/>
                <w:szCs w:val="24"/>
                <w:highlight w:val="none"/>
              </w:rPr>
            </w:pPr>
          </w:p>
        </w:tc>
        <w:tc>
          <w:tcPr>
            <w:tcW w:w="754" w:type="pct"/>
          </w:tcPr>
          <w:p w14:paraId="5E983F1C">
            <w:pPr>
              <w:rPr>
                <w:rFonts w:ascii="宋体" w:hAnsi="宋体"/>
                <w:color w:val="000000"/>
                <w:sz w:val="24"/>
                <w:szCs w:val="24"/>
                <w:highlight w:val="none"/>
              </w:rPr>
            </w:pPr>
          </w:p>
        </w:tc>
        <w:tc>
          <w:tcPr>
            <w:tcW w:w="520" w:type="pct"/>
          </w:tcPr>
          <w:p w14:paraId="11B9EFB0">
            <w:pPr>
              <w:rPr>
                <w:rFonts w:ascii="宋体" w:hAnsi="宋体"/>
                <w:color w:val="000000"/>
                <w:sz w:val="24"/>
                <w:szCs w:val="24"/>
                <w:highlight w:val="none"/>
              </w:rPr>
            </w:pPr>
          </w:p>
        </w:tc>
        <w:tc>
          <w:tcPr>
            <w:tcW w:w="469" w:type="pct"/>
          </w:tcPr>
          <w:p w14:paraId="252CF69A">
            <w:pPr>
              <w:rPr>
                <w:rFonts w:ascii="宋体" w:hAnsi="宋体"/>
                <w:color w:val="000000"/>
                <w:sz w:val="24"/>
                <w:szCs w:val="24"/>
                <w:highlight w:val="none"/>
              </w:rPr>
            </w:pPr>
          </w:p>
        </w:tc>
      </w:tr>
      <w:tr w14:paraId="3251F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32B1107C">
            <w:pPr>
              <w:rPr>
                <w:rFonts w:ascii="宋体" w:hAnsi="宋体"/>
                <w:color w:val="000000"/>
                <w:sz w:val="24"/>
                <w:szCs w:val="24"/>
                <w:highlight w:val="none"/>
              </w:rPr>
            </w:pPr>
          </w:p>
        </w:tc>
        <w:tc>
          <w:tcPr>
            <w:tcW w:w="723" w:type="pct"/>
          </w:tcPr>
          <w:p w14:paraId="4DD23778">
            <w:pPr>
              <w:rPr>
                <w:rFonts w:ascii="宋体" w:hAnsi="宋体"/>
                <w:color w:val="000000"/>
                <w:sz w:val="24"/>
                <w:szCs w:val="24"/>
                <w:highlight w:val="none"/>
              </w:rPr>
            </w:pPr>
          </w:p>
        </w:tc>
        <w:tc>
          <w:tcPr>
            <w:tcW w:w="433" w:type="pct"/>
          </w:tcPr>
          <w:p w14:paraId="14A6C8F1">
            <w:pPr>
              <w:rPr>
                <w:rFonts w:ascii="宋体" w:hAnsi="宋体"/>
                <w:color w:val="000000"/>
                <w:sz w:val="24"/>
                <w:szCs w:val="24"/>
                <w:highlight w:val="none"/>
              </w:rPr>
            </w:pPr>
          </w:p>
        </w:tc>
        <w:tc>
          <w:tcPr>
            <w:tcW w:w="539" w:type="pct"/>
          </w:tcPr>
          <w:p w14:paraId="5D7790ED">
            <w:pPr>
              <w:rPr>
                <w:rFonts w:ascii="宋体" w:hAnsi="宋体"/>
                <w:color w:val="000000"/>
                <w:sz w:val="24"/>
                <w:szCs w:val="24"/>
                <w:highlight w:val="none"/>
              </w:rPr>
            </w:pPr>
          </w:p>
        </w:tc>
        <w:tc>
          <w:tcPr>
            <w:tcW w:w="449" w:type="pct"/>
          </w:tcPr>
          <w:p w14:paraId="4EFFC9F6">
            <w:pPr>
              <w:rPr>
                <w:rFonts w:ascii="宋体" w:hAnsi="宋体"/>
                <w:color w:val="000000"/>
                <w:sz w:val="24"/>
                <w:szCs w:val="24"/>
                <w:highlight w:val="none"/>
              </w:rPr>
            </w:pPr>
          </w:p>
        </w:tc>
        <w:tc>
          <w:tcPr>
            <w:tcW w:w="520" w:type="pct"/>
          </w:tcPr>
          <w:p w14:paraId="45F3B17E">
            <w:pPr>
              <w:rPr>
                <w:rFonts w:ascii="宋体" w:hAnsi="宋体"/>
                <w:color w:val="000000"/>
                <w:sz w:val="24"/>
                <w:szCs w:val="24"/>
                <w:highlight w:val="none"/>
              </w:rPr>
            </w:pPr>
          </w:p>
        </w:tc>
        <w:tc>
          <w:tcPr>
            <w:tcW w:w="754" w:type="pct"/>
          </w:tcPr>
          <w:p w14:paraId="30ED016C">
            <w:pPr>
              <w:rPr>
                <w:rFonts w:ascii="宋体" w:hAnsi="宋体"/>
                <w:color w:val="000000"/>
                <w:sz w:val="24"/>
                <w:szCs w:val="24"/>
                <w:highlight w:val="none"/>
              </w:rPr>
            </w:pPr>
          </w:p>
        </w:tc>
        <w:tc>
          <w:tcPr>
            <w:tcW w:w="520" w:type="pct"/>
          </w:tcPr>
          <w:p w14:paraId="0F5C4D20">
            <w:pPr>
              <w:rPr>
                <w:rFonts w:ascii="宋体" w:hAnsi="宋体"/>
                <w:color w:val="000000"/>
                <w:sz w:val="24"/>
                <w:szCs w:val="24"/>
                <w:highlight w:val="none"/>
              </w:rPr>
            </w:pPr>
          </w:p>
        </w:tc>
        <w:tc>
          <w:tcPr>
            <w:tcW w:w="469" w:type="pct"/>
          </w:tcPr>
          <w:p w14:paraId="630783A3">
            <w:pPr>
              <w:rPr>
                <w:rFonts w:ascii="宋体" w:hAnsi="宋体"/>
                <w:color w:val="000000"/>
                <w:sz w:val="24"/>
                <w:szCs w:val="24"/>
                <w:highlight w:val="none"/>
              </w:rPr>
            </w:pPr>
          </w:p>
        </w:tc>
      </w:tr>
      <w:tr w14:paraId="2154E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0E1EBE74">
            <w:pPr>
              <w:rPr>
                <w:rFonts w:ascii="宋体" w:hAnsi="宋体"/>
                <w:color w:val="000000"/>
                <w:sz w:val="24"/>
                <w:szCs w:val="24"/>
                <w:highlight w:val="none"/>
              </w:rPr>
            </w:pPr>
          </w:p>
        </w:tc>
        <w:tc>
          <w:tcPr>
            <w:tcW w:w="723" w:type="pct"/>
          </w:tcPr>
          <w:p w14:paraId="4C7D2355">
            <w:pPr>
              <w:rPr>
                <w:rFonts w:ascii="宋体" w:hAnsi="宋体"/>
                <w:color w:val="000000"/>
                <w:sz w:val="24"/>
                <w:szCs w:val="24"/>
                <w:highlight w:val="none"/>
              </w:rPr>
            </w:pPr>
          </w:p>
        </w:tc>
        <w:tc>
          <w:tcPr>
            <w:tcW w:w="433" w:type="pct"/>
          </w:tcPr>
          <w:p w14:paraId="77C160BF">
            <w:pPr>
              <w:rPr>
                <w:rFonts w:ascii="宋体" w:hAnsi="宋体"/>
                <w:color w:val="000000"/>
                <w:sz w:val="24"/>
                <w:szCs w:val="24"/>
                <w:highlight w:val="none"/>
              </w:rPr>
            </w:pPr>
          </w:p>
        </w:tc>
        <w:tc>
          <w:tcPr>
            <w:tcW w:w="539" w:type="pct"/>
          </w:tcPr>
          <w:p w14:paraId="50A97CAB">
            <w:pPr>
              <w:rPr>
                <w:rFonts w:ascii="宋体" w:hAnsi="宋体"/>
                <w:color w:val="000000"/>
                <w:sz w:val="24"/>
                <w:szCs w:val="24"/>
                <w:highlight w:val="none"/>
              </w:rPr>
            </w:pPr>
          </w:p>
        </w:tc>
        <w:tc>
          <w:tcPr>
            <w:tcW w:w="449" w:type="pct"/>
          </w:tcPr>
          <w:p w14:paraId="11207A93">
            <w:pPr>
              <w:rPr>
                <w:rFonts w:ascii="宋体" w:hAnsi="宋体"/>
                <w:color w:val="000000"/>
                <w:sz w:val="24"/>
                <w:szCs w:val="24"/>
                <w:highlight w:val="none"/>
              </w:rPr>
            </w:pPr>
          </w:p>
        </w:tc>
        <w:tc>
          <w:tcPr>
            <w:tcW w:w="520" w:type="pct"/>
          </w:tcPr>
          <w:p w14:paraId="260B13B3">
            <w:pPr>
              <w:rPr>
                <w:rFonts w:ascii="宋体" w:hAnsi="宋体"/>
                <w:color w:val="000000"/>
                <w:sz w:val="24"/>
                <w:szCs w:val="24"/>
                <w:highlight w:val="none"/>
              </w:rPr>
            </w:pPr>
          </w:p>
        </w:tc>
        <w:tc>
          <w:tcPr>
            <w:tcW w:w="754" w:type="pct"/>
          </w:tcPr>
          <w:p w14:paraId="11FF79A5">
            <w:pPr>
              <w:rPr>
                <w:rFonts w:ascii="宋体" w:hAnsi="宋体"/>
                <w:color w:val="000000"/>
                <w:sz w:val="24"/>
                <w:szCs w:val="24"/>
                <w:highlight w:val="none"/>
              </w:rPr>
            </w:pPr>
          </w:p>
        </w:tc>
        <w:tc>
          <w:tcPr>
            <w:tcW w:w="520" w:type="pct"/>
          </w:tcPr>
          <w:p w14:paraId="10EA6A96">
            <w:pPr>
              <w:rPr>
                <w:rFonts w:ascii="宋体" w:hAnsi="宋体"/>
                <w:color w:val="000000"/>
                <w:sz w:val="24"/>
                <w:szCs w:val="24"/>
                <w:highlight w:val="none"/>
              </w:rPr>
            </w:pPr>
          </w:p>
        </w:tc>
        <w:tc>
          <w:tcPr>
            <w:tcW w:w="469" w:type="pct"/>
          </w:tcPr>
          <w:p w14:paraId="0C07C673">
            <w:pPr>
              <w:rPr>
                <w:rFonts w:ascii="宋体" w:hAnsi="宋体"/>
                <w:color w:val="000000"/>
                <w:sz w:val="24"/>
                <w:szCs w:val="24"/>
                <w:highlight w:val="none"/>
              </w:rPr>
            </w:pPr>
          </w:p>
        </w:tc>
      </w:tr>
      <w:tr w14:paraId="51BD7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5153E5CA">
            <w:pPr>
              <w:rPr>
                <w:rFonts w:ascii="宋体" w:hAnsi="宋体"/>
                <w:color w:val="000000"/>
                <w:sz w:val="24"/>
                <w:szCs w:val="24"/>
                <w:highlight w:val="none"/>
              </w:rPr>
            </w:pPr>
          </w:p>
        </w:tc>
        <w:tc>
          <w:tcPr>
            <w:tcW w:w="723" w:type="pct"/>
          </w:tcPr>
          <w:p w14:paraId="1AA36847">
            <w:pPr>
              <w:rPr>
                <w:rFonts w:ascii="宋体" w:hAnsi="宋体"/>
                <w:color w:val="000000"/>
                <w:sz w:val="24"/>
                <w:szCs w:val="24"/>
                <w:highlight w:val="none"/>
              </w:rPr>
            </w:pPr>
          </w:p>
        </w:tc>
        <w:tc>
          <w:tcPr>
            <w:tcW w:w="433" w:type="pct"/>
          </w:tcPr>
          <w:p w14:paraId="09E422DE">
            <w:pPr>
              <w:rPr>
                <w:rFonts w:ascii="宋体" w:hAnsi="宋体"/>
                <w:color w:val="000000"/>
                <w:sz w:val="24"/>
                <w:szCs w:val="24"/>
                <w:highlight w:val="none"/>
              </w:rPr>
            </w:pPr>
          </w:p>
        </w:tc>
        <w:tc>
          <w:tcPr>
            <w:tcW w:w="539" w:type="pct"/>
          </w:tcPr>
          <w:p w14:paraId="101A6589">
            <w:pPr>
              <w:rPr>
                <w:rFonts w:ascii="宋体" w:hAnsi="宋体"/>
                <w:color w:val="000000"/>
                <w:sz w:val="24"/>
                <w:szCs w:val="24"/>
                <w:highlight w:val="none"/>
              </w:rPr>
            </w:pPr>
          </w:p>
        </w:tc>
        <w:tc>
          <w:tcPr>
            <w:tcW w:w="449" w:type="pct"/>
          </w:tcPr>
          <w:p w14:paraId="5FB5E5CD">
            <w:pPr>
              <w:rPr>
                <w:rFonts w:ascii="宋体" w:hAnsi="宋体"/>
                <w:color w:val="000000"/>
                <w:sz w:val="24"/>
                <w:szCs w:val="24"/>
                <w:highlight w:val="none"/>
              </w:rPr>
            </w:pPr>
          </w:p>
        </w:tc>
        <w:tc>
          <w:tcPr>
            <w:tcW w:w="520" w:type="pct"/>
          </w:tcPr>
          <w:p w14:paraId="603DC9AE">
            <w:pPr>
              <w:rPr>
                <w:rFonts w:ascii="宋体" w:hAnsi="宋体"/>
                <w:color w:val="000000"/>
                <w:sz w:val="24"/>
                <w:szCs w:val="24"/>
                <w:highlight w:val="none"/>
              </w:rPr>
            </w:pPr>
          </w:p>
        </w:tc>
        <w:tc>
          <w:tcPr>
            <w:tcW w:w="754" w:type="pct"/>
          </w:tcPr>
          <w:p w14:paraId="3D6EFABE">
            <w:pPr>
              <w:rPr>
                <w:rFonts w:ascii="宋体" w:hAnsi="宋体"/>
                <w:color w:val="000000"/>
                <w:sz w:val="24"/>
                <w:szCs w:val="24"/>
                <w:highlight w:val="none"/>
              </w:rPr>
            </w:pPr>
          </w:p>
        </w:tc>
        <w:tc>
          <w:tcPr>
            <w:tcW w:w="520" w:type="pct"/>
          </w:tcPr>
          <w:p w14:paraId="65961F64">
            <w:pPr>
              <w:rPr>
                <w:rFonts w:ascii="宋体" w:hAnsi="宋体"/>
                <w:color w:val="000000"/>
                <w:sz w:val="24"/>
                <w:szCs w:val="24"/>
                <w:highlight w:val="none"/>
              </w:rPr>
            </w:pPr>
          </w:p>
        </w:tc>
        <w:tc>
          <w:tcPr>
            <w:tcW w:w="469" w:type="pct"/>
          </w:tcPr>
          <w:p w14:paraId="4B3F2D66">
            <w:pPr>
              <w:rPr>
                <w:rFonts w:ascii="宋体" w:hAnsi="宋体"/>
                <w:color w:val="000000"/>
                <w:sz w:val="24"/>
                <w:szCs w:val="24"/>
                <w:highlight w:val="none"/>
              </w:rPr>
            </w:pPr>
          </w:p>
        </w:tc>
      </w:tr>
      <w:tr w14:paraId="4699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6C4CBD1D">
            <w:pPr>
              <w:rPr>
                <w:rFonts w:ascii="宋体" w:hAnsi="宋体"/>
                <w:color w:val="000000"/>
                <w:sz w:val="24"/>
                <w:szCs w:val="24"/>
                <w:highlight w:val="none"/>
              </w:rPr>
            </w:pPr>
          </w:p>
        </w:tc>
        <w:tc>
          <w:tcPr>
            <w:tcW w:w="723" w:type="pct"/>
          </w:tcPr>
          <w:p w14:paraId="56FFE830">
            <w:pPr>
              <w:rPr>
                <w:rFonts w:ascii="宋体" w:hAnsi="宋体"/>
                <w:color w:val="000000"/>
                <w:sz w:val="24"/>
                <w:szCs w:val="24"/>
                <w:highlight w:val="none"/>
              </w:rPr>
            </w:pPr>
          </w:p>
        </w:tc>
        <w:tc>
          <w:tcPr>
            <w:tcW w:w="433" w:type="pct"/>
          </w:tcPr>
          <w:p w14:paraId="327B4D95">
            <w:pPr>
              <w:rPr>
                <w:rFonts w:ascii="宋体" w:hAnsi="宋体"/>
                <w:color w:val="000000"/>
                <w:sz w:val="24"/>
                <w:szCs w:val="24"/>
                <w:highlight w:val="none"/>
              </w:rPr>
            </w:pPr>
          </w:p>
        </w:tc>
        <w:tc>
          <w:tcPr>
            <w:tcW w:w="539" w:type="pct"/>
          </w:tcPr>
          <w:p w14:paraId="3F5C264B">
            <w:pPr>
              <w:rPr>
                <w:rFonts w:ascii="宋体" w:hAnsi="宋体"/>
                <w:color w:val="000000"/>
                <w:sz w:val="24"/>
                <w:szCs w:val="24"/>
                <w:highlight w:val="none"/>
              </w:rPr>
            </w:pPr>
          </w:p>
        </w:tc>
        <w:tc>
          <w:tcPr>
            <w:tcW w:w="449" w:type="pct"/>
          </w:tcPr>
          <w:p w14:paraId="4D35EAEE">
            <w:pPr>
              <w:rPr>
                <w:rFonts w:ascii="宋体" w:hAnsi="宋体"/>
                <w:color w:val="000000"/>
                <w:sz w:val="24"/>
                <w:szCs w:val="24"/>
                <w:highlight w:val="none"/>
              </w:rPr>
            </w:pPr>
          </w:p>
        </w:tc>
        <w:tc>
          <w:tcPr>
            <w:tcW w:w="520" w:type="pct"/>
          </w:tcPr>
          <w:p w14:paraId="28828494">
            <w:pPr>
              <w:rPr>
                <w:rFonts w:ascii="宋体" w:hAnsi="宋体"/>
                <w:color w:val="000000"/>
                <w:sz w:val="24"/>
                <w:szCs w:val="24"/>
                <w:highlight w:val="none"/>
              </w:rPr>
            </w:pPr>
          </w:p>
        </w:tc>
        <w:tc>
          <w:tcPr>
            <w:tcW w:w="754" w:type="pct"/>
          </w:tcPr>
          <w:p w14:paraId="3224EC9F">
            <w:pPr>
              <w:rPr>
                <w:rFonts w:ascii="宋体" w:hAnsi="宋体"/>
                <w:color w:val="000000"/>
                <w:sz w:val="24"/>
                <w:szCs w:val="24"/>
                <w:highlight w:val="none"/>
              </w:rPr>
            </w:pPr>
          </w:p>
        </w:tc>
        <w:tc>
          <w:tcPr>
            <w:tcW w:w="520" w:type="pct"/>
          </w:tcPr>
          <w:p w14:paraId="4D9654D8">
            <w:pPr>
              <w:rPr>
                <w:rFonts w:ascii="宋体" w:hAnsi="宋体"/>
                <w:color w:val="000000"/>
                <w:sz w:val="24"/>
                <w:szCs w:val="24"/>
                <w:highlight w:val="none"/>
              </w:rPr>
            </w:pPr>
          </w:p>
        </w:tc>
        <w:tc>
          <w:tcPr>
            <w:tcW w:w="469" w:type="pct"/>
          </w:tcPr>
          <w:p w14:paraId="1B41CE71">
            <w:pPr>
              <w:rPr>
                <w:rFonts w:ascii="宋体" w:hAnsi="宋体"/>
                <w:color w:val="000000"/>
                <w:sz w:val="24"/>
                <w:szCs w:val="24"/>
                <w:highlight w:val="none"/>
              </w:rPr>
            </w:pPr>
          </w:p>
        </w:tc>
      </w:tr>
      <w:tr w14:paraId="6791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Pr>
          <w:p w14:paraId="0CF8D372">
            <w:pPr>
              <w:rPr>
                <w:rFonts w:ascii="宋体" w:hAnsi="宋体"/>
                <w:color w:val="000000"/>
                <w:sz w:val="24"/>
                <w:szCs w:val="24"/>
                <w:highlight w:val="none"/>
              </w:rPr>
            </w:pPr>
          </w:p>
        </w:tc>
        <w:tc>
          <w:tcPr>
            <w:tcW w:w="723" w:type="pct"/>
          </w:tcPr>
          <w:p w14:paraId="40D47236">
            <w:pPr>
              <w:rPr>
                <w:rFonts w:ascii="宋体" w:hAnsi="宋体"/>
                <w:color w:val="000000"/>
                <w:sz w:val="24"/>
                <w:szCs w:val="24"/>
                <w:highlight w:val="none"/>
              </w:rPr>
            </w:pPr>
          </w:p>
        </w:tc>
        <w:tc>
          <w:tcPr>
            <w:tcW w:w="433" w:type="pct"/>
          </w:tcPr>
          <w:p w14:paraId="312E6B7E">
            <w:pPr>
              <w:rPr>
                <w:rFonts w:ascii="宋体" w:hAnsi="宋体"/>
                <w:color w:val="000000"/>
                <w:sz w:val="24"/>
                <w:szCs w:val="24"/>
                <w:highlight w:val="none"/>
              </w:rPr>
            </w:pPr>
          </w:p>
        </w:tc>
        <w:tc>
          <w:tcPr>
            <w:tcW w:w="539" w:type="pct"/>
          </w:tcPr>
          <w:p w14:paraId="5CDE8D80">
            <w:pPr>
              <w:rPr>
                <w:rFonts w:ascii="宋体" w:hAnsi="宋体"/>
                <w:color w:val="000000"/>
                <w:sz w:val="24"/>
                <w:szCs w:val="24"/>
                <w:highlight w:val="none"/>
              </w:rPr>
            </w:pPr>
          </w:p>
        </w:tc>
        <w:tc>
          <w:tcPr>
            <w:tcW w:w="449" w:type="pct"/>
          </w:tcPr>
          <w:p w14:paraId="60E74156">
            <w:pPr>
              <w:rPr>
                <w:rFonts w:ascii="宋体" w:hAnsi="宋体"/>
                <w:color w:val="000000"/>
                <w:sz w:val="24"/>
                <w:szCs w:val="24"/>
                <w:highlight w:val="none"/>
              </w:rPr>
            </w:pPr>
          </w:p>
        </w:tc>
        <w:tc>
          <w:tcPr>
            <w:tcW w:w="520" w:type="pct"/>
          </w:tcPr>
          <w:p w14:paraId="22C27848">
            <w:pPr>
              <w:rPr>
                <w:rFonts w:ascii="宋体" w:hAnsi="宋体"/>
                <w:color w:val="000000"/>
                <w:sz w:val="24"/>
                <w:szCs w:val="24"/>
                <w:highlight w:val="none"/>
              </w:rPr>
            </w:pPr>
          </w:p>
        </w:tc>
        <w:tc>
          <w:tcPr>
            <w:tcW w:w="754" w:type="pct"/>
          </w:tcPr>
          <w:p w14:paraId="198D152F">
            <w:pPr>
              <w:rPr>
                <w:rFonts w:ascii="宋体" w:hAnsi="宋体"/>
                <w:color w:val="000000"/>
                <w:sz w:val="24"/>
                <w:szCs w:val="24"/>
                <w:highlight w:val="none"/>
              </w:rPr>
            </w:pPr>
          </w:p>
        </w:tc>
        <w:tc>
          <w:tcPr>
            <w:tcW w:w="520" w:type="pct"/>
          </w:tcPr>
          <w:p w14:paraId="54727A4C">
            <w:pPr>
              <w:rPr>
                <w:rFonts w:ascii="宋体" w:hAnsi="宋体"/>
                <w:color w:val="000000"/>
                <w:sz w:val="24"/>
                <w:szCs w:val="24"/>
                <w:highlight w:val="none"/>
              </w:rPr>
            </w:pPr>
          </w:p>
        </w:tc>
        <w:tc>
          <w:tcPr>
            <w:tcW w:w="469" w:type="pct"/>
          </w:tcPr>
          <w:p w14:paraId="46CAA7BA">
            <w:pPr>
              <w:rPr>
                <w:rFonts w:ascii="宋体" w:hAnsi="宋体"/>
                <w:color w:val="000000"/>
                <w:sz w:val="24"/>
                <w:szCs w:val="24"/>
                <w:highlight w:val="none"/>
              </w:rPr>
            </w:pPr>
          </w:p>
        </w:tc>
      </w:tr>
    </w:tbl>
    <w:p w14:paraId="4492628B">
      <w:pPr>
        <w:widowControl/>
        <w:jc w:val="left"/>
        <w:rPr>
          <w:rFonts w:ascii="宋体" w:hAnsi="宋体"/>
          <w:color w:val="000000"/>
          <w:sz w:val="24"/>
          <w:szCs w:val="24"/>
          <w:highlight w:val="none"/>
        </w:rPr>
      </w:pPr>
      <w:r>
        <w:rPr>
          <w:rFonts w:ascii="宋体" w:hAnsi="宋体"/>
          <w:color w:val="000000"/>
          <w:sz w:val="24"/>
          <w:szCs w:val="24"/>
          <w:highlight w:val="none"/>
        </w:rPr>
        <w:br w:type="page"/>
      </w:r>
    </w:p>
    <w:p w14:paraId="3EDB4424">
      <w:pPr>
        <w:spacing w:line="440" w:lineRule="exact"/>
        <w:rPr>
          <w:rFonts w:ascii="宋体" w:hAnsi="宋体"/>
          <w:color w:val="000000"/>
          <w:sz w:val="24"/>
          <w:szCs w:val="24"/>
          <w:highlight w:val="none"/>
        </w:rPr>
      </w:pPr>
      <w:r>
        <w:rPr>
          <w:rFonts w:ascii="宋体" w:hAnsi="宋体"/>
          <w:color w:val="000000"/>
          <w:sz w:val="24"/>
          <w:szCs w:val="24"/>
          <w:highlight w:val="none"/>
        </w:rPr>
        <w:t>附</w:t>
      </w:r>
      <w:bookmarkStart w:id="1011" w:name="_Toc296944567"/>
      <w:bookmarkStart w:id="1012" w:name="_Toc267261699"/>
      <w:bookmarkStart w:id="1013" w:name="_Toc296503228"/>
      <w:bookmarkStart w:id="1014" w:name="_Toc296891268"/>
      <w:bookmarkStart w:id="1015" w:name="_Toc296891056"/>
      <w:bookmarkStart w:id="1016" w:name="_Toc296346729"/>
      <w:bookmarkStart w:id="1017" w:name="_Toc296347227"/>
      <w:r>
        <w:rPr>
          <w:rFonts w:ascii="宋体" w:hAnsi="宋体"/>
          <w:color w:val="000000"/>
          <w:sz w:val="24"/>
          <w:szCs w:val="24"/>
          <w:highlight w:val="none"/>
        </w:rPr>
        <w:t>件6：</w:t>
      </w:r>
    </w:p>
    <w:bookmarkEnd w:id="1011"/>
    <w:bookmarkEnd w:id="1012"/>
    <w:bookmarkEnd w:id="1013"/>
    <w:bookmarkEnd w:id="1014"/>
    <w:bookmarkEnd w:id="1015"/>
    <w:bookmarkEnd w:id="1016"/>
    <w:bookmarkEnd w:id="1017"/>
    <w:p w14:paraId="7CD1E427">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24"/>
          <w:szCs w:val="24"/>
          <w:highlight w:val="none"/>
        </w:rPr>
        <w:t>承包人主要施工管理人员表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0"/>
        <w:gridCol w:w="1303"/>
        <w:gridCol w:w="1042"/>
        <w:gridCol w:w="1042"/>
        <w:gridCol w:w="3907"/>
      </w:tblGrid>
      <w:tr w14:paraId="3975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12" w:space="0"/>
              <w:bottom w:val="double" w:color="auto" w:sz="6" w:space="0"/>
            </w:tcBorders>
            <w:vAlign w:val="center"/>
          </w:tcPr>
          <w:p w14:paraId="1B2AAC86">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名    称</w:t>
            </w:r>
          </w:p>
        </w:tc>
        <w:tc>
          <w:tcPr>
            <w:tcW w:w="723" w:type="pct"/>
            <w:tcBorders>
              <w:top w:val="single" w:color="auto" w:sz="12" w:space="0"/>
              <w:bottom w:val="double" w:color="auto" w:sz="6" w:space="0"/>
            </w:tcBorders>
            <w:vAlign w:val="center"/>
          </w:tcPr>
          <w:p w14:paraId="4F294A00">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姓名</w:t>
            </w:r>
          </w:p>
        </w:tc>
        <w:tc>
          <w:tcPr>
            <w:tcW w:w="578" w:type="pct"/>
            <w:tcBorders>
              <w:top w:val="single" w:color="auto" w:sz="12" w:space="0"/>
              <w:bottom w:val="double" w:color="auto" w:sz="6" w:space="0"/>
            </w:tcBorders>
            <w:vAlign w:val="center"/>
          </w:tcPr>
          <w:p w14:paraId="7E08BA1D">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职务</w:t>
            </w:r>
          </w:p>
        </w:tc>
        <w:tc>
          <w:tcPr>
            <w:tcW w:w="578" w:type="pct"/>
            <w:tcBorders>
              <w:top w:val="single" w:color="auto" w:sz="12" w:space="0"/>
              <w:bottom w:val="double" w:color="auto" w:sz="6" w:space="0"/>
            </w:tcBorders>
            <w:vAlign w:val="center"/>
          </w:tcPr>
          <w:p w14:paraId="2FD8DBC1">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职称</w:t>
            </w:r>
          </w:p>
        </w:tc>
        <w:tc>
          <w:tcPr>
            <w:tcW w:w="2167" w:type="pct"/>
            <w:tcBorders>
              <w:top w:val="single" w:color="auto" w:sz="12" w:space="0"/>
              <w:bottom w:val="double" w:color="auto" w:sz="6" w:space="0"/>
            </w:tcBorders>
            <w:vAlign w:val="center"/>
          </w:tcPr>
          <w:p w14:paraId="2D734046">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主要资历、经验及承担过的项目</w:t>
            </w:r>
          </w:p>
        </w:tc>
      </w:tr>
      <w:tr w14:paraId="3AA20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vAlign w:val="center"/>
          </w:tcPr>
          <w:p w14:paraId="6D3C3AA0">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一、总部人员</w:t>
            </w:r>
          </w:p>
        </w:tc>
      </w:tr>
      <w:tr w14:paraId="68FBD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vAlign w:val="center"/>
          </w:tcPr>
          <w:p w14:paraId="75C2A40E">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项目主管</w:t>
            </w:r>
          </w:p>
        </w:tc>
        <w:tc>
          <w:tcPr>
            <w:tcW w:w="723" w:type="pct"/>
            <w:tcBorders>
              <w:top w:val="nil"/>
            </w:tcBorders>
            <w:vAlign w:val="center"/>
          </w:tcPr>
          <w:p w14:paraId="471CA8B8">
            <w:pPr>
              <w:pStyle w:val="34"/>
              <w:keepNext/>
              <w:spacing w:after="0" w:line="440" w:lineRule="exact"/>
              <w:ind w:left="63" w:right="63"/>
              <w:rPr>
                <w:rFonts w:ascii="宋体" w:hAnsi="宋体"/>
                <w:color w:val="000000"/>
                <w:sz w:val="24"/>
                <w:szCs w:val="24"/>
                <w:highlight w:val="none"/>
              </w:rPr>
            </w:pPr>
          </w:p>
        </w:tc>
        <w:tc>
          <w:tcPr>
            <w:tcW w:w="578" w:type="pct"/>
            <w:tcBorders>
              <w:top w:val="nil"/>
            </w:tcBorders>
            <w:vAlign w:val="center"/>
          </w:tcPr>
          <w:p w14:paraId="31816998">
            <w:pPr>
              <w:pStyle w:val="34"/>
              <w:keepNext/>
              <w:spacing w:after="0" w:line="440" w:lineRule="exact"/>
              <w:ind w:left="63" w:right="63"/>
              <w:rPr>
                <w:rFonts w:ascii="宋体" w:hAnsi="宋体"/>
                <w:color w:val="000000"/>
                <w:sz w:val="24"/>
                <w:szCs w:val="24"/>
                <w:highlight w:val="none"/>
              </w:rPr>
            </w:pPr>
          </w:p>
        </w:tc>
        <w:tc>
          <w:tcPr>
            <w:tcW w:w="578" w:type="pct"/>
            <w:tcBorders>
              <w:top w:val="nil"/>
            </w:tcBorders>
            <w:vAlign w:val="center"/>
          </w:tcPr>
          <w:p w14:paraId="4CBCC263">
            <w:pPr>
              <w:pStyle w:val="34"/>
              <w:keepNext/>
              <w:spacing w:after="0" w:line="440" w:lineRule="exact"/>
              <w:ind w:left="63" w:right="63"/>
              <w:rPr>
                <w:rFonts w:ascii="宋体" w:hAnsi="宋体"/>
                <w:color w:val="000000"/>
                <w:sz w:val="24"/>
                <w:szCs w:val="24"/>
                <w:highlight w:val="none"/>
              </w:rPr>
            </w:pPr>
          </w:p>
        </w:tc>
        <w:tc>
          <w:tcPr>
            <w:tcW w:w="2167" w:type="pct"/>
            <w:tcBorders>
              <w:top w:val="nil"/>
            </w:tcBorders>
            <w:vAlign w:val="center"/>
          </w:tcPr>
          <w:p w14:paraId="007A2576">
            <w:pPr>
              <w:pStyle w:val="34"/>
              <w:keepNext/>
              <w:spacing w:after="0" w:line="440" w:lineRule="exact"/>
              <w:ind w:left="63" w:right="63"/>
              <w:rPr>
                <w:rFonts w:ascii="宋体" w:hAnsi="宋体"/>
                <w:color w:val="000000"/>
                <w:sz w:val="24"/>
                <w:szCs w:val="24"/>
                <w:highlight w:val="none"/>
              </w:rPr>
            </w:pPr>
          </w:p>
        </w:tc>
      </w:tr>
      <w:tr w14:paraId="706FB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nil"/>
            </w:tcBorders>
            <w:vAlign w:val="center"/>
          </w:tcPr>
          <w:p w14:paraId="215A77F6">
            <w:pPr>
              <w:pStyle w:val="34"/>
              <w:keepNext/>
              <w:spacing w:after="0" w:line="440" w:lineRule="exact"/>
              <w:ind w:left="63" w:right="63"/>
              <w:rPr>
                <w:rFonts w:ascii="宋体" w:hAnsi="宋体"/>
                <w:color w:val="000000"/>
                <w:sz w:val="24"/>
                <w:szCs w:val="24"/>
                <w:highlight w:val="none"/>
              </w:rPr>
            </w:pPr>
          </w:p>
        </w:tc>
        <w:tc>
          <w:tcPr>
            <w:tcW w:w="723" w:type="pct"/>
            <w:vAlign w:val="center"/>
          </w:tcPr>
          <w:p w14:paraId="26B8DC54">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CE952B1">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E16116A">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FA6E36D">
            <w:pPr>
              <w:pStyle w:val="34"/>
              <w:keepNext/>
              <w:spacing w:after="0" w:line="440" w:lineRule="exact"/>
              <w:ind w:left="63" w:right="63"/>
              <w:rPr>
                <w:rFonts w:ascii="宋体" w:hAnsi="宋体"/>
                <w:color w:val="000000"/>
                <w:sz w:val="24"/>
                <w:szCs w:val="24"/>
                <w:highlight w:val="none"/>
              </w:rPr>
            </w:pPr>
          </w:p>
        </w:tc>
      </w:tr>
      <w:tr w14:paraId="17549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vAlign w:val="center"/>
          </w:tcPr>
          <w:p w14:paraId="08D4CB78">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其他人员</w:t>
            </w:r>
          </w:p>
        </w:tc>
        <w:tc>
          <w:tcPr>
            <w:tcW w:w="723" w:type="pct"/>
            <w:vAlign w:val="center"/>
          </w:tcPr>
          <w:p w14:paraId="668E7243">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1C272F9">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BC16CE3">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67AFD4F">
            <w:pPr>
              <w:pStyle w:val="34"/>
              <w:keepNext/>
              <w:spacing w:after="0" w:line="440" w:lineRule="exact"/>
              <w:ind w:left="63" w:right="63"/>
              <w:rPr>
                <w:rFonts w:ascii="宋体" w:hAnsi="宋体"/>
                <w:color w:val="000000"/>
                <w:sz w:val="24"/>
                <w:szCs w:val="24"/>
                <w:highlight w:val="none"/>
              </w:rPr>
            </w:pPr>
          </w:p>
        </w:tc>
      </w:tr>
      <w:tr w14:paraId="05578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vAlign w:val="center"/>
          </w:tcPr>
          <w:p w14:paraId="241A2EBA">
            <w:pPr>
              <w:pStyle w:val="34"/>
              <w:keepNext/>
              <w:spacing w:after="0" w:line="440" w:lineRule="exact"/>
              <w:ind w:left="63" w:right="63"/>
              <w:rPr>
                <w:rFonts w:ascii="宋体" w:hAnsi="宋体"/>
                <w:color w:val="000000"/>
                <w:sz w:val="24"/>
                <w:szCs w:val="24"/>
                <w:highlight w:val="none"/>
              </w:rPr>
            </w:pPr>
          </w:p>
        </w:tc>
        <w:tc>
          <w:tcPr>
            <w:tcW w:w="723" w:type="pct"/>
            <w:vAlign w:val="center"/>
          </w:tcPr>
          <w:p w14:paraId="1B7F6D17">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288C4D4">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3F3B8B4">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4801BA5E">
            <w:pPr>
              <w:pStyle w:val="34"/>
              <w:keepNext/>
              <w:spacing w:after="0" w:line="440" w:lineRule="exact"/>
              <w:ind w:left="63" w:right="63"/>
              <w:rPr>
                <w:rFonts w:ascii="宋体" w:hAnsi="宋体"/>
                <w:color w:val="000000"/>
                <w:sz w:val="24"/>
                <w:szCs w:val="24"/>
                <w:highlight w:val="none"/>
              </w:rPr>
            </w:pPr>
          </w:p>
        </w:tc>
      </w:tr>
      <w:tr w14:paraId="4A44F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vAlign w:val="center"/>
          </w:tcPr>
          <w:p w14:paraId="0995936A">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二、现场人员</w:t>
            </w:r>
          </w:p>
        </w:tc>
      </w:tr>
      <w:tr w14:paraId="423CC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51E3F5A7">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项目经理</w:t>
            </w:r>
          </w:p>
        </w:tc>
        <w:tc>
          <w:tcPr>
            <w:tcW w:w="723" w:type="pct"/>
            <w:vAlign w:val="center"/>
          </w:tcPr>
          <w:p w14:paraId="3153E002">
            <w:pPr>
              <w:pStyle w:val="34"/>
              <w:keepNext/>
              <w:spacing w:after="0" w:line="440" w:lineRule="exact"/>
              <w:ind w:left="63" w:right="63"/>
              <w:rPr>
                <w:rFonts w:ascii="宋体" w:hAnsi="宋体"/>
                <w:color w:val="000000"/>
                <w:sz w:val="24"/>
                <w:szCs w:val="24"/>
                <w:highlight w:val="none"/>
              </w:rPr>
            </w:pPr>
          </w:p>
        </w:tc>
        <w:tc>
          <w:tcPr>
            <w:tcW w:w="578" w:type="pct"/>
            <w:vAlign w:val="center"/>
          </w:tcPr>
          <w:p w14:paraId="79C58C7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AAB5022">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092DEF2A">
            <w:pPr>
              <w:pStyle w:val="34"/>
              <w:keepNext/>
              <w:spacing w:after="0" w:line="440" w:lineRule="exact"/>
              <w:ind w:left="63" w:right="63"/>
              <w:rPr>
                <w:rFonts w:ascii="宋体" w:hAnsi="宋体"/>
                <w:color w:val="000000"/>
                <w:sz w:val="24"/>
                <w:szCs w:val="24"/>
                <w:highlight w:val="none"/>
              </w:rPr>
            </w:pPr>
          </w:p>
        </w:tc>
      </w:tr>
      <w:tr w14:paraId="4555E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3044621F">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项目副经理</w:t>
            </w:r>
          </w:p>
        </w:tc>
        <w:tc>
          <w:tcPr>
            <w:tcW w:w="723" w:type="pct"/>
            <w:vAlign w:val="center"/>
          </w:tcPr>
          <w:p w14:paraId="4A74FB0E">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4D01FF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F679622">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03F767CD">
            <w:pPr>
              <w:pStyle w:val="34"/>
              <w:keepNext/>
              <w:spacing w:after="0" w:line="440" w:lineRule="exact"/>
              <w:ind w:left="63" w:right="63"/>
              <w:rPr>
                <w:rFonts w:ascii="宋体" w:hAnsi="宋体"/>
                <w:color w:val="000000"/>
                <w:sz w:val="24"/>
                <w:szCs w:val="24"/>
                <w:highlight w:val="none"/>
              </w:rPr>
            </w:pPr>
          </w:p>
        </w:tc>
      </w:tr>
      <w:tr w14:paraId="237FD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0BB07C9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技术负责人</w:t>
            </w:r>
          </w:p>
        </w:tc>
        <w:tc>
          <w:tcPr>
            <w:tcW w:w="723" w:type="pct"/>
            <w:vAlign w:val="center"/>
          </w:tcPr>
          <w:p w14:paraId="0CA89DD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BBC6460">
            <w:pPr>
              <w:pStyle w:val="34"/>
              <w:keepNext/>
              <w:spacing w:after="0" w:line="440" w:lineRule="exact"/>
              <w:ind w:left="63" w:right="63"/>
              <w:rPr>
                <w:rFonts w:ascii="宋体" w:hAnsi="宋体"/>
                <w:color w:val="000000"/>
                <w:sz w:val="24"/>
                <w:szCs w:val="24"/>
                <w:highlight w:val="none"/>
              </w:rPr>
            </w:pPr>
          </w:p>
        </w:tc>
        <w:tc>
          <w:tcPr>
            <w:tcW w:w="578" w:type="pct"/>
            <w:vAlign w:val="center"/>
          </w:tcPr>
          <w:p w14:paraId="456388D9">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1685BBBC">
            <w:pPr>
              <w:pStyle w:val="34"/>
              <w:keepNext/>
              <w:spacing w:after="0" w:line="440" w:lineRule="exact"/>
              <w:ind w:left="63" w:right="63"/>
              <w:rPr>
                <w:rFonts w:ascii="宋体" w:hAnsi="宋体"/>
                <w:color w:val="000000"/>
                <w:sz w:val="24"/>
                <w:szCs w:val="24"/>
                <w:highlight w:val="none"/>
              </w:rPr>
            </w:pPr>
          </w:p>
        </w:tc>
      </w:tr>
      <w:tr w14:paraId="14E0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7AB621E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造价管理</w:t>
            </w:r>
          </w:p>
        </w:tc>
        <w:tc>
          <w:tcPr>
            <w:tcW w:w="723" w:type="pct"/>
            <w:vAlign w:val="center"/>
          </w:tcPr>
          <w:p w14:paraId="383EBF5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A3FE165">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FB6C9A3">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02626C47">
            <w:pPr>
              <w:pStyle w:val="34"/>
              <w:keepNext/>
              <w:spacing w:after="0" w:line="440" w:lineRule="exact"/>
              <w:ind w:left="63" w:right="63"/>
              <w:rPr>
                <w:rFonts w:ascii="宋体" w:hAnsi="宋体"/>
                <w:color w:val="000000"/>
                <w:sz w:val="24"/>
                <w:szCs w:val="24"/>
                <w:highlight w:val="none"/>
              </w:rPr>
            </w:pPr>
          </w:p>
        </w:tc>
      </w:tr>
      <w:tr w14:paraId="2DAF7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05E076DB">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质量管理</w:t>
            </w:r>
          </w:p>
        </w:tc>
        <w:tc>
          <w:tcPr>
            <w:tcW w:w="723" w:type="pct"/>
            <w:vAlign w:val="center"/>
          </w:tcPr>
          <w:p w14:paraId="0F3C7612">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D8A4118">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BF0042B">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21DCC648">
            <w:pPr>
              <w:pStyle w:val="34"/>
              <w:keepNext/>
              <w:spacing w:after="0" w:line="440" w:lineRule="exact"/>
              <w:ind w:left="63" w:right="63"/>
              <w:rPr>
                <w:rFonts w:ascii="宋体" w:hAnsi="宋体"/>
                <w:color w:val="000000"/>
                <w:sz w:val="24"/>
                <w:szCs w:val="24"/>
                <w:highlight w:val="none"/>
              </w:rPr>
            </w:pPr>
          </w:p>
        </w:tc>
      </w:tr>
      <w:tr w14:paraId="6C409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3F92A293">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材料管理</w:t>
            </w:r>
          </w:p>
        </w:tc>
        <w:tc>
          <w:tcPr>
            <w:tcW w:w="723" w:type="pct"/>
            <w:vAlign w:val="center"/>
          </w:tcPr>
          <w:p w14:paraId="7773AB5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B81A69D">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7E1A5E2">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16A5A892">
            <w:pPr>
              <w:pStyle w:val="34"/>
              <w:keepNext/>
              <w:spacing w:after="0" w:line="440" w:lineRule="exact"/>
              <w:ind w:left="63" w:right="63"/>
              <w:rPr>
                <w:rFonts w:ascii="宋体" w:hAnsi="宋体"/>
                <w:color w:val="000000"/>
                <w:sz w:val="24"/>
                <w:szCs w:val="24"/>
                <w:highlight w:val="none"/>
              </w:rPr>
            </w:pPr>
          </w:p>
        </w:tc>
      </w:tr>
      <w:tr w14:paraId="6EDB0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050F0DA6">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计划管理</w:t>
            </w:r>
          </w:p>
        </w:tc>
        <w:tc>
          <w:tcPr>
            <w:tcW w:w="723" w:type="pct"/>
            <w:vAlign w:val="center"/>
          </w:tcPr>
          <w:p w14:paraId="2D8B3F4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207FD9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7990997">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5119702">
            <w:pPr>
              <w:pStyle w:val="34"/>
              <w:keepNext/>
              <w:spacing w:after="0" w:line="440" w:lineRule="exact"/>
              <w:ind w:left="63" w:right="63"/>
              <w:rPr>
                <w:rFonts w:ascii="宋体" w:hAnsi="宋体"/>
                <w:color w:val="000000"/>
                <w:sz w:val="24"/>
                <w:szCs w:val="24"/>
                <w:highlight w:val="none"/>
              </w:rPr>
            </w:pPr>
          </w:p>
        </w:tc>
      </w:tr>
      <w:tr w14:paraId="508EB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63BDDF00">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安全管理</w:t>
            </w:r>
          </w:p>
        </w:tc>
        <w:tc>
          <w:tcPr>
            <w:tcW w:w="723" w:type="pct"/>
            <w:vAlign w:val="center"/>
          </w:tcPr>
          <w:p w14:paraId="0620EC21">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80F5B65">
            <w:pPr>
              <w:pStyle w:val="34"/>
              <w:keepNext/>
              <w:spacing w:after="0" w:line="440" w:lineRule="exact"/>
              <w:ind w:left="63" w:right="63"/>
              <w:rPr>
                <w:rFonts w:ascii="宋体" w:hAnsi="宋体"/>
                <w:color w:val="000000"/>
                <w:sz w:val="24"/>
                <w:szCs w:val="24"/>
                <w:highlight w:val="none"/>
              </w:rPr>
            </w:pPr>
          </w:p>
        </w:tc>
        <w:tc>
          <w:tcPr>
            <w:tcW w:w="578" w:type="pct"/>
            <w:vAlign w:val="center"/>
          </w:tcPr>
          <w:p w14:paraId="40320E61">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5B5E6D2A">
            <w:pPr>
              <w:pStyle w:val="34"/>
              <w:keepNext/>
              <w:spacing w:after="0" w:line="440" w:lineRule="exact"/>
              <w:ind w:left="63" w:right="63"/>
              <w:rPr>
                <w:rFonts w:ascii="宋体" w:hAnsi="宋体"/>
                <w:color w:val="000000"/>
                <w:sz w:val="24"/>
                <w:szCs w:val="24"/>
                <w:highlight w:val="none"/>
              </w:rPr>
            </w:pPr>
          </w:p>
        </w:tc>
      </w:tr>
      <w:tr w14:paraId="1F50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restart"/>
            <w:tcBorders>
              <w:top w:val="single" w:color="auto" w:sz="6" w:space="0"/>
            </w:tcBorders>
            <w:vAlign w:val="center"/>
          </w:tcPr>
          <w:p w14:paraId="0E959CF7">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其他人员</w:t>
            </w:r>
          </w:p>
        </w:tc>
        <w:tc>
          <w:tcPr>
            <w:tcW w:w="723" w:type="pct"/>
            <w:vAlign w:val="center"/>
          </w:tcPr>
          <w:p w14:paraId="1CB368C1">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9C6705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CD12E66">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3FEDC2A4">
            <w:pPr>
              <w:pStyle w:val="34"/>
              <w:keepNext/>
              <w:spacing w:after="0" w:line="440" w:lineRule="exact"/>
              <w:ind w:left="63" w:right="63"/>
              <w:rPr>
                <w:rFonts w:ascii="宋体" w:hAnsi="宋体"/>
                <w:color w:val="000000"/>
                <w:sz w:val="24"/>
                <w:szCs w:val="24"/>
                <w:highlight w:val="none"/>
              </w:rPr>
            </w:pPr>
          </w:p>
        </w:tc>
      </w:tr>
      <w:tr w14:paraId="0BFE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7CDF1025">
            <w:pPr>
              <w:pStyle w:val="34"/>
              <w:keepNext/>
              <w:spacing w:after="0" w:line="440" w:lineRule="exact"/>
              <w:ind w:left="63" w:right="63"/>
              <w:rPr>
                <w:rFonts w:ascii="宋体" w:hAnsi="宋体"/>
                <w:color w:val="000000"/>
                <w:sz w:val="24"/>
                <w:szCs w:val="24"/>
                <w:highlight w:val="none"/>
              </w:rPr>
            </w:pPr>
          </w:p>
        </w:tc>
        <w:tc>
          <w:tcPr>
            <w:tcW w:w="723" w:type="pct"/>
            <w:tcBorders>
              <w:bottom w:val="nil"/>
            </w:tcBorders>
            <w:vAlign w:val="center"/>
          </w:tcPr>
          <w:p w14:paraId="147B53DB">
            <w:pPr>
              <w:pStyle w:val="34"/>
              <w:keepNext/>
              <w:spacing w:after="0" w:line="440" w:lineRule="exact"/>
              <w:ind w:left="63" w:right="63"/>
              <w:rPr>
                <w:rFonts w:ascii="宋体" w:hAnsi="宋体"/>
                <w:color w:val="000000"/>
                <w:sz w:val="24"/>
                <w:szCs w:val="24"/>
                <w:highlight w:val="none"/>
              </w:rPr>
            </w:pPr>
          </w:p>
        </w:tc>
        <w:tc>
          <w:tcPr>
            <w:tcW w:w="578" w:type="pct"/>
            <w:tcBorders>
              <w:bottom w:val="nil"/>
            </w:tcBorders>
            <w:vAlign w:val="center"/>
          </w:tcPr>
          <w:p w14:paraId="5A4CA823">
            <w:pPr>
              <w:pStyle w:val="34"/>
              <w:keepNext/>
              <w:spacing w:after="0" w:line="440" w:lineRule="exact"/>
              <w:ind w:left="63" w:right="63"/>
              <w:rPr>
                <w:rFonts w:ascii="宋体" w:hAnsi="宋体"/>
                <w:color w:val="000000"/>
                <w:sz w:val="24"/>
                <w:szCs w:val="24"/>
                <w:highlight w:val="none"/>
              </w:rPr>
            </w:pPr>
          </w:p>
        </w:tc>
        <w:tc>
          <w:tcPr>
            <w:tcW w:w="578" w:type="pct"/>
            <w:tcBorders>
              <w:bottom w:val="nil"/>
            </w:tcBorders>
            <w:vAlign w:val="center"/>
          </w:tcPr>
          <w:p w14:paraId="49DB2DAB">
            <w:pPr>
              <w:pStyle w:val="34"/>
              <w:keepNext/>
              <w:spacing w:after="0" w:line="440" w:lineRule="exact"/>
              <w:ind w:left="63" w:right="63"/>
              <w:rPr>
                <w:rFonts w:ascii="宋体" w:hAnsi="宋体"/>
                <w:color w:val="000000"/>
                <w:sz w:val="24"/>
                <w:szCs w:val="24"/>
                <w:highlight w:val="none"/>
              </w:rPr>
            </w:pPr>
          </w:p>
        </w:tc>
        <w:tc>
          <w:tcPr>
            <w:tcW w:w="2167" w:type="pct"/>
            <w:tcBorders>
              <w:bottom w:val="nil"/>
            </w:tcBorders>
            <w:vAlign w:val="center"/>
          </w:tcPr>
          <w:p w14:paraId="7873C29F">
            <w:pPr>
              <w:pStyle w:val="34"/>
              <w:keepNext/>
              <w:spacing w:after="0" w:line="440" w:lineRule="exact"/>
              <w:ind w:left="63" w:right="63"/>
              <w:rPr>
                <w:rFonts w:ascii="宋体" w:hAnsi="宋体"/>
                <w:color w:val="000000"/>
                <w:sz w:val="24"/>
                <w:szCs w:val="24"/>
                <w:highlight w:val="none"/>
              </w:rPr>
            </w:pPr>
          </w:p>
        </w:tc>
      </w:tr>
      <w:tr w14:paraId="6F312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3718A1DC">
            <w:pPr>
              <w:pStyle w:val="34"/>
              <w:keepNext/>
              <w:spacing w:after="0" w:line="440" w:lineRule="exact"/>
              <w:ind w:left="63" w:right="63"/>
              <w:rPr>
                <w:rFonts w:ascii="宋体" w:hAnsi="宋体"/>
                <w:color w:val="000000"/>
                <w:sz w:val="24"/>
                <w:szCs w:val="24"/>
                <w:highlight w:val="none"/>
              </w:rPr>
            </w:pPr>
          </w:p>
        </w:tc>
        <w:tc>
          <w:tcPr>
            <w:tcW w:w="723" w:type="pct"/>
            <w:vAlign w:val="center"/>
          </w:tcPr>
          <w:p w14:paraId="47063E34">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58D1D17">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1A1F125">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5CACE099">
            <w:pPr>
              <w:pStyle w:val="34"/>
              <w:keepNext/>
              <w:spacing w:after="0" w:line="440" w:lineRule="exact"/>
              <w:ind w:left="63" w:right="63"/>
              <w:rPr>
                <w:rFonts w:ascii="宋体" w:hAnsi="宋体"/>
                <w:color w:val="000000"/>
                <w:sz w:val="24"/>
                <w:szCs w:val="24"/>
                <w:highlight w:val="none"/>
              </w:rPr>
            </w:pPr>
          </w:p>
        </w:tc>
      </w:tr>
      <w:tr w14:paraId="53149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4B4C5135">
            <w:pPr>
              <w:pStyle w:val="34"/>
              <w:keepNext/>
              <w:spacing w:after="0" w:line="440" w:lineRule="exact"/>
              <w:ind w:left="63" w:right="63"/>
              <w:rPr>
                <w:rFonts w:ascii="宋体" w:hAnsi="宋体"/>
                <w:color w:val="000000"/>
                <w:sz w:val="24"/>
                <w:szCs w:val="24"/>
                <w:highlight w:val="none"/>
              </w:rPr>
            </w:pPr>
          </w:p>
        </w:tc>
        <w:tc>
          <w:tcPr>
            <w:tcW w:w="723" w:type="pct"/>
            <w:vAlign w:val="center"/>
          </w:tcPr>
          <w:p w14:paraId="49D4473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6FBD6844">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055DDA2">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09245D1B">
            <w:pPr>
              <w:pStyle w:val="34"/>
              <w:keepNext/>
              <w:spacing w:after="0" w:line="440" w:lineRule="exact"/>
              <w:ind w:left="63" w:right="63"/>
              <w:rPr>
                <w:rFonts w:ascii="宋体" w:hAnsi="宋体"/>
                <w:color w:val="000000"/>
                <w:sz w:val="24"/>
                <w:szCs w:val="24"/>
                <w:highlight w:val="none"/>
              </w:rPr>
            </w:pPr>
          </w:p>
        </w:tc>
      </w:tr>
      <w:tr w14:paraId="45C0F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574CB837">
            <w:pPr>
              <w:pStyle w:val="34"/>
              <w:keepNext/>
              <w:spacing w:after="0" w:line="440" w:lineRule="exact"/>
              <w:ind w:left="63" w:right="63"/>
              <w:rPr>
                <w:rFonts w:ascii="宋体" w:hAnsi="宋体"/>
                <w:color w:val="000000"/>
                <w:sz w:val="24"/>
                <w:szCs w:val="24"/>
                <w:highlight w:val="none"/>
              </w:rPr>
            </w:pPr>
          </w:p>
        </w:tc>
        <w:tc>
          <w:tcPr>
            <w:tcW w:w="723" w:type="pct"/>
            <w:vAlign w:val="center"/>
          </w:tcPr>
          <w:p w14:paraId="3543F1FE">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AA77937">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5E1E196">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55981095">
            <w:pPr>
              <w:pStyle w:val="34"/>
              <w:keepNext/>
              <w:spacing w:after="0" w:line="440" w:lineRule="exact"/>
              <w:ind w:left="63" w:right="63"/>
              <w:rPr>
                <w:rFonts w:ascii="宋体" w:hAnsi="宋体"/>
                <w:color w:val="000000"/>
                <w:sz w:val="24"/>
                <w:szCs w:val="24"/>
                <w:highlight w:val="none"/>
              </w:rPr>
            </w:pPr>
          </w:p>
        </w:tc>
      </w:tr>
      <w:tr w14:paraId="13EC7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tcBorders>
              <w:bottom w:val="single" w:color="auto" w:sz="12" w:space="0"/>
            </w:tcBorders>
            <w:vAlign w:val="center"/>
          </w:tcPr>
          <w:p w14:paraId="17B0C6B5">
            <w:pPr>
              <w:pStyle w:val="34"/>
              <w:keepNext/>
              <w:spacing w:after="0" w:line="440" w:lineRule="exact"/>
              <w:ind w:left="63" w:right="63"/>
              <w:rPr>
                <w:rFonts w:ascii="宋体" w:hAnsi="宋体"/>
                <w:color w:val="000000"/>
                <w:sz w:val="24"/>
                <w:szCs w:val="24"/>
                <w:highlight w:val="none"/>
              </w:rPr>
            </w:pPr>
          </w:p>
        </w:tc>
        <w:tc>
          <w:tcPr>
            <w:tcW w:w="723" w:type="pct"/>
            <w:tcBorders>
              <w:bottom w:val="single" w:color="auto" w:sz="12" w:space="0"/>
            </w:tcBorders>
            <w:vAlign w:val="center"/>
          </w:tcPr>
          <w:p w14:paraId="73C3D83B">
            <w:pPr>
              <w:pStyle w:val="34"/>
              <w:keepNext/>
              <w:spacing w:after="0" w:line="440" w:lineRule="exact"/>
              <w:ind w:left="63" w:right="63"/>
              <w:rPr>
                <w:rFonts w:ascii="宋体" w:hAnsi="宋体"/>
                <w:color w:val="000000"/>
                <w:sz w:val="24"/>
                <w:szCs w:val="24"/>
                <w:highlight w:val="none"/>
              </w:rPr>
            </w:pPr>
          </w:p>
        </w:tc>
        <w:tc>
          <w:tcPr>
            <w:tcW w:w="578" w:type="pct"/>
            <w:tcBorders>
              <w:bottom w:val="single" w:color="auto" w:sz="12" w:space="0"/>
            </w:tcBorders>
            <w:vAlign w:val="center"/>
          </w:tcPr>
          <w:p w14:paraId="3B4B3E67">
            <w:pPr>
              <w:pStyle w:val="34"/>
              <w:keepNext/>
              <w:spacing w:after="0" w:line="440" w:lineRule="exact"/>
              <w:ind w:left="63" w:right="63"/>
              <w:rPr>
                <w:rFonts w:ascii="宋体" w:hAnsi="宋体"/>
                <w:color w:val="000000"/>
                <w:sz w:val="24"/>
                <w:szCs w:val="24"/>
                <w:highlight w:val="none"/>
              </w:rPr>
            </w:pPr>
          </w:p>
        </w:tc>
        <w:tc>
          <w:tcPr>
            <w:tcW w:w="578" w:type="pct"/>
            <w:tcBorders>
              <w:bottom w:val="single" w:color="auto" w:sz="12" w:space="0"/>
            </w:tcBorders>
            <w:vAlign w:val="center"/>
          </w:tcPr>
          <w:p w14:paraId="50A5CFB5">
            <w:pPr>
              <w:pStyle w:val="34"/>
              <w:keepNext/>
              <w:spacing w:after="0" w:line="440" w:lineRule="exact"/>
              <w:ind w:left="63" w:right="63"/>
              <w:rPr>
                <w:rFonts w:ascii="宋体" w:hAnsi="宋体"/>
                <w:color w:val="000000"/>
                <w:sz w:val="24"/>
                <w:szCs w:val="24"/>
                <w:highlight w:val="none"/>
              </w:rPr>
            </w:pPr>
          </w:p>
        </w:tc>
        <w:tc>
          <w:tcPr>
            <w:tcW w:w="2167" w:type="pct"/>
            <w:tcBorders>
              <w:bottom w:val="single" w:color="auto" w:sz="12" w:space="0"/>
            </w:tcBorders>
            <w:vAlign w:val="center"/>
          </w:tcPr>
          <w:p w14:paraId="041E27E0">
            <w:pPr>
              <w:pStyle w:val="34"/>
              <w:keepNext/>
              <w:spacing w:after="0" w:line="440" w:lineRule="exact"/>
              <w:ind w:left="63" w:right="63"/>
              <w:rPr>
                <w:rFonts w:ascii="宋体" w:hAnsi="宋体"/>
                <w:color w:val="000000"/>
                <w:sz w:val="24"/>
                <w:szCs w:val="24"/>
                <w:highlight w:val="none"/>
              </w:rPr>
            </w:pPr>
          </w:p>
        </w:tc>
      </w:tr>
    </w:tbl>
    <w:p w14:paraId="7285B91A">
      <w:pPr>
        <w:spacing w:line="440" w:lineRule="exact"/>
        <w:rPr>
          <w:rFonts w:ascii="宋体" w:hAnsi="宋体"/>
          <w:color w:val="000000"/>
          <w:sz w:val="24"/>
          <w:szCs w:val="24"/>
          <w:highlight w:val="none"/>
        </w:rPr>
      </w:pPr>
      <w:r>
        <w:rPr>
          <w:rFonts w:ascii="宋体" w:hAnsi="宋体"/>
          <w:color w:val="000000"/>
          <w:sz w:val="24"/>
          <w:szCs w:val="24"/>
          <w:highlight w:val="none"/>
        </w:rPr>
        <w:br w:type="page"/>
      </w:r>
      <w:r>
        <w:rPr>
          <w:rFonts w:ascii="宋体" w:hAnsi="宋体"/>
          <w:color w:val="000000"/>
          <w:sz w:val="24"/>
          <w:szCs w:val="24"/>
          <w:highlight w:val="none"/>
        </w:rPr>
        <w:t>附</w:t>
      </w:r>
      <w:bookmarkStart w:id="1018" w:name="_Toc296891057"/>
      <w:bookmarkStart w:id="1019" w:name="_Toc296347228"/>
      <w:bookmarkStart w:id="1020" w:name="_Toc296346730"/>
      <w:bookmarkStart w:id="1021" w:name="_Toc296503229"/>
      <w:bookmarkStart w:id="1022" w:name="_Toc296944568"/>
      <w:bookmarkStart w:id="1023" w:name="_Toc296891269"/>
      <w:r>
        <w:rPr>
          <w:rFonts w:ascii="宋体" w:hAnsi="宋体"/>
          <w:color w:val="000000"/>
          <w:sz w:val="24"/>
          <w:szCs w:val="24"/>
          <w:highlight w:val="none"/>
        </w:rPr>
        <w:t>件7：</w:t>
      </w:r>
    </w:p>
    <w:bookmarkEnd w:id="1018"/>
    <w:bookmarkEnd w:id="1019"/>
    <w:bookmarkEnd w:id="1020"/>
    <w:bookmarkEnd w:id="1021"/>
    <w:bookmarkEnd w:id="1022"/>
    <w:bookmarkEnd w:id="1023"/>
    <w:p w14:paraId="0F1B1DCC">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24"/>
          <w:szCs w:val="24"/>
          <w:highlight w:val="none"/>
        </w:rPr>
        <w:t>分包人主要施工管理人员表</w:t>
      </w:r>
    </w:p>
    <w:tbl>
      <w:tblPr>
        <w:tblStyle w:val="8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0"/>
        <w:gridCol w:w="1303"/>
        <w:gridCol w:w="1042"/>
        <w:gridCol w:w="1042"/>
        <w:gridCol w:w="3907"/>
      </w:tblGrid>
      <w:tr w14:paraId="3371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12" w:space="0"/>
              <w:bottom w:val="double" w:color="auto" w:sz="6" w:space="0"/>
            </w:tcBorders>
            <w:vAlign w:val="center"/>
          </w:tcPr>
          <w:p w14:paraId="1E52DE9F">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名    称</w:t>
            </w:r>
          </w:p>
        </w:tc>
        <w:tc>
          <w:tcPr>
            <w:tcW w:w="723" w:type="pct"/>
            <w:tcBorders>
              <w:top w:val="single" w:color="auto" w:sz="12" w:space="0"/>
              <w:bottom w:val="double" w:color="auto" w:sz="6" w:space="0"/>
            </w:tcBorders>
            <w:vAlign w:val="center"/>
          </w:tcPr>
          <w:p w14:paraId="6C33467C">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姓名</w:t>
            </w:r>
          </w:p>
        </w:tc>
        <w:tc>
          <w:tcPr>
            <w:tcW w:w="578" w:type="pct"/>
            <w:tcBorders>
              <w:top w:val="single" w:color="auto" w:sz="12" w:space="0"/>
              <w:bottom w:val="double" w:color="auto" w:sz="6" w:space="0"/>
            </w:tcBorders>
            <w:vAlign w:val="center"/>
          </w:tcPr>
          <w:p w14:paraId="06240341">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职务</w:t>
            </w:r>
          </w:p>
        </w:tc>
        <w:tc>
          <w:tcPr>
            <w:tcW w:w="578" w:type="pct"/>
            <w:tcBorders>
              <w:top w:val="single" w:color="auto" w:sz="12" w:space="0"/>
              <w:bottom w:val="double" w:color="auto" w:sz="6" w:space="0"/>
            </w:tcBorders>
            <w:vAlign w:val="center"/>
          </w:tcPr>
          <w:p w14:paraId="2E9D8000">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职称</w:t>
            </w:r>
          </w:p>
        </w:tc>
        <w:tc>
          <w:tcPr>
            <w:tcW w:w="2167" w:type="pct"/>
            <w:tcBorders>
              <w:top w:val="single" w:color="auto" w:sz="12" w:space="0"/>
              <w:bottom w:val="double" w:color="auto" w:sz="6" w:space="0"/>
            </w:tcBorders>
            <w:vAlign w:val="center"/>
          </w:tcPr>
          <w:p w14:paraId="6B4439FE">
            <w:pPr>
              <w:pStyle w:val="34"/>
              <w:keepNext/>
              <w:spacing w:after="0" w:line="440" w:lineRule="exact"/>
              <w:ind w:left="63" w:right="63"/>
              <w:jc w:val="center"/>
              <w:rPr>
                <w:rFonts w:ascii="宋体" w:hAnsi="宋体"/>
                <w:color w:val="000000"/>
                <w:sz w:val="24"/>
                <w:szCs w:val="24"/>
                <w:highlight w:val="none"/>
              </w:rPr>
            </w:pPr>
            <w:r>
              <w:rPr>
                <w:rFonts w:ascii="宋体" w:hAnsi="宋体"/>
                <w:color w:val="000000"/>
                <w:sz w:val="24"/>
                <w:szCs w:val="24"/>
                <w:highlight w:val="none"/>
              </w:rPr>
              <w:t>主要资历、经验及承担过的项目</w:t>
            </w:r>
          </w:p>
        </w:tc>
      </w:tr>
      <w:tr w14:paraId="7B39A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vAlign w:val="center"/>
          </w:tcPr>
          <w:p w14:paraId="2C56063A">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一、总部人员</w:t>
            </w:r>
          </w:p>
        </w:tc>
      </w:tr>
      <w:tr w14:paraId="0D693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vAlign w:val="center"/>
          </w:tcPr>
          <w:p w14:paraId="6EE8064A">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项目主管</w:t>
            </w:r>
          </w:p>
        </w:tc>
        <w:tc>
          <w:tcPr>
            <w:tcW w:w="723" w:type="pct"/>
            <w:tcBorders>
              <w:top w:val="nil"/>
            </w:tcBorders>
            <w:vAlign w:val="center"/>
          </w:tcPr>
          <w:p w14:paraId="56464216">
            <w:pPr>
              <w:pStyle w:val="34"/>
              <w:keepNext/>
              <w:spacing w:after="0" w:line="440" w:lineRule="exact"/>
              <w:ind w:left="63" w:right="63"/>
              <w:rPr>
                <w:rFonts w:ascii="宋体" w:hAnsi="宋体"/>
                <w:color w:val="000000"/>
                <w:sz w:val="24"/>
                <w:szCs w:val="24"/>
                <w:highlight w:val="none"/>
              </w:rPr>
            </w:pPr>
          </w:p>
        </w:tc>
        <w:tc>
          <w:tcPr>
            <w:tcW w:w="578" w:type="pct"/>
            <w:tcBorders>
              <w:top w:val="nil"/>
            </w:tcBorders>
            <w:vAlign w:val="center"/>
          </w:tcPr>
          <w:p w14:paraId="606233E9">
            <w:pPr>
              <w:pStyle w:val="34"/>
              <w:keepNext/>
              <w:spacing w:after="0" w:line="440" w:lineRule="exact"/>
              <w:ind w:left="63" w:right="63"/>
              <w:rPr>
                <w:rFonts w:ascii="宋体" w:hAnsi="宋体"/>
                <w:color w:val="000000"/>
                <w:sz w:val="24"/>
                <w:szCs w:val="24"/>
                <w:highlight w:val="none"/>
              </w:rPr>
            </w:pPr>
          </w:p>
        </w:tc>
        <w:tc>
          <w:tcPr>
            <w:tcW w:w="578" w:type="pct"/>
            <w:tcBorders>
              <w:top w:val="nil"/>
            </w:tcBorders>
            <w:vAlign w:val="center"/>
          </w:tcPr>
          <w:p w14:paraId="326E5D64">
            <w:pPr>
              <w:pStyle w:val="34"/>
              <w:keepNext/>
              <w:spacing w:after="0" w:line="440" w:lineRule="exact"/>
              <w:ind w:left="63" w:right="63"/>
              <w:rPr>
                <w:rFonts w:ascii="宋体" w:hAnsi="宋体"/>
                <w:color w:val="000000"/>
                <w:sz w:val="24"/>
                <w:szCs w:val="24"/>
                <w:highlight w:val="none"/>
              </w:rPr>
            </w:pPr>
          </w:p>
        </w:tc>
        <w:tc>
          <w:tcPr>
            <w:tcW w:w="2167" w:type="pct"/>
            <w:tcBorders>
              <w:top w:val="nil"/>
            </w:tcBorders>
            <w:vAlign w:val="center"/>
          </w:tcPr>
          <w:p w14:paraId="4F01A6CF">
            <w:pPr>
              <w:pStyle w:val="34"/>
              <w:keepNext/>
              <w:spacing w:after="0" w:line="440" w:lineRule="exact"/>
              <w:ind w:left="63" w:right="63"/>
              <w:rPr>
                <w:rFonts w:ascii="宋体" w:hAnsi="宋体"/>
                <w:color w:val="000000"/>
                <w:sz w:val="24"/>
                <w:szCs w:val="24"/>
                <w:highlight w:val="none"/>
              </w:rPr>
            </w:pPr>
          </w:p>
        </w:tc>
      </w:tr>
      <w:tr w14:paraId="35EF6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nil"/>
            </w:tcBorders>
            <w:vAlign w:val="center"/>
          </w:tcPr>
          <w:p w14:paraId="18C0757C">
            <w:pPr>
              <w:pStyle w:val="34"/>
              <w:keepNext/>
              <w:spacing w:after="0" w:line="440" w:lineRule="exact"/>
              <w:ind w:left="63" w:right="63"/>
              <w:rPr>
                <w:rFonts w:ascii="宋体" w:hAnsi="宋体"/>
                <w:color w:val="000000"/>
                <w:sz w:val="24"/>
                <w:szCs w:val="24"/>
                <w:highlight w:val="none"/>
              </w:rPr>
            </w:pPr>
          </w:p>
        </w:tc>
        <w:tc>
          <w:tcPr>
            <w:tcW w:w="723" w:type="pct"/>
            <w:vAlign w:val="center"/>
          </w:tcPr>
          <w:p w14:paraId="2A67E420">
            <w:pPr>
              <w:pStyle w:val="34"/>
              <w:keepNext/>
              <w:spacing w:after="0" w:line="440" w:lineRule="exact"/>
              <w:ind w:left="63" w:right="63"/>
              <w:rPr>
                <w:rFonts w:ascii="宋体" w:hAnsi="宋体"/>
                <w:color w:val="000000"/>
                <w:sz w:val="24"/>
                <w:szCs w:val="24"/>
                <w:highlight w:val="none"/>
              </w:rPr>
            </w:pPr>
          </w:p>
        </w:tc>
        <w:tc>
          <w:tcPr>
            <w:tcW w:w="578" w:type="pct"/>
            <w:vAlign w:val="center"/>
          </w:tcPr>
          <w:p w14:paraId="6EA75D70">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5B88C46">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33EA1333">
            <w:pPr>
              <w:pStyle w:val="34"/>
              <w:keepNext/>
              <w:spacing w:after="0" w:line="440" w:lineRule="exact"/>
              <w:ind w:left="63" w:right="63"/>
              <w:rPr>
                <w:rFonts w:ascii="宋体" w:hAnsi="宋体"/>
                <w:color w:val="000000"/>
                <w:sz w:val="24"/>
                <w:szCs w:val="24"/>
                <w:highlight w:val="none"/>
              </w:rPr>
            </w:pPr>
          </w:p>
        </w:tc>
      </w:tr>
      <w:tr w14:paraId="1343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vAlign w:val="center"/>
          </w:tcPr>
          <w:p w14:paraId="3C52B5D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其他人员</w:t>
            </w:r>
          </w:p>
        </w:tc>
        <w:tc>
          <w:tcPr>
            <w:tcW w:w="723" w:type="pct"/>
            <w:vAlign w:val="center"/>
          </w:tcPr>
          <w:p w14:paraId="4C170D2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B60DB1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DC23BED">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5F81D7E0">
            <w:pPr>
              <w:pStyle w:val="34"/>
              <w:keepNext/>
              <w:spacing w:after="0" w:line="440" w:lineRule="exact"/>
              <w:ind w:left="63" w:right="63"/>
              <w:rPr>
                <w:rFonts w:ascii="宋体" w:hAnsi="宋体"/>
                <w:color w:val="000000"/>
                <w:sz w:val="24"/>
                <w:szCs w:val="24"/>
                <w:highlight w:val="none"/>
              </w:rPr>
            </w:pPr>
          </w:p>
        </w:tc>
      </w:tr>
      <w:tr w14:paraId="74C4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nil"/>
              <w:bottom w:val="nil"/>
            </w:tcBorders>
            <w:vAlign w:val="center"/>
          </w:tcPr>
          <w:p w14:paraId="2244095A">
            <w:pPr>
              <w:pStyle w:val="34"/>
              <w:keepNext/>
              <w:spacing w:after="0" w:line="440" w:lineRule="exact"/>
              <w:ind w:left="63" w:right="63"/>
              <w:rPr>
                <w:rFonts w:ascii="宋体" w:hAnsi="宋体"/>
                <w:color w:val="000000"/>
                <w:sz w:val="24"/>
                <w:szCs w:val="24"/>
                <w:highlight w:val="none"/>
              </w:rPr>
            </w:pPr>
          </w:p>
        </w:tc>
        <w:tc>
          <w:tcPr>
            <w:tcW w:w="723" w:type="pct"/>
            <w:vAlign w:val="center"/>
          </w:tcPr>
          <w:p w14:paraId="272779E5">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07C0283">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0791789">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088A23B">
            <w:pPr>
              <w:pStyle w:val="34"/>
              <w:keepNext/>
              <w:spacing w:after="0" w:line="440" w:lineRule="exact"/>
              <w:ind w:left="63" w:right="63"/>
              <w:rPr>
                <w:rFonts w:ascii="宋体" w:hAnsi="宋体"/>
                <w:color w:val="000000"/>
                <w:sz w:val="24"/>
                <w:szCs w:val="24"/>
                <w:highlight w:val="none"/>
              </w:rPr>
            </w:pPr>
          </w:p>
        </w:tc>
      </w:tr>
      <w:tr w14:paraId="47D88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vAlign w:val="center"/>
          </w:tcPr>
          <w:p w14:paraId="380235D8">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二、现场人员</w:t>
            </w:r>
          </w:p>
        </w:tc>
      </w:tr>
      <w:tr w14:paraId="796EA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5833CC0A">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项目经理</w:t>
            </w:r>
          </w:p>
        </w:tc>
        <w:tc>
          <w:tcPr>
            <w:tcW w:w="723" w:type="pct"/>
            <w:vAlign w:val="center"/>
          </w:tcPr>
          <w:p w14:paraId="56278C40">
            <w:pPr>
              <w:pStyle w:val="34"/>
              <w:keepNext/>
              <w:spacing w:after="0" w:line="440" w:lineRule="exact"/>
              <w:ind w:left="63" w:right="63"/>
              <w:rPr>
                <w:rFonts w:ascii="宋体" w:hAnsi="宋体"/>
                <w:color w:val="000000"/>
                <w:sz w:val="24"/>
                <w:szCs w:val="24"/>
                <w:highlight w:val="none"/>
              </w:rPr>
            </w:pPr>
          </w:p>
        </w:tc>
        <w:tc>
          <w:tcPr>
            <w:tcW w:w="578" w:type="pct"/>
            <w:vAlign w:val="center"/>
          </w:tcPr>
          <w:p w14:paraId="463C4D50">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26EDCA4">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42134C9B">
            <w:pPr>
              <w:pStyle w:val="34"/>
              <w:keepNext/>
              <w:spacing w:after="0" w:line="440" w:lineRule="exact"/>
              <w:ind w:left="63" w:right="63"/>
              <w:rPr>
                <w:rFonts w:ascii="宋体" w:hAnsi="宋体"/>
                <w:color w:val="000000"/>
                <w:sz w:val="24"/>
                <w:szCs w:val="24"/>
                <w:highlight w:val="none"/>
              </w:rPr>
            </w:pPr>
          </w:p>
        </w:tc>
      </w:tr>
      <w:tr w14:paraId="0067B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24D60596">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项目副经理</w:t>
            </w:r>
          </w:p>
        </w:tc>
        <w:tc>
          <w:tcPr>
            <w:tcW w:w="723" w:type="pct"/>
            <w:vAlign w:val="center"/>
          </w:tcPr>
          <w:p w14:paraId="41A1002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8903FB2">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0E873D8">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0B0F9B0">
            <w:pPr>
              <w:pStyle w:val="34"/>
              <w:keepNext/>
              <w:spacing w:after="0" w:line="440" w:lineRule="exact"/>
              <w:ind w:left="63" w:right="63"/>
              <w:rPr>
                <w:rFonts w:ascii="宋体" w:hAnsi="宋体"/>
                <w:color w:val="000000"/>
                <w:sz w:val="24"/>
                <w:szCs w:val="24"/>
                <w:highlight w:val="none"/>
              </w:rPr>
            </w:pPr>
          </w:p>
        </w:tc>
      </w:tr>
      <w:tr w14:paraId="3162F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259A4F1A">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技术负责人</w:t>
            </w:r>
          </w:p>
        </w:tc>
        <w:tc>
          <w:tcPr>
            <w:tcW w:w="723" w:type="pct"/>
            <w:vAlign w:val="center"/>
          </w:tcPr>
          <w:p w14:paraId="2BD970F0">
            <w:pPr>
              <w:pStyle w:val="34"/>
              <w:keepNext/>
              <w:spacing w:after="0" w:line="440" w:lineRule="exact"/>
              <w:ind w:left="63" w:right="63"/>
              <w:rPr>
                <w:rFonts w:ascii="宋体" w:hAnsi="宋体"/>
                <w:color w:val="000000"/>
                <w:sz w:val="24"/>
                <w:szCs w:val="24"/>
                <w:highlight w:val="none"/>
              </w:rPr>
            </w:pPr>
          </w:p>
        </w:tc>
        <w:tc>
          <w:tcPr>
            <w:tcW w:w="578" w:type="pct"/>
            <w:vAlign w:val="center"/>
          </w:tcPr>
          <w:p w14:paraId="4FCE7CE8">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F9AA254">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2A524663">
            <w:pPr>
              <w:pStyle w:val="34"/>
              <w:keepNext/>
              <w:spacing w:after="0" w:line="440" w:lineRule="exact"/>
              <w:ind w:left="63" w:right="63"/>
              <w:rPr>
                <w:rFonts w:ascii="宋体" w:hAnsi="宋体"/>
                <w:color w:val="000000"/>
                <w:sz w:val="24"/>
                <w:szCs w:val="24"/>
                <w:highlight w:val="none"/>
              </w:rPr>
            </w:pPr>
          </w:p>
        </w:tc>
      </w:tr>
      <w:tr w14:paraId="6DE66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3DA7311E">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造价管理</w:t>
            </w:r>
          </w:p>
        </w:tc>
        <w:tc>
          <w:tcPr>
            <w:tcW w:w="723" w:type="pct"/>
            <w:vAlign w:val="center"/>
          </w:tcPr>
          <w:p w14:paraId="52142CA1">
            <w:pPr>
              <w:pStyle w:val="34"/>
              <w:keepNext/>
              <w:spacing w:after="0" w:line="440" w:lineRule="exact"/>
              <w:ind w:left="63" w:right="63"/>
              <w:rPr>
                <w:rFonts w:ascii="宋体" w:hAnsi="宋体"/>
                <w:color w:val="000000"/>
                <w:sz w:val="24"/>
                <w:szCs w:val="24"/>
                <w:highlight w:val="none"/>
              </w:rPr>
            </w:pPr>
          </w:p>
        </w:tc>
        <w:tc>
          <w:tcPr>
            <w:tcW w:w="578" w:type="pct"/>
            <w:vAlign w:val="center"/>
          </w:tcPr>
          <w:p w14:paraId="6B01096F">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1D3C536">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54417305">
            <w:pPr>
              <w:pStyle w:val="34"/>
              <w:keepNext/>
              <w:spacing w:after="0" w:line="440" w:lineRule="exact"/>
              <w:ind w:left="63" w:right="63"/>
              <w:rPr>
                <w:rFonts w:ascii="宋体" w:hAnsi="宋体"/>
                <w:color w:val="000000"/>
                <w:sz w:val="24"/>
                <w:szCs w:val="24"/>
                <w:highlight w:val="none"/>
              </w:rPr>
            </w:pPr>
          </w:p>
        </w:tc>
      </w:tr>
      <w:tr w14:paraId="12188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3C362643">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质量管理</w:t>
            </w:r>
          </w:p>
        </w:tc>
        <w:tc>
          <w:tcPr>
            <w:tcW w:w="723" w:type="pct"/>
            <w:vAlign w:val="center"/>
          </w:tcPr>
          <w:p w14:paraId="0466A632">
            <w:pPr>
              <w:pStyle w:val="34"/>
              <w:keepNext/>
              <w:spacing w:after="0" w:line="440" w:lineRule="exact"/>
              <w:ind w:left="63" w:right="63"/>
              <w:rPr>
                <w:rFonts w:ascii="宋体" w:hAnsi="宋体"/>
                <w:color w:val="000000"/>
                <w:sz w:val="24"/>
                <w:szCs w:val="24"/>
                <w:highlight w:val="none"/>
              </w:rPr>
            </w:pPr>
          </w:p>
        </w:tc>
        <w:tc>
          <w:tcPr>
            <w:tcW w:w="578" w:type="pct"/>
            <w:vAlign w:val="center"/>
          </w:tcPr>
          <w:p w14:paraId="71027512">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6523A7D">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1B9A8622">
            <w:pPr>
              <w:pStyle w:val="34"/>
              <w:keepNext/>
              <w:spacing w:after="0" w:line="440" w:lineRule="exact"/>
              <w:ind w:left="63" w:right="63"/>
              <w:rPr>
                <w:rFonts w:ascii="宋体" w:hAnsi="宋体"/>
                <w:color w:val="000000"/>
                <w:sz w:val="24"/>
                <w:szCs w:val="24"/>
                <w:highlight w:val="none"/>
              </w:rPr>
            </w:pPr>
          </w:p>
        </w:tc>
      </w:tr>
      <w:tr w14:paraId="1E2C1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52E94A73">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材料管理</w:t>
            </w:r>
          </w:p>
        </w:tc>
        <w:tc>
          <w:tcPr>
            <w:tcW w:w="723" w:type="pct"/>
            <w:vAlign w:val="center"/>
          </w:tcPr>
          <w:p w14:paraId="5ADA063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792DC0D9">
            <w:pPr>
              <w:pStyle w:val="34"/>
              <w:keepNext/>
              <w:spacing w:after="0" w:line="440" w:lineRule="exact"/>
              <w:ind w:left="63" w:right="63"/>
              <w:rPr>
                <w:rFonts w:ascii="宋体" w:hAnsi="宋体"/>
                <w:color w:val="000000"/>
                <w:sz w:val="24"/>
                <w:szCs w:val="24"/>
                <w:highlight w:val="none"/>
              </w:rPr>
            </w:pPr>
          </w:p>
        </w:tc>
        <w:tc>
          <w:tcPr>
            <w:tcW w:w="578" w:type="pct"/>
            <w:vAlign w:val="center"/>
          </w:tcPr>
          <w:p w14:paraId="6B4C469B">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83D9939">
            <w:pPr>
              <w:pStyle w:val="34"/>
              <w:keepNext/>
              <w:spacing w:after="0" w:line="440" w:lineRule="exact"/>
              <w:ind w:left="63" w:right="63"/>
              <w:rPr>
                <w:rFonts w:ascii="宋体" w:hAnsi="宋体"/>
                <w:color w:val="000000"/>
                <w:sz w:val="24"/>
                <w:szCs w:val="24"/>
                <w:highlight w:val="none"/>
              </w:rPr>
            </w:pPr>
          </w:p>
        </w:tc>
      </w:tr>
      <w:tr w14:paraId="55166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1C4A10E8">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计划管理</w:t>
            </w:r>
          </w:p>
        </w:tc>
        <w:tc>
          <w:tcPr>
            <w:tcW w:w="723" w:type="pct"/>
            <w:vAlign w:val="center"/>
          </w:tcPr>
          <w:p w14:paraId="60775EAF">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E784793">
            <w:pPr>
              <w:pStyle w:val="34"/>
              <w:keepNext/>
              <w:spacing w:after="0" w:line="440" w:lineRule="exact"/>
              <w:ind w:left="63" w:right="63"/>
              <w:rPr>
                <w:rFonts w:ascii="宋体" w:hAnsi="宋体"/>
                <w:color w:val="000000"/>
                <w:sz w:val="24"/>
                <w:szCs w:val="24"/>
                <w:highlight w:val="none"/>
              </w:rPr>
            </w:pPr>
          </w:p>
        </w:tc>
        <w:tc>
          <w:tcPr>
            <w:tcW w:w="578" w:type="pct"/>
            <w:vAlign w:val="center"/>
          </w:tcPr>
          <w:p w14:paraId="475EB0BD">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16AF1070">
            <w:pPr>
              <w:pStyle w:val="34"/>
              <w:keepNext/>
              <w:spacing w:after="0" w:line="440" w:lineRule="exact"/>
              <w:ind w:left="63" w:right="63"/>
              <w:rPr>
                <w:rFonts w:ascii="宋体" w:hAnsi="宋体"/>
                <w:color w:val="000000"/>
                <w:sz w:val="24"/>
                <w:szCs w:val="24"/>
                <w:highlight w:val="none"/>
              </w:rPr>
            </w:pPr>
          </w:p>
        </w:tc>
      </w:tr>
      <w:tr w14:paraId="4D652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tcBorders>
              <w:top w:val="single" w:color="auto" w:sz="6" w:space="0"/>
              <w:bottom w:val="single" w:color="auto" w:sz="6" w:space="0"/>
            </w:tcBorders>
            <w:vAlign w:val="center"/>
          </w:tcPr>
          <w:p w14:paraId="5693D4FA">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安全管理</w:t>
            </w:r>
          </w:p>
        </w:tc>
        <w:tc>
          <w:tcPr>
            <w:tcW w:w="723" w:type="pct"/>
            <w:vAlign w:val="center"/>
          </w:tcPr>
          <w:p w14:paraId="005E5975">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E9AA0C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4D174392">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10880644">
            <w:pPr>
              <w:pStyle w:val="34"/>
              <w:keepNext/>
              <w:spacing w:after="0" w:line="440" w:lineRule="exact"/>
              <w:ind w:left="63" w:right="63"/>
              <w:rPr>
                <w:rFonts w:ascii="宋体" w:hAnsi="宋体"/>
                <w:color w:val="000000"/>
                <w:sz w:val="24"/>
                <w:szCs w:val="24"/>
                <w:highlight w:val="none"/>
              </w:rPr>
            </w:pPr>
          </w:p>
        </w:tc>
      </w:tr>
      <w:tr w14:paraId="39A0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restart"/>
            <w:tcBorders>
              <w:top w:val="single" w:color="auto" w:sz="6" w:space="0"/>
            </w:tcBorders>
            <w:vAlign w:val="center"/>
          </w:tcPr>
          <w:p w14:paraId="3D1A967B">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其他人员</w:t>
            </w:r>
          </w:p>
        </w:tc>
        <w:tc>
          <w:tcPr>
            <w:tcW w:w="723" w:type="pct"/>
            <w:vAlign w:val="center"/>
          </w:tcPr>
          <w:p w14:paraId="400BCD91">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FDA0832">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A793BD0">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67F83F46">
            <w:pPr>
              <w:pStyle w:val="34"/>
              <w:keepNext/>
              <w:spacing w:after="0" w:line="440" w:lineRule="exact"/>
              <w:ind w:left="63" w:right="63"/>
              <w:rPr>
                <w:rFonts w:ascii="宋体" w:hAnsi="宋体"/>
                <w:color w:val="000000"/>
                <w:sz w:val="24"/>
                <w:szCs w:val="24"/>
                <w:highlight w:val="none"/>
              </w:rPr>
            </w:pPr>
          </w:p>
        </w:tc>
      </w:tr>
      <w:tr w14:paraId="5D539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58ADB843">
            <w:pPr>
              <w:pStyle w:val="34"/>
              <w:keepNext/>
              <w:spacing w:after="0" w:line="440" w:lineRule="exact"/>
              <w:ind w:left="63" w:right="63"/>
              <w:rPr>
                <w:rFonts w:ascii="宋体" w:hAnsi="宋体"/>
                <w:color w:val="000000"/>
                <w:sz w:val="24"/>
                <w:szCs w:val="24"/>
                <w:highlight w:val="none"/>
              </w:rPr>
            </w:pPr>
          </w:p>
        </w:tc>
        <w:tc>
          <w:tcPr>
            <w:tcW w:w="723" w:type="pct"/>
            <w:tcBorders>
              <w:bottom w:val="nil"/>
            </w:tcBorders>
            <w:vAlign w:val="center"/>
          </w:tcPr>
          <w:p w14:paraId="1B82D9DA">
            <w:pPr>
              <w:pStyle w:val="34"/>
              <w:keepNext/>
              <w:spacing w:after="0" w:line="440" w:lineRule="exact"/>
              <w:ind w:left="63" w:right="63"/>
              <w:rPr>
                <w:rFonts w:ascii="宋体" w:hAnsi="宋体"/>
                <w:color w:val="000000"/>
                <w:sz w:val="24"/>
                <w:szCs w:val="24"/>
                <w:highlight w:val="none"/>
              </w:rPr>
            </w:pPr>
          </w:p>
        </w:tc>
        <w:tc>
          <w:tcPr>
            <w:tcW w:w="578" w:type="pct"/>
            <w:tcBorders>
              <w:bottom w:val="nil"/>
            </w:tcBorders>
            <w:vAlign w:val="center"/>
          </w:tcPr>
          <w:p w14:paraId="05EC4F2C">
            <w:pPr>
              <w:pStyle w:val="34"/>
              <w:keepNext/>
              <w:spacing w:after="0" w:line="440" w:lineRule="exact"/>
              <w:ind w:left="63" w:right="63"/>
              <w:rPr>
                <w:rFonts w:ascii="宋体" w:hAnsi="宋体"/>
                <w:color w:val="000000"/>
                <w:sz w:val="24"/>
                <w:szCs w:val="24"/>
                <w:highlight w:val="none"/>
              </w:rPr>
            </w:pPr>
          </w:p>
        </w:tc>
        <w:tc>
          <w:tcPr>
            <w:tcW w:w="578" w:type="pct"/>
            <w:tcBorders>
              <w:bottom w:val="nil"/>
            </w:tcBorders>
            <w:vAlign w:val="center"/>
          </w:tcPr>
          <w:p w14:paraId="55A60FB1">
            <w:pPr>
              <w:pStyle w:val="34"/>
              <w:keepNext/>
              <w:spacing w:after="0" w:line="440" w:lineRule="exact"/>
              <w:ind w:left="63" w:right="63"/>
              <w:rPr>
                <w:rFonts w:ascii="宋体" w:hAnsi="宋体"/>
                <w:color w:val="000000"/>
                <w:sz w:val="24"/>
                <w:szCs w:val="24"/>
                <w:highlight w:val="none"/>
              </w:rPr>
            </w:pPr>
          </w:p>
        </w:tc>
        <w:tc>
          <w:tcPr>
            <w:tcW w:w="2167" w:type="pct"/>
            <w:tcBorders>
              <w:bottom w:val="nil"/>
            </w:tcBorders>
            <w:vAlign w:val="center"/>
          </w:tcPr>
          <w:p w14:paraId="5EB4E8CB">
            <w:pPr>
              <w:pStyle w:val="34"/>
              <w:keepNext/>
              <w:spacing w:after="0" w:line="440" w:lineRule="exact"/>
              <w:ind w:left="63" w:right="63"/>
              <w:rPr>
                <w:rFonts w:ascii="宋体" w:hAnsi="宋体"/>
                <w:color w:val="000000"/>
                <w:sz w:val="24"/>
                <w:szCs w:val="24"/>
                <w:highlight w:val="none"/>
              </w:rPr>
            </w:pPr>
          </w:p>
        </w:tc>
      </w:tr>
      <w:tr w14:paraId="01EC2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6B09728A">
            <w:pPr>
              <w:pStyle w:val="34"/>
              <w:keepNext/>
              <w:spacing w:after="0" w:line="440" w:lineRule="exact"/>
              <w:ind w:left="63" w:right="63"/>
              <w:rPr>
                <w:rFonts w:ascii="宋体" w:hAnsi="宋体"/>
                <w:color w:val="000000"/>
                <w:sz w:val="24"/>
                <w:szCs w:val="24"/>
                <w:highlight w:val="none"/>
              </w:rPr>
            </w:pPr>
          </w:p>
        </w:tc>
        <w:tc>
          <w:tcPr>
            <w:tcW w:w="723" w:type="pct"/>
            <w:vAlign w:val="center"/>
          </w:tcPr>
          <w:p w14:paraId="647C05E7">
            <w:pPr>
              <w:pStyle w:val="34"/>
              <w:keepNext/>
              <w:spacing w:after="0" w:line="440" w:lineRule="exact"/>
              <w:ind w:left="63" w:right="63"/>
              <w:rPr>
                <w:rFonts w:ascii="宋体" w:hAnsi="宋体"/>
                <w:color w:val="000000"/>
                <w:sz w:val="24"/>
                <w:szCs w:val="24"/>
                <w:highlight w:val="none"/>
              </w:rPr>
            </w:pPr>
          </w:p>
        </w:tc>
        <w:tc>
          <w:tcPr>
            <w:tcW w:w="578" w:type="pct"/>
            <w:vAlign w:val="center"/>
          </w:tcPr>
          <w:p w14:paraId="04FB4CCF">
            <w:pPr>
              <w:pStyle w:val="34"/>
              <w:keepNext/>
              <w:spacing w:after="0" w:line="440" w:lineRule="exact"/>
              <w:ind w:left="63" w:right="63"/>
              <w:rPr>
                <w:rFonts w:ascii="宋体" w:hAnsi="宋体"/>
                <w:color w:val="000000"/>
                <w:sz w:val="24"/>
                <w:szCs w:val="24"/>
                <w:highlight w:val="none"/>
              </w:rPr>
            </w:pPr>
          </w:p>
        </w:tc>
        <w:tc>
          <w:tcPr>
            <w:tcW w:w="578" w:type="pct"/>
            <w:vAlign w:val="center"/>
          </w:tcPr>
          <w:p w14:paraId="37BE452A">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19703D4B">
            <w:pPr>
              <w:pStyle w:val="34"/>
              <w:keepNext/>
              <w:spacing w:after="0" w:line="440" w:lineRule="exact"/>
              <w:ind w:left="63" w:right="63"/>
              <w:rPr>
                <w:rFonts w:ascii="宋体" w:hAnsi="宋体"/>
                <w:color w:val="000000"/>
                <w:sz w:val="24"/>
                <w:szCs w:val="24"/>
                <w:highlight w:val="none"/>
              </w:rPr>
            </w:pPr>
          </w:p>
        </w:tc>
      </w:tr>
      <w:tr w14:paraId="15482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5AEE3101">
            <w:pPr>
              <w:pStyle w:val="34"/>
              <w:keepNext/>
              <w:spacing w:after="0" w:line="440" w:lineRule="exact"/>
              <w:ind w:left="63" w:right="63"/>
              <w:rPr>
                <w:rFonts w:ascii="宋体" w:hAnsi="宋体"/>
                <w:color w:val="000000"/>
                <w:sz w:val="24"/>
                <w:szCs w:val="24"/>
                <w:highlight w:val="none"/>
              </w:rPr>
            </w:pPr>
          </w:p>
        </w:tc>
        <w:tc>
          <w:tcPr>
            <w:tcW w:w="723" w:type="pct"/>
            <w:vAlign w:val="center"/>
          </w:tcPr>
          <w:p w14:paraId="7EDAE58E">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EA56289">
            <w:pPr>
              <w:pStyle w:val="34"/>
              <w:keepNext/>
              <w:spacing w:after="0" w:line="440" w:lineRule="exact"/>
              <w:ind w:left="63" w:right="63"/>
              <w:rPr>
                <w:rFonts w:ascii="宋体" w:hAnsi="宋体"/>
                <w:color w:val="000000"/>
                <w:sz w:val="24"/>
                <w:szCs w:val="24"/>
                <w:highlight w:val="none"/>
              </w:rPr>
            </w:pPr>
          </w:p>
        </w:tc>
        <w:tc>
          <w:tcPr>
            <w:tcW w:w="578" w:type="pct"/>
            <w:vAlign w:val="center"/>
          </w:tcPr>
          <w:p w14:paraId="19C1F59E">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40F86BB1">
            <w:pPr>
              <w:pStyle w:val="34"/>
              <w:keepNext/>
              <w:spacing w:after="0" w:line="440" w:lineRule="exact"/>
              <w:ind w:left="63" w:right="63"/>
              <w:rPr>
                <w:rFonts w:ascii="宋体" w:hAnsi="宋体"/>
                <w:color w:val="000000"/>
                <w:sz w:val="24"/>
                <w:szCs w:val="24"/>
                <w:highlight w:val="none"/>
              </w:rPr>
            </w:pPr>
          </w:p>
        </w:tc>
      </w:tr>
      <w:tr w14:paraId="10FC4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vAlign w:val="center"/>
          </w:tcPr>
          <w:p w14:paraId="0D43F56E">
            <w:pPr>
              <w:pStyle w:val="34"/>
              <w:keepNext/>
              <w:spacing w:after="0" w:line="440" w:lineRule="exact"/>
              <w:ind w:left="63" w:right="63"/>
              <w:rPr>
                <w:rFonts w:ascii="宋体" w:hAnsi="宋体"/>
                <w:color w:val="000000"/>
                <w:sz w:val="24"/>
                <w:szCs w:val="24"/>
                <w:highlight w:val="none"/>
              </w:rPr>
            </w:pPr>
          </w:p>
        </w:tc>
        <w:tc>
          <w:tcPr>
            <w:tcW w:w="723" w:type="pct"/>
            <w:vAlign w:val="center"/>
          </w:tcPr>
          <w:p w14:paraId="032B2F8B">
            <w:pPr>
              <w:pStyle w:val="34"/>
              <w:keepNext/>
              <w:spacing w:after="0" w:line="440" w:lineRule="exact"/>
              <w:ind w:left="63" w:right="63"/>
              <w:rPr>
                <w:rFonts w:ascii="宋体" w:hAnsi="宋体"/>
                <w:color w:val="000000"/>
                <w:sz w:val="24"/>
                <w:szCs w:val="24"/>
                <w:highlight w:val="none"/>
              </w:rPr>
            </w:pPr>
          </w:p>
        </w:tc>
        <w:tc>
          <w:tcPr>
            <w:tcW w:w="578" w:type="pct"/>
            <w:vAlign w:val="center"/>
          </w:tcPr>
          <w:p w14:paraId="2ACB8BEA">
            <w:pPr>
              <w:pStyle w:val="34"/>
              <w:keepNext/>
              <w:spacing w:after="0" w:line="440" w:lineRule="exact"/>
              <w:ind w:left="63" w:right="63"/>
              <w:rPr>
                <w:rFonts w:ascii="宋体" w:hAnsi="宋体"/>
                <w:color w:val="000000"/>
                <w:sz w:val="24"/>
                <w:szCs w:val="24"/>
                <w:highlight w:val="none"/>
              </w:rPr>
            </w:pPr>
          </w:p>
        </w:tc>
        <w:tc>
          <w:tcPr>
            <w:tcW w:w="578" w:type="pct"/>
            <w:vAlign w:val="center"/>
          </w:tcPr>
          <w:p w14:paraId="5DC34E20">
            <w:pPr>
              <w:pStyle w:val="34"/>
              <w:keepNext/>
              <w:spacing w:after="0" w:line="440" w:lineRule="exact"/>
              <w:ind w:left="63" w:right="63"/>
              <w:rPr>
                <w:rFonts w:ascii="宋体" w:hAnsi="宋体"/>
                <w:color w:val="000000"/>
                <w:sz w:val="24"/>
                <w:szCs w:val="24"/>
                <w:highlight w:val="none"/>
              </w:rPr>
            </w:pPr>
          </w:p>
        </w:tc>
        <w:tc>
          <w:tcPr>
            <w:tcW w:w="2167" w:type="pct"/>
            <w:vAlign w:val="center"/>
          </w:tcPr>
          <w:p w14:paraId="2899025C">
            <w:pPr>
              <w:pStyle w:val="34"/>
              <w:keepNext/>
              <w:spacing w:after="0" w:line="440" w:lineRule="exact"/>
              <w:ind w:left="63" w:right="63"/>
              <w:rPr>
                <w:rFonts w:ascii="宋体" w:hAnsi="宋体"/>
                <w:color w:val="000000"/>
                <w:sz w:val="24"/>
                <w:szCs w:val="24"/>
                <w:highlight w:val="none"/>
              </w:rPr>
            </w:pPr>
          </w:p>
        </w:tc>
      </w:tr>
      <w:tr w14:paraId="2838A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4" w:type="pct"/>
            <w:vMerge w:val="continue"/>
            <w:tcBorders>
              <w:bottom w:val="single" w:color="auto" w:sz="12" w:space="0"/>
            </w:tcBorders>
            <w:vAlign w:val="center"/>
          </w:tcPr>
          <w:p w14:paraId="39AFE640">
            <w:pPr>
              <w:pStyle w:val="34"/>
              <w:keepNext/>
              <w:spacing w:after="0" w:line="440" w:lineRule="exact"/>
              <w:ind w:left="63" w:right="63"/>
              <w:rPr>
                <w:rFonts w:ascii="宋体" w:hAnsi="宋体"/>
                <w:color w:val="000000"/>
                <w:sz w:val="24"/>
                <w:szCs w:val="24"/>
                <w:highlight w:val="none"/>
              </w:rPr>
            </w:pPr>
          </w:p>
        </w:tc>
        <w:tc>
          <w:tcPr>
            <w:tcW w:w="723" w:type="pct"/>
            <w:tcBorders>
              <w:bottom w:val="single" w:color="auto" w:sz="12" w:space="0"/>
            </w:tcBorders>
            <w:vAlign w:val="center"/>
          </w:tcPr>
          <w:p w14:paraId="2C20EF95">
            <w:pPr>
              <w:pStyle w:val="34"/>
              <w:keepNext/>
              <w:spacing w:after="0" w:line="440" w:lineRule="exact"/>
              <w:ind w:left="63" w:right="63"/>
              <w:rPr>
                <w:rFonts w:ascii="宋体" w:hAnsi="宋体"/>
                <w:color w:val="000000"/>
                <w:sz w:val="24"/>
                <w:szCs w:val="24"/>
                <w:highlight w:val="none"/>
              </w:rPr>
            </w:pPr>
          </w:p>
        </w:tc>
        <w:tc>
          <w:tcPr>
            <w:tcW w:w="578" w:type="pct"/>
            <w:tcBorders>
              <w:bottom w:val="single" w:color="auto" w:sz="12" w:space="0"/>
            </w:tcBorders>
            <w:vAlign w:val="center"/>
          </w:tcPr>
          <w:p w14:paraId="0693E1CD">
            <w:pPr>
              <w:pStyle w:val="34"/>
              <w:keepNext/>
              <w:spacing w:after="0" w:line="440" w:lineRule="exact"/>
              <w:ind w:left="63" w:right="63"/>
              <w:rPr>
                <w:rFonts w:ascii="宋体" w:hAnsi="宋体"/>
                <w:color w:val="000000"/>
                <w:sz w:val="24"/>
                <w:szCs w:val="24"/>
                <w:highlight w:val="none"/>
              </w:rPr>
            </w:pPr>
          </w:p>
        </w:tc>
        <w:tc>
          <w:tcPr>
            <w:tcW w:w="578" w:type="pct"/>
            <w:tcBorders>
              <w:bottom w:val="single" w:color="auto" w:sz="12" w:space="0"/>
            </w:tcBorders>
            <w:vAlign w:val="center"/>
          </w:tcPr>
          <w:p w14:paraId="724A3190">
            <w:pPr>
              <w:pStyle w:val="34"/>
              <w:keepNext/>
              <w:spacing w:after="0" w:line="440" w:lineRule="exact"/>
              <w:ind w:left="63" w:right="63"/>
              <w:rPr>
                <w:rFonts w:ascii="宋体" w:hAnsi="宋体"/>
                <w:color w:val="000000"/>
                <w:sz w:val="24"/>
                <w:szCs w:val="24"/>
                <w:highlight w:val="none"/>
              </w:rPr>
            </w:pPr>
          </w:p>
        </w:tc>
        <w:tc>
          <w:tcPr>
            <w:tcW w:w="2167" w:type="pct"/>
            <w:tcBorders>
              <w:bottom w:val="single" w:color="auto" w:sz="12" w:space="0"/>
            </w:tcBorders>
            <w:vAlign w:val="center"/>
          </w:tcPr>
          <w:p w14:paraId="235C5514">
            <w:pPr>
              <w:pStyle w:val="34"/>
              <w:keepNext/>
              <w:spacing w:after="0" w:line="440" w:lineRule="exact"/>
              <w:ind w:left="63" w:right="63"/>
              <w:rPr>
                <w:rFonts w:ascii="宋体" w:hAnsi="宋体"/>
                <w:color w:val="000000"/>
                <w:sz w:val="24"/>
                <w:szCs w:val="24"/>
                <w:highlight w:val="none"/>
              </w:rPr>
            </w:pPr>
          </w:p>
        </w:tc>
      </w:tr>
    </w:tbl>
    <w:p w14:paraId="6A1339D7">
      <w:pPr>
        <w:widowControl/>
        <w:jc w:val="left"/>
        <w:rPr>
          <w:rFonts w:ascii="宋体" w:hAnsi="宋体"/>
          <w:color w:val="000000"/>
          <w:sz w:val="24"/>
          <w:szCs w:val="24"/>
          <w:highlight w:val="none"/>
        </w:rPr>
      </w:pPr>
      <w:r>
        <w:rPr>
          <w:rFonts w:ascii="宋体" w:hAnsi="宋体"/>
          <w:color w:val="000000"/>
          <w:sz w:val="24"/>
          <w:szCs w:val="24"/>
          <w:highlight w:val="none"/>
        </w:rPr>
        <w:br w:type="page"/>
      </w:r>
    </w:p>
    <w:p w14:paraId="2492DA3C">
      <w:pPr>
        <w:spacing w:line="440" w:lineRule="exact"/>
        <w:rPr>
          <w:rFonts w:ascii="宋体" w:hAnsi="宋体"/>
          <w:color w:val="000000"/>
          <w:sz w:val="24"/>
          <w:szCs w:val="24"/>
          <w:highlight w:val="none"/>
        </w:rPr>
      </w:pPr>
      <w:r>
        <w:rPr>
          <w:rFonts w:ascii="宋体" w:hAnsi="宋体"/>
          <w:color w:val="000000"/>
          <w:sz w:val="24"/>
          <w:szCs w:val="24"/>
          <w:highlight w:val="none"/>
        </w:rPr>
        <w:t>附件</w:t>
      </w:r>
      <w:r>
        <w:rPr>
          <w:rFonts w:hint="eastAsia" w:ascii="宋体" w:hAnsi="宋体"/>
          <w:color w:val="000000"/>
          <w:sz w:val="24"/>
          <w:szCs w:val="24"/>
          <w:highlight w:val="none"/>
          <w:lang w:val="en-US" w:eastAsia="zh-CN"/>
        </w:rPr>
        <w:t>8</w:t>
      </w:r>
      <w:r>
        <w:rPr>
          <w:rFonts w:ascii="宋体" w:hAnsi="宋体"/>
          <w:color w:val="000000"/>
          <w:sz w:val="24"/>
          <w:szCs w:val="24"/>
          <w:highlight w:val="none"/>
        </w:rPr>
        <w:t>：</w:t>
      </w:r>
    </w:p>
    <w:p w14:paraId="30CAF8A1">
      <w:pPr>
        <w:spacing w:before="120" w:beforeLines="50" w:after="120" w:afterLines="50" w:line="440" w:lineRule="exact"/>
        <w:jc w:val="center"/>
        <w:outlineLvl w:val="0"/>
        <w:rPr>
          <w:rFonts w:ascii="宋体" w:hAns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0</w:t>
      </w:r>
      <w:r>
        <w:rPr>
          <w:rFonts w:ascii="宋体" w:hAnsi="宋体"/>
          <w:color w:val="000000"/>
          <w:sz w:val="24"/>
          <w:szCs w:val="24"/>
          <w:highlight w:val="none"/>
        </w:rPr>
        <w:t>-1：材料暂估价表</w:t>
      </w:r>
    </w:p>
    <w:tbl>
      <w:tblPr>
        <w:tblStyle w:val="8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AF51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5B1013E">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序号</w:t>
            </w:r>
          </w:p>
        </w:tc>
        <w:tc>
          <w:tcPr>
            <w:tcW w:w="1984" w:type="dxa"/>
            <w:tcBorders>
              <w:top w:val="single" w:color="auto" w:sz="12" w:space="0"/>
              <w:bottom w:val="double" w:color="auto" w:sz="6" w:space="0"/>
            </w:tcBorders>
          </w:tcPr>
          <w:p w14:paraId="22898FAD">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名称</w:t>
            </w:r>
          </w:p>
        </w:tc>
        <w:tc>
          <w:tcPr>
            <w:tcW w:w="851" w:type="dxa"/>
            <w:tcBorders>
              <w:top w:val="single" w:color="auto" w:sz="12" w:space="0"/>
              <w:bottom w:val="double" w:color="auto" w:sz="6" w:space="0"/>
            </w:tcBorders>
          </w:tcPr>
          <w:p w14:paraId="1259A5E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单位</w:t>
            </w:r>
          </w:p>
        </w:tc>
        <w:tc>
          <w:tcPr>
            <w:tcW w:w="774" w:type="dxa"/>
            <w:tcBorders>
              <w:top w:val="single" w:color="auto" w:sz="12" w:space="0"/>
              <w:bottom w:val="double" w:color="auto" w:sz="6" w:space="0"/>
            </w:tcBorders>
          </w:tcPr>
          <w:p w14:paraId="143E88C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数量</w:t>
            </w:r>
          </w:p>
        </w:tc>
        <w:tc>
          <w:tcPr>
            <w:tcW w:w="1352" w:type="dxa"/>
            <w:tcBorders>
              <w:top w:val="single" w:color="auto" w:sz="12" w:space="0"/>
              <w:bottom w:val="double" w:color="auto" w:sz="6" w:space="0"/>
            </w:tcBorders>
          </w:tcPr>
          <w:p w14:paraId="3E1114ED">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单价</w:t>
            </w:r>
            <w:r>
              <w:rPr>
                <w:rFonts w:hint="eastAsia" w:ascii="宋体" w:hAnsi="宋体"/>
                <w:color w:val="000000"/>
                <w:sz w:val="24"/>
                <w:szCs w:val="24"/>
                <w:highlight w:val="none"/>
              </w:rPr>
              <w:t>（元）</w:t>
            </w:r>
          </w:p>
        </w:tc>
        <w:tc>
          <w:tcPr>
            <w:tcW w:w="1418" w:type="dxa"/>
            <w:tcBorders>
              <w:top w:val="single" w:color="auto" w:sz="12" w:space="0"/>
              <w:bottom w:val="double" w:color="auto" w:sz="6" w:space="0"/>
            </w:tcBorders>
          </w:tcPr>
          <w:p w14:paraId="305CA682">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合价</w:t>
            </w:r>
            <w:r>
              <w:rPr>
                <w:rFonts w:hint="eastAsia" w:ascii="宋体" w:hAnsi="宋体"/>
                <w:color w:val="000000"/>
                <w:sz w:val="24"/>
                <w:szCs w:val="24"/>
                <w:highlight w:val="none"/>
              </w:rPr>
              <w:t>（元）</w:t>
            </w:r>
          </w:p>
        </w:tc>
        <w:tc>
          <w:tcPr>
            <w:tcW w:w="1701" w:type="dxa"/>
            <w:tcBorders>
              <w:top w:val="single" w:color="auto" w:sz="12" w:space="0"/>
              <w:bottom w:val="double" w:color="auto" w:sz="6" w:space="0"/>
            </w:tcBorders>
          </w:tcPr>
          <w:p w14:paraId="6D6C9DF8">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备注</w:t>
            </w:r>
          </w:p>
        </w:tc>
      </w:tr>
      <w:tr w14:paraId="3F48D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87F01CF">
            <w:pPr>
              <w:pStyle w:val="34"/>
              <w:keepNext/>
              <w:spacing w:after="0" w:line="440" w:lineRule="exact"/>
              <w:ind w:left="63" w:right="63"/>
              <w:rPr>
                <w:rFonts w:ascii="宋体" w:hAnsi="宋体"/>
                <w:color w:val="000000"/>
                <w:sz w:val="24"/>
                <w:szCs w:val="24"/>
                <w:highlight w:val="none"/>
              </w:rPr>
            </w:pPr>
          </w:p>
        </w:tc>
        <w:tc>
          <w:tcPr>
            <w:tcW w:w="1984" w:type="dxa"/>
            <w:tcBorders>
              <w:top w:val="double" w:color="auto" w:sz="6" w:space="0"/>
              <w:bottom w:val="single" w:color="auto" w:sz="6" w:space="0"/>
            </w:tcBorders>
          </w:tcPr>
          <w:p w14:paraId="2B7524F6">
            <w:pPr>
              <w:pStyle w:val="34"/>
              <w:keepNext/>
              <w:spacing w:after="0" w:line="440" w:lineRule="exact"/>
              <w:ind w:left="63" w:right="63"/>
              <w:rPr>
                <w:rFonts w:ascii="宋体" w:hAnsi="宋体"/>
                <w:color w:val="000000"/>
                <w:sz w:val="24"/>
                <w:szCs w:val="24"/>
                <w:highlight w:val="none"/>
              </w:rPr>
            </w:pPr>
          </w:p>
        </w:tc>
        <w:tc>
          <w:tcPr>
            <w:tcW w:w="851" w:type="dxa"/>
            <w:tcBorders>
              <w:top w:val="double" w:color="auto" w:sz="6" w:space="0"/>
              <w:bottom w:val="single" w:color="auto" w:sz="6" w:space="0"/>
            </w:tcBorders>
          </w:tcPr>
          <w:p w14:paraId="4817C523">
            <w:pPr>
              <w:pStyle w:val="34"/>
              <w:keepNext/>
              <w:spacing w:after="0" w:line="440" w:lineRule="exact"/>
              <w:ind w:left="63" w:right="63"/>
              <w:rPr>
                <w:rFonts w:ascii="宋体" w:hAnsi="宋体"/>
                <w:color w:val="000000"/>
                <w:sz w:val="24"/>
                <w:szCs w:val="24"/>
                <w:highlight w:val="none"/>
              </w:rPr>
            </w:pPr>
          </w:p>
        </w:tc>
        <w:tc>
          <w:tcPr>
            <w:tcW w:w="774" w:type="dxa"/>
            <w:tcBorders>
              <w:top w:val="double" w:color="auto" w:sz="6" w:space="0"/>
              <w:bottom w:val="single" w:color="auto" w:sz="6" w:space="0"/>
            </w:tcBorders>
          </w:tcPr>
          <w:p w14:paraId="52F2AC66">
            <w:pPr>
              <w:pStyle w:val="34"/>
              <w:keepNext/>
              <w:spacing w:after="0" w:line="440" w:lineRule="exact"/>
              <w:ind w:left="63" w:right="63"/>
              <w:rPr>
                <w:rFonts w:ascii="宋体" w:hAnsi="宋体"/>
                <w:color w:val="000000"/>
                <w:sz w:val="24"/>
                <w:szCs w:val="24"/>
                <w:highlight w:val="none"/>
              </w:rPr>
            </w:pPr>
          </w:p>
        </w:tc>
        <w:tc>
          <w:tcPr>
            <w:tcW w:w="1352" w:type="dxa"/>
            <w:tcBorders>
              <w:top w:val="double" w:color="auto" w:sz="6" w:space="0"/>
              <w:bottom w:val="single" w:color="auto" w:sz="6" w:space="0"/>
            </w:tcBorders>
          </w:tcPr>
          <w:p w14:paraId="42CCB958">
            <w:pPr>
              <w:pStyle w:val="34"/>
              <w:keepNext/>
              <w:spacing w:after="0" w:line="440" w:lineRule="exact"/>
              <w:ind w:left="63" w:right="63"/>
              <w:rPr>
                <w:rFonts w:ascii="宋体" w:hAnsi="宋体"/>
                <w:color w:val="000000"/>
                <w:sz w:val="24"/>
                <w:szCs w:val="24"/>
                <w:highlight w:val="none"/>
              </w:rPr>
            </w:pPr>
          </w:p>
        </w:tc>
        <w:tc>
          <w:tcPr>
            <w:tcW w:w="1418" w:type="dxa"/>
            <w:tcBorders>
              <w:top w:val="double" w:color="auto" w:sz="6" w:space="0"/>
              <w:bottom w:val="single" w:color="auto" w:sz="6" w:space="0"/>
            </w:tcBorders>
          </w:tcPr>
          <w:p w14:paraId="42EF3B36">
            <w:pPr>
              <w:pStyle w:val="34"/>
              <w:keepNext/>
              <w:spacing w:after="0" w:line="440" w:lineRule="exact"/>
              <w:ind w:left="63" w:right="63"/>
              <w:rPr>
                <w:rFonts w:ascii="宋体" w:hAnsi="宋体"/>
                <w:color w:val="000000"/>
                <w:sz w:val="24"/>
                <w:szCs w:val="24"/>
                <w:highlight w:val="none"/>
              </w:rPr>
            </w:pPr>
          </w:p>
        </w:tc>
        <w:tc>
          <w:tcPr>
            <w:tcW w:w="1701" w:type="dxa"/>
            <w:tcBorders>
              <w:top w:val="double" w:color="auto" w:sz="6" w:space="0"/>
              <w:bottom w:val="single" w:color="auto" w:sz="6" w:space="0"/>
            </w:tcBorders>
          </w:tcPr>
          <w:p w14:paraId="6EBF6314">
            <w:pPr>
              <w:pStyle w:val="34"/>
              <w:keepNext/>
              <w:spacing w:after="0" w:line="440" w:lineRule="exact"/>
              <w:ind w:left="63" w:right="63"/>
              <w:rPr>
                <w:rFonts w:ascii="宋体" w:hAnsi="宋体"/>
                <w:color w:val="000000"/>
                <w:sz w:val="24"/>
                <w:szCs w:val="24"/>
                <w:highlight w:val="none"/>
              </w:rPr>
            </w:pPr>
          </w:p>
        </w:tc>
      </w:tr>
      <w:tr w14:paraId="255A5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83923FC">
            <w:pPr>
              <w:pStyle w:val="34"/>
              <w:keepNext/>
              <w:spacing w:after="0" w:line="440" w:lineRule="exact"/>
              <w:ind w:left="63" w:right="63"/>
              <w:rPr>
                <w:rFonts w:ascii="宋体" w:hAnsi="宋体"/>
                <w:color w:val="000000"/>
                <w:sz w:val="24"/>
                <w:szCs w:val="24"/>
                <w:highlight w:val="none"/>
              </w:rPr>
            </w:pPr>
          </w:p>
        </w:tc>
        <w:tc>
          <w:tcPr>
            <w:tcW w:w="1984" w:type="dxa"/>
            <w:tcBorders>
              <w:top w:val="nil"/>
            </w:tcBorders>
          </w:tcPr>
          <w:p w14:paraId="73265CDA">
            <w:pPr>
              <w:pStyle w:val="34"/>
              <w:keepNext/>
              <w:spacing w:after="0" w:line="440" w:lineRule="exact"/>
              <w:ind w:left="63" w:right="63"/>
              <w:rPr>
                <w:rFonts w:ascii="宋体" w:hAnsi="宋体"/>
                <w:color w:val="000000"/>
                <w:sz w:val="24"/>
                <w:szCs w:val="24"/>
                <w:highlight w:val="none"/>
              </w:rPr>
            </w:pPr>
          </w:p>
        </w:tc>
        <w:tc>
          <w:tcPr>
            <w:tcW w:w="851" w:type="dxa"/>
            <w:tcBorders>
              <w:top w:val="nil"/>
            </w:tcBorders>
          </w:tcPr>
          <w:p w14:paraId="21C4FD06">
            <w:pPr>
              <w:pStyle w:val="34"/>
              <w:keepNext/>
              <w:spacing w:after="0" w:line="440" w:lineRule="exact"/>
              <w:ind w:left="63" w:right="63"/>
              <w:rPr>
                <w:rFonts w:ascii="宋体" w:hAnsi="宋体"/>
                <w:color w:val="000000"/>
                <w:sz w:val="24"/>
                <w:szCs w:val="24"/>
                <w:highlight w:val="none"/>
              </w:rPr>
            </w:pPr>
          </w:p>
        </w:tc>
        <w:tc>
          <w:tcPr>
            <w:tcW w:w="774" w:type="dxa"/>
            <w:tcBorders>
              <w:top w:val="nil"/>
            </w:tcBorders>
          </w:tcPr>
          <w:p w14:paraId="1D2BA354">
            <w:pPr>
              <w:pStyle w:val="34"/>
              <w:keepNext/>
              <w:spacing w:after="0" w:line="440" w:lineRule="exact"/>
              <w:ind w:left="63" w:right="63"/>
              <w:rPr>
                <w:rFonts w:ascii="宋体" w:hAnsi="宋体"/>
                <w:color w:val="000000"/>
                <w:sz w:val="24"/>
                <w:szCs w:val="24"/>
                <w:highlight w:val="none"/>
              </w:rPr>
            </w:pPr>
          </w:p>
        </w:tc>
        <w:tc>
          <w:tcPr>
            <w:tcW w:w="1352" w:type="dxa"/>
            <w:tcBorders>
              <w:top w:val="nil"/>
            </w:tcBorders>
          </w:tcPr>
          <w:p w14:paraId="2E258052">
            <w:pPr>
              <w:pStyle w:val="34"/>
              <w:keepNext/>
              <w:spacing w:after="0" w:line="440" w:lineRule="exact"/>
              <w:ind w:left="63" w:right="63"/>
              <w:rPr>
                <w:rFonts w:ascii="宋体" w:hAnsi="宋体"/>
                <w:color w:val="000000"/>
                <w:sz w:val="24"/>
                <w:szCs w:val="24"/>
                <w:highlight w:val="none"/>
              </w:rPr>
            </w:pPr>
          </w:p>
        </w:tc>
        <w:tc>
          <w:tcPr>
            <w:tcW w:w="1418" w:type="dxa"/>
            <w:tcBorders>
              <w:top w:val="nil"/>
            </w:tcBorders>
          </w:tcPr>
          <w:p w14:paraId="6FB8831B">
            <w:pPr>
              <w:pStyle w:val="34"/>
              <w:keepNext/>
              <w:spacing w:after="0" w:line="440" w:lineRule="exact"/>
              <w:ind w:left="63" w:right="63"/>
              <w:rPr>
                <w:rFonts w:ascii="宋体" w:hAnsi="宋体"/>
                <w:color w:val="000000"/>
                <w:sz w:val="24"/>
                <w:szCs w:val="24"/>
                <w:highlight w:val="none"/>
              </w:rPr>
            </w:pPr>
          </w:p>
        </w:tc>
        <w:tc>
          <w:tcPr>
            <w:tcW w:w="1701" w:type="dxa"/>
            <w:tcBorders>
              <w:top w:val="nil"/>
            </w:tcBorders>
          </w:tcPr>
          <w:p w14:paraId="148AA14A">
            <w:pPr>
              <w:pStyle w:val="34"/>
              <w:keepNext/>
              <w:spacing w:after="0" w:line="440" w:lineRule="exact"/>
              <w:ind w:left="63" w:right="63"/>
              <w:rPr>
                <w:rFonts w:ascii="宋体" w:hAnsi="宋体"/>
                <w:color w:val="000000"/>
                <w:sz w:val="24"/>
                <w:szCs w:val="24"/>
                <w:highlight w:val="none"/>
              </w:rPr>
            </w:pPr>
          </w:p>
        </w:tc>
      </w:tr>
      <w:tr w14:paraId="3C3B5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F13DBF">
            <w:pPr>
              <w:pStyle w:val="34"/>
              <w:keepNext/>
              <w:spacing w:after="0" w:line="440" w:lineRule="exact"/>
              <w:ind w:left="63" w:right="63"/>
              <w:rPr>
                <w:rFonts w:ascii="宋体" w:hAnsi="宋体"/>
                <w:color w:val="000000"/>
                <w:sz w:val="24"/>
                <w:szCs w:val="24"/>
                <w:highlight w:val="none"/>
              </w:rPr>
            </w:pPr>
          </w:p>
        </w:tc>
        <w:tc>
          <w:tcPr>
            <w:tcW w:w="1984" w:type="dxa"/>
          </w:tcPr>
          <w:p w14:paraId="3FDA8DFF">
            <w:pPr>
              <w:pStyle w:val="34"/>
              <w:keepNext/>
              <w:spacing w:after="0" w:line="440" w:lineRule="exact"/>
              <w:ind w:left="63" w:right="63"/>
              <w:rPr>
                <w:rFonts w:ascii="宋体" w:hAnsi="宋体"/>
                <w:color w:val="000000"/>
                <w:sz w:val="24"/>
                <w:szCs w:val="24"/>
                <w:highlight w:val="none"/>
              </w:rPr>
            </w:pPr>
          </w:p>
        </w:tc>
        <w:tc>
          <w:tcPr>
            <w:tcW w:w="851" w:type="dxa"/>
          </w:tcPr>
          <w:p w14:paraId="3E863FA9">
            <w:pPr>
              <w:pStyle w:val="34"/>
              <w:keepNext/>
              <w:spacing w:after="0" w:line="440" w:lineRule="exact"/>
              <w:ind w:left="63" w:right="63"/>
              <w:rPr>
                <w:rFonts w:ascii="宋体" w:hAnsi="宋体"/>
                <w:color w:val="000000"/>
                <w:sz w:val="24"/>
                <w:szCs w:val="24"/>
                <w:highlight w:val="none"/>
              </w:rPr>
            </w:pPr>
          </w:p>
        </w:tc>
        <w:tc>
          <w:tcPr>
            <w:tcW w:w="774" w:type="dxa"/>
          </w:tcPr>
          <w:p w14:paraId="3F450FEF">
            <w:pPr>
              <w:pStyle w:val="34"/>
              <w:keepNext/>
              <w:spacing w:after="0" w:line="440" w:lineRule="exact"/>
              <w:ind w:left="63" w:right="63"/>
              <w:rPr>
                <w:rFonts w:ascii="宋体" w:hAnsi="宋体"/>
                <w:color w:val="000000"/>
                <w:sz w:val="24"/>
                <w:szCs w:val="24"/>
                <w:highlight w:val="none"/>
              </w:rPr>
            </w:pPr>
          </w:p>
        </w:tc>
        <w:tc>
          <w:tcPr>
            <w:tcW w:w="1352" w:type="dxa"/>
          </w:tcPr>
          <w:p w14:paraId="57811FFC">
            <w:pPr>
              <w:pStyle w:val="34"/>
              <w:keepNext/>
              <w:spacing w:after="0" w:line="440" w:lineRule="exact"/>
              <w:ind w:left="63" w:right="63"/>
              <w:rPr>
                <w:rFonts w:ascii="宋体" w:hAnsi="宋体"/>
                <w:color w:val="000000"/>
                <w:sz w:val="24"/>
                <w:szCs w:val="24"/>
                <w:highlight w:val="none"/>
              </w:rPr>
            </w:pPr>
          </w:p>
        </w:tc>
        <w:tc>
          <w:tcPr>
            <w:tcW w:w="1418" w:type="dxa"/>
          </w:tcPr>
          <w:p w14:paraId="0FB4F06C">
            <w:pPr>
              <w:pStyle w:val="34"/>
              <w:keepNext/>
              <w:spacing w:after="0" w:line="440" w:lineRule="exact"/>
              <w:ind w:left="63" w:right="63"/>
              <w:rPr>
                <w:rFonts w:ascii="宋体" w:hAnsi="宋体"/>
                <w:color w:val="000000"/>
                <w:sz w:val="24"/>
                <w:szCs w:val="24"/>
                <w:highlight w:val="none"/>
              </w:rPr>
            </w:pPr>
          </w:p>
        </w:tc>
        <w:tc>
          <w:tcPr>
            <w:tcW w:w="1701" w:type="dxa"/>
          </w:tcPr>
          <w:p w14:paraId="2B782BF6">
            <w:pPr>
              <w:pStyle w:val="34"/>
              <w:keepNext/>
              <w:spacing w:after="0" w:line="440" w:lineRule="exact"/>
              <w:ind w:left="63" w:right="63"/>
              <w:rPr>
                <w:rFonts w:ascii="宋体" w:hAnsi="宋体"/>
                <w:color w:val="000000"/>
                <w:sz w:val="24"/>
                <w:szCs w:val="24"/>
                <w:highlight w:val="none"/>
              </w:rPr>
            </w:pPr>
          </w:p>
        </w:tc>
      </w:tr>
      <w:tr w14:paraId="4385B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6700ED">
            <w:pPr>
              <w:pStyle w:val="34"/>
              <w:keepNext/>
              <w:spacing w:after="0" w:line="440" w:lineRule="exact"/>
              <w:ind w:left="63" w:right="63"/>
              <w:rPr>
                <w:rFonts w:ascii="宋体" w:hAnsi="宋体"/>
                <w:color w:val="000000"/>
                <w:sz w:val="24"/>
                <w:szCs w:val="24"/>
                <w:highlight w:val="none"/>
              </w:rPr>
            </w:pPr>
          </w:p>
        </w:tc>
        <w:tc>
          <w:tcPr>
            <w:tcW w:w="1984" w:type="dxa"/>
          </w:tcPr>
          <w:p w14:paraId="499B5D7D">
            <w:pPr>
              <w:pStyle w:val="34"/>
              <w:keepNext/>
              <w:spacing w:after="0" w:line="440" w:lineRule="exact"/>
              <w:ind w:left="63" w:right="63"/>
              <w:rPr>
                <w:rFonts w:ascii="宋体" w:hAnsi="宋体"/>
                <w:color w:val="000000"/>
                <w:sz w:val="24"/>
                <w:szCs w:val="24"/>
                <w:highlight w:val="none"/>
              </w:rPr>
            </w:pPr>
          </w:p>
        </w:tc>
        <w:tc>
          <w:tcPr>
            <w:tcW w:w="851" w:type="dxa"/>
          </w:tcPr>
          <w:p w14:paraId="685E52A2">
            <w:pPr>
              <w:pStyle w:val="34"/>
              <w:keepNext/>
              <w:spacing w:after="0" w:line="440" w:lineRule="exact"/>
              <w:ind w:left="63" w:right="63"/>
              <w:rPr>
                <w:rFonts w:ascii="宋体" w:hAnsi="宋体"/>
                <w:color w:val="000000"/>
                <w:sz w:val="24"/>
                <w:szCs w:val="24"/>
                <w:highlight w:val="none"/>
              </w:rPr>
            </w:pPr>
          </w:p>
        </w:tc>
        <w:tc>
          <w:tcPr>
            <w:tcW w:w="774" w:type="dxa"/>
          </w:tcPr>
          <w:p w14:paraId="059502F9">
            <w:pPr>
              <w:pStyle w:val="34"/>
              <w:keepNext/>
              <w:spacing w:after="0" w:line="440" w:lineRule="exact"/>
              <w:ind w:left="63" w:right="63"/>
              <w:rPr>
                <w:rFonts w:ascii="宋体" w:hAnsi="宋体"/>
                <w:color w:val="000000"/>
                <w:sz w:val="24"/>
                <w:szCs w:val="24"/>
                <w:highlight w:val="none"/>
              </w:rPr>
            </w:pPr>
          </w:p>
        </w:tc>
        <w:tc>
          <w:tcPr>
            <w:tcW w:w="1352" w:type="dxa"/>
          </w:tcPr>
          <w:p w14:paraId="409FB012">
            <w:pPr>
              <w:pStyle w:val="34"/>
              <w:keepNext/>
              <w:spacing w:after="0" w:line="440" w:lineRule="exact"/>
              <w:ind w:left="63" w:right="63"/>
              <w:rPr>
                <w:rFonts w:ascii="宋体" w:hAnsi="宋体"/>
                <w:color w:val="000000"/>
                <w:sz w:val="24"/>
                <w:szCs w:val="24"/>
                <w:highlight w:val="none"/>
              </w:rPr>
            </w:pPr>
          </w:p>
        </w:tc>
        <w:tc>
          <w:tcPr>
            <w:tcW w:w="1418" w:type="dxa"/>
          </w:tcPr>
          <w:p w14:paraId="4932836C">
            <w:pPr>
              <w:pStyle w:val="34"/>
              <w:keepNext/>
              <w:spacing w:after="0" w:line="440" w:lineRule="exact"/>
              <w:ind w:left="63" w:right="63"/>
              <w:rPr>
                <w:rFonts w:ascii="宋体" w:hAnsi="宋体"/>
                <w:color w:val="000000"/>
                <w:sz w:val="24"/>
                <w:szCs w:val="24"/>
                <w:highlight w:val="none"/>
              </w:rPr>
            </w:pPr>
          </w:p>
        </w:tc>
        <w:tc>
          <w:tcPr>
            <w:tcW w:w="1701" w:type="dxa"/>
          </w:tcPr>
          <w:p w14:paraId="31E89AC1">
            <w:pPr>
              <w:pStyle w:val="34"/>
              <w:keepNext/>
              <w:spacing w:after="0" w:line="440" w:lineRule="exact"/>
              <w:ind w:left="63" w:right="63"/>
              <w:rPr>
                <w:rFonts w:ascii="宋体" w:hAnsi="宋体"/>
                <w:color w:val="000000"/>
                <w:sz w:val="24"/>
                <w:szCs w:val="24"/>
                <w:highlight w:val="none"/>
              </w:rPr>
            </w:pPr>
          </w:p>
        </w:tc>
      </w:tr>
      <w:tr w14:paraId="2474E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4DE48D">
            <w:pPr>
              <w:pStyle w:val="34"/>
              <w:keepNext/>
              <w:spacing w:after="0" w:line="440" w:lineRule="exact"/>
              <w:ind w:left="63" w:right="63"/>
              <w:rPr>
                <w:rFonts w:ascii="宋体" w:hAnsi="宋体"/>
                <w:color w:val="000000"/>
                <w:sz w:val="24"/>
                <w:szCs w:val="24"/>
                <w:highlight w:val="none"/>
              </w:rPr>
            </w:pPr>
          </w:p>
        </w:tc>
        <w:tc>
          <w:tcPr>
            <w:tcW w:w="1984" w:type="dxa"/>
          </w:tcPr>
          <w:p w14:paraId="7645F592">
            <w:pPr>
              <w:pStyle w:val="34"/>
              <w:keepNext/>
              <w:spacing w:after="0" w:line="440" w:lineRule="exact"/>
              <w:ind w:left="63" w:right="63"/>
              <w:rPr>
                <w:rFonts w:ascii="宋体" w:hAnsi="宋体"/>
                <w:color w:val="000000"/>
                <w:sz w:val="24"/>
                <w:szCs w:val="24"/>
                <w:highlight w:val="none"/>
              </w:rPr>
            </w:pPr>
          </w:p>
        </w:tc>
        <w:tc>
          <w:tcPr>
            <w:tcW w:w="851" w:type="dxa"/>
          </w:tcPr>
          <w:p w14:paraId="74EAE815">
            <w:pPr>
              <w:pStyle w:val="34"/>
              <w:keepNext/>
              <w:spacing w:after="0" w:line="440" w:lineRule="exact"/>
              <w:ind w:left="63" w:right="63"/>
              <w:rPr>
                <w:rFonts w:ascii="宋体" w:hAnsi="宋体"/>
                <w:color w:val="000000"/>
                <w:sz w:val="24"/>
                <w:szCs w:val="24"/>
                <w:highlight w:val="none"/>
              </w:rPr>
            </w:pPr>
          </w:p>
        </w:tc>
        <w:tc>
          <w:tcPr>
            <w:tcW w:w="774" w:type="dxa"/>
          </w:tcPr>
          <w:p w14:paraId="72D66C2E">
            <w:pPr>
              <w:pStyle w:val="34"/>
              <w:keepNext/>
              <w:spacing w:after="0" w:line="440" w:lineRule="exact"/>
              <w:ind w:left="63" w:right="63"/>
              <w:rPr>
                <w:rFonts w:ascii="宋体" w:hAnsi="宋体"/>
                <w:color w:val="000000"/>
                <w:sz w:val="24"/>
                <w:szCs w:val="24"/>
                <w:highlight w:val="none"/>
              </w:rPr>
            </w:pPr>
          </w:p>
        </w:tc>
        <w:tc>
          <w:tcPr>
            <w:tcW w:w="1352" w:type="dxa"/>
          </w:tcPr>
          <w:p w14:paraId="270118F9">
            <w:pPr>
              <w:pStyle w:val="34"/>
              <w:keepNext/>
              <w:spacing w:after="0" w:line="440" w:lineRule="exact"/>
              <w:ind w:left="63" w:right="63"/>
              <w:rPr>
                <w:rFonts w:ascii="宋体" w:hAnsi="宋体"/>
                <w:color w:val="000000"/>
                <w:sz w:val="24"/>
                <w:szCs w:val="24"/>
                <w:highlight w:val="none"/>
              </w:rPr>
            </w:pPr>
          </w:p>
        </w:tc>
        <w:tc>
          <w:tcPr>
            <w:tcW w:w="1418" w:type="dxa"/>
          </w:tcPr>
          <w:p w14:paraId="7027D076">
            <w:pPr>
              <w:pStyle w:val="34"/>
              <w:keepNext/>
              <w:spacing w:after="0" w:line="440" w:lineRule="exact"/>
              <w:ind w:left="63" w:right="63"/>
              <w:rPr>
                <w:rFonts w:ascii="宋体" w:hAnsi="宋体"/>
                <w:color w:val="000000"/>
                <w:sz w:val="24"/>
                <w:szCs w:val="24"/>
                <w:highlight w:val="none"/>
              </w:rPr>
            </w:pPr>
          </w:p>
        </w:tc>
        <w:tc>
          <w:tcPr>
            <w:tcW w:w="1701" w:type="dxa"/>
          </w:tcPr>
          <w:p w14:paraId="42752E10">
            <w:pPr>
              <w:pStyle w:val="34"/>
              <w:keepNext/>
              <w:spacing w:after="0" w:line="440" w:lineRule="exact"/>
              <w:ind w:left="63" w:right="63"/>
              <w:rPr>
                <w:rFonts w:ascii="宋体" w:hAnsi="宋体"/>
                <w:color w:val="000000"/>
                <w:sz w:val="24"/>
                <w:szCs w:val="24"/>
                <w:highlight w:val="none"/>
              </w:rPr>
            </w:pPr>
          </w:p>
        </w:tc>
      </w:tr>
      <w:tr w14:paraId="78308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7176D4">
            <w:pPr>
              <w:pStyle w:val="34"/>
              <w:keepNext/>
              <w:spacing w:after="0" w:line="440" w:lineRule="exact"/>
              <w:ind w:left="63" w:right="63"/>
              <w:rPr>
                <w:rFonts w:ascii="宋体" w:hAnsi="宋体"/>
                <w:color w:val="000000"/>
                <w:sz w:val="24"/>
                <w:szCs w:val="24"/>
                <w:highlight w:val="none"/>
              </w:rPr>
            </w:pPr>
          </w:p>
        </w:tc>
        <w:tc>
          <w:tcPr>
            <w:tcW w:w="1984" w:type="dxa"/>
          </w:tcPr>
          <w:p w14:paraId="22E868ED">
            <w:pPr>
              <w:pStyle w:val="34"/>
              <w:keepNext/>
              <w:spacing w:after="0" w:line="440" w:lineRule="exact"/>
              <w:ind w:left="63" w:right="63"/>
              <w:rPr>
                <w:rFonts w:ascii="宋体" w:hAnsi="宋体"/>
                <w:color w:val="000000"/>
                <w:sz w:val="24"/>
                <w:szCs w:val="24"/>
                <w:highlight w:val="none"/>
              </w:rPr>
            </w:pPr>
          </w:p>
        </w:tc>
        <w:tc>
          <w:tcPr>
            <w:tcW w:w="851" w:type="dxa"/>
          </w:tcPr>
          <w:p w14:paraId="490E11A2">
            <w:pPr>
              <w:pStyle w:val="34"/>
              <w:keepNext/>
              <w:spacing w:after="0" w:line="440" w:lineRule="exact"/>
              <w:ind w:left="63" w:right="63"/>
              <w:rPr>
                <w:rFonts w:ascii="宋体" w:hAnsi="宋体"/>
                <w:color w:val="000000"/>
                <w:sz w:val="24"/>
                <w:szCs w:val="24"/>
                <w:highlight w:val="none"/>
              </w:rPr>
            </w:pPr>
          </w:p>
        </w:tc>
        <w:tc>
          <w:tcPr>
            <w:tcW w:w="774" w:type="dxa"/>
          </w:tcPr>
          <w:p w14:paraId="3BC73CE8">
            <w:pPr>
              <w:pStyle w:val="34"/>
              <w:keepNext/>
              <w:spacing w:after="0" w:line="440" w:lineRule="exact"/>
              <w:ind w:left="63" w:right="63"/>
              <w:rPr>
                <w:rFonts w:ascii="宋体" w:hAnsi="宋体"/>
                <w:color w:val="000000"/>
                <w:sz w:val="24"/>
                <w:szCs w:val="24"/>
                <w:highlight w:val="none"/>
              </w:rPr>
            </w:pPr>
          </w:p>
        </w:tc>
        <w:tc>
          <w:tcPr>
            <w:tcW w:w="1352" w:type="dxa"/>
          </w:tcPr>
          <w:p w14:paraId="65786DF1">
            <w:pPr>
              <w:pStyle w:val="34"/>
              <w:keepNext/>
              <w:spacing w:after="0" w:line="440" w:lineRule="exact"/>
              <w:ind w:left="63" w:right="63"/>
              <w:rPr>
                <w:rFonts w:ascii="宋体" w:hAnsi="宋体"/>
                <w:color w:val="000000"/>
                <w:sz w:val="24"/>
                <w:szCs w:val="24"/>
                <w:highlight w:val="none"/>
              </w:rPr>
            </w:pPr>
          </w:p>
        </w:tc>
        <w:tc>
          <w:tcPr>
            <w:tcW w:w="1418" w:type="dxa"/>
          </w:tcPr>
          <w:p w14:paraId="581E9256">
            <w:pPr>
              <w:pStyle w:val="34"/>
              <w:keepNext/>
              <w:spacing w:after="0" w:line="440" w:lineRule="exact"/>
              <w:ind w:left="63" w:right="63"/>
              <w:rPr>
                <w:rFonts w:ascii="宋体" w:hAnsi="宋体"/>
                <w:color w:val="000000"/>
                <w:sz w:val="24"/>
                <w:szCs w:val="24"/>
                <w:highlight w:val="none"/>
              </w:rPr>
            </w:pPr>
          </w:p>
        </w:tc>
        <w:tc>
          <w:tcPr>
            <w:tcW w:w="1701" w:type="dxa"/>
          </w:tcPr>
          <w:p w14:paraId="27E0DAA4">
            <w:pPr>
              <w:pStyle w:val="34"/>
              <w:keepNext/>
              <w:spacing w:after="0" w:line="440" w:lineRule="exact"/>
              <w:ind w:left="63" w:right="63"/>
              <w:rPr>
                <w:rFonts w:ascii="宋体" w:hAnsi="宋体"/>
                <w:color w:val="000000"/>
                <w:sz w:val="24"/>
                <w:szCs w:val="24"/>
                <w:highlight w:val="none"/>
              </w:rPr>
            </w:pPr>
          </w:p>
        </w:tc>
      </w:tr>
      <w:tr w14:paraId="75623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C052D2">
            <w:pPr>
              <w:pStyle w:val="34"/>
              <w:keepNext/>
              <w:spacing w:after="0" w:line="440" w:lineRule="exact"/>
              <w:ind w:left="63" w:right="63"/>
              <w:rPr>
                <w:rFonts w:ascii="宋体" w:hAnsi="宋体"/>
                <w:color w:val="000000"/>
                <w:sz w:val="24"/>
                <w:szCs w:val="24"/>
                <w:highlight w:val="none"/>
              </w:rPr>
            </w:pPr>
          </w:p>
        </w:tc>
        <w:tc>
          <w:tcPr>
            <w:tcW w:w="1984" w:type="dxa"/>
          </w:tcPr>
          <w:p w14:paraId="28364C15">
            <w:pPr>
              <w:pStyle w:val="34"/>
              <w:keepNext/>
              <w:spacing w:after="0" w:line="440" w:lineRule="exact"/>
              <w:ind w:left="63" w:right="63"/>
              <w:rPr>
                <w:rFonts w:ascii="宋体" w:hAnsi="宋体"/>
                <w:color w:val="000000"/>
                <w:sz w:val="24"/>
                <w:szCs w:val="24"/>
                <w:highlight w:val="none"/>
              </w:rPr>
            </w:pPr>
          </w:p>
        </w:tc>
        <w:tc>
          <w:tcPr>
            <w:tcW w:w="851" w:type="dxa"/>
          </w:tcPr>
          <w:p w14:paraId="46119CF7">
            <w:pPr>
              <w:pStyle w:val="34"/>
              <w:keepNext/>
              <w:spacing w:after="0" w:line="440" w:lineRule="exact"/>
              <w:ind w:left="63" w:right="63"/>
              <w:rPr>
                <w:rFonts w:ascii="宋体" w:hAnsi="宋体"/>
                <w:color w:val="000000"/>
                <w:sz w:val="24"/>
                <w:szCs w:val="24"/>
                <w:highlight w:val="none"/>
              </w:rPr>
            </w:pPr>
          </w:p>
        </w:tc>
        <w:tc>
          <w:tcPr>
            <w:tcW w:w="774" w:type="dxa"/>
          </w:tcPr>
          <w:p w14:paraId="2CBF99AE">
            <w:pPr>
              <w:pStyle w:val="34"/>
              <w:keepNext/>
              <w:spacing w:after="0" w:line="440" w:lineRule="exact"/>
              <w:ind w:left="63" w:right="63"/>
              <w:rPr>
                <w:rFonts w:ascii="宋体" w:hAnsi="宋体"/>
                <w:color w:val="000000"/>
                <w:sz w:val="24"/>
                <w:szCs w:val="24"/>
                <w:highlight w:val="none"/>
              </w:rPr>
            </w:pPr>
          </w:p>
        </w:tc>
        <w:tc>
          <w:tcPr>
            <w:tcW w:w="1352" w:type="dxa"/>
          </w:tcPr>
          <w:p w14:paraId="4D777BE8">
            <w:pPr>
              <w:pStyle w:val="34"/>
              <w:keepNext/>
              <w:spacing w:after="0" w:line="440" w:lineRule="exact"/>
              <w:ind w:left="63" w:right="63"/>
              <w:rPr>
                <w:rFonts w:ascii="宋体" w:hAnsi="宋体"/>
                <w:color w:val="000000"/>
                <w:sz w:val="24"/>
                <w:szCs w:val="24"/>
                <w:highlight w:val="none"/>
              </w:rPr>
            </w:pPr>
          </w:p>
        </w:tc>
        <w:tc>
          <w:tcPr>
            <w:tcW w:w="1418" w:type="dxa"/>
          </w:tcPr>
          <w:p w14:paraId="7BD948FF">
            <w:pPr>
              <w:pStyle w:val="34"/>
              <w:keepNext/>
              <w:spacing w:after="0" w:line="440" w:lineRule="exact"/>
              <w:ind w:left="63" w:right="63"/>
              <w:rPr>
                <w:rFonts w:ascii="宋体" w:hAnsi="宋体"/>
                <w:color w:val="000000"/>
                <w:sz w:val="24"/>
                <w:szCs w:val="24"/>
                <w:highlight w:val="none"/>
              </w:rPr>
            </w:pPr>
          </w:p>
        </w:tc>
        <w:tc>
          <w:tcPr>
            <w:tcW w:w="1701" w:type="dxa"/>
          </w:tcPr>
          <w:p w14:paraId="59D2570C">
            <w:pPr>
              <w:pStyle w:val="34"/>
              <w:keepNext/>
              <w:spacing w:after="0" w:line="440" w:lineRule="exact"/>
              <w:ind w:left="63" w:right="63"/>
              <w:rPr>
                <w:rFonts w:ascii="宋体" w:hAnsi="宋体"/>
                <w:color w:val="000000"/>
                <w:sz w:val="24"/>
                <w:szCs w:val="24"/>
                <w:highlight w:val="none"/>
              </w:rPr>
            </w:pPr>
          </w:p>
        </w:tc>
      </w:tr>
      <w:tr w14:paraId="02DEA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D699EC">
            <w:pPr>
              <w:pStyle w:val="34"/>
              <w:keepNext/>
              <w:spacing w:after="0" w:line="440" w:lineRule="exact"/>
              <w:ind w:left="63" w:right="63"/>
              <w:rPr>
                <w:rFonts w:ascii="宋体" w:hAnsi="宋体"/>
                <w:color w:val="000000"/>
                <w:sz w:val="24"/>
                <w:szCs w:val="24"/>
                <w:highlight w:val="none"/>
              </w:rPr>
            </w:pPr>
          </w:p>
        </w:tc>
        <w:tc>
          <w:tcPr>
            <w:tcW w:w="1984" w:type="dxa"/>
          </w:tcPr>
          <w:p w14:paraId="47DBE2C1">
            <w:pPr>
              <w:pStyle w:val="34"/>
              <w:keepNext/>
              <w:spacing w:after="0" w:line="440" w:lineRule="exact"/>
              <w:ind w:left="63" w:right="63"/>
              <w:rPr>
                <w:rFonts w:ascii="宋体" w:hAnsi="宋体"/>
                <w:color w:val="000000"/>
                <w:sz w:val="24"/>
                <w:szCs w:val="24"/>
                <w:highlight w:val="none"/>
              </w:rPr>
            </w:pPr>
          </w:p>
        </w:tc>
        <w:tc>
          <w:tcPr>
            <w:tcW w:w="851" w:type="dxa"/>
          </w:tcPr>
          <w:p w14:paraId="5996CECB">
            <w:pPr>
              <w:pStyle w:val="34"/>
              <w:keepNext/>
              <w:spacing w:after="0" w:line="440" w:lineRule="exact"/>
              <w:ind w:left="63" w:right="63"/>
              <w:rPr>
                <w:rFonts w:ascii="宋体" w:hAnsi="宋体"/>
                <w:color w:val="000000"/>
                <w:sz w:val="24"/>
                <w:szCs w:val="24"/>
                <w:highlight w:val="none"/>
              </w:rPr>
            </w:pPr>
          </w:p>
        </w:tc>
        <w:tc>
          <w:tcPr>
            <w:tcW w:w="774" w:type="dxa"/>
          </w:tcPr>
          <w:p w14:paraId="098822EF">
            <w:pPr>
              <w:pStyle w:val="34"/>
              <w:keepNext/>
              <w:spacing w:after="0" w:line="440" w:lineRule="exact"/>
              <w:ind w:left="63" w:right="63"/>
              <w:rPr>
                <w:rFonts w:ascii="宋体" w:hAnsi="宋体"/>
                <w:color w:val="000000"/>
                <w:sz w:val="24"/>
                <w:szCs w:val="24"/>
                <w:highlight w:val="none"/>
              </w:rPr>
            </w:pPr>
          </w:p>
        </w:tc>
        <w:tc>
          <w:tcPr>
            <w:tcW w:w="1352" w:type="dxa"/>
          </w:tcPr>
          <w:p w14:paraId="46B0CE7D">
            <w:pPr>
              <w:pStyle w:val="34"/>
              <w:keepNext/>
              <w:spacing w:after="0" w:line="440" w:lineRule="exact"/>
              <w:ind w:left="63" w:right="63"/>
              <w:rPr>
                <w:rFonts w:ascii="宋体" w:hAnsi="宋体"/>
                <w:color w:val="000000"/>
                <w:sz w:val="24"/>
                <w:szCs w:val="24"/>
                <w:highlight w:val="none"/>
              </w:rPr>
            </w:pPr>
          </w:p>
        </w:tc>
        <w:tc>
          <w:tcPr>
            <w:tcW w:w="1418" w:type="dxa"/>
          </w:tcPr>
          <w:p w14:paraId="07EE7CF0">
            <w:pPr>
              <w:pStyle w:val="34"/>
              <w:keepNext/>
              <w:spacing w:after="0" w:line="440" w:lineRule="exact"/>
              <w:ind w:left="63" w:right="63"/>
              <w:rPr>
                <w:rFonts w:ascii="宋体" w:hAnsi="宋体"/>
                <w:color w:val="000000"/>
                <w:sz w:val="24"/>
                <w:szCs w:val="24"/>
                <w:highlight w:val="none"/>
              </w:rPr>
            </w:pPr>
          </w:p>
        </w:tc>
        <w:tc>
          <w:tcPr>
            <w:tcW w:w="1701" w:type="dxa"/>
          </w:tcPr>
          <w:p w14:paraId="633BA966">
            <w:pPr>
              <w:pStyle w:val="34"/>
              <w:keepNext/>
              <w:spacing w:after="0" w:line="440" w:lineRule="exact"/>
              <w:ind w:left="63" w:right="63"/>
              <w:rPr>
                <w:rFonts w:ascii="宋体" w:hAnsi="宋体"/>
                <w:color w:val="000000"/>
                <w:sz w:val="24"/>
                <w:szCs w:val="24"/>
                <w:highlight w:val="none"/>
              </w:rPr>
            </w:pPr>
          </w:p>
        </w:tc>
      </w:tr>
      <w:tr w14:paraId="51335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B943B4">
            <w:pPr>
              <w:pStyle w:val="34"/>
              <w:keepNext/>
              <w:spacing w:after="0" w:line="440" w:lineRule="exact"/>
              <w:ind w:left="63" w:right="63"/>
              <w:rPr>
                <w:rFonts w:ascii="宋体" w:hAnsi="宋体"/>
                <w:color w:val="000000"/>
                <w:sz w:val="24"/>
                <w:szCs w:val="24"/>
                <w:highlight w:val="none"/>
              </w:rPr>
            </w:pPr>
          </w:p>
        </w:tc>
        <w:tc>
          <w:tcPr>
            <w:tcW w:w="1984" w:type="dxa"/>
          </w:tcPr>
          <w:p w14:paraId="2B672909">
            <w:pPr>
              <w:pStyle w:val="34"/>
              <w:keepNext/>
              <w:spacing w:after="0" w:line="440" w:lineRule="exact"/>
              <w:ind w:left="63" w:right="63"/>
              <w:rPr>
                <w:rFonts w:ascii="宋体" w:hAnsi="宋体"/>
                <w:color w:val="000000"/>
                <w:sz w:val="24"/>
                <w:szCs w:val="24"/>
                <w:highlight w:val="none"/>
              </w:rPr>
            </w:pPr>
          </w:p>
        </w:tc>
        <w:tc>
          <w:tcPr>
            <w:tcW w:w="851" w:type="dxa"/>
          </w:tcPr>
          <w:p w14:paraId="2F9E042E">
            <w:pPr>
              <w:pStyle w:val="34"/>
              <w:keepNext/>
              <w:spacing w:after="0" w:line="440" w:lineRule="exact"/>
              <w:ind w:left="63" w:right="63"/>
              <w:rPr>
                <w:rFonts w:ascii="宋体" w:hAnsi="宋体"/>
                <w:color w:val="000000"/>
                <w:sz w:val="24"/>
                <w:szCs w:val="24"/>
                <w:highlight w:val="none"/>
              </w:rPr>
            </w:pPr>
          </w:p>
        </w:tc>
        <w:tc>
          <w:tcPr>
            <w:tcW w:w="774" w:type="dxa"/>
          </w:tcPr>
          <w:p w14:paraId="5C131E3E">
            <w:pPr>
              <w:pStyle w:val="34"/>
              <w:keepNext/>
              <w:spacing w:after="0" w:line="440" w:lineRule="exact"/>
              <w:ind w:left="63" w:right="63"/>
              <w:rPr>
                <w:rFonts w:ascii="宋体" w:hAnsi="宋体"/>
                <w:color w:val="000000"/>
                <w:sz w:val="24"/>
                <w:szCs w:val="24"/>
                <w:highlight w:val="none"/>
              </w:rPr>
            </w:pPr>
          </w:p>
        </w:tc>
        <w:tc>
          <w:tcPr>
            <w:tcW w:w="1352" w:type="dxa"/>
          </w:tcPr>
          <w:p w14:paraId="647C1FF1">
            <w:pPr>
              <w:pStyle w:val="34"/>
              <w:keepNext/>
              <w:spacing w:after="0" w:line="440" w:lineRule="exact"/>
              <w:ind w:left="63" w:right="63"/>
              <w:rPr>
                <w:rFonts w:ascii="宋体" w:hAnsi="宋体"/>
                <w:color w:val="000000"/>
                <w:sz w:val="24"/>
                <w:szCs w:val="24"/>
                <w:highlight w:val="none"/>
              </w:rPr>
            </w:pPr>
          </w:p>
        </w:tc>
        <w:tc>
          <w:tcPr>
            <w:tcW w:w="1418" w:type="dxa"/>
          </w:tcPr>
          <w:p w14:paraId="08E23E37">
            <w:pPr>
              <w:pStyle w:val="34"/>
              <w:keepNext/>
              <w:spacing w:after="0" w:line="440" w:lineRule="exact"/>
              <w:ind w:left="63" w:right="63"/>
              <w:rPr>
                <w:rFonts w:ascii="宋体" w:hAnsi="宋体"/>
                <w:color w:val="000000"/>
                <w:sz w:val="24"/>
                <w:szCs w:val="24"/>
                <w:highlight w:val="none"/>
              </w:rPr>
            </w:pPr>
          </w:p>
        </w:tc>
        <w:tc>
          <w:tcPr>
            <w:tcW w:w="1701" w:type="dxa"/>
          </w:tcPr>
          <w:p w14:paraId="6A797967">
            <w:pPr>
              <w:pStyle w:val="34"/>
              <w:keepNext/>
              <w:spacing w:after="0" w:line="440" w:lineRule="exact"/>
              <w:ind w:left="63" w:right="63"/>
              <w:rPr>
                <w:rFonts w:ascii="宋体" w:hAnsi="宋体"/>
                <w:color w:val="000000"/>
                <w:sz w:val="24"/>
                <w:szCs w:val="24"/>
                <w:highlight w:val="none"/>
              </w:rPr>
            </w:pPr>
          </w:p>
        </w:tc>
      </w:tr>
      <w:tr w14:paraId="3574E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D679E5">
            <w:pPr>
              <w:pStyle w:val="34"/>
              <w:keepNext/>
              <w:spacing w:after="0" w:line="440" w:lineRule="exact"/>
              <w:ind w:left="63" w:right="63"/>
              <w:rPr>
                <w:rFonts w:ascii="宋体" w:hAnsi="宋体"/>
                <w:color w:val="000000"/>
                <w:sz w:val="24"/>
                <w:szCs w:val="24"/>
                <w:highlight w:val="none"/>
              </w:rPr>
            </w:pPr>
          </w:p>
        </w:tc>
        <w:tc>
          <w:tcPr>
            <w:tcW w:w="1984" w:type="dxa"/>
          </w:tcPr>
          <w:p w14:paraId="170F1E29">
            <w:pPr>
              <w:pStyle w:val="34"/>
              <w:keepNext/>
              <w:spacing w:after="0" w:line="440" w:lineRule="exact"/>
              <w:ind w:left="63" w:right="63"/>
              <w:rPr>
                <w:rFonts w:ascii="宋体" w:hAnsi="宋体"/>
                <w:color w:val="000000"/>
                <w:sz w:val="24"/>
                <w:szCs w:val="24"/>
                <w:highlight w:val="none"/>
              </w:rPr>
            </w:pPr>
          </w:p>
        </w:tc>
        <w:tc>
          <w:tcPr>
            <w:tcW w:w="851" w:type="dxa"/>
          </w:tcPr>
          <w:p w14:paraId="3A04C7D0">
            <w:pPr>
              <w:pStyle w:val="34"/>
              <w:keepNext/>
              <w:spacing w:after="0" w:line="440" w:lineRule="exact"/>
              <w:ind w:left="63" w:right="63"/>
              <w:rPr>
                <w:rFonts w:ascii="宋体" w:hAnsi="宋体"/>
                <w:color w:val="000000"/>
                <w:sz w:val="24"/>
                <w:szCs w:val="24"/>
                <w:highlight w:val="none"/>
              </w:rPr>
            </w:pPr>
          </w:p>
        </w:tc>
        <w:tc>
          <w:tcPr>
            <w:tcW w:w="774" w:type="dxa"/>
          </w:tcPr>
          <w:p w14:paraId="647243E3">
            <w:pPr>
              <w:pStyle w:val="34"/>
              <w:keepNext/>
              <w:spacing w:after="0" w:line="440" w:lineRule="exact"/>
              <w:ind w:left="63" w:right="63"/>
              <w:rPr>
                <w:rFonts w:ascii="宋体" w:hAnsi="宋体"/>
                <w:color w:val="000000"/>
                <w:sz w:val="24"/>
                <w:szCs w:val="24"/>
                <w:highlight w:val="none"/>
              </w:rPr>
            </w:pPr>
          </w:p>
        </w:tc>
        <w:tc>
          <w:tcPr>
            <w:tcW w:w="1352" w:type="dxa"/>
          </w:tcPr>
          <w:p w14:paraId="0EA346B1">
            <w:pPr>
              <w:pStyle w:val="34"/>
              <w:keepNext/>
              <w:spacing w:after="0" w:line="440" w:lineRule="exact"/>
              <w:ind w:left="63" w:right="63"/>
              <w:rPr>
                <w:rFonts w:ascii="宋体" w:hAnsi="宋体"/>
                <w:color w:val="000000"/>
                <w:sz w:val="24"/>
                <w:szCs w:val="24"/>
                <w:highlight w:val="none"/>
              </w:rPr>
            </w:pPr>
          </w:p>
        </w:tc>
        <w:tc>
          <w:tcPr>
            <w:tcW w:w="1418" w:type="dxa"/>
          </w:tcPr>
          <w:p w14:paraId="28DBA502">
            <w:pPr>
              <w:pStyle w:val="34"/>
              <w:keepNext/>
              <w:spacing w:after="0" w:line="440" w:lineRule="exact"/>
              <w:ind w:left="63" w:right="63"/>
              <w:rPr>
                <w:rFonts w:ascii="宋体" w:hAnsi="宋体"/>
                <w:color w:val="000000"/>
                <w:sz w:val="24"/>
                <w:szCs w:val="24"/>
                <w:highlight w:val="none"/>
              </w:rPr>
            </w:pPr>
          </w:p>
        </w:tc>
        <w:tc>
          <w:tcPr>
            <w:tcW w:w="1701" w:type="dxa"/>
          </w:tcPr>
          <w:p w14:paraId="0D55F3C1">
            <w:pPr>
              <w:pStyle w:val="34"/>
              <w:keepNext/>
              <w:spacing w:after="0" w:line="440" w:lineRule="exact"/>
              <w:ind w:left="63" w:right="63"/>
              <w:rPr>
                <w:rFonts w:ascii="宋体" w:hAnsi="宋体"/>
                <w:color w:val="000000"/>
                <w:sz w:val="24"/>
                <w:szCs w:val="24"/>
                <w:highlight w:val="none"/>
              </w:rPr>
            </w:pPr>
          </w:p>
        </w:tc>
      </w:tr>
      <w:tr w14:paraId="5A59F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8862FC">
            <w:pPr>
              <w:pStyle w:val="34"/>
              <w:keepNext/>
              <w:spacing w:after="0" w:line="440" w:lineRule="exact"/>
              <w:ind w:left="63" w:right="63"/>
              <w:rPr>
                <w:rFonts w:ascii="宋体" w:hAnsi="宋体"/>
                <w:color w:val="000000"/>
                <w:sz w:val="24"/>
                <w:szCs w:val="24"/>
                <w:highlight w:val="none"/>
              </w:rPr>
            </w:pPr>
          </w:p>
        </w:tc>
        <w:tc>
          <w:tcPr>
            <w:tcW w:w="1984" w:type="dxa"/>
          </w:tcPr>
          <w:p w14:paraId="6B4A3882">
            <w:pPr>
              <w:pStyle w:val="34"/>
              <w:keepNext/>
              <w:spacing w:after="0" w:line="440" w:lineRule="exact"/>
              <w:ind w:left="63" w:right="63"/>
              <w:rPr>
                <w:rFonts w:ascii="宋体" w:hAnsi="宋体"/>
                <w:color w:val="000000"/>
                <w:sz w:val="24"/>
                <w:szCs w:val="24"/>
                <w:highlight w:val="none"/>
              </w:rPr>
            </w:pPr>
          </w:p>
        </w:tc>
        <w:tc>
          <w:tcPr>
            <w:tcW w:w="851" w:type="dxa"/>
          </w:tcPr>
          <w:p w14:paraId="1966C0B3">
            <w:pPr>
              <w:pStyle w:val="34"/>
              <w:keepNext/>
              <w:spacing w:after="0" w:line="440" w:lineRule="exact"/>
              <w:ind w:left="63" w:right="63"/>
              <w:rPr>
                <w:rFonts w:ascii="宋体" w:hAnsi="宋体"/>
                <w:color w:val="000000"/>
                <w:sz w:val="24"/>
                <w:szCs w:val="24"/>
                <w:highlight w:val="none"/>
              </w:rPr>
            </w:pPr>
          </w:p>
        </w:tc>
        <w:tc>
          <w:tcPr>
            <w:tcW w:w="774" w:type="dxa"/>
          </w:tcPr>
          <w:p w14:paraId="15FB550B">
            <w:pPr>
              <w:pStyle w:val="34"/>
              <w:keepNext/>
              <w:spacing w:after="0" w:line="440" w:lineRule="exact"/>
              <w:ind w:left="63" w:right="63"/>
              <w:rPr>
                <w:rFonts w:ascii="宋体" w:hAnsi="宋体"/>
                <w:color w:val="000000"/>
                <w:sz w:val="24"/>
                <w:szCs w:val="24"/>
                <w:highlight w:val="none"/>
              </w:rPr>
            </w:pPr>
          </w:p>
        </w:tc>
        <w:tc>
          <w:tcPr>
            <w:tcW w:w="1352" w:type="dxa"/>
          </w:tcPr>
          <w:p w14:paraId="65FA3B72">
            <w:pPr>
              <w:pStyle w:val="34"/>
              <w:keepNext/>
              <w:spacing w:after="0" w:line="440" w:lineRule="exact"/>
              <w:ind w:left="63" w:right="63"/>
              <w:rPr>
                <w:rFonts w:ascii="宋体" w:hAnsi="宋体"/>
                <w:color w:val="000000"/>
                <w:sz w:val="24"/>
                <w:szCs w:val="24"/>
                <w:highlight w:val="none"/>
              </w:rPr>
            </w:pPr>
          </w:p>
        </w:tc>
        <w:tc>
          <w:tcPr>
            <w:tcW w:w="1418" w:type="dxa"/>
          </w:tcPr>
          <w:p w14:paraId="4BC763F2">
            <w:pPr>
              <w:pStyle w:val="34"/>
              <w:keepNext/>
              <w:spacing w:after="0" w:line="440" w:lineRule="exact"/>
              <w:ind w:left="63" w:right="63"/>
              <w:rPr>
                <w:rFonts w:ascii="宋体" w:hAnsi="宋体"/>
                <w:color w:val="000000"/>
                <w:sz w:val="24"/>
                <w:szCs w:val="24"/>
                <w:highlight w:val="none"/>
              </w:rPr>
            </w:pPr>
          </w:p>
        </w:tc>
        <w:tc>
          <w:tcPr>
            <w:tcW w:w="1701" w:type="dxa"/>
          </w:tcPr>
          <w:p w14:paraId="3B522B75">
            <w:pPr>
              <w:pStyle w:val="34"/>
              <w:keepNext/>
              <w:spacing w:after="0" w:line="440" w:lineRule="exact"/>
              <w:ind w:left="63" w:right="63"/>
              <w:rPr>
                <w:rFonts w:ascii="宋体" w:hAnsi="宋体"/>
                <w:color w:val="000000"/>
                <w:sz w:val="24"/>
                <w:szCs w:val="24"/>
                <w:highlight w:val="none"/>
              </w:rPr>
            </w:pPr>
          </w:p>
        </w:tc>
      </w:tr>
      <w:tr w14:paraId="44036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EFAA48">
            <w:pPr>
              <w:pStyle w:val="34"/>
              <w:keepNext/>
              <w:spacing w:after="0" w:line="440" w:lineRule="exact"/>
              <w:ind w:left="63" w:right="63"/>
              <w:rPr>
                <w:rFonts w:ascii="宋体" w:hAnsi="宋体"/>
                <w:color w:val="000000"/>
                <w:sz w:val="24"/>
                <w:szCs w:val="24"/>
                <w:highlight w:val="none"/>
              </w:rPr>
            </w:pPr>
          </w:p>
        </w:tc>
        <w:tc>
          <w:tcPr>
            <w:tcW w:w="1984" w:type="dxa"/>
          </w:tcPr>
          <w:p w14:paraId="2D6458CF">
            <w:pPr>
              <w:pStyle w:val="34"/>
              <w:keepNext/>
              <w:spacing w:after="0" w:line="440" w:lineRule="exact"/>
              <w:ind w:left="63" w:right="63"/>
              <w:rPr>
                <w:rFonts w:ascii="宋体" w:hAnsi="宋体"/>
                <w:color w:val="000000"/>
                <w:sz w:val="24"/>
                <w:szCs w:val="24"/>
                <w:highlight w:val="none"/>
              </w:rPr>
            </w:pPr>
          </w:p>
        </w:tc>
        <w:tc>
          <w:tcPr>
            <w:tcW w:w="851" w:type="dxa"/>
          </w:tcPr>
          <w:p w14:paraId="7DAFD011">
            <w:pPr>
              <w:pStyle w:val="34"/>
              <w:keepNext/>
              <w:spacing w:after="0" w:line="440" w:lineRule="exact"/>
              <w:ind w:left="63" w:right="63"/>
              <w:rPr>
                <w:rFonts w:ascii="宋体" w:hAnsi="宋体"/>
                <w:color w:val="000000"/>
                <w:sz w:val="24"/>
                <w:szCs w:val="24"/>
                <w:highlight w:val="none"/>
              </w:rPr>
            </w:pPr>
          </w:p>
        </w:tc>
        <w:tc>
          <w:tcPr>
            <w:tcW w:w="774" w:type="dxa"/>
          </w:tcPr>
          <w:p w14:paraId="5CCE1855">
            <w:pPr>
              <w:pStyle w:val="34"/>
              <w:keepNext/>
              <w:spacing w:after="0" w:line="440" w:lineRule="exact"/>
              <w:ind w:left="63" w:right="63"/>
              <w:rPr>
                <w:rFonts w:ascii="宋体" w:hAnsi="宋体"/>
                <w:color w:val="000000"/>
                <w:sz w:val="24"/>
                <w:szCs w:val="24"/>
                <w:highlight w:val="none"/>
              </w:rPr>
            </w:pPr>
          </w:p>
        </w:tc>
        <w:tc>
          <w:tcPr>
            <w:tcW w:w="1352" w:type="dxa"/>
          </w:tcPr>
          <w:p w14:paraId="69884DF7">
            <w:pPr>
              <w:pStyle w:val="34"/>
              <w:keepNext/>
              <w:spacing w:after="0" w:line="440" w:lineRule="exact"/>
              <w:ind w:left="63" w:right="63"/>
              <w:rPr>
                <w:rFonts w:ascii="宋体" w:hAnsi="宋体"/>
                <w:color w:val="000000"/>
                <w:sz w:val="24"/>
                <w:szCs w:val="24"/>
                <w:highlight w:val="none"/>
              </w:rPr>
            </w:pPr>
          </w:p>
        </w:tc>
        <w:tc>
          <w:tcPr>
            <w:tcW w:w="1418" w:type="dxa"/>
          </w:tcPr>
          <w:p w14:paraId="2D23FBCF">
            <w:pPr>
              <w:pStyle w:val="34"/>
              <w:keepNext/>
              <w:spacing w:after="0" w:line="440" w:lineRule="exact"/>
              <w:ind w:left="63" w:right="63"/>
              <w:rPr>
                <w:rFonts w:ascii="宋体" w:hAnsi="宋体"/>
                <w:color w:val="000000"/>
                <w:sz w:val="24"/>
                <w:szCs w:val="24"/>
                <w:highlight w:val="none"/>
              </w:rPr>
            </w:pPr>
          </w:p>
        </w:tc>
        <w:tc>
          <w:tcPr>
            <w:tcW w:w="1701" w:type="dxa"/>
          </w:tcPr>
          <w:p w14:paraId="5880106F">
            <w:pPr>
              <w:pStyle w:val="34"/>
              <w:keepNext/>
              <w:spacing w:after="0" w:line="440" w:lineRule="exact"/>
              <w:ind w:left="63" w:right="63"/>
              <w:rPr>
                <w:rFonts w:ascii="宋体" w:hAnsi="宋体"/>
                <w:color w:val="000000"/>
                <w:sz w:val="24"/>
                <w:szCs w:val="24"/>
                <w:highlight w:val="none"/>
              </w:rPr>
            </w:pPr>
          </w:p>
        </w:tc>
      </w:tr>
      <w:tr w14:paraId="3941C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00313A">
            <w:pPr>
              <w:pStyle w:val="34"/>
              <w:keepNext/>
              <w:spacing w:after="0" w:line="440" w:lineRule="exact"/>
              <w:ind w:left="63" w:right="63"/>
              <w:rPr>
                <w:rFonts w:ascii="宋体" w:hAnsi="宋体"/>
                <w:color w:val="000000"/>
                <w:sz w:val="24"/>
                <w:szCs w:val="24"/>
                <w:highlight w:val="none"/>
              </w:rPr>
            </w:pPr>
          </w:p>
        </w:tc>
        <w:tc>
          <w:tcPr>
            <w:tcW w:w="1984" w:type="dxa"/>
          </w:tcPr>
          <w:p w14:paraId="0F6D584A">
            <w:pPr>
              <w:pStyle w:val="34"/>
              <w:keepNext/>
              <w:spacing w:after="0" w:line="440" w:lineRule="exact"/>
              <w:ind w:left="63" w:right="63"/>
              <w:rPr>
                <w:rFonts w:ascii="宋体" w:hAnsi="宋体"/>
                <w:color w:val="000000"/>
                <w:sz w:val="24"/>
                <w:szCs w:val="24"/>
                <w:highlight w:val="none"/>
              </w:rPr>
            </w:pPr>
          </w:p>
        </w:tc>
        <w:tc>
          <w:tcPr>
            <w:tcW w:w="851" w:type="dxa"/>
          </w:tcPr>
          <w:p w14:paraId="70E0B6AB">
            <w:pPr>
              <w:pStyle w:val="34"/>
              <w:keepNext/>
              <w:spacing w:after="0" w:line="440" w:lineRule="exact"/>
              <w:ind w:left="63" w:right="63"/>
              <w:rPr>
                <w:rFonts w:ascii="宋体" w:hAnsi="宋体"/>
                <w:color w:val="000000"/>
                <w:sz w:val="24"/>
                <w:szCs w:val="24"/>
                <w:highlight w:val="none"/>
              </w:rPr>
            </w:pPr>
          </w:p>
        </w:tc>
        <w:tc>
          <w:tcPr>
            <w:tcW w:w="774" w:type="dxa"/>
          </w:tcPr>
          <w:p w14:paraId="77CCA944">
            <w:pPr>
              <w:pStyle w:val="34"/>
              <w:keepNext/>
              <w:spacing w:after="0" w:line="440" w:lineRule="exact"/>
              <w:ind w:left="63" w:right="63"/>
              <w:rPr>
                <w:rFonts w:ascii="宋体" w:hAnsi="宋体"/>
                <w:color w:val="000000"/>
                <w:sz w:val="24"/>
                <w:szCs w:val="24"/>
                <w:highlight w:val="none"/>
              </w:rPr>
            </w:pPr>
          </w:p>
        </w:tc>
        <w:tc>
          <w:tcPr>
            <w:tcW w:w="1352" w:type="dxa"/>
          </w:tcPr>
          <w:p w14:paraId="01868C52">
            <w:pPr>
              <w:pStyle w:val="34"/>
              <w:keepNext/>
              <w:spacing w:after="0" w:line="440" w:lineRule="exact"/>
              <w:ind w:left="63" w:right="63"/>
              <w:rPr>
                <w:rFonts w:ascii="宋体" w:hAnsi="宋体"/>
                <w:color w:val="000000"/>
                <w:sz w:val="24"/>
                <w:szCs w:val="24"/>
                <w:highlight w:val="none"/>
              </w:rPr>
            </w:pPr>
          </w:p>
        </w:tc>
        <w:tc>
          <w:tcPr>
            <w:tcW w:w="1418" w:type="dxa"/>
          </w:tcPr>
          <w:p w14:paraId="21C1C795">
            <w:pPr>
              <w:pStyle w:val="34"/>
              <w:keepNext/>
              <w:spacing w:after="0" w:line="440" w:lineRule="exact"/>
              <w:ind w:left="63" w:right="63"/>
              <w:rPr>
                <w:rFonts w:ascii="宋体" w:hAnsi="宋体"/>
                <w:color w:val="000000"/>
                <w:sz w:val="24"/>
                <w:szCs w:val="24"/>
                <w:highlight w:val="none"/>
              </w:rPr>
            </w:pPr>
          </w:p>
        </w:tc>
        <w:tc>
          <w:tcPr>
            <w:tcW w:w="1701" w:type="dxa"/>
          </w:tcPr>
          <w:p w14:paraId="221275E6">
            <w:pPr>
              <w:pStyle w:val="34"/>
              <w:keepNext/>
              <w:spacing w:after="0" w:line="440" w:lineRule="exact"/>
              <w:ind w:left="63" w:right="63"/>
              <w:rPr>
                <w:rFonts w:ascii="宋体" w:hAnsi="宋体"/>
                <w:color w:val="000000"/>
                <w:sz w:val="24"/>
                <w:szCs w:val="24"/>
                <w:highlight w:val="none"/>
              </w:rPr>
            </w:pPr>
          </w:p>
        </w:tc>
      </w:tr>
      <w:tr w14:paraId="0D945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1EE63A">
            <w:pPr>
              <w:pStyle w:val="34"/>
              <w:keepNext/>
              <w:spacing w:after="0" w:line="440" w:lineRule="exact"/>
              <w:ind w:left="63" w:right="63"/>
              <w:rPr>
                <w:rFonts w:ascii="宋体" w:hAnsi="宋体"/>
                <w:color w:val="000000"/>
                <w:sz w:val="24"/>
                <w:szCs w:val="24"/>
                <w:highlight w:val="none"/>
              </w:rPr>
            </w:pPr>
          </w:p>
        </w:tc>
        <w:tc>
          <w:tcPr>
            <w:tcW w:w="1984" w:type="dxa"/>
          </w:tcPr>
          <w:p w14:paraId="5B72FE4F">
            <w:pPr>
              <w:pStyle w:val="34"/>
              <w:keepNext/>
              <w:spacing w:after="0" w:line="440" w:lineRule="exact"/>
              <w:ind w:left="63" w:right="63"/>
              <w:rPr>
                <w:rFonts w:ascii="宋体" w:hAnsi="宋体"/>
                <w:color w:val="000000"/>
                <w:sz w:val="24"/>
                <w:szCs w:val="24"/>
                <w:highlight w:val="none"/>
              </w:rPr>
            </w:pPr>
          </w:p>
        </w:tc>
        <w:tc>
          <w:tcPr>
            <w:tcW w:w="851" w:type="dxa"/>
          </w:tcPr>
          <w:p w14:paraId="6593023A">
            <w:pPr>
              <w:pStyle w:val="34"/>
              <w:keepNext/>
              <w:spacing w:after="0" w:line="440" w:lineRule="exact"/>
              <w:ind w:left="63" w:right="63"/>
              <w:rPr>
                <w:rFonts w:ascii="宋体" w:hAnsi="宋体"/>
                <w:color w:val="000000"/>
                <w:sz w:val="24"/>
                <w:szCs w:val="24"/>
                <w:highlight w:val="none"/>
              </w:rPr>
            </w:pPr>
          </w:p>
        </w:tc>
        <w:tc>
          <w:tcPr>
            <w:tcW w:w="774" w:type="dxa"/>
          </w:tcPr>
          <w:p w14:paraId="53C949A1">
            <w:pPr>
              <w:pStyle w:val="34"/>
              <w:keepNext/>
              <w:spacing w:after="0" w:line="440" w:lineRule="exact"/>
              <w:ind w:left="63" w:right="63"/>
              <w:rPr>
                <w:rFonts w:ascii="宋体" w:hAnsi="宋体"/>
                <w:color w:val="000000"/>
                <w:sz w:val="24"/>
                <w:szCs w:val="24"/>
                <w:highlight w:val="none"/>
              </w:rPr>
            </w:pPr>
          </w:p>
        </w:tc>
        <w:tc>
          <w:tcPr>
            <w:tcW w:w="1352" w:type="dxa"/>
          </w:tcPr>
          <w:p w14:paraId="6C1A882B">
            <w:pPr>
              <w:pStyle w:val="34"/>
              <w:keepNext/>
              <w:spacing w:after="0" w:line="440" w:lineRule="exact"/>
              <w:ind w:left="63" w:right="63"/>
              <w:rPr>
                <w:rFonts w:ascii="宋体" w:hAnsi="宋体"/>
                <w:color w:val="000000"/>
                <w:sz w:val="24"/>
                <w:szCs w:val="24"/>
                <w:highlight w:val="none"/>
              </w:rPr>
            </w:pPr>
          </w:p>
        </w:tc>
        <w:tc>
          <w:tcPr>
            <w:tcW w:w="1418" w:type="dxa"/>
          </w:tcPr>
          <w:p w14:paraId="50E6BBED">
            <w:pPr>
              <w:pStyle w:val="34"/>
              <w:keepNext/>
              <w:spacing w:after="0" w:line="440" w:lineRule="exact"/>
              <w:ind w:left="63" w:right="63"/>
              <w:rPr>
                <w:rFonts w:ascii="宋体" w:hAnsi="宋体"/>
                <w:color w:val="000000"/>
                <w:sz w:val="24"/>
                <w:szCs w:val="24"/>
                <w:highlight w:val="none"/>
              </w:rPr>
            </w:pPr>
          </w:p>
        </w:tc>
        <w:tc>
          <w:tcPr>
            <w:tcW w:w="1701" w:type="dxa"/>
          </w:tcPr>
          <w:p w14:paraId="3EC458ED">
            <w:pPr>
              <w:pStyle w:val="34"/>
              <w:keepNext/>
              <w:spacing w:after="0" w:line="440" w:lineRule="exact"/>
              <w:ind w:left="63" w:right="63"/>
              <w:rPr>
                <w:rFonts w:ascii="宋体" w:hAnsi="宋体"/>
                <w:color w:val="000000"/>
                <w:sz w:val="24"/>
                <w:szCs w:val="24"/>
                <w:highlight w:val="none"/>
              </w:rPr>
            </w:pPr>
          </w:p>
        </w:tc>
      </w:tr>
      <w:tr w14:paraId="3D563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DD453D2">
            <w:pPr>
              <w:pStyle w:val="34"/>
              <w:keepNext/>
              <w:spacing w:after="0" w:line="440" w:lineRule="exact"/>
              <w:ind w:left="63" w:right="63"/>
              <w:rPr>
                <w:rFonts w:ascii="宋体" w:hAnsi="宋体"/>
                <w:color w:val="000000"/>
                <w:sz w:val="24"/>
                <w:szCs w:val="24"/>
                <w:highlight w:val="none"/>
              </w:rPr>
            </w:pPr>
          </w:p>
        </w:tc>
        <w:tc>
          <w:tcPr>
            <w:tcW w:w="1984" w:type="dxa"/>
          </w:tcPr>
          <w:p w14:paraId="25A05CBB">
            <w:pPr>
              <w:pStyle w:val="34"/>
              <w:keepNext/>
              <w:spacing w:after="0" w:line="440" w:lineRule="exact"/>
              <w:ind w:left="63" w:right="63"/>
              <w:rPr>
                <w:rFonts w:ascii="宋体" w:hAnsi="宋体"/>
                <w:color w:val="000000"/>
                <w:sz w:val="24"/>
                <w:szCs w:val="24"/>
                <w:highlight w:val="none"/>
              </w:rPr>
            </w:pPr>
          </w:p>
        </w:tc>
        <w:tc>
          <w:tcPr>
            <w:tcW w:w="851" w:type="dxa"/>
          </w:tcPr>
          <w:p w14:paraId="141249AD">
            <w:pPr>
              <w:pStyle w:val="34"/>
              <w:keepNext/>
              <w:spacing w:after="0" w:line="440" w:lineRule="exact"/>
              <w:ind w:left="63" w:right="63"/>
              <w:rPr>
                <w:rFonts w:ascii="宋体" w:hAnsi="宋体"/>
                <w:color w:val="000000"/>
                <w:sz w:val="24"/>
                <w:szCs w:val="24"/>
                <w:highlight w:val="none"/>
              </w:rPr>
            </w:pPr>
          </w:p>
        </w:tc>
        <w:tc>
          <w:tcPr>
            <w:tcW w:w="774" w:type="dxa"/>
          </w:tcPr>
          <w:p w14:paraId="1CA1403A">
            <w:pPr>
              <w:pStyle w:val="34"/>
              <w:keepNext/>
              <w:spacing w:after="0" w:line="440" w:lineRule="exact"/>
              <w:ind w:left="63" w:right="63"/>
              <w:rPr>
                <w:rFonts w:ascii="宋体" w:hAnsi="宋体"/>
                <w:color w:val="000000"/>
                <w:sz w:val="24"/>
                <w:szCs w:val="24"/>
                <w:highlight w:val="none"/>
              </w:rPr>
            </w:pPr>
          </w:p>
        </w:tc>
        <w:tc>
          <w:tcPr>
            <w:tcW w:w="1352" w:type="dxa"/>
          </w:tcPr>
          <w:p w14:paraId="7129A465">
            <w:pPr>
              <w:pStyle w:val="34"/>
              <w:keepNext/>
              <w:spacing w:after="0" w:line="440" w:lineRule="exact"/>
              <w:ind w:left="63" w:right="63"/>
              <w:rPr>
                <w:rFonts w:ascii="宋体" w:hAnsi="宋体"/>
                <w:color w:val="000000"/>
                <w:sz w:val="24"/>
                <w:szCs w:val="24"/>
                <w:highlight w:val="none"/>
              </w:rPr>
            </w:pPr>
          </w:p>
        </w:tc>
        <w:tc>
          <w:tcPr>
            <w:tcW w:w="1418" w:type="dxa"/>
          </w:tcPr>
          <w:p w14:paraId="6594A0CA">
            <w:pPr>
              <w:pStyle w:val="34"/>
              <w:keepNext/>
              <w:spacing w:after="0" w:line="440" w:lineRule="exact"/>
              <w:ind w:left="63" w:right="63"/>
              <w:rPr>
                <w:rFonts w:ascii="宋体" w:hAnsi="宋体"/>
                <w:color w:val="000000"/>
                <w:sz w:val="24"/>
                <w:szCs w:val="24"/>
                <w:highlight w:val="none"/>
              </w:rPr>
            </w:pPr>
          </w:p>
        </w:tc>
        <w:tc>
          <w:tcPr>
            <w:tcW w:w="1701" w:type="dxa"/>
          </w:tcPr>
          <w:p w14:paraId="11E94704">
            <w:pPr>
              <w:pStyle w:val="34"/>
              <w:keepNext/>
              <w:spacing w:after="0" w:line="440" w:lineRule="exact"/>
              <w:ind w:left="63" w:right="63"/>
              <w:rPr>
                <w:rFonts w:ascii="宋体" w:hAnsi="宋体"/>
                <w:color w:val="000000"/>
                <w:sz w:val="24"/>
                <w:szCs w:val="24"/>
                <w:highlight w:val="none"/>
              </w:rPr>
            </w:pPr>
          </w:p>
        </w:tc>
      </w:tr>
      <w:tr w14:paraId="4F0A1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C64A42">
            <w:pPr>
              <w:pStyle w:val="34"/>
              <w:keepNext/>
              <w:spacing w:after="0" w:line="440" w:lineRule="exact"/>
              <w:ind w:left="63" w:right="63"/>
              <w:rPr>
                <w:rFonts w:ascii="宋体" w:hAnsi="宋体"/>
                <w:color w:val="000000"/>
                <w:sz w:val="24"/>
                <w:szCs w:val="24"/>
                <w:highlight w:val="none"/>
              </w:rPr>
            </w:pPr>
          </w:p>
        </w:tc>
        <w:tc>
          <w:tcPr>
            <w:tcW w:w="1984" w:type="dxa"/>
          </w:tcPr>
          <w:p w14:paraId="081B94CE">
            <w:pPr>
              <w:pStyle w:val="34"/>
              <w:keepNext/>
              <w:spacing w:after="0" w:line="440" w:lineRule="exact"/>
              <w:ind w:left="63" w:right="63"/>
              <w:rPr>
                <w:rFonts w:ascii="宋体" w:hAnsi="宋体"/>
                <w:color w:val="000000"/>
                <w:sz w:val="24"/>
                <w:szCs w:val="24"/>
                <w:highlight w:val="none"/>
              </w:rPr>
            </w:pPr>
          </w:p>
        </w:tc>
        <w:tc>
          <w:tcPr>
            <w:tcW w:w="851" w:type="dxa"/>
          </w:tcPr>
          <w:p w14:paraId="2528599C">
            <w:pPr>
              <w:pStyle w:val="34"/>
              <w:keepNext/>
              <w:spacing w:after="0" w:line="440" w:lineRule="exact"/>
              <w:ind w:left="63" w:right="63"/>
              <w:rPr>
                <w:rFonts w:ascii="宋体" w:hAnsi="宋体"/>
                <w:color w:val="000000"/>
                <w:sz w:val="24"/>
                <w:szCs w:val="24"/>
                <w:highlight w:val="none"/>
              </w:rPr>
            </w:pPr>
          </w:p>
        </w:tc>
        <w:tc>
          <w:tcPr>
            <w:tcW w:w="774" w:type="dxa"/>
          </w:tcPr>
          <w:p w14:paraId="1802870C">
            <w:pPr>
              <w:pStyle w:val="34"/>
              <w:keepNext/>
              <w:spacing w:after="0" w:line="440" w:lineRule="exact"/>
              <w:ind w:left="63" w:right="63"/>
              <w:rPr>
                <w:rFonts w:ascii="宋体" w:hAnsi="宋体"/>
                <w:color w:val="000000"/>
                <w:sz w:val="24"/>
                <w:szCs w:val="24"/>
                <w:highlight w:val="none"/>
              </w:rPr>
            </w:pPr>
          </w:p>
        </w:tc>
        <w:tc>
          <w:tcPr>
            <w:tcW w:w="1352" w:type="dxa"/>
          </w:tcPr>
          <w:p w14:paraId="340394E0">
            <w:pPr>
              <w:pStyle w:val="34"/>
              <w:keepNext/>
              <w:spacing w:after="0" w:line="440" w:lineRule="exact"/>
              <w:ind w:left="63" w:right="63"/>
              <w:rPr>
                <w:rFonts w:ascii="宋体" w:hAnsi="宋体"/>
                <w:color w:val="000000"/>
                <w:sz w:val="24"/>
                <w:szCs w:val="24"/>
                <w:highlight w:val="none"/>
              </w:rPr>
            </w:pPr>
          </w:p>
        </w:tc>
        <w:tc>
          <w:tcPr>
            <w:tcW w:w="1418" w:type="dxa"/>
          </w:tcPr>
          <w:p w14:paraId="08733417">
            <w:pPr>
              <w:pStyle w:val="34"/>
              <w:keepNext/>
              <w:spacing w:after="0" w:line="440" w:lineRule="exact"/>
              <w:ind w:left="63" w:right="63"/>
              <w:rPr>
                <w:rFonts w:ascii="宋体" w:hAnsi="宋体"/>
                <w:color w:val="000000"/>
                <w:sz w:val="24"/>
                <w:szCs w:val="24"/>
                <w:highlight w:val="none"/>
              </w:rPr>
            </w:pPr>
          </w:p>
        </w:tc>
        <w:tc>
          <w:tcPr>
            <w:tcW w:w="1701" w:type="dxa"/>
          </w:tcPr>
          <w:p w14:paraId="46A1FA3F">
            <w:pPr>
              <w:pStyle w:val="34"/>
              <w:keepNext/>
              <w:spacing w:after="0" w:line="440" w:lineRule="exact"/>
              <w:ind w:left="63" w:right="63"/>
              <w:rPr>
                <w:rFonts w:ascii="宋体" w:hAnsi="宋体"/>
                <w:color w:val="000000"/>
                <w:sz w:val="24"/>
                <w:szCs w:val="24"/>
                <w:highlight w:val="none"/>
              </w:rPr>
            </w:pPr>
          </w:p>
        </w:tc>
      </w:tr>
      <w:tr w14:paraId="77647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057CDA">
            <w:pPr>
              <w:pStyle w:val="34"/>
              <w:keepNext/>
              <w:spacing w:after="0" w:line="440" w:lineRule="exact"/>
              <w:ind w:left="63" w:right="63"/>
              <w:rPr>
                <w:rFonts w:ascii="宋体" w:hAnsi="宋体"/>
                <w:color w:val="000000"/>
                <w:sz w:val="24"/>
                <w:szCs w:val="24"/>
                <w:highlight w:val="none"/>
              </w:rPr>
            </w:pPr>
          </w:p>
        </w:tc>
        <w:tc>
          <w:tcPr>
            <w:tcW w:w="1984" w:type="dxa"/>
          </w:tcPr>
          <w:p w14:paraId="3793AA96">
            <w:pPr>
              <w:pStyle w:val="34"/>
              <w:keepNext/>
              <w:spacing w:after="0" w:line="440" w:lineRule="exact"/>
              <w:ind w:left="63" w:right="63"/>
              <w:rPr>
                <w:rFonts w:ascii="宋体" w:hAnsi="宋体"/>
                <w:color w:val="000000"/>
                <w:sz w:val="24"/>
                <w:szCs w:val="24"/>
                <w:highlight w:val="none"/>
              </w:rPr>
            </w:pPr>
          </w:p>
        </w:tc>
        <w:tc>
          <w:tcPr>
            <w:tcW w:w="851" w:type="dxa"/>
          </w:tcPr>
          <w:p w14:paraId="37040BD8">
            <w:pPr>
              <w:pStyle w:val="34"/>
              <w:keepNext/>
              <w:spacing w:after="0" w:line="440" w:lineRule="exact"/>
              <w:ind w:left="63" w:right="63"/>
              <w:rPr>
                <w:rFonts w:ascii="宋体" w:hAnsi="宋体"/>
                <w:color w:val="000000"/>
                <w:sz w:val="24"/>
                <w:szCs w:val="24"/>
                <w:highlight w:val="none"/>
              </w:rPr>
            </w:pPr>
          </w:p>
        </w:tc>
        <w:tc>
          <w:tcPr>
            <w:tcW w:w="774" w:type="dxa"/>
          </w:tcPr>
          <w:p w14:paraId="31471EA8">
            <w:pPr>
              <w:pStyle w:val="34"/>
              <w:keepNext/>
              <w:spacing w:after="0" w:line="440" w:lineRule="exact"/>
              <w:ind w:left="63" w:right="63"/>
              <w:rPr>
                <w:rFonts w:ascii="宋体" w:hAnsi="宋体"/>
                <w:color w:val="000000"/>
                <w:sz w:val="24"/>
                <w:szCs w:val="24"/>
                <w:highlight w:val="none"/>
              </w:rPr>
            </w:pPr>
          </w:p>
        </w:tc>
        <w:tc>
          <w:tcPr>
            <w:tcW w:w="1352" w:type="dxa"/>
          </w:tcPr>
          <w:p w14:paraId="106FEDEC">
            <w:pPr>
              <w:pStyle w:val="34"/>
              <w:keepNext/>
              <w:spacing w:after="0" w:line="440" w:lineRule="exact"/>
              <w:ind w:left="63" w:right="63"/>
              <w:rPr>
                <w:rFonts w:ascii="宋体" w:hAnsi="宋体"/>
                <w:color w:val="000000"/>
                <w:sz w:val="24"/>
                <w:szCs w:val="24"/>
                <w:highlight w:val="none"/>
              </w:rPr>
            </w:pPr>
          </w:p>
        </w:tc>
        <w:tc>
          <w:tcPr>
            <w:tcW w:w="1418" w:type="dxa"/>
          </w:tcPr>
          <w:p w14:paraId="310736E0">
            <w:pPr>
              <w:pStyle w:val="34"/>
              <w:keepNext/>
              <w:spacing w:after="0" w:line="440" w:lineRule="exact"/>
              <w:ind w:left="63" w:right="63"/>
              <w:rPr>
                <w:rFonts w:ascii="宋体" w:hAnsi="宋体"/>
                <w:color w:val="000000"/>
                <w:sz w:val="24"/>
                <w:szCs w:val="24"/>
                <w:highlight w:val="none"/>
              </w:rPr>
            </w:pPr>
          </w:p>
        </w:tc>
        <w:tc>
          <w:tcPr>
            <w:tcW w:w="1701" w:type="dxa"/>
          </w:tcPr>
          <w:p w14:paraId="7CD0F56E">
            <w:pPr>
              <w:pStyle w:val="34"/>
              <w:keepNext/>
              <w:spacing w:after="0" w:line="440" w:lineRule="exact"/>
              <w:ind w:left="63" w:right="63"/>
              <w:rPr>
                <w:rFonts w:ascii="宋体" w:hAnsi="宋体"/>
                <w:color w:val="000000"/>
                <w:sz w:val="24"/>
                <w:szCs w:val="24"/>
                <w:highlight w:val="none"/>
              </w:rPr>
            </w:pPr>
          </w:p>
        </w:tc>
      </w:tr>
      <w:tr w14:paraId="61D1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2E3112">
            <w:pPr>
              <w:pStyle w:val="34"/>
              <w:keepNext/>
              <w:spacing w:after="0" w:line="440" w:lineRule="exact"/>
              <w:ind w:left="63" w:right="63"/>
              <w:rPr>
                <w:rFonts w:ascii="宋体" w:hAnsi="宋体"/>
                <w:color w:val="000000"/>
                <w:sz w:val="24"/>
                <w:szCs w:val="24"/>
                <w:highlight w:val="none"/>
              </w:rPr>
            </w:pPr>
          </w:p>
        </w:tc>
        <w:tc>
          <w:tcPr>
            <w:tcW w:w="1984" w:type="dxa"/>
          </w:tcPr>
          <w:p w14:paraId="5B1D6BF5">
            <w:pPr>
              <w:pStyle w:val="34"/>
              <w:keepNext/>
              <w:spacing w:after="0" w:line="440" w:lineRule="exact"/>
              <w:ind w:left="63" w:right="63"/>
              <w:rPr>
                <w:rFonts w:ascii="宋体" w:hAnsi="宋体"/>
                <w:color w:val="000000"/>
                <w:sz w:val="24"/>
                <w:szCs w:val="24"/>
                <w:highlight w:val="none"/>
              </w:rPr>
            </w:pPr>
          </w:p>
        </w:tc>
        <w:tc>
          <w:tcPr>
            <w:tcW w:w="851" w:type="dxa"/>
          </w:tcPr>
          <w:p w14:paraId="12C38FD7">
            <w:pPr>
              <w:pStyle w:val="34"/>
              <w:keepNext/>
              <w:spacing w:after="0" w:line="440" w:lineRule="exact"/>
              <w:ind w:left="63" w:right="63"/>
              <w:rPr>
                <w:rFonts w:ascii="宋体" w:hAnsi="宋体"/>
                <w:color w:val="000000"/>
                <w:sz w:val="24"/>
                <w:szCs w:val="24"/>
                <w:highlight w:val="none"/>
              </w:rPr>
            </w:pPr>
          </w:p>
        </w:tc>
        <w:tc>
          <w:tcPr>
            <w:tcW w:w="774" w:type="dxa"/>
          </w:tcPr>
          <w:p w14:paraId="7371EBEA">
            <w:pPr>
              <w:pStyle w:val="34"/>
              <w:keepNext/>
              <w:spacing w:after="0" w:line="440" w:lineRule="exact"/>
              <w:ind w:left="63" w:right="63"/>
              <w:rPr>
                <w:rFonts w:ascii="宋体" w:hAnsi="宋体"/>
                <w:color w:val="000000"/>
                <w:sz w:val="24"/>
                <w:szCs w:val="24"/>
                <w:highlight w:val="none"/>
              </w:rPr>
            </w:pPr>
          </w:p>
        </w:tc>
        <w:tc>
          <w:tcPr>
            <w:tcW w:w="1352" w:type="dxa"/>
          </w:tcPr>
          <w:p w14:paraId="747474C7">
            <w:pPr>
              <w:pStyle w:val="34"/>
              <w:keepNext/>
              <w:spacing w:after="0" w:line="440" w:lineRule="exact"/>
              <w:ind w:left="63" w:right="63"/>
              <w:rPr>
                <w:rFonts w:ascii="宋体" w:hAnsi="宋体"/>
                <w:color w:val="000000"/>
                <w:sz w:val="24"/>
                <w:szCs w:val="24"/>
                <w:highlight w:val="none"/>
              </w:rPr>
            </w:pPr>
          </w:p>
        </w:tc>
        <w:tc>
          <w:tcPr>
            <w:tcW w:w="1418" w:type="dxa"/>
          </w:tcPr>
          <w:p w14:paraId="32B0F167">
            <w:pPr>
              <w:pStyle w:val="34"/>
              <w:keepNext/>
              <w:spacing w:after="0" w:line="440" w:lineRule="exact"/>
              <w:ind w:left="63" w:right="63"/>
              <w:rPr>
                <w:rFonts w:ascii="宋体" w:hAnsi="宋体"/>
                <w:color w:val="000000"/>
                <w:sz w:val="24"/>
                <w:szCs w:val="24"/>
                <w:highlight w:val="none"/>
              </w:rPr>
            </w:pPr>
          </w:p>
        </w:tc>
        <w:tc>
          <w:tcPr>
            <w:tcW w:w="1701" w:type="dxa"/>
          </w:tcPr>
          <w:p w14:paraId="4929C0AD">
            <w:pPr>
              <w:pStyle w:val="34"/>
              <w:keepNext/>
              <w:spacing w:after="0" w:line="440" w:lineRule="exact"/>
              <w:ind w:left="63" w:right="63"/>
              <w:rPr>
                <w:rFonts w:ascii="宋体" w:hAnsi="宋体"/>
                <w:color w:val="000000"/>
                <w:sz w:val="24"/>
                <w:szCs w:val="24"/>
                <w:highlight w:val="none"/>
              </w:rPr>
            </w:pPr>
          </w:p>
        </w:tc>
      </w:tr>
      <w:tr w14:paraId="0673F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E3602F">
            <w:pPr>
              <w:pStyle w:val="34"/>
              <w:keepNext/>
              <w:spacing w:after="0" w:line="440" w:lineRule="exact"/>
              <w:ind w:left="63" w:right="63"/>
              <w:rPr>
                <w:rFonts w:ascii="宋体" w:hAnsi="宋体"/>
                <w:color w:val="000000"/>
                <w:sz w:val="24"/>
                <w:szCs w:val="24"/>
                <w:highlight w:val="none"/>
              </w:rPr>
            </w:pPr>
          </w:p>
        </w:tc>
        <w:tc>
          <w:tcPr>
            <w:tcW w:w="1984" w:type="dxa"/>
          </w:tcPr>
          <w:p w14:paraId="6DEDC07D">
            <w:pPr>
              <w:pStyle w:val="34"/>
              <w:keepNext/>
              <w:spacing w:after="0" w:line="440" w:lineRule="exact"/>
              <w:ind w:left="63" w:right="63"/>
              <w:rPr>
                <w:rFonts w:ascii="宋体" w:hAnsi="宋体"/>
                <w:color w:val="000000"/>
                <w:sz w:val="24"/>
                <w:szCs w:val="24"/>
                <w:highlight w:val="none"/>
              </w:rPr>
            </w:pPr>
          </w:p>
        </w:tc>
        <w:tc>
          <w:tcPr>
            <w:tcW w:w="851" w:type="dxa"/>
          </w:tcPr>
          <w:p w14:paraId="54FE7E4F">
            <w:pPr>
              <w:pStyle w:val="34"/>
              <w:keepNext/>
              <w:spacing w:after="0" w:line="440" w:lineRule="exact"/>
              <w:ind w:left="63" w:right="63"/>
              <w:rPr>
                <w:rFonts w:ascii="宋体" w:hAnsi="宋体"/>
                <w:color w:val="000000"/>
                <w:sz w:val="24"/>
                <w:szCs w:val="24"/>
                <w:highlight w:val="none"/>
              </w:rPr>
            </w:pPr>
          </w:p>
        </w:tc>
        <w:tc>
          <w:tcPr>
            <w:tcW w:w="774" w:type="dxa"/>
          </w:tcPr>
          <w:p w14:paraId="42408320">
            <w:pPr>
              <w:pStyle w:val="34"/>
              <w:keepNext/>
              <w:spacing w:after="0" w:line="440" w:lineRule="exact"/>
              <w:ind w:left="63" w:right="63"/>
              <w:rPr>
                <w:rFonts w:ascii="宋体" w:hAnsi="宋体"/>
                <w:color w:val="000000"/>
                <w:sz w:val="24"/>
                <w:szCs w:val="24"/>
                <w:highlight w:val="none"/>
              </w:rPr>
            </w:pPr>
          </w:p>
        </w:tc>
        <w:tc>
          <w:tcPr>
            <w:tcW w:w="1352" w:type="dxa"/>
          </w:tcPr>
          <w:p w14:paraId="3FF34814">
            <w:pPr>
              <w:pStyle w:val="34"/>
              <w:keepNext/>
              <w:spacing w:after="0" w:line="440" w:lineRule="exact"/>
              <w:ind w:left="63" w:right="63"/>
              <w:rPr>
                <w:rFonts w:ascii="宋体" w:hAnsi="宋体"/>
                <w:color w:val="000000"/>
                <w:sz w:val="24"/>
                <w:szCs w:val="24"/>
                <w:highlight w:val="none"/>
              </w:rPr>
            </w:pPr>
          </w:p>
        </w:tc>
        <w:tc>
          <w:tcPr>
            <w:tcW w:w="1418" w:type="dxa"/>
          </w:tcPr>
          <w:p w14:paraId="7320FEDB">
            <w:pPr>
              <w:pStyle w:val="34"/>
              <w:keepNext/>
              <w:spacing w:after="0" w:line="440" w:lineRule="exact"/>
              <w:ind w:left="63" w:right="63"/>
              <w:rPr>
                <w:rFonts w:ascii="宋体" w:hAnsi="宋体"/>
                <w:color w:val="000000"/>
                <w:sz w:val="24"/>
                <w:szCs w:val="24"/>
                <w:highlight w:val="none"/>
              </w:rPr>
            </w:pPr>
          </w:p>
        </w:tc>
        <w:tc>
          <w:tcPr>
            <w:tcW w:w="1701" w:type="dxa"/>
          </w:tcPr>
          <w:p w14:paraId="53DDFE5C">
            <w:pPr>
              <w:pStyle w:val="34"/>
              <w:keepNext/>
              <w:spacing w:after="0" w:line="440" w:lineRule="exact"/>
              <w:ind w:left="63" w:right="63"/>
              <w:rPr>
                <w:rFonts w:ascii="宋体" w:hAnsi="宋体"/>
                <w:color w:val="000000"/>
                <w:sz w:val="24"/>
                <w:szCs w:val="24"/>
                <w:highlight w:val="none"/>
              </w:rPr>
            </w:pPr>
          </w:p>
        </w:tc>
      </w:tr>
      <w:tr w14:paraId="463C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FEF30C">
            <w:pPr>
              <w:pStyle w:val="34"/>
              <w:keepNext/>
              <w:spacing w:after="0" w:line="440" w:lineRule="exact"/>
              <w:ind w:left="63" w:right="63"/>
              <w:rPr>
                <w:rFonts w:ascii="宋体" w:hAnsi="宋体"/>
                <w:color w:val="000000"/>
                <w:sz w:val="24"/>
                <w:szCs w:val="24"/>
                <w:highlight w:val="none"/>
              </w:rPr>
            </w:pPr>
          </w:p>
        </w:tc>
        <w:tc>
          <w:tcPr>
            <w:tcW w:w="1984" w:type="dxa"/>
          </w:tcPr>
          <w:p w14:paraId="57BED5AB">
            <w:pPr>
              <w:pStyle w:val="34"/>
              <w:keepNext/>
              <w:spacing w:after="0" w:line="440" w:lineRule="exact"/>
              <w:ind w:left="63" w:right="63"/>
              <w:rPr>
                <w:rFonts w:ascii="宋体" w:hAnsi="宋体"/>
                <w:color w:val="000000"/>
                <w:sz w:val="24"/>
                <w:szCs w:val="24"/>
                <w:highlight w:val="none"/>
              </w:rPr>
            </w:pPr>
          </w:p>
        </w:tc>
        <w:tc>
          <w:tcPr>
            <w:tcW w:w="851" w:type="dxa"/>
          </w:tcPr>
          <w:p w14:paraId="4F17F7CF">
            <w:pPr>
              <w:pStyle w:val="34"/>
              <w:keepNext/>
              <w:spacing w:after="0" w:line="440" w:lineRule="exact"/>
              <w:ind w:left="63" w:right="63"/>
              <w:rPr>
                <w:rFonts w:ascii="宋体" w:hAnsi="宋体"/>
                <w:color w:val="000000"/>
                <w:sz w:val="24"/>
                <w:szCs w:val="24"/>
                <w:highlight w:val="none"/>
              </w:rPr>
            </w:pPr>
          </w:p>
        </w:tc>
        <w:tc>
          <w:tcPr>
            <w:tcW w:w="774" w:type="dxa"/>
          </w:tcPr>
          <w:p w14:paraId="658A8F3F">
            <w:pPr>
              <w:pStyle w:val="34"/>
              <w:keepNext/>
              <w:spacing w:after="0" w:line="440" w:lineRule="exact"/>
              <w:ind w:left="63" w:right="63"/>
              <w:rPr>
                <w:rFonts w:ascii="宋体" w:hAnsi="宋体"/>
                <w:color w:val="000000"/>
                <w:sz w:val="24"/>
                <w:szCs w:val="24"/>
                <w:highlight w:val="none"/>
              </w:rPr>
            </w:pPr>
          </w:p>
        </w:tc>
        <w:tc>
          <w:tcPr>
            <w:tcW w:w="1352" w:type="dxa"/>
          </w:tcPr>
          <w:p w14:paraId="0FA655EE">
            <w:pPr>
              <w:pStyle w:val="34"/>
              <w:keepNext/>
              <w:spacing w:after="0" w:line="440" w:lineRule="exact"/>
              <w:ind w:left="63" w:right="63"/>
              <w:rPr>
                <w:rFonts w:ascii="宋体" w:hAnsi="宋体"/>
                <w:color w:val="000000"/>
                <w:sz w:val="24"/>
                <w:szCs w:val="24"/>
                <w:highlight w:val="none"/>
              </w:rPr>
            </w:pPr>
          </w:p>
        </w:tc>
        <w:tc>
          <w:tcPr>
            <w:tcW w:w="1418" w:type="dxa"/>
          </w:tcPr>
          <w:p w14:paraId="7B3B5077">
            <w:pPr>
              <w:pStyle w:val="34"/>
              <w:keepNext/>
              <w:spacing w:after="0" w:line="440" w:lineRule="exact"/>
              <w:ind w:left="63" w:right="63"/>
              <w:rPr>
                <w:rFonts w:ascii="宋体" w:hAnsi="宋体"/>
                <w:color w:val="000000"/>
                <w:sz w:val="24"/>
                <w:szCs w:val="24"/>
                <w:highlight w:val="none"/>
              </w:rPr>
            </w:pPr>
          </w:p>
        </w:tc>
        <w:tc>
          <w:tcPr>
            <w:tcW w:w="1701" w:type="dxa"/>
          </w:tcPr>
          <w:p w14:paraId="2D8AF099">
            <w:pPr>
              <w:pStyle w:val="34"/>
              <w:keepNext/>
              <w:spacing w:after="0" w:line="440" w:lineRule="exact"/>
              <w:ind w:left="63" w:right="63"/>
              <w:rPr>
                <w:rFonts w:ascii="宋体" w:hAnsi="宋体"/>
                <w:color w:val="000000"/>
                <w:sz w:val="24"/>
                <w:szCs w:val="24"/>
                <w:highlight w:val="none"/>
              </w:rPr>
            </w:pPr>
          </w:p>
        </w:tc>
      </w:tr>
      <w:tr w14:paraId="681D4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1245BD">
            <w:pPr>
              <w:pStyle w:val="34"/>
              <w:keepNext/>
              <w:spacing w:after="0" w:line="440" w:lineRule="exact"/>
              <w:ind w:left="63" w:right="63"/>
              <w:rPr>
                <w:rFonts w:ascii="宋体" w:hAnsi="宋体"/>
                <w:color w:val="000000"/>
                <w:sz w:val="24"/>
                <w:szCs w:val="24"/>
                <w:highlight w:val="none"/>
              </w:rPr>
            </w:pPr>
          </w:p>
        </w:tc>
        <w:tc>
          <w:tcPr>
            <w:tcW w:w="1984" w:type="dxa"/>
          </w:tcPr>
          <w:p w14:paraId="770A1CFA">
            <w:pPr>
              <w:pStyle w:val="34"/>
              <w:keepNext/>
              <w:spacing w:after="0" w:line="440" w:lineRule="exact"/>
              <w:ind w:left="63" w:right="63"/>
              <w:rPr>
                <w:rFonts w:ascii="宋体" w:hAnsi="宋体"/>
                <w:color w:val="000000"/>
                <w:sz w:val="24"/>
                <w:szCs w:val="24"/>
                <w:highlight w:val="none"/>
              </w:rPr>
            </w:pPr>
          </w:p>
        </w:tc>
        <w:tc>
          <w:tcPr>
            <w:tcW w:w="851" w:type="dxa"/>
          </w:tcPr>
          <w:p w14:paraId="5A06A14C">
            <w:pPr>
              <w:pStyle w:val="34"/>
              <w:keepNext/>
              <w:spacing w:after="0" w:line="440" w:lineRule="exact"/>
              <w:ind w:left="63" w:right="63"/>
              <w:rPr>
                <w:rFonts w:ascii="宋体" w:hAnsi="宋体"/>
                <w:color w:val="000000"/>
                <w:sz w:val="24"/>
                <w:szCs w:val="24"/>
                <w:highlight w:val="none"/>
              </w:rPr>
            </w:pPr>
          </w:p>
        </w:tc>
        <w:tc>
          <w:tcPr>
            <w:tcW w:w="774" w:type="dxa"/>
          </w:tcPr>
          <w:p w14:paraId="4B66D1D3">
            <w:pPr>
              <w:pStyle w:val="34"/>
              <w:keepNext/>
              <w:spacing w:after="0" w:line="440" w:lineRule="exact"/>
              <w:ind w:left="63" w:right="63"/>
              <w:rPr>
                <w:rFonts w:ascii="宋体" w:hAnsi="宋体"/>
                <w:color w:val="000000"/>
                <w:sz w:val="24"/>
                <w:szCs w:val="24"/>
                <w:highlight w:val="none"/>
              </w:rPr>
            </w:pPr>
          </w:p>
        </w:tc>
        <w:tc>
          <w:tcPr>
            <w:tcW w:w="1352" w:type="dxa"/>
          </w:tcPr>
          <w:p w14:paraId="428C771A">
            <w:pPr>
              <w:pStyle w:val="34"/>
              <w:keepNext/>
              <w:spacing w:after="0" w:line="440" w:lineRule="exact"/>
              <w:ind w:left="63" w:right="63"/>
              <w:rPr>
                <w:rFonts w:ascii="宋体" w:hAnsi="宋体"/>
                <w:color w:val="000000"/>
                <w:sz w:val="24"/>
                <w:szCs w:val="24"/>
                <w:highlight w:val="none"/>
              </w:rPr>
            </w:pPr>
          </w:p>
        </w:tc>
        <w:tc>
          <w:tcPr>
            <w:tcW w:w="1418" w:type="dxa"/>
          </w:tcPr>
          <w:p w14:paraId="21C1E60E">
            <w:pPr>
              <w:pStyle w:val="34"/>
              <w:keepNext/>
              <w:spacing w:after="0" w:line="440" w:lineRule="exact"/>
              <w:ind w:left="63" w:right="63"/>
              <w:rPr>
                <w:rFonts w:ascii="宋体" w:hAnsi="宋体"/>
                <w:color w:val="000000"/>
                <w:sz w:val="24"/>
                <w:szCs w:val="24"/>
                <w:highlight w:val="none"/>
              </w:rPr>
            </w:pPr>
          </w:p>
        </w:tc>
        <w:tc>
          <w:tcPr>
            <w:tcW w:w="1701" w:type="dxa"/>
          </w:tcPr>
          <w:p w14:paraId="26A3771C">
            <w:pPr>
              <w:pStyle w:val="34"/>
              <w:keepNext/>
              <w:spacing w:after="0" w:line="440" w:lineRule="exact"/>
              <w:ind w:left="63" w:right="63"/>
              <w:rPr>
                <w:rFonts w:ascii="宋体" w:hAnsi="宋体"/>
                <w:color w:val="000000"/>
                <w:sz w:val="24"/>
                <w:szCs w:val="24"/>
                <w:highlight w:val="none"/>
              </w:rPr>
            </w:pPr>
          </w:p>
        </w:tc>
      </w:tr>
      <w:tr w14:paraId="24833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2E9047">
            <w:pPr>
              <w:pStyle w:val="34"/>
              <w:keepNext/>
              <w:spacing w:after="0" w:line="440" w:lineRule="exact"/>
              <w:ind w:left="63" w:right="63"/>
              <w:rPr>
                <w:rFonts w:ascii="宋体" w:hAnsi="宋体"/>
                <w:color w:val="000000"/>
                <w:sz w:val="24"/>
                <w:szCs w:val="24"/>
                <w:highlight w:val="none"/>
              </w:rPr>
            </w:pPr>
          </w:p>
        </w:tc>
        <w:tc>
          <w:tcPr>
            <w:tcW w:w="1984" w:type="dxa"/>
          </w:tcPr>
          <w:p w14:paraId="0361DDAC">
            <w:pPr>
              <w:pStyle w:val="34"/>
              <w:keepNext/>
              <w:spacing w:after="0" w:line="440" w:lineRule="exact"/>
              <w:ind w:left="63" w:right="63"/>
              <w:rPr>
                <w:rFonts w:ascii="宋体" w:hAnsi="宋体"/>
                <w:color w:val="000000"/>
                <w:sz w:val="24"/>
                <w:szCs w:val="24"/>
                <w:highlight w:val="none"/>
              </w:rPr>
            </w:pPr>
          </w:p>
        </w:tc>
        <w:tc>
          <w:tcPr>
            <w:tcW w:w="851" w:type="dxa"/>
          </w:tcPr>
          <w:p w14:paraId="5C81B5D9">
            <w:pPr>
              <w:pStyle w:val="34"/>
              <w:keepNext/>
              <w:spacing w:after="0" w:line="440" w:lineRule="exact"/>
              <w:ind w:left="63" w:right="63"/>
              <w:rPr>
                <w:rFonts w:ascii="宋体" w:hAnsi="宋体"/>
                <w:color w:val="000000"/>
                <w:sz w:val="24"/>
                <w:szCs w:val="24"/>
                <w:highlight w:val="none"/>
              </w:rPr>
            </w:pPr>
          </w:p>
        </w:tc>
        <w:tc>
          <w:tcPr>
            <w:tcW w:w="774" w:type="dxa"/>
          </w:tcPr>
          <w:p w14:paraId="772A1FAB">
            <w:pPr>
              <w:pStyle w:val="34"/>
              <w:keepNext/>
              <w:spacing w:after="0" w:line="440" w:lineRule="exact"/>
              <w:ind w:left="63" w:right="63"/>
              <w:rPr>
                <w:rFonts w:ascii="宋体" w:hAnsi="宋体"/>
                <w:color w:val="000000"/>
                <w:sz w:val="24"/>
                <w:szCs w:val="24"/>
                <w:highlight w:val="none"/>
              </w:rPr>
            </w:pPr>
          </w:p>
        </w:tc>
        <w:tc>
          <w:tcPr>
            <w:tcW w:w="1352" w:type="dxa"/>
          </w:tcPr>
          <w:p w14:paraId="260DDB28">
            <w:pPr>
              <w:pStyle w:val="34"/>
              <w:keepNext/>
              <w:spacing w:after="0" w:line="440" w:lineRule="exact"/>
              <w:ind w:left="63" w:right="63"/>
              <w:rPr>
                <w:rFonts w:ascii="宋体" w:hAnsi="宋体"/>
                <w:color w:val="000000"/>
                <w:sz w:val="24"/>
                <w:szCs w:val="24"/>
                <w:highlight w:val="none"/>
              </w:rPr>
            </w:pPr>
          </w:p>
        </w:tc>
        <w:tc>
          <w:tcPr>
            <w:tcW w:w="1418" w:type="dxa"/>
          </w:tcPr>
          <w:p w14:paraId="7C9D6711">
            <w:pPr>
              <w:pStyle w:val="34"/>
              <w:keepNext/>
              <w:spacing w:after="0" w:line="440" w:lineRule="exact"/>
              <w:ind w:left="63" w:right="63"/>
              <w:rPr>
                <w:rFonts w:ascii="宋体" w:hAnsi="宋体"/>
                <w:color w:val="000000"/>
                <w:sz w:val="24"/>
                <w:szCs w:val="24"/>
                <w:highlight w:val="none"/>
              </w:rPr>
            </w:pPr>
          </w:p>
        </w:tc>
        <w:tc>
          <w:tcPr>
            <w:tcW w:w="1701" w:type="dxa"/>
          </w:tcPr>
          <w:p w14:paraId="3D87F9B4">
            <w:pPr>
              <w:pStyle w:val="34"/>
              <w:keepNext/>
              <w:spacing w:after="0" w:line="440" w:lineRule="exact"/>
              <w:ind w:left="63" w:right="63"/>
              <w:rPr>
                <w:rFonts w:ascii="宋体" w:hAnsi="宋体"/>
                <w:color w:val="000000"/>
                <w:sz w:val="24"/>
                <w:szCs w:val="24"/>
                <w:highlight w:val="none"/>
              </w:rPr>
            </w:pPr>
          </w:p>
        </w:tc>
      </w:tr>
      <w:tr w14:paraId="3FA92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23F762">
            <w:pPr>
              <w:pStyle w:val="34"/>
              <w:keepNext/>
              <w:spacing w:after="0" w:line="440" w:lineRule="exact"/>
              <w:ind w:left="63" w:right="63"/>
              <w:rPr>
                <w:rFonts w:ascii="宋体" w:hAnsi="宋体"/>
                <w:color w:val="000000"/>
                <w:sz w:val="24"/>
                <w:szCs w:val="24"/>
                <w:highlight w:val="none"/>
              </w:rPr>
            </w:pPr>
          </w:p>
        </w:tc>
        <w:tc>
          <w:tcPr>
            <w:tcW w:w="1984" w:type="dxa"/>
          </w:tcPr>
          <w:p w14:paraId="76D6628F">
            <w:pPr>
              <w:pStyle w:val="34"/>
              <w:keepNext/>
              <w:spacing w:after="0" w:line="440" w:lineRule="exact"/>
              <w:ind w:left="63" w:right="63"/>
              <w:rPr>
                <w:rFonts w:ascii="宋体" w:hAnsi="宋体"/>
                <w:color w:val="000000"/>
                <w:sz w:val="24"/>
                <w:szCs w:val="24"/>
                <w:highlight w:val="none"/>
              </w:rPr>
            </w:pPr>
          </w:p>
        </w:tc>
        <w:tc>
          <w:tcPr>
            <w:tcW w:w="851" w:type="dxa"/>
          </w:tcPr>
          <w:p w14:paraId="199000BC">
            <w:pPr>
              <w:pStyle w:val="34"/>
              <w:keepNext/>
              <w:spacing w:after="0" w:line="440" w:lineRule="exact"/>
              <w:ind w:left="63" w:right="63"/>
              <w:rPr>
                <w:rFonts w:ascii="宋体" w:hAnsi="宋体"/>
                <w:color w:val="000000"/>
                <w:sz w:val="24"/>
                <w:szCs w:val="24"/>
                <w:highlight w:val="none"/>
              </w:rPr>
            </w:pPr>
          </w:p>
        </w:tc>
        <w:tc>
          <w:tcPr>
            <w:tcW w:w="774" w:type="dxa"/>
          </w:tcPr>
          <w:p w14:paraId="4478FEA5">
            <w:pPr>
              <w:pStyle w:val="34"/>
              <w:keepNext/>
              <w:spacing w:after="0" w:line="440" w:lineRule="exact"/>
              <w:ind w:left="63" w:right="63"/>
              <w:rPr>
                <w:rFonts w:ascii="宋体" w:hAnsi="宋体"/>
                <w:color w:val="000000"/>
                <w:sz w:val="24"/>
                <w:szCs w:val="24"/>
                <w:highlight w:val="none"/>
              </w:rPr>
            </w:pPr>
          </w:p>
        </w:tc>
        <w:tc>
          <w:tcPr>
            <w:tcW w:w="1352" w:type="dxa"/>
          </w:tcPr>
          <w:p w14:paraId="70CDCB51">
            <w:pPr>
              <w:pStyle w:val="34"/>
              <w:keepNext/>
              <w:spacing w:after="0" w:line="440" w:lineRule="exact"/>
              <w:ind w:left="63" w:right="63"/>
              <w:rPr>
                <w:rFonts w:ascii="宋体" w:hAnsi="宋体"/>
                <w:color w:val="000000"/>
                <w:sz w:val="24"/>
                <w:szCs w:val="24"/>
                <w:highlight w:val="none"/>
              </w:rPr>
            </w:pPr>
          </w:p>
        </w:tc>
        <w:tc>
          <w:tcPr>
            <w:tcW w:w="1418" w:type="dxa"/>
          </w:tcPr>
          <w:p w14:paraId="21FDD84A">
            <w:pPr>
              <w:pStyle w:val="34"/>
              <w:keepNext/>
              <w:spacing w:after="0" w:line="440" w:lineRule="exact"/>
              <w:ind w:left="63" w:right="63"/>
              <w:rPr>
                <w:rFonts w:ascii="宋体" w:hAnsi="宋体"/>
                <w:color w:val="000000"/>
                <w:sz w:val="24"/>
                <w:szCs w:val="24"/>
                <w:highlight w:val="none"/>
              </w:rPr>
            </w:pPr>
          </w:p>
        </w:tc>
        <w:tc>
          <w:tcPr>
            <w:tcW w:w="1701" w:type="dxa"/>
          </w:tcPr>
          <w:p w14:paraId="225F5E16">
            <w:pPr>
              <w:pStyle w:val="34"/>
              <w:keepNext/>
              <w:spacing w:after="0" w:line="440" w:lineRule="exact"/>
              <w:ind w:left="63" w:right="63"/>
              <w:rPr>
                <w:rFonts w:ascii="宋体" w:hAnsi="宋体"/>
                <w:color w:val="000000"/>
                <w:sz w:val="24"/>
                <w:szCs w:val="24"/>
                <w:highlight w:val="none"/>
              </w:rPr>
            </w:pPr>
          </w:p>
        </w:tc>
      </w:tr>
      <w:tr w14:paraId="74A9E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069EA7">
            <w:pPr>
              <w:pStyle w:val="34"/>
              <w:keepNext/>
              <w:spacing w:after="0" w:line="440" w:lineRule="exact"/>
              <w:ind w:left="63" w:right="63"/>
              <w:rPr>
                <w:rFonts w:ascii="宋体" w:hAnsi="宋体"/>
                <w:color w:val="000000"/>
                <w:sz w:val="24"/>
                <w:szCs w:val="24"/>
                <w:highlight w:val="none"/>
              </w:rPr>
            </w:pPr>
          </w:p>
        </w:tc>
        <w:tc>
          <w:tcPr>
            <w:tcW w:w="1984" w:type="dxa"/>
          </w:tcPr>
          <w:p w14:paraId="3401526C">
            <w:pPr>
              <w:pStyle w:val="34"/>
              <w:keepNext/>
              <w:spacing w:after="0" w:line="440" w:lineRule="exact"/>
              <w:ind w:left="63" w:right="63"/>
              <w:rPr>
                <w:rFonts w:ascii="宋体" w:hAnsi="宋体"/>
                <w:color w:val="000000"/>
                <w:sz w:val="24"/>
                <w:szCs w:val="24"/>
                <w:highlight w:val="none"/>
              </w:rPr>
            </w:pPr>
          </w:p>
        </w:tc>
        <w:tc>
          <w:tcPr>
            <w:tcW w:w="851" w:type="dxa"/>
          </w:tcPr>
          <w:p w14:paraId="31C3C656">
            <w:pPr>
              <w:pStyle w:val="34"/>
              <w:keepNext/>
              <w:spacing w:after="0" w:line="440" w:lineRule="exact"/>
              <w:ind w:left="63" w:right="63"/>
              <w:rPr>
                <w:rFonts w:ascii="宋体" w:hAnsi="宋体"/>
                <w:color w:val="000000"/>
                <w:sz w:val="24"/>
                <w:szCs w:val="24"/>
                <w:highlight w:val="none"/>
              </w:rPr>
            </w:pPr>
          </w:p>
        </w:tc>
        <w:tc>
          <w:tcPr>
            <w:tcW w:w="774" w:type="dxa"/>
          </w:tcPr>
          <w:p w14:paraId="3E9CA78F">
            <w:pPr>
              <w:pStyle w:val="34"/>
              <w:keepNext/>
              <w:spacing w:after="0" w:line="440" w:lineRule="exact"/>
              <w:ind w:left="63" w:right="63"/>
              <w:rPr>
                <w:rFonts w:ascii="宋体" w:hAnsi="宋体"/>
                <w:color w:val="000000"/>
                <w:sz w:val="24"/>
                <w:szCs w:val="24"/>
                <w:highlight w:val="none"/>
              </w:rPr>
            </w:pPr>
          </w:p>
        </w:tc>
        <w:tc>
          <w:tcPr>
            <w:tcW w:w="1352" w:type="dxa"/>
          </w:tcPr>
          <w:p w14:paraId="1AD4FC62">
            <w:pPr>
              <w:pStyle w:val="34"/>
              <w:keepNext/>
              <w:spacing w:after="0" w:line="440" w:lineRule="exact"/>
              <w:ind w:left="63" w:right="63"/>
              <w:rPr>
                <w:rFonts w:ascii="宋体" w:hAnsi="宋体"/>
                <w:color w:val="000000"/>
                <w:sz w:val="24"/>
                <w:szCs w:val="24"/>
                <w:highlight w:val="none"/>
              </w:rPr>
            </w:pPr>
          </w:p>
        </w:tc>
        <w:tc>
          <w:tcPr>
            <w:tcW w:w="1418" w:type="dxa"/>
          </w:tcPr>
          <w:p w14:paraId="77E2F07F">
            <w:pPr>
              <w:pStyle w:val="34"/>
              <w:keepNext/>
              <w:spacing w:after="0" w:line="440" w:lineRule="exact"/>
              <w:ind w:left="63" w:right="63"/>
              <w:rPr>
                <w:rFonts w:ascii="宋体" w:hAnsi="宋体"/>
                <w:color w:val="000000"/>
                <w:sz w:val="24"/>
                <w:szCs w:val="24"/>
                <w:highlight w:val="none"/>
              </w:rPr>
            </w:pPr>
          </w:p>
        </w:tc>
        <w:tc>
          <w:tcPr>
            <w:tcW w:w="1701" w:type="dxa"/>
          </w:tcPr>
          <w:p w14:paraId="5831417B">
            <w:pPr>
              <w:pStyle w:val="34"/>
              <w:keepNext/>
              <w:spacing w:after="0" w:line="440" w:lineRule="exact"/>
              <w:ind w:left="63" w:right="63"/>
              <w:rPr>
                <w:rFonts w:ascii="宋体" w:hAnsi="宋体"/>
                <w:color w:val="000000"/>
                <w:sz w:val="24"/>
                <w:szCs w:val="24"/>
                <w:highlight w:val="none"/>
              </w:rPr>
            </w:pPr>
          </w:p>
        </w:tc>
      </w:tr>
      <w:tr w14:paraId="3600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8C5AB7">
            <w:pPr>
              <w:pStyle w:val="34"/>
              <w:keepNext/>
              <w:spacing w:after="0" w:line="440" w:lineRule="exact"/>
              <w:ind w:left="63" w:right="63"/>
              <w:rPr>
                <w:rFonts w:ascii="宋体" w:hAnsi="宋体"/>
                <w:color w:val="000000"/>
                <w:sz w:val="24"/>
                <w:szCs w:val="24"/>
                <w:highlight w:val="none"/>
              </w:rPr>
            </w:pPr>
          </w:p>
        </w:tc>
        <w:tc>
          <w:tcPr>
            <w:tcW w:w="1984" w:type="dxa"/>
          </w:tcPr>
          <w:p w14:paraId="0780EFEE">
            <w:pPr>
              <w:pStyle w:val="34"/>
              <w:keepNext/>
              <w:spacing w:after="0" w:line="440" w:lineRule="exact"/>
              <w:ind w:left="63" w:right="63"/>
              <w:rPr>
                <w:rFonts w:ascii="宋体" w:hAnsi="宋体"/>
                <w:color w:val="000000"/>
                <w:sz w:val="24"/>
                <w:szCs w:val="24"/>
                <w:highlight w:val="none"/>
              </w:rPr>
            </w:pPr>
          </w:p>
        </w:tc>
        <w:tc>
          <w:tcPr>
            <w:tcW w:w="851" w:type="dxa"/>
          </w:tcPr>
          <w:p w14:paraId="788141F1">
            <w:pPr>
              <w:pStyle w:val="34"/>
              <w:keepNext/>
              <w:spacing w:after="0" w:line="440" w:lineRule="exact"/>
              <w:ind w:left="63" w:right="63"/>
              <w:rPr>
                <w:rFonts w:ascii="宋体" w:hAnsi="宋体"/>
                <w:color w:val="000000"/>
                <w:sz w:val="24"/>
                <w:szCs w:val="24"/>
                <w:highlight w:val="none"/>
              </w:rPr>
            </w:pPr>
          </w:p>
        </w:tc>
        <w:tc>
          <w:tcPr>
            <w:tcW w:w="774" w:type="dxa"/>
          </w:tcPr>
          <w:p w14:paraId="11CBBB81">
            <w:pPr>
              <w:pStyle w:val="34"/>
              <w:keepNext/>
              <w:spacing w:after="0" w:line="440" w:lineRule="exact"/>
              <w:ind w:left="63" w:right="63"/>
              <w:rPr>
                <w:rFonts w:ascii="宋体" w:hAnsi="宋体"/>
                <w:color w:val="000000"/>
                <w:sz w:val="24"/>
                <w:szCs w:val="24"/>
                <w:highlight w:val="none"/>
              </w:rPr>
            </w:pPr>
          </w:p>
        </w:tc>
        <w:tc>
          <w:tcPr>
            <w:tcW w:w="1352" w:type="dxa"/>
          </w:tcPr>
          <w:p w14:paraId="4FE50E91">
            <w:pPr>
              <w:pStyle w:val="34"/>
              <w:keepNext/>
              <w:spacing w:after="0" w:line="440" w:lineRule="exact"/>
              <w:ind w:left="63" w:right="63"/>
              <w:rPr>
                <w:rFonts w:ascii="宋体" w:hAnsi="宋体"/>
                <w:color w:val="000000"/>
                <w:sz w:val="24"/>
                <w:szCs w:val="24"/>
                <w:highlight w:val="none"/>
              </w:rPr>
            </w:pPr>
          </w:p>
        </w:tc>
        <w:tc>
          <w:tcPr>
            <w:tcW w:w="1418" w:type="dxa"/>
          </w:tcPr>
          <w:p w14:paraId="216CAE30">
            <w:pPr>
              <w:pStyle w:val="34"/>
              <w:keepNext/>
              <w:spacing w:after="0" w:line="440" w:lineRule="exact"/>
              <w:ind w:left="63" w:right="63"/>
              <w:rPr>
                <w:rFonts w:ascii="宋体" w:hAnsi="宋体"/>
                <w:color w:val="000000"/>
                <w:sz w:val="24"/>
                <w:szCs w:val="24"/>
                <w:highlight w:val="none"/>
              </w:rPr>
            </w:pPr>
          </w:p>
        </w:tc>
        <w:tc>
          <w:tcPr>
            <w:tcW w:w="1701" w:type="dxa"/>
          </w:tcPr>
          <w:p w14:paraId="61633549">
            <w:pPr>
              <w:pStyle w:val="34"/>
              <w:keepNext/>
              <w:spacing w:after="0" w:line="440" w:lineRule="exact"/>
              <w:ind w:left="63" w:right="63"/>
              <w:rPr>
                <w:rFonts w:ascii="宋体" w:hAnsi="宋体"/>
                <w:color w:val="000000"/>
                <w:sz w:val="24"/>
                <w:szCs w:val="24"/>
                <w:highlight w:val="none"/>
              </w:rPr>
            </w:pPr>
          </w:p>
        </w:tc>
      </w:tr>
    </w:tbl>
    <w:p w14:paraId="3EEB0A1D">
      <w:pPr>
        <w:spacing w:before="120" w:beforeLines="50" w:after="120" w:afterLines="50" w:line="440" w:lineRule="exact"/>
        <w:rPr>
          <w:rFonts w:ascii="宋体" w:hAnsi="宋体"/>
          <w:color w:val="000000"/>
          <w:sz w:val="24"/>
          <w:szCs w:val="24"/>
          <w:highlight w:val="none"/>
        </w:rPr>
      </w:pPr>
    </w:p>
    <w:p w14:paraId="59EFD98B">
      <w:pPr>
        <w:spacing w:before="120" w:beforeLines="50" w:after="120" w:afterLines="50" w:line="440" w:lineRule="exact"/>
        <w:jc w:val="center"/>
        <w:rPr>
          <w:rFonts w:ascii="宋体" w:hAnsi="宋体"/>
          <w:color w:val="000000"/>
          <w:sz w:val="24"/>
          <w:szCs w:val="24"/>
          <w:highlight w:val="none"/>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-2：工程设备暂估价表</w:t>
      </w:r>
    </w:p>
    <w:tbl>
      <w:tblPr>
        <w:tblStyle w:val="8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F80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1798F9F">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序号</w:t>
            </w:r>
          </w:p>
        </w:tc>
        <w:tc>
          <w:tcPr>
            <w:tcW w:w="1984" w:type="dxa"/>
            <w:tcBorders>
              <w:top w:val="single" w:color="auto" w:sz="12" w:space="0"/>
              <w:bottom w:val="double" w:color="auto" w:sz="6" w:space="0"/>
            </w:tcBorders>
          </w:tcPr>
          <w:p w14:paraId="0F87B6B5">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名称</w:t>
            </w:r>
          </w:p>
        </w:tc>
        <w:tc>
          <w:tcPr>
            <w:tcW w:w="851" w:type="dxa"/>
            <w:tcBorders>
              <w:top w:val="single" w:color="auto" w:sz="12" w:space="0"/>
              <w:bottom w:val="double" w:color="auto" w:sz="6" w:space="0"/>
            </w:tcBorders>
          </w:tcPr>
          <w:p w14:paraId="6478FF77">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单位</w:t>
            </w:r>
          </w:p>
        </w:tc>
        <w:tc>
          <w:tcPr>
            <w:tcW w:w="774" w:type="dxa"/>
            <w:tcBorders>
              <w:top w:val="single" w:color="auto" w:sz="12" w:space="0"/>
              <w:bottom w:val="double" w:color="auto" w:sz="6" w:space="0"/>
            </w:tcBorders>
          </w:tcPr>
          <w:p w14:paraId="10ED5D8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数量</w:t>
            </w:r>
          </w:p>
        </w:tc>
        <w:tc>
          <w:tcPr>
            <w:tcW w:w="1352" w:type="dxa"/>
            <w:tcBorders>
              <w:top w:val="single" w:color="auto" w:sz="12" w:space="0"/>
              <w:bottom w:val="double" w:color="auto" w:sz="6" w:space="0"/>
            </w:tcBorders>
          </w:tcPr>
          <w:p w14:paraId="7D2A1A6C">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单价</w:t>
            </w:r>
            <w:r>
              <w:rPr>
                <w:rFonts w:hint="eastAsia" w:ascii="宋体" w:hAnsi="宋体"/>
                <w:color w:val="000000"/>
                <w:sz w:val="24"/>
                <w:szCs w:val="24"/>
                <w:highlight w:val="none"/>
              </w:rPr>
              <w:t>（元）</w:t>
            </w:r>
          </w:p>
        </w:tc>
        <w:tc>
          <w:tcPr>
            <w:tcW w:w="1418" w:type="dxa"/>
            <w:tcBorders>
              <w:top w:val="single" w:color="auto" w:sz="12" w:space="0"/>
              <w:bottom w:val="double" w:color="auto" w:sz="6" w:space="0"/>
            </w:tcBorders>
          </w:tcPr>
          <w:p w14:paraId="53449047">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合价</w:t>
            </w:r>
            <w:r>
              <w:rPr>
                <w:rFonts w:hint="eastAsia" w:ascii="宋体" w:hAnsi="宋体"/>
                <w:color w:val="000000"/>
                <w:sz w:val="24"/>
                <w:szCs w:val="24"/>
                <w:highlight w:val="none"/>
              </w:rPr>
              <w:t>（元）</w:t>
            </w:r>
          </w:p>
        </w:tc>
        <w:tc>
          <w:tcPr>
            <w:tcW w:w="1701" w:type="dxa"/>
            <w:tcBorders>
              <w:top w:val="single" w:color="auto" w:sz="12" w:space="0"/>
              <w:bottom w:val="double" w:color="auto" w:sz="6" w:space="0"/>
            </w:tcBorders>
          </w:tcPr>
          <w:p w14:paraId="085FD521">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备注</w:t>
            </w:r>
          </w:p>
        </w:tc>
      </w:tr>
      <w:tr w14:paraId="4A4FC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D3CF823">
            <w:pPr>
              <w:pStyle w:val="34"/>
              <w:keepNext/>
              <w:spacing w:after="0" w:line="440" w:lineRule="exact"/>
              <w:ind w:left="63" w:right="63"/>
              <w:rPr>
                <w:rFonts w:ascii="宋体" w:hAnsi="宋体"/>
                <w:color w:val="000000"/>
                <w:sz w:val="24"/>
                <w:szCs w:val="24"/>
                <w:highlight w:val="none"/>
              </w:rPr>
            </w:pPr>
          </w:p>
        </w:tc>
        <w:tc>
          <w:tcPr>
            <w:tcW w:w="1984" w:type="dxa"/>
            <w:tcBorders>
              <w:top w:val="double" w:color="auto" w:sz="6" w:space="0"/>
              <w:bottom w:val="single" w:color="auto" w:sz="6" w:space="0"/>
            </w:tcBorders>
          </w:tcPr>
          <w:p w14:paraId="3708240B">
            <w:pPr>
              <w:pStyle w:val="34"/>
              <w:keepNext/>
              <w:spacing w:after="0" w:line="440" w:lineRule="exact"/>
              <w:ind w:left="63" w:right="63"/>
              <w:rPr>
                <w:rFonts w:ascii="宋体" w:hAnsi="宋体"/>
                <w:color w:val="000000"/>
                <w:sz w:val="24"/>
                <w:szCs w:val="24"/>
                <w:highlight w:val="none"/>
              </w:rPr>
            </w:pPr>
          </w:p>
        </w:tc>
        <w:tc>
          <w:tcPr>
            <w:tcW w:w="851" w:type="dxa"/>
            <w:tcBorders>
              <w:top w:val="double" w:color="auto" w:sz="6" w:space="0"/>
              <w:bottom w:val="single" w:color="auto" w:sz="6" w:space="0"/>
            </w:tcBorders>
          </w:tcPr>
          <w:p w14:paraId="4E5B7EDB">
            <w:pPr>
              <w:pStyle w:val="34"/>
              <w:keepNext/>
              <w:spacing w:after="0" w:line="440" w:lineRule="exact"/>
              <w:ind w:left="63" w:right="63"/>
              <w:rPr>
                <w:rFonts w:ascii="宋体" w:hAnsi="宋体"/>
                <w:color w:val="000000"/>
                <w:sz w:val="24"/>
                <w:szCs w:val="24"/>
                <w:highlight w:val="none"/>
              </w:rPr>
            </w:pPr>
          </w:p>
        </w:tc>
        <w:tc>
          <w:tcPr>
            <w:tcW w:w="774" w:type="dxa"/>
            <w:tcBorders>
              <w:top w:val="double" w:color="auto" w:sz="6" w:space="0"/>
              <w:bottom w:val="single" w:color="auto" w:sz="6" w:space="0"/>
            </w:tcBorders>
          </w:tcPr>
          <w:p w14:paraId="271E6EA1">
            <w:pPr>
              <w:pStyle w:val="34"/>
              <w:keepNext/>
              <w:spacing w:after="0" w:line="440" w:lineRule="exact"/>
              <w:ind w:left="63" w:right="63"/>
              <w:rPr>
                <w:rFonts w:ascii="宋体" w:hAnsi="宋体"/>
                <w:color w:val="000000"/>
                <w:sz w:val="24"/>
                <w:szCs w:val="24"/>
                <w:highlight w:val="none"/>
              </w:rPr>
            </w:pPr>
          </w:p>
        </w:tc>
        <w:tc>
          <w:tcPr>
            <w:tcW w:w="1352" w:type="dxa"/>
            <w:tcBorders>
              <w:top w:val="double" w:color="auto" w:sz="6" w:space="0"/>
              <w:bottom w:val="single" w:color="auto" w:sz="6" w:space="0"/>
            </w:tcBorders>
          </w:tcPr>
          <w:p w14:paraId="5586CC83">
            <w:pPr>
              <w:pStyle w:val="34"/>
              <w:keepNext/>
              <w:spacing w:after="0" w:line="440" w:lineRule="exact"/>
              <w:ind w:left="63" w:right="63"/>
              <w:rPr>
                <w:rFonts w:ascii="宋体" w:hAnsi="宋体"/>
                <w:color w:val="000000"/>
                <w:sz w:val="24"/>
                <w:szCs w:val="24"/>
                <w:highlight w:val="none"/>
              </w:rPr>
            </w:pPr>
          </w:p>
        </w:tc>
        <w:tc>
          <w:tcPr>
            <w:tcW w:w="1418" w:type="dxa"/>
            <w:tcBorders>
              <w:top w:val="double" w:color="auto" w:sz="6" w:space="0"/>
              <w:bottom w:val="single" w:color="auto" w:sz="6" w:space="0"/>
            </w:tcBorders>
          </w:tcPr>
          <w:p w14:paraId="2F609602">
            <w:pPr>
              <w:pStyle w:val="34"/>
              <w:keepNext/>
              <w:spacing w:after="0" w:line="440" w:lineRule="exact"/>
              <w:ind w:left="63" w:right="63"/>
              <w:rPr>
                <w:rFonts w:ascii="宋体" w:hAnsi="宋体"/>
                <w:color w:val="000000"/>
                <w:sz w:val="24"/>
                <w:szCs w:val="24"/>
                <w:highlight w:val="none"/>
              </w:rPr>
            </w:pPr>
          </w:p>
        </w:tc>
        <w:tc>
          <w:tcPr>
            <w:tcW w:w="1701" w:type="dxa"/>
            <w:tcBorders>
              <w:top w:val="double" w:color="auto" w:sz="6" w:space="0"/>
              <w:bottom w:val="single" w:color="auto" w:sz="6" w:space="0"/>
            </w:tcBorders>
          </w:tcPr>
          <w:p w14:paraId="27678B17">
            <w:pPr>
              <w:pStyle w:val="34"/>
              <w:keepNext/>
              <w:spacing w:after="0" w:line="440" w:lineRule="exact"/>
              <w:ind w:left="63" w:right="63"/>
              <w:rPr>
                <w:rFonts w:ascii="宋体" w:hAnsi="宋体"/>
                <w:color w:val="000000"/>
                <w:sz w:val="24"/>
                <w:szCs w:val="24"/>
                <w:highlight w:val="none"/>
              </w:rPr>
            </w:pPr>
          </w:p>
        </w:tc>
      </w:tr>
      <w:tr w14:paraId="0BC59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25E2CE5">
            <w:pPr>
              <w:pStyle w:val="34"/>
              <w:keepNext/>
              <w:spacing w:after="0" w:line="440" w:lineRule="exact"/>
              <w:ind w:left="63" w:right="63"/>
              <w:rPr>
                <w:rFonts w:ascii="宋体" w:hAnsi="宋体"/>
                <w:color w:val="000000"/>
                <w:sz w:val="24"/>
                <w:szCs w:val="24"/>
                <w:highlight w:val="none"/>
              </w:rPr>
            </w:pPr>
          </w:p>
        </w:tc>
        <w:tc>
          <w:tcPr>
            <w:tcW w:w="1984" w:type="dxa"/>
            <w:tcBorders>
              <w:top w:val="nil"/>
            </w:tcBorders>
          </w:tcPr>
          <w:p w14:paraId="21ED357E">
            <w:pPr>
              <w:pStyle w:val="34"/>
              <w:keepNext/>
              <w:spacing w:after="0" w:line="440" w:lineRule="exact"/>
              <w:ind w:left="63" w:right="63"/>
              <w:rPr>
                <w:rFonts w:ascii="宋体" w:hAnsi="宋体"/>
                <w:color w:val="000000"/>
                <w:sz w:val="24"/>
                <w:szCs w:val="24"/>
                <w:highlight w:val="none"/>
              </w:rPr>
            </w:pPr>
          </w:p>
        </w:tc>
        <w:tc>
          <w:tcPr>
            <w:tcW w:w="851" w:type="dxa"/>
            <w:tcBorders>
              <w:top w:val="nil"/>
            </w:tcBorders>
          </w:tcPr>
          <w:p w14:paraId="2429F69F">
            <w:pPr>
              <w:pStyle w:val="34"/>
              <w:keepNext/>
              <w:spacing w:after="0" w:line="440" w:lineRule="exact"/>
              <w:ind w:left="63" w:right="63"/>
              <w:rPr>
                <w:rFonts w:ascii="宋体" w:hAnsi="宋体"/>
                <w:color w:val="000000"/>
                <w:sz w:val="24"/>
                <w:szCs w:val="24"/>
                <w:highlight w:val="none"/>
              </w:rPr>
            </w:pPr>
          </w:p>
        </w:tc>
        <w:tc>
          <w:tcPr>
            <w:tcW w:w="774" w:type="dxa"/>
            <w:tcBorders>
              <w:top w:val="nil"/>
            </w:tcBorders>
          </w:tcPr>
          <w:p w14:paraId="78E6EF0D">
            <w:pPr>
              <w:pStyle w:val="34"/>
              <w:keepNext/>
              <w:spacing w:after="0" w:line="440" w:lineRule="exact"/>
              <w:ind w:left="63" w:right="63"/>
              <w:rPr>
                <w:rFonts w:ascii="宋体" w:hAnsi="宋体"/>
                <w:color w:val="000000"/>
                <w:sz w:val="24"/>
                <w:szCs w:val="24"/>
                <w:highlight w:val="none"/>
              </w:rPr>
            </w:pPr>
          </w:p>
        </w:tc>
        <w:tc>
          <w:tcPr>
            <w:tcW w:w="1352" w:type="dxa"/>
            <w:tcBorders>
              <w:top w:val="nil"/>
            </w:tcBorders>
          </w:tcPr>
          <w:p w14:paraId="4E6DB5E4">
            <w:pPr>
              <w:pStyle w:val="34"/>
              <w:keepNext/>
              <w:spacing w:after="0" w:line="440" w:lineRule="exact"/>
              <w:ind w:left="63" w:right="63"/>
              <w:rPr>
                <w:rFonts w:ascii="宋体" w:hAnsi="宋体"/>
                <w:color w:val="000000"/>
                <w:sz w:val="24"/>
                <w:szCs w:val="24"/>
                <w:highlight w:val="none"/>
              </w:rPr>
            </w:pPr>
          </w:p>
        </w:tc>
        <w:tc>
          <w:tcPr>
            <w:tcW w:w="1418" w:type="dxa"/>
            <w:tcBorders>
              <w:top w:val="nil"/>
            </w:tcBorders>
          </w:tcPr>
          <w:p w14:paraId="61E7C285">
            <w:pPr>
              <w:pStyle w:val="34"/>
              <w:keepNext/>
              <w:spacing w:after="0" w:line="440" w:lineRule="exact"/>
              <w:ind w:left="63" w:right="63"/>
              <w:rPr>
                <w:rFonts w:ascii="宋体" w:hAnsi="宋体"/>
                <w:color w:val="000000"/>
                <w:sz w:val="24"/>
                <w:szCs w:val="24"/>
                <w:highlight w:val="none"/>
              </w:rPr>
            </w:pPr>
          </w:p>
        </w:tc>
        <w:tc>
          <w:tcPr>
            <w:tcW w:w="1701" w:type="dxa"/>
            <w:tcBorders>
              <w:top w:val="nil"/>
            </w:tcBorders>
          </w:tcPr>
          <w:p w14:paraId="131E483A">
            <w:pPr>
              <w:pStyle w:val="34"/>
              <w:keepNext/>
              <w:spacing w:after="0" w:line="440" w:lineRule="exact"/>
              <w:ind w:left="63" w:right="63"/>
              <w:rPr>
                <w:rFonts w:ascii="宋体" w:hAnsi="宋体"/>
                <w:color w:val="000000"/>
                <w:sz w:val="24"/>
                <w:szCs w:val="24"/>
                <w:highlight w:val="none"/>
              </w:rPr>
            </w:pPr>
          </w:p>
        </w:tc>
      </w:tr>
      <w:tr w14:paraId="31701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8D876D">
            <w:pPr>
              <w:pStyle w:val="34"/>
              <w:keepNext/>
              <w:spacing w:after="0" w:line="440" w:lineRule="exact"/>
              <w:ind w:left="63" w:right="63"/>
              <w:rPr>
                <w:rFonts w:ascii="宋体" w:hAnsi="宋体"/>
                <w:color w:val="000000"/>
                <w:sz w:val="24"/>
                <w:szCs w:val="24"/>
                <w:highlight w:val="none"/>
              </w:rPr>
            </w:pPr>
          </w:p>
        </w:tc>
        <w:tc>
          <w:tcPr>
            <w:tcW w:w="1984" w:type="dxa"/>
          </w:tcPr>
          <w:p w14:paraId="4B9126CE">
            <w:pPr>
              <w:pStyle w:val="34"/>
              <w:keepNext/>
              <w:spacing w:after="0" w:line="440" w:lineRule="exact"/>
              <w:ind w:left="63" w:right="63"/>
              <w:rPr>
                <w:rFonts w:ascii="宋体" w:hAnsi="宋体"/>
                <w:color w:val="000000"/>
                <w:sz w:val="24"/>
                <w:szCs w:val="24"/>
                <w:highlight w:val="none"/>
              </w:rPr>
            </w:pPr>
          </w:p>
        </w:tc>
        <w:tc>
          <w:tcPr>
            <w:tcW w:w="851" w:type="dxa"/>
          </w:tcPr>
          <w:p w14:paraId="1A8A8E3F">
            <w:pPr>
              <w:pStyle w:val="34"/>
              <w:keepNext/>
              <w:spacing w:after="0" w:line="440" w:lineRule="exact"/>
              <w:ind w:left="63" w:right="63"/>
              <w:rPr>
                <w:rFonts w:ascii="宋体" w:hAnsi="宋体"/>
                <w:color w:val="000000"/>
                <w:sz w:val="24"/>
                <w:szCs w:val="24"/>
                <w:highlight w:val="none"/>
              </w:rPr>
            </w:pPr>
          </w:p>
        </w:tc>
        <w:tc>
          <w:tcPr>
            <w:tcW w:w="774" w:type="dxa"/>
          </w:tcPr>
          <w:p w14:paraId="507FBF75">
            <w:pPr>
              <w:pStyle w:val="34"/>
              <w:keepNext/>
              <w:spacing w:after="0" w:line="440" w:lineRule="exact"/>
              <w:ind w:left="63" w:right="63"/>
              <w:rPr>
                <w:rFonts w:ascii="宋体" w:hAnsi="宋体"/>
                <w:color w:val="000000"/>
                <w:sz w:val="24"/>
                <w:szCs w:val="24"/>
                <w:highlight w:val="none"/>
              </w:rPr>
            </w:pPr>
          </w:p>
        </w:tc>
        <w:tc>
          <w:tcPr>
            <w:tcW w:w="1352" w:type="dxa"/>
          </w:tcPr>
          <w:p w14:paraId="4FE0CAAA">
            <w:pPr>
              <w:pStyle w:val="34"/>
              <w:keepNext/>
              <w:spacing w:after="0" w:line="440" w:lineRule="exact"/>
              <w:ind w:left="63" w:right="63"/>
              <w:rPr>
                <w:rFonts w:ascii="宋体" w:hAnsi="宋体"/>
                <w:color w:val="000000"/>
                <w:sz w:val="24"/>
                <w:szCs w:val="24"/>
                <w:highlight w:val="none"/>
              </w:rPr>
            </w:pPr>
          </w:p>
        </w:tc>
        <w:tc>
          <w:tcPr>
            <w:tcW w:w="1418" w:type="dxa"/>
          </w:tcPr>
          <w:p w14:paraId="7DCBA974">
            <w:pPr>
              <w:pStyle w:val="34"/>
              <w:keepNext/>
              <w:spacing w:after="0" w:line="440" w:lineRule="exact"/>
              <w:ind w:left="63" w:right="63"/>
              <w:rPr>
                <w:rFonts w:ascii="宋体" w:hAnsi="宋体"/>
                <w:color w:val="000000"/>
                <w:sz w:val="24"/>
                <w:szCs w:val="24"/>
                <w:highlight w:val="none"/>
              </w:rPr>
            </w:pPr>
          </w:p>
        </w:tc>
        <w:tc>
          <w:tcPr>
            <w:tcW w:w="1701" w:type="dxa"/>
          </w:tcPr>
          <w:p w14:paraId="0930D535">
            <w:pPr>
              <w:pStyle w:val="34"/>
              <w:keepNext/>
              <w:spacing w:after="0" w:line="440" w:lineRule="exact"/>
              <w:ind w:left="63" w:right="63"/>
              <w:rPr>
                <w:rFonts w:ascii="宋体" w:hAnsi="宋体"/>
                <w:color w:val="000000"/>
                <w:sz w:val="24"/>
                <w:szCs w:val="24"/>
                <w:highlight w:val="none"/>
              </w:rPr>
            </w:pPr>
          </w:p>
        </w:tc>
      </w:tr>
      <w:tr w14:paraId="35EAA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D78EBE">
            <w:pPr>
              <w:pStyle w:val="34"/>
              <w:keepNext/>
              <w:spacing w:after="0" w:line="440" w:lineRule="exact"/>
              <w:ind w:left="63" w:right="63"/>
              <w:rPr>
                <w:rFonts w:ascii="宋体" w:hAnsi="宋体"/>
                <w:color w:val="000000"/>
                <w:sz w:val="24"/>
                <w:szCs w:val="24"/>
                <w:highlight w:val="none"/>
              </w:rPr>
            </w:pPr>
          </w:p>
        </w:tc>
        <w:tc>
          <w:tcPr>
            <w:tcW w:w="1984" w:type="dxa"/>
          </w:tcPr>
          <w:p w14:paraId="6F8BD5D4">
            <w:pPr>
              <w:pStyle w:val="34"/>
              <w:keepNext/>
              <w:spacing w:after="0" w:line="440" w:lineRule="exact"/>
              <w:ind w:left="63" w:right="63"/>
              <w:rPr>
                <w:rFonts w:ascii="宋体" w:hAnsi="宋体"/>
                <w:color w:val="000000"/>
                <w:sz w:val="24"/>
                <w:szCs w:val="24"/>
                <w:highlight w:val="none"/>
              </w:rPr>
            </w:pPr>
          </w:p>
        </w:tc>
        <w:tc>
          <w:tcPr>
            <w:tcW w:w="851" w:type="dxa"/>
          </w:tcPr>
          <w:p w14:paraId="629718CE">
            <w:pPr>
              <w:pStyle w:val="34"/>
              <w:keepNext/>
              <w:spacing w:after="0" w:line="440" w:lineRule="exact"/>
              <w:ind w:left="63" w:right="63"/>
              <w:rPr>
                <w:rFonts w:ascii="宋体" w:hAnsi="宋体"/>
                <w:color w:val="000000"/>
                <w:sz w:val="24"/>
                <w:szCs w:val="24"/>
                <w:highlight w:val="none"/>
              </w:rPr>
            </w:pPr>
          </w:p>
        </w:tc>
        <w:tc>
          <w:tcPr>
            <w:tcW w:w="774" w:type="dxa"/>
          </w:tcPr>
          <w:p w14:paraId="599F7B2A">
            <w:pPr>
              <w:pStyle w:val="34"/>
              <w:keepNext/>
              <w:spacing w:after="0" w:line="440" w:lineRule="exact"/>
              <w:ind w:left="63" w:right="63"/>
              <w:rPr>
                <w:rFonts w:ascii="宋体" w:hAnsi="宋体"/>
                <w:color w:val="000000"/>
                <w:sz w:val="24"/>
                <w:szCs w:val="24"/>
                <w:highlight w:val="none"/>
              </w:rPr>
            </w:pPr>
          </w:p>
        </w:tc>
        <w:tc>
          <w:tcPr>
            <w:tcW w:w="1352" w:type="dxa"/>
          </w:tcPr>
          <w:p w14:paraId="5644DC6A">
            <w:pPr>
              <w:pStyle w:val="34"/>
              <w:keepNext/>
              <w:spacing w:after="0" w:line="440" w:lineRule="exact"/>
              <w:ind w:left="63" w:right="63"/>
              <w:rPr>
                <w:rFonts w:ascii="宋体" w:hAnsi="宋体"/>
                <w:color w:val="000000"/>
                <w:sz w:val="24"/>
                <w:szCs w:val="24"/>
                <w:highlight w:val="none"/>
              </w:rPr>
            </w:pPr>
          </w:p>
        </w:tc>
        <w:tc>
          <w:tcPr>
            <w:tcW w:w="1418" w:type="dxa"/>
          </w:tcPr>
          <w:p w14:paraId="2AC8A666">
            <w:pPr>
              <w:pStyle w:val="34"/>
              <w:keepNext/>
              <w:spacing w:after="0" w:line="440" w:lineRule="exact"/>
              <w:ind w:left="63" w:right="63"/>
              <w:rPr>
                <w:rFonts w:ascii="宋体" w:hAnsi="宋体"/>
                <w:color w:val="000000"/>
                <w:sz w:val="24"/>
                <w:szCs w:val="24"/>
                <w:highlight w:val="none"/>
              </w:rPr>
            </w:pPr>
          </w:p>
        </w:tc>
        <w:tc>
          <w:tcPr>
            <w:tcW w:w="1701" w:type="dxa"/>
          </w:tcPr>
          <w:p w14:paraId="6EA4735D">
            <w:pPr>
              <w:pStyle w:val="34"/>
              <w:keepNext/>
              <w:spacing w:after="0" w:line="440" w:lineRule="exact"/>
              <w:ind w:left="63" w:right="63"/>
              <w:rPr>
                <w:rFonts w:ascii="宋体" w:hAnsi="宋体"/>
                <w:color w:val="000000"/>
                <w:sz w:val="24"/>
                <w:szCs w:val="24"/>
                <w:highlight w:val="none"/>
              </w:rPr>
            </w:pPr>
          </w:p>
        </w:tc>
      </w:tr>
      <w:tr w14:paraId="446D7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38E825">
            <w:pPr>
              <w:pStyle w:val="34"/>
              <w:keepNext/>
              <w:spacing w:after="0" w:line="440" w:lineRule="exact"/>
              <w:ind w:left="63" w:right="63"/>
              <w:rPr>
                <w:rFonts w:ascii="宋体" w:hAnsi="宋体"/>
                <w:color w:val="000000"/>
                <w:sz w:val="24"/>
                <w:szCs w:val="24"/>
                <w:highlight w:val="none"/>
              </w:rPr>
            </w:pPr>
          </w:p>
        </w:tc>
        <w:tc>
          <w:tcPr>
            <w:tcW w:w="1984" w:type="dxa"/>
          </w:tcPr>
          <w:p w14:paraId="2D2E8EA3">
            <w:pPr>
              <w:pStyle w:val="34"/>
              <w:keepNext/>
              <w:spacing w:after="0" w:line="440" w:lineRule="exact"/>
              <w:ind w:left="63" w:right="63"/>
              <w:rPr>
                <w:rFonts w:ascii="宋体" w:hAnsi="宋体"/>
                <w:color w:val="000000"/>
                <w:sz w:val="24"/>
                <w:szCs w:val="24"/>
                <w:highlight w:val="none"/>
              </w:rPr>
            </w:pPr>
          </w:p>
        </w:tc>
        <w:tc>
          <w:tcPr>
            <w:tcW w:w="851" w:type="dxa"/>
          </w:tcPr>
          <w:p w14:paraId="6E22C9B8">
            <w:pPr>
              <w:pStyle w:val="34"/>
              <w:keepNext/>
              <w:spacing w:after="0" w:line="440" w:lineRule="exact"/>
              <w:ind w:left="63" w:right="63"/>
              <w:rPr>
                <w:rFonts w:ascii="宋体" w:hAnsi="宋体"/>
                <w:color w:val="000000"/>
                <w:sz w:val="24"/>
                <w:szCs w:val="24"/>
                <w:highlight w:val="none"/>
              </w:rPr>
            </w:pPr>
          </w:p>
        </w:tc>
        <w:tc>
          <w:tcPr>
            <w:tcW w:w="774" w:type="dxa"/>
          </w:tcPr>
          <w:p w14:paraId="47A19520">
            <w:pPr>
              <w:pStyle w:val="34"/>
              <w:keepNext/>
              <w:spacing w:after="0" w:line="440" w:lineRule="exact"/>
              <w:ind w:left="63" w:right="63"/>
              <w:rPr>
                <w:rFonts w:ascii="宋体" w:hAnsi="宋体"/>
                <w:color w:val="000000"/>
                <w:sz w:val="24"/>
                <w:szCs w:val="24"/>
                <w:highlight w:val="none"/>
              </w:rPr>
            </w:pPr>
          </w:p>
        </w:tc>
        <w:tc>
          <w:tcPr>
            <w:tcW w:w="1352" w:type="dxa"/>
          </w:tcPr>
          <w:p w14:paraId="1CE2BB14">
            <w:pPr>
              <w:pStyle w:val="34"/>
              <w:keepNext/>
              <w:spacing w:after="0" w:line="440" w:lineRule="exact"/>
              <w:ind w:left="63" w:right="63"/>
              <w:rPr>
                <w:rFonts w:ascii="宋体" w:hAnsi="宋体"/>
                <w:color w:val="000000"/>
                <w:sz w:val="24"/>
                <w:szCs w:val="24"/>
                <w:highlight w:val="none"/>
              </w:rPr>
            </w:pPr>
          </w:p>
        </w:tc>
        <w:tc>
          <w:tcPr>
            <w:tcW w:w="1418" w:type="dxa"/>
          </w:tcPr>
          <w:p w14:paraId="412FA88F">
            <w:pPr>
              <w:pStyle w:val="34"/>
              <w:keepNext/>
              <w:spacing w:after="0" w:line="440" w:lineRule="exact"/>
              <w:ind w:left="63" w:right="63"/>
              <w:rPr>
                <w:rFonts w:ascii="宋体" w:hAnsi="宋体"/>
                <w:color w:val="000000"/>
                <w:sz w:val="24"/>
                <w:szCs w:val="24"/>
                <w:highlight w:val="none"/>
              </w:rPr>
            </w:pPr>
          </w:p>
        </w:tc>
        <w:tc>
          <w:tcPr>
            <w:tcW w:w="1701" w:type="dxa"/>
          </w:tcPr>
          <w:p w14:paraId="5C625BED">
            <w:pPr>
              <w:pStyle w:val="34"/>
              <w:keepNext/>
              <w:spacing w:after="0" w:line="440" w:lineRule="exact"/>
              <w:ind w:left="63" w:right="63"/>
              <w:rPr>
                <w:rFonts w:ascii="宋体" w:hAnsi="宋体"/>
                <w:color w:val="000000"/>
                <w:sz w:val="24"/>
                <w:szCs w:val="24"/>
                <w:highlight w:val="none"/>
              </w:rPr>
            </w:pPr>
          </w:p>
        </w:tc>
      </w:tr>
      <w:tr w14:paraId="080B0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3256C4">
            <w:pPr>
              <w:pStyle w:val="34"/>
              <w:keepNext/>
              <w:spacing w:after="0" w:line="440" w:lineRule="exact"/>
              <w:ind w:left="63" w:right="63"/>
              <w:rPr>
                <w:rFonts w:ascii="宋体" w:hAnsi="宋体"/>
                <w:color w:val="000000"/>
                <w:sz w:val="24"/>
                <w:szCs w:val="24"/>
                <w:highlight w:val="none"/>
              </w:rPr>
            </w:pPr>
          </w:p>
        </w:tc>
        <w:tc>
          <w:tcPr>
            <w:tcW w:w="1984" w:type="dxa"/>
          </w:tcPr>
          <w:p w14:paraId="44375B65">
            <w:pPr>
              <w:pStyle w:val="34"/>
              <w:keepNext/>
              <w:spacing w:after="0" w:line="440" w:lineRule="exact"/>
              <w:ind w:left="63" w:right="63"/>
              <w:rPr>
                <w:rFonts w:ascii="宋体" w:hAnsi="宋体"/>
                <w:color w:val="000000"/>
                <w:sz w:val="24"/>
                <w:szCs w:val="24"/>
                <w:highlight w:val="none"/>
              </w:rPr>
            </w:pPr>
          </w:p>
        </w:tc>
        <w:tc>
          <w:tcPr>
            <w:tcW w:w="851" w:type="dxa"/>
          </w:tcPr>
          <w:p w14:paraId="1ABA0264">
            <w:pPr>
              <w:pStyle w:val="34"/>
              <w:keepNext/>
              <w:spacing w:after="0" w:line="440" w:lineRule="exact"/>
              <w:ind w:left="63" w:right="63"/>
              <w:rPr>
                <w:rFonts w:ascii="宋体" w:hAnsi="宋体"/>
                <w:color w:val="000000"/>
                <w:sz w:val="24"/>
                <w:szCs w:val="24"/>
                <w:highlight w:val="none"/>
              </w:rPr>
            </w:pPr>
          </w:p>
        </w:tc>
        <w:tc>
          <w:tcPr>
            <w:tcW w:w="774" w:type="dxa"/>
          </w:tcPr>
          <w:p w14:paraId="6CFA81DA">
            <w:pPr>
              <w:pStyle w:val="34"/>
              <w:keepNext/>
              <w:spacing w:after="0" w:line="440" w:lineRule="exact"/>
              <w:ind w:left="63" w:right="63"/>
              <w:rPr>
                <w:rFonts w:ascii="宋体" w:hAnsi="宋体"/>
                <w:color w:val="000000"/>
                <w:sz w:val="24"/>
                <w:szCs w:val="24"/>
                <w:highlight w:val="none"/>
              </w:rPr>
            </w:pPr>
          </w:p>
        </w:tc>
        <w:tc>
          <w:tcPr>
            <w:tcW w:w="1352" w:type="dxa"/>
          </w:tcPr>
          <w:p w14:paraId="61548BFE">
            <w:pPr>
              <w:pStyle w:val="34"/>
              <w:keepNext/>
              <w:spacing w:after="0" w:line="440" w:lineRule="exact"/>
              <w:ind w:left="63" w:right="63"/>
              <w:rPr>
                <w:rFonts w:ascii="宋体" w:hAnsi="宋体"/>
                <w:color w:val="000000"/>
                <w:sz w:val="24"/>
                <w:szCs w:val="24"/>
                <w:highlight w:val="none"/>
              </w:rPr>
            </w:pPr>
          </w:p>
        </w:tc>
        <w:tc>
          <w:tcPr>
            <w:tcW w:w="1418" w:type="dxa"/>
          </w:tcPr>
          <w:p w14:paraId="038B7C99">
            <w:pPr>
              <w:pStyle w:val="34"/>
              <w:keepNext/>
              <w:spacing w:after="0" w:line="440" w:lineRule="exact"/>
              <w:ind w:left="63" w:right="63"/>
              <w:rPr>
                <w:rFonts w:ascii="宋体" w:hAnsi="宋体"/>
                <w:color w:val="000000"/>
                <w:sz w:val="24"/>
                <w:szCs w:val="24"/>
                <w:highlight w:val="none"/>
              </w:rPr>
            </w:pPr>
          </w:p>
        </w:tc>
        <w:tc>
          <w:tcPr>
            <w:tcW w:w="1701" w:type="dxa"/>
          </w:tcPr>
          <w:p w14:paraId="1937AD96">
            <w:pPr>
              <w:pStyle w:val="34"/>
              <w:keepNext/>
              <w:spacing w:after="0" w:line="440" w:lineRule="exact"/>
              <w:ind w:left="63" w:right="63"/>
              <w:rPr>
                <w:rFonts w:ascii="宋体" w:hAnsi="宋体"/>
                <w:color w:val="000000"/>
                <w:sz w:val="24"/>
                <w:szCs w:val="24"/>
                <w:highlight w:val="none"/>
              </w:rPr>
            </w:pPr>
          </w:p>
        </w:tc>
      </w:tr>
      <w:tr w14:paraId="1D68C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6D65E3">
            <w:pPr>
              <w:pStyle w:val="34"/>
              <w:keepNext/>
              <w:spacing w:after="0" w:line="440" w:lineRule="exact"/>
              <w:ind w:left="63" w:right="63"/>
              <w:rPr>
                <w:rFonts w:ascii="宋体" w:hAnsi="宋体"/>
                <w:color w:val="000000"/>
                <w:sz w:val="24"/>
                <w:szCs w:val="24"/>
                <w:highlight w:val="none"/>
              </w:rPr>
            </w:pPr>
          </w:p>
        </w:tc>
        <w:tc>
          <w:tcPr>
            <w:tcW w:w="1984" w:type="dxa"/>
          </w:tcPr>
          <w:p w14:paraId="41EA8650">
            <w:pPr>
              <w:pStyle w:val="34"/>
              <w:keepNext/>
              <w:spacing w:after="0" w:line="440" w:lineRule="exact"/>
              <w:ind w:left="63" w:right="63"/>
              <w:rPr>
                <w:rFonts w:ascii="宋体" w:hAnsi="宋体"/>
                <w:color w:val="000000"/>
                <w:sz w:val="24"/>
                <w:szCs w:val="24"/>
                <w:highlight w:val="none"/>
              </w:rPr>
            </w:pPr>
          </w:p>
        </w:tc>
        <w:tc>
          <w:tcPr>
            <w:tcW w:w="851" w:type="dxa"/>
          </w:tcPr>
          <w:p w14:paraId="5D2F8487">
            <w:pPr>
              <w:pStyle w:val="34"/>
              <w:keepNext/>
              <w:spacing w:after="0" w:line="440" w:lineRule="exact"/>
              <w:ind w:left="63" w:right="63"/>
              <w:rPr>
                <w:rFonts w:ascii="宋体" w:hAnsi="宋体"/>
                <w:color w:val="000000"/>
                <w:sz w:val="24"/>
                <w:szCs w:val="24"/>
                <w:highlight w:val="none"/>
              </w:rPr>
            </w:pPr>
          </w:p>
        </w:tc>
        <w:tc>
          <w:tcPr>
            <w:tcW w:w="774" w:type="dxa"/>
          </w:tcPr>
          <w:p w14:paraId="02FC043E">
            <w:pPr>
              <w:pStyle w:val="34"/>
              <w:keepNext/>
              <w:spacing w:after="0" w:line="440" w:lineRule="exact"/>
              <w:ind w:left="63" w:right="63"/>
              <w:rPr>
                <w:rFonts w:ascii="宋体" w:hAnsi="宋体"/>
                <w:color w:val="000000"/>
                <w:sz w:val="24"/>
                <w:szCs w:val="24"/>
                <w:highlight w:val="none"/>
              </w:rPr>
            </w:pPr>
          </w:p>
        </w:tc>
        <w:tc>
          <w:tcPr>
            <w:tcW w:w="1352" w:type="dxa"/>
          </w:tcPr>
          <w:p w14:paraId="193B5FCB">
            <w:pPr>
              <w:pStyle w:val="34"/>
              <w:keepNext/>
              <w:spacing w:after="0" w:line="440" w:lineRule="exact"/>
              <w:ind w:left="63" w:right="63"/>
              <w:rPr>
                <w:rFonts w:ascii="宋体" w:hAnsi="宋体"/>
                <w:color w:val="000000"/>
                <w:sz w:val="24"/>
                <w:szCs w:val="24"/>
                <w:highlight w:val="none"/>
              </w:rPr>
            </w:pPr>
          </w:p>
        </w:tc>
        <w:tc>
          <w:tcPr>
            <w:tcW w:w="1418" w:type="dxa"/>
          </w:tcPr>
          <w:p w14:paraId="15D6BB1A">
            <w:pPr>
              <w:pStyle w:val="34"/>
              <w:keepNext/>
              <w:spacing w:after="0" w:line="440" w:lineRule="exact"/>
              <w:ind w:left="63" w:right="63"/>
              <w:rPr>
                <w:rFonts w:ascii="宋体" w:hAnsi="宋体"/>
                <w:color w:val="000000"/>
                <w:sz w:val="24"/>
                <w:szCs w:val="24"/>
                <w:highlight w:val="none"/>
              </w:rPr>
            </w:pPr>
          </w:p>
        </w:tc>
        <w:tc>
          <w:tcPr>
            <w:tcW w:w="1701" w:type="dxa"/>
          </w:tcPr>
          <w:p w14:paraId="69D4A272">
            <w:pPr>
              <w:pStyle w:val="34"/>
              <w:keepNext/>
              <w:spacing w:after="0" w:line="440" w:lineRule="exact"/>
              <w:ind w:left="63" w:right="63"/>
              <w:rPr>
                <w:rFonts w:ascii="宋体" w:hAnsi="宋体"/>
                <w:color w:val="000000"/>
                <w:sz w:val="24"/>
                <w:szCs w:val="24"/>
                <w:highlight w:val="none"/>
              </w:rPr>
            </w:pPr>
          </w:p>
        </w:tc>
      </w:tr>
      <w:tr w14:paraId="75AD9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7EEE77">
            <w:pPr>
              <w:pStyle w:val="34"/>
              <w:keepNext/>
              <w:spacing w:after="0" w:line="440" w:lineRule="exact"/>
              <w:ind w:left="63" w:right="63"/>
              <w:rPr>
                <w:rFonts w:ascii="宋体" w:hAnsi="宋体"/>
                <w:color w:val="000000"/>
                <w:sz w:val="24"/>
                <w:szCs w:val="24"/>
                <w:highlight w:val="none"/>
              </w:rPr>
            </w:pPr>
          </w:p>
        </w:tc>
        <w:tc>
          <w:tcPr>
            <w:tcW w:w="1984" w:type="dxa"/>
          </w:tcPr>
          <w:p w14:paraId="188F2AFE">
            <w:pPr>
              <w:pStyle w:val="34"/>
              <w:keepNext/>
              <w:spacing w:after="0" w:line="440" w:lineRule="exact"/>
              <w:ind w:left="63" w:right="63"/>
              <w:rPr>
                <w:rFonts w:ascii="宋体" w:hAnsi="宋体"/>
                <w:color w:val="000000"/>
                <w:sz w:val="24"/>
                <w:szCs w:val="24"/>
                <w:highlight w:val="none"/>
              </w:rPr>
            </w:pPr>
          </w:p>
        </w:tc>
        <w:tc>
          <w:tcPr>
            <w:tcW w:w="851" w:type="dxa"/>
          </w:tcPr>
          <w:p w14:paraId="47710AFE">
            <w:pPr>
              <w:pStyle w:val="34"/>
              <w:keepNext/>
              <w:spacing w:after="0" w:line="440" w:lineRule="exact"/>
              <w:ind w:left="63" w:right="63"/>
              <w:rPr>
                <w:rFonts w:ascii="宋体" w:hAnsi="宋体"/>
                <w:color w:val="000000"/>
                <w:sz w:val="24"/>
                <w:szCs w:val="24"/>
                <w:highlight w:val="none"/>
              </w:rPr>
            </w:pPr>
          </w:p>
        </w:tc>
        <w:tc>
          <w:tcPr>
            <w:tcW w:w="774" w:type="dxa"/>
          </w:tcPr>
          <w:p w14:paraId="56BF9F5E">
            <w:pPr>
              <w:pStyle w:val="34"/>
              <w:keepNext/>
              <w:spacing w:after="0" w:line="440" w:lineRule="exact"/>
              <w:ind w:left="63" w:right="63"/>
              <w:rPr>
                <w:rFonts w:ascii="宋体" w:hAnsi="宋体"/>
                <w:color w:val="000000"/>
                <w:sz w:val="24"/>
                <w:szCs w:val="24"/>
                <w:highlight w:val="none"/>
              </w:rPr>
            </w:pPr>
          </w:p>
        </w:tc>
        <w:tc>
          <w:tcPr>
            <w:tcW w:w="1352" w:type="dxa"/>
          </w:tcPr>
          <w:p w14:paraId="1051C4F9">
            <w:pPr>
              <w:pStyle w:val="34"/>
              <w:keepNext/>
              <w:spacing w:after="0" w:line="440" w:lineRule="exact"/>
              <w:ind w:left="63" w:right="63"/>
              <w:rPr>
                <w:rFonts w:ascii="宋体" w:hAnsi="宋体"/>
                <w:color w:val="000000"/>
                <w:sz w:val="24"/>
                <w:szCs w:val="24"/>
                <w:highlight w:val="none"/>
              </w:rPr>
            </w:pPr>
          </w:p>
        </w:tc>
        <w:tc>
          <w:tcPr>
            <w:tcW w:w="1418" w:type="dxa"/>
          </w:tcPr>
          <w:p w14:paraId="2BFE468C">
            <w:pPr>
              <w:pStyle w:val="34"/>
              <w:keepNext/>
              <w:spacing w:after="0" w:line="440" w:lineRule="exact"/>
              <w:ind w:left="63" w:right="63"/>
              <w:rPr>
                <w:rFonts w:ascii="宋体" w:hAnsi="宋体"/>
                <w:color w:val="000000"/>
                <w:sz w:val="24"/>
                <w:szCs w:val="24"/>
                <w:highlight w:val="none"/>
              </w:rPr>
            </w:pPr>
          </w:p>
        </w:tc>
        <w:tc>
          <w:tcPr>
            <w:tcW w:w="1701" w:type="dxa"/>
          </w:tcPr>
          <w:p w14:paraId="54E52447">
            <w:pPr>
              <w:pStyle w:val="34"/>
              <w:keepNext/>
              <w:spacing w:after="0" w:line="440" w:lineRule="exact"/>
              <w:ind w:left="63" w:right="63"/>
              <w:rPr>
                <w:rFonts w:ascii="宋体" w:hAnsi="宋体"/>
                <w:color w:val="000000"/>
                <w:sz w:val="24"/>
                <w:szCs w:val="24"/>
                <w:highlight w:val="none"/>
              </w:rPr>
            </w:pPr>
          </w:p>
        </w:tc>
      </w:tr>
      <w:tr w14:paraId="1D19A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F522CF">
            <w:pPr>
              <w:pStyle w:val="34"/>
              <w:keepNext/>
              <w:spacing w:after="0" w:line="440" w:lineRule="exact"/>
              <w:ind w:left="63" w:right="63"/>
              <w:rPr>
                <w:rFonts w:ascii="宋体" w:hAnsi="宋体"/>
                <w:color w:val="000000"/>
                <w:sz w:val="24"/>
                <w:szCs w:val="24"/>
                <w:highlight w:val="none"/>
              </w:rPr>
            </w:pPr>
          </w:p>
        </w:tc>
        <w:tc>
          <w:tcPr>
            <w:tcW w:w="1984" w:type="dxa"/>
          </w:tcPr>
          <w:p w14:paraId="3D452ED9">
            <w:pPr>
              <w:pStyle w:val="34"/>
              <w:keepNext/>
              <w:spacing w:after="0" w:line="440" w:lineRule="exact"/>
              <w:ind w:left="63" w:right="63"/>
              <w:rPr>
                <w:rFonts w:ascii="宋体" w:hAnsi="宋体"/>
                <w:color w:val="000000"/>
                <w:sz w:val="24"/>
                <w:szCs w:val="24"/>
                <w:highlight w:val="none"/>
              </w:rPr>
            </w:pPr>
          </w:p>
        </w:tc>
        <w:tc>
          <w:tcPr>
            <w:tcW w:w="851" w:type="dxa"/>
          </w:tcPr>
          <w:p w14:paraId="222317E5">
            <w:pPr>
              <w:pStyle w:val="34"/>
              <w:keepNext/>
              <w:spacing w:after="0" w:line="440" w:lineRule="exact"/>
              <w:ind w:left="63" w:right="63"/>
              <w:rPr>
                <w:rFonts w:ascii="宋体" w:hAnsi="宋体"/>
                <w:color w:val="000000"/>
                <w:sz w:val="24"/>
                <w:szCs w:val="24"/>
                <w:highlight w:val="none"/>
              </w:rPr>
            </w:pPr>
          </w:p>
        </w:tc>
        <w:tc>
          <w:tcPr>
            <w:tcW w:w="774" w:type="dxa"/>
          </w:tcPr>
          <w:p w14:paraId="37587699">
            <w:pPr>
              <w:pStyle w:val="34"/>
              <w:keepNext/>
              <w:spacing w:after="0" w:line="440" w:lineRule="exact"/>
              <w:ind w:left="63" w:right="63"/>
              <w:rPr>
                <w:rFonts w:ascii="宋体" w:hAnsi="宋体"/>
                <w:color w:val="000000"/>
                <w:sz w:val="24"/>
                <w:szCs w:val="24"/>
                <w:highlight w:val="none"/>
              </w:rPr>
            </w:pPr>
          </w:p>
        </w:tc>
        <w:tc>
          <w:tcPr>
            <w:tcW w:w="1352" w:type="dxa"/>
          </w:tcPr>
          <w:p w14:paraId="57CA8D38">
            <w:pPr>
              <w:pStyle w:val="34"/>
              <w:keepNext/>
              <w:spacing w:after="0" w:line="440" w:lineRule="exact"/>
              <w:ind w:left="63" w:right="63"/>
              <w:rPr>
                <w:rFonts w:ascii="宋体" w:hAnsi="宋体"/>
                <w:color w:val="000000"/>
                <w:sz w:val="24"/>
                <w:szCs w:val="24"/>
                <w:highlight w:val="none"/>
              </w:rPr>
            </w:pPr>
          </w:p>
        </w:tc>
        <w:tc>
          <w:tcPr>
            <w:tcW w:w="1418" w:type="dxa"/>
          </w:tcPr>
          <w:p w14:paraId="10987BAF">
            <w:pPr>
              <w:pStyle w:val="34"/>
              <w:keepNext/>
              <w:spacing w:after="0" w:line="440" w:lineRule="exact"/>
              <w:ind w:left="63" w:right="63"/>
              <w:rPr>
                <w:rFonts w:ascii="宋体" w:hAnsi="宋体"/>
                <w:color w:val="000000"/>
                <w:sz w:val="24"/>
                <w:szCs w:val="24"/>
                <w:highlight w:val="none"/>
              </w:rPr>
            </w:pPr>
          </w:p>
        </w:tc>
        <w:tc>
          <w:tcPr>
            <w:tcW w:w="1701" w:type="dxa"/>
          </w:tcPr>
          <w:p w14:paraId="44CD8FFD">
            <w:pPr>
              <w:pStyle w:val="34"/>
              <w:keepNext/>
              <w:spacing w:after="0" w:line="440" w:lineRule="exact"/>
              <w:ind w:left="63" w:right="63"/>
              <w:rPr>
                <w:rFonts w:ascii="宋体" w:hAnsi="宋体"/>
                <w:color w:val="000000"/>
                <w:sz w:val="24"/>
                <w:szCs w:val="24"/>
                <w:highlight w:val="none"/>
              </w:rPr>
            </w:pPr>
          </w:p>
        </w:tc>
      </w:tr>
      <w:tr w14:paraId="4045C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E413AE">
            <w:pPr>
              <w:pStyle w:val="34"/>
              <w:keepNext/>
              <w:spacing w:after="0" w:line="440" w:lineRule="exact"/>
              <w:ind w:left="63" w:right="63"/>
              <w:rPr>
                <w:rFonts w:ascii="宋体" w:hAnsi="宋体"/>
                <w:color w:val="000000"/>
                <w:sz w:val="24"/>
                <w:szCs w:val="24"/>
                <w:highlight w:val="none"/>
              </w:rPr>
            </w:pPr>
          </w:p>
        </w:tc>
        <w:tc>
          <w:tcPr>
            <w:tcW w:w="1984" w:type="dxa"/>
          </w:tcPr>
          <w:p w14:paraId="77D3FF35">
            <w:pPr>
              <w:pStyle w:val="34"/>
              <w:keepNext/>
              <w:spacing w:after="0" w:line="440" w:lineRule="exact"/>
              <w:ind w:left="63" w:right="63"/>
              <w:rPr>
                <w:rFonts w:ascii="宋体" w:hAnsi="宋体"/>
                <w:color w:val="000000"/>
                <w:sz w:val="24"/>
                <w:szCs w:val="24"/>
                <w:highlight w:val="none"/>
              </w:rPr>
            </w:pPr>
          </w:p>
        </w:tc>
        <w:tc>
          <w:tcPr>
            <w:tcW w:w="851" w:type="dxa"/>
          </w:tcPr>
          <w:p w14:paraId="1AF27DFB">
            <w:pPr>
              <w:pStyle w:val="34"/>
              <w:keepNext/>
              <w:spacing w:after="0" w:line="440" w:lineRule="exact"/>
              <w:ind w:left="63" w:right="63"/>
              <w:rPr>
                <w:rFonts w:ascii="宋体" w:hAnsi="宋体"/>
                <w:color w:val="000000"/>
                <w:sz w:val="24"/>
                <w:szCs w:val="24"/>
                <w:highlight w:val="none"/>
              </w:rPr>
            </w:pPr>
          </w:p>
        </w:tc>
        <w:tc>
          <w:tcPr>
            <w:tcW w:w="774" w:type="dxa"/>
          </w:tcPr>
          <w:p w14:paraId="63D7C50C">
            <w:pPr>
              <w:pStyle w:val="34"/>
              <w:keepNext/>
              <w:spacing w:after="0" w:line="440" w:lineRule="exact"/>
              <w:ind w:left="63" w:right="63"/>
              <w:rPr>
                <w:rFonts w:ascii="宋体" w:hAnsi="宋体"/>
                <w:color w:val="000000"/>
                <w:sz w:val="24"/>
                <w:szCs w:val="24"/>
                <w:highlight w:val="none"/>
              </w:rPr>
            </w:pPr>
          </w:p>
        </w:tc>
        <w:tc>
          <w:tcPr>
            <w:tcW w:w="1352" w:type="dxa"/>
          </w:tcPr>
          <w:p w14:paraId="67AF4668">
            <w:pPr>
              <w:pStyle w:val="34"/>
              <w:keepNext/>
              <w:spacing w:after="0" w:line="440" w:lineRule="exact"/>
              <w:ind w:left="63" w:right="63"/>
              <w:rPr>
                <w:rFonts w:ascii="宋体" w:hAnsi="宋体"/>
                <w:color w:val="000000"/>
                <w:sz w:val="24"/>
                <w:szCs w:val="24"/>
                <w:highlight w:val="none"/>
              </w:rPr>
            </w:pPr>
          </w:p>
        </w:tc>
        <w:tc>
          <w:tcPr>
            <w:tcW w:w="1418" w:type="dxa"/>
          </w:tcPr>
          <w:p w14:paraId="4A2CF6F2">
            <w:pPr>
              <w:pStyle w:val="34"/>
              <w:keepNext/>
              <w:spacing w:after="0" w:line="440" w:lineRule="exact"/>
              <w:ind w:left="63" w:right="63"/>
              <w:rPr>
                <w:rFonts w:ascii="宋体" w:hAnsi="宋体"/>
                <w:color w:val="000000"/>
                <w:sz w:val="24"/>
                <w:szCs w:val="24"/>
                <w:highlight w:val="none"/>
              </w:rPr>
            </w:pPr>
          </w:p>
        </w:tc>
        <w:tc>
          <w:tcPr>
            <w:tcW w:w="1701" w:type="dxa"/>
          </w:tcPr>
          <w:p w14:paraId="3A0A82B9">
            <w:pPr>
              <w:pStyle w:val="34"/>
              <w:keepNext/>
              <w:spacing w:after="0" w:line="440" w:lineRule="exact"/>
              <w:ind w:left="63" w:right="63"/>
              <w:rPr>
                <w:rFonts w:ascii="宋体" w:hAnsi="宋体"/>
                <w:color w:val="000000"/>
                <w:sz w:val="24"/>
                <w:szCs w:val="24"/>
                <w:highlight w:val="none"/>
              </w:rPr>
            </w:pPr>
          </w:p>
        </w:tc>
      </w:tr>
      <w:tr w14:paraId="609BA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00AC3D">
            <w:pPr>
              <w:pStyle w:val="34"/>
              <w:keepNext/>
              <w:spacing w:after="0" w:line="440" w:lineRule="exact"/>
              <w:ind w:left="63" w:right="63"/>
              <w:rPr>
                <w:rFonts w:ascii="宋体" w:hAnsi="宋体"/>
                <w:color w:val="000000"/>
                <w:sz w:val="24"/>
                <w:szCs w:val="24"/>
                <w:highlight w:val="none"/>
              </w:rPr>
            </w:pPr>
          </w:p>
        </w:tc>
        <w:tc>
          <w:tcPr>
            <w:tcW w:w="1984" w:type="dxa"/>
          </w:tcPr>
          <w:p w14:paraId="67DC913A">
            <w:pPr>
              <w:pStyle w:val="34"/>
              <w:keepNext/>
              <w:spacing w:after="0" w:line="440" w:lineRule="exact"/>
              <w:ind w:left="63" w:right="63"/>
              <w:rPr>
                <w:rFonts w:ascii="宋体" w:hAnsi="宋体"/>
                <w:color w:val="000000"/>
                <w:sz w:val="24"/>
                <w:szCs w:val="24"/>
                <w:highlight w:val="none"/>
              </w:rPr>
            </w:pPr>
          </w:p>
        </w:tc>
        <w:tc>
          <w:tcPr>
            <w:tcW w:w="851" w:type="dxa"/>
          </w:tcPr>
          <w:p w14:paraId="13BC3B95">
            <w:pPr>
              <w:pStyle w:val="34"/>
              <w:keepNext/>
              <w:spacing w:after="0" w:line="440" w:lineRule="exact"/>
              <w:ind w:left="63" w:right="63"/>
              <w:rPr>
                <w:rFonts w:ascii="宋体" w:hAnsi="宋体"/>
                <w:color w:val="000000"/>
                <w:sz w:val="24"/>
                <w:szCs w:val="24"/>
                <w:highlight w:val="none"/>
              </w:rPr>
            </w:pPr>
          </w:p>
        </w:tc>
        <w:tc>
          <w:tcPr>
            <w:tcW w:w="774" w:type="dxa"/>
          </w:tcPr>
          <w:p w14:paraId="374690FB">
            <w:pPr>
              <w:pStyle w:val="34"/>
              <w:keepNext/>
              <w:spacing w:after="0" w:line="440" w:lineRule="exact"/>
              <w:ind w:left="63" w:right="63"/>
              <w:rPr>
                <w:rFonts w:ascii="宋体" w:hAnsi="宋体"/>
                <w:color w:val="000000"/>
                <w:sz w:val="24"/>
                <w:szCs w:val="24"/>
                <w:highlight w:val="none"/>
              </w:rPr>
            </w:pPr>
          </w:p>
        </w:tc>
        <w:tc>
          <w:tcPr>
            <w:tcW w:w="1352" w:type="dxa"/>
          </w:tcPr>
          <w:p w14:paraId="2934BC76">
            <w:pPr>
              <w:pStyle w:val="34"/>
              <w:keepNext/>
              <w:spacing w:after="0" w:line="440" w:lineRule="exact"/>
              <w:ind w:left="63" w:right="63"/>
              <w:rPr>
                <w:rFonts w:ascii="宋体" w:hAnsi="宋体"/>
                <w:color w:val="000000"/>
                <w:sz w:val="24"/>
                <w:szCs w:val="24"/>
                <w:highlight w:val="none"/>
              </w:rPr>
            </w:pPr>
          </w:p>
        </w:tc>
        <w:tc>
          <w:tcPr>
            <w:tcW w:w="1418" w:type="dxa"/>
          </w:tcPr>
          <w:p w14:paraId="672EB516">
            <w:pPr>
              <w:pStyle w:val="34"/>
              <w:keepNext/>
              <w:spacing w:after="0" w:line="440" w:lineRule="exact"/>
              <w:ind w:left="63" w:right="63"/>
              <w:rPr>
                <w:rFonts w:ascii="宋体" w:hAnsi="宋体"/>
                <w:color w:val="000000"/>
                <w:sz w:val="24"/>
                <w:szCs w:val="24"/>
                <w:highlight w:val="none"/>
              </w:rPr>
            </w:pPr>
          </w:p>
        </w:tc>
        <w:tc>
          <w:tcPr>
            <w:tcW w:w="1701" w:type="dxa"/>
          </w:tcPr>
          <w:p w14:paraId="05E5EC01">
            <w:pPr>
              <w:pStyle w:val="34"/>
              <w:keepNext/>
              <w:spacing w:after="0" w:line="440" w:lineRule="exact"/>
              <w:ind w:left="63" w:right="63"/>
              <w:rPr>
                <w:rFonts w:ascii="宋体" w:hAnsi="宋体"/>
                <w:color w:val="000000"/>
                <w:sz w:val="24"/>
                <w:szCs w:val="24"/>
                <w:highlight w:val="none"/>
              </w:rPr>
            </w:pPr>
          </w:p>
        </w:tc>
      </w:tr>
      <w:tr w14:paraId="35DFE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A79591">
            <w:pPr>
              <w:pStyle w:val="34"/>
              <w:keepNext/>
              <w:spacing w:after="0" w:line="440" w:lineRule="exact"/>
              <w:ind w:left="63" w:right="63"/>
              <w:rPr>
                <w:rFonts w:ascii="宋体" w:hAnsi="宋体"/>
                <w:color w:val="000000"/>
                <w:sz w:val="24"/>
                <w:szCs w:val="24"/>
                <w:highlight w:val="none"/>
              </w:rPr>
            </w:pPr>
          </w:p>
        </w:tc>
        <w:tc>
          <w:tcPr>
            <w:tcW w:w="1984" w:type="dxa"/>
          </w:tcPr>
          <w:p w14:paraId="3121C3C1">
            <w:pPr>
              <w:pStyle w:val="34"/>
              <w:keepNext/>
              <w:spacing w:after="0" w:line="440" w:lineRule="exact"/>
              <w:ind w:left="63" w:right="63"/>
              <w:rPr>
                <w:rFonts w:ascii="宋体" w:hAnsi="宋体"/>
                <w:color w:val="000000"/>
                <w:sz w:val="24"/>
                <w:szCs w:val="24"/>
                <w:highlight w:val="none"/>
              </w:rPr>
            </w:pPr>
          </w:p>
        </w:tc>
        <w:tc>
          <w:tcPr>
            <w:tcW w:w="851" w:type="dxa"/>
          </w:tcPr>
          <w:p w14:paraId="775F820D">
            <w:pPr>
              <w:pStyle w:val="34"/>
              <w:keepNext/>
              <w:spacing w:after="0" w:line="440" w:lineRule="exact"/>
              <w:ind w:left="63" w:right="63"/>
              <w:rPr>
                <w:rFonts w:ascii="宋体" w:hAnsi="宋体"/>
                <w:color w:val="000000"/>
                <w:sz w:val="24"/>
                <w:szCs w:val="24"/>
                <w:highlight w:val="none"/>
              </w:rPr>
            </w:pPr>
          </w:p>
        </w:tc>
        <w:tc>
          <w:tcPr>
            <w:tcW w:w="774" w:type="dxa"/>
          </w:tcPr>
          <w:p w14:paraId="260D1CBE">
            <w:pPr>
              <w:pStyle w:val="34"/>
              <w:keepNext/>
              <w:spacing w:after="0" w:line="440" w:lineRule="exact"/>
              <w:ind w:left="63" w:right="63"/>
              <w:rPr>
                <w:rFonts w:ascii="宋体" w:hAnsi="宋体"/>
                <w:color w:val="000000"/>
                <w:sz w:val="24"/>
                <w:szCs w:val="24"/>
                <w:highlight w:val="none"/>
              </w:rPr>
            </w:pPr>
          </w:p>
        </w:tc>
        <w:tc>
          <w:tcPr>
            <w:tcW w:w="1352" w:type="dxa"/>
          </w:tcPr>
          <w:p w14:paraId="60146DC7">
            <w:pPr>
              <w:pStyle w:val="34"/>
              <w:keepNext/>
              <w:spacing w:after="0" w:line="440" w:lineRule="exact"/>
              <w:ind w:left="63" w:right="63"/>
              <w:rPr>
                <w:rFonts w:ascii="宋体" w:hAnsi="宋体"/>
                <w:color w:val="000000"/>
                <w:sz w:val="24"/>
                <w:szCs w:val="24"/>
                <w:highlight w:val="none"/>
              </w:rPr>
            </w:pPr>
          </w:p>
        </w:tc>
        <w:tc>
          <w:tcPr>
            <w:tcW w:w="1418" w:type="dxa"/>
          </w:tcPr>
          <w:p w14:paraId="0AC45372">
            <w:pPr>
              <w:pStyle w:val="34"/>
              <w:keepNext/>
              <w:spacing w:after="0" w:line="440" w:lineRule="exact"/>
              <w:ind w:left="63" w:right="63"/>
              <w:rPr>
                <w:rFonts w:ascii="宋体" w:hAnsi="宋体"/>
                <w:color w:val="000000"/>
                <w:sz w:val="24"/>
                <w:szCs w:val="24"/>
                <w:highlight w:val="none"/>
              </w:rPr>
            </w:pPr>
          </w:p>
        </w:tc>
        <w:tc>
          <w:tcPr>
            <w:tcW w:w="1701" w:type="dxa"/>
          </w:tcPr>
          <w:p w14:paraId="28C20253">
            <w:pPr>
              <w:pStyle w:val="34"/>
              <w:keepNext/>
              <w:spacing w:after="0" w:line="440" w:lineRule="exact"/>
              <w:ind w:left="63" w:right="63"/>
              <w:rPr>
                <w:rFonts w:ascii="宋体" w:hAnsi="宋体"/>
                <w:color w:val="000000"/>
                <w:sz w:val="24"/>
                <w:szCs w:val="24"/>
                <w:highlight w:val="none"/>
              </w:rPr>
            </w:pPr>
          </w:p>
        </w:tc>
      </w:tr>
      <w:tr w14:paraId="3F0ED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FAFBFE">
            <w:pPr>
              <w:pStyle w:val="34"/>
              <w:keepNext/>
              <w:spacing w:after="0" w:line="440" w:lineRule="exact"/>
              <w:ind w:left="63" w:right="63"/>
              <w:rPr>
                <w:rFonts w:ascii="宋体" w:hAnsi="宋体"/>
                <w:color w:val="000000"/>
                <w:sz w:val="24"/>
                <w:szCs w:val="24"/>
                <w:highlight w:val="none"/>
              </w:rPr>
            </w:pPr>
          </w:p>
        </w:tc>
        <w:tc>
          <w:tcPr>
            <w:tcW w:w="1984" w:type="dxa"/>
          </w:tcPr>
          <w:p w14:paraId="39A21CEF">
            <w:pPr>
              <w:pStyle w:val="34"/>
              <w:keepNext/>
              <w:spacing w:after="0" w:line="440" w:lineRule="exact"/>
              <w:ind w:left="63" w:right="63"/>
              <w:rPr>
                <w:rFonts w:ascii="宋体" w:hAnsi="宋体"/>
                <w:color w:val="000000"/>
                <w:sz w:val="24"/>
                <w:szCs w:val="24"/>
                <w:highlight w:val="none"/>
              </w:rPr>
            </w:pPr>
          </w:p>
        </w:tc>
        <w:tc>
          <w:tcPr>
            <w:tcW w:w="851" w:type="dxa"/>
          </w:tcPr>
          <w:p w14:paraId="1B3CD8C4">
            <w:pPr>
              <w:pStyle w:val="34"/>
              <w:keepNext/>
              <w:spacing w:after="0" w:line="440" w:lineRule="exact"/>
              <w:ind w:left="63" w:right="63"/>
              <w:rPr>
                <w:rFonts w:ascii="宋体" w:hAnsi="宋体"/>
                <w:color w:val="000000"/>
                <w:sz w:val="24"/>
                <w:szCs w:val="24"/>
                <w:highlight w:val="none"/>
              </w:rPr>
            </w:pPr>
          </w:p>
        </w:tc>
        <w:tc>
          <w:tcPr>
            <w:tcW w:w="774" w:type="dxa"/>
          </w:tcPr>
          <w:p w14:paraId="085485D0">
            <w:pPr>
              <w:pStyle w:val="34"/>
              <w:keepNext/>
              <w:spacing w:after="0" w:line="440" w:lineRule="exact"/>
              <w:ind w:left="63" w:right="63"/>
              <w:rPr>
                <w:rFonts w:ascii="宋体" w:hAnsi="宋体"/>
                <w:color w:val="000000"/>
                <w:sz w:val="24"/>
                <w:szCs w:val="24"/>
                <w:highlight w:val="none"/>
              </w:rPr>
            </w:pPr>
          </w:p>
        </w:tc>
        <w:tc>
          <w:tcPr>
            <w:tcW w:w="1352" w:type="dxa"/>
          </w:tcPr>
          <w:p w14:paraId="2D9E2F4A">
            <w:pPr>
              <w:pStyle w:val="34"/>
              <w:keepNext/>
              <w:spacing w:after="0" w:line="440" w:lineRule="exact"/>
              <w:ind w:left="63" w:right="63"/>
              <w:rPr>
                <w:rFonts w:ascii="宋体" w:hAnsi="宋体"/>
                <w:color w:val="000000"/>
                <w:sz w:val="24"/>
                <w:szCs w:val="24"/>
                <w:highlight w:val="none"/>
              </w:rPr>
            </w:pPr>
          </w:p>
        </w:tc>
        <w:tc>
          <w:tcPr>
            <w:tcW w:w="1418" w:type="dxa"/>
          </w:tcPr>
          <w:p w14:paraId="2889029A">
            <w:pPr>
              <w:pStyle w:val="34"/>
              <w:keepNext/>
              <w:spacing w:after="0" w:line="440" w:lineRule="exact"/>
              <w:ind w:left="63" w:right="63"/>
              <w:rPr>
                <w:rFonts w:ascii="宋体" w:hAnsi="宋体"/>
                <w:color w:val="000000"/>
                <w:sz w:val="24"/>
                <w:szCs w:val="24"/>
                <w:highlight w:val="none"/>
              </w:rPr>
            </w:pPr>
          </w:p>
        </w:tc>
        <w:tc>
          <w:tcPr>
            <w:tcW w:w="1701" w:type="dxa"/>
          </w:tcPr>
          <w:p w14:paraId="2B3583D2">
            <w:pPr>
              <w:pStyle w:val="34"/>
              <w:keepNext/>
              <w:spacing w:after="0" w:line="440" w:lineRule="exact"/>
              <w:ind w:left="63" w:right="63"/>
              <w:rPr>
                <w:rFonts w:ascii="宋体" w:hAnsi="宋体"/>
                <w:color w:val="000000"/>
                <w:sz w:val="24"/>
                <w:szCs w:val="24"/>
                <w:highlight w:val="none"/>
              </w:rPr>
            </w:pPr>
          </w:p>
        </w:tc>
      </w:tr>
      <w:tr w14:paraId="34343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C5232C">
            <w:pPr>
              <w:pStyle w:val="34"/>
              <w:keepNext/>
              <w:spacing w:after="0" w:line="440" w:lineRule="exact"/>
              <w:ind w:left="63" w:right="63"/>
              <w:rPr>
                <w:rFonts w:ascii="宋体" w:hAnsi="宋体"/>
                <w:color w:val="000000"/>
                <w:sz w:val="24"/>
                <w:szCs w:val="24"/>
                <w:highlight w:val="none"/>
              </w:rPr>
            </w:pPr>
          </w:p>
        </w:tc>
        <w:tc>
          <w:tcPr>
            <w:tcW w:w="1984" w:type="dxa"/>
          </w:tcPr>
          <w:p w14:paraId="20E32933">
            <w:pPr>
              <w:pStyle w:val="34"/>
              <w:keepNext/>
              <w:spacing w:after="0" w:line="440" w:lineRule="exact"/>
              <w:ind w:left="63" w:right="63"/>
              <w:rPr>
                <w:rFonts w:ascii="宋体" w:hAnsi="宋体"/>
                <w:color w:val="000000"/>
                <w:sz w:val="24"/>
                <w:szCs w:val="24"/>
                <w:highlight w:val="none"/>
              </w:rPr>
            </w:pPr>
          </w:p>
        </w:tc>
        <w:tc>
          <w:tcPr>
            <w:tcW w:w="851" w:type="dxa"/>
          </w:tcPr>
          <w:p w14:paraId="45B057AD">
            <w:pPr>
              <w:pStyle w:val="34"/>
              <w:keepNext/>
              <w:spacing w:after="0" w:line="440" w:lineRule="exact"/>
              <w:ind w:left="63" w:right="63"/>
              <w:rPr>
                <w:rFonts w:ascii="宋体" w:hAnsi="宋体"/>
                <w:color w:val="000000"/>
                <w:sz w:val="24"/>
                <w:szCs w:val="24"/>
                <w:highlight w:val="none"/>
              </w:rPr>
            </w:pPr>
          </w:p>
        </w:tc>
        <w:tc>
          <w:tcPr>
            <w:tcW w:w="774" w:type="dxa"/>
          </w:tcPr>
          <w:p w14:paraId="192072FF">
            <w:pPr>
              <w:pStyle w:val="34"/>
              <w:keepNext/>
              <w:spacing w:after="0" w:line="440" w:lineRule="exact"/>
              <w:ind w:left="63" w:right="63"/>
              <w:rPr>
                <w:rFonts w:ascii="宋体" w:hAnsi="宋体"/>
                <w:color w:val="000000"/>
                <w:sz w:val="24"/>
                <w:szCs w:val="24"/>
                <w:highlight w:val="none"/>
              </w:rPr>
            </w:pPr>
          </w:p>
        </w:tc>
        <w:tc>
          <w:tcPr>
            <w:tcW w:w="1352" w:type="dxa"/>
          </w:tcPr>
          <w:p w14:paraId="0CE870BD">
            <w:pPr>
              <w:pStyle w:val="34"/>
              <w:keepNext/>
              <w:spacing w:after="0" w:line="440" w:lineRule="exact"/>
              <w:ind w:left="63" w:right="63"/>
              <w:rPr>
                <w:rFonts w:ascii="宋体" w:hAnsi="宋体"/>
                <w:color w:val="000000"/>
                <w:sz w:val="24"/>
                <w:szCs w:val="24"/>
                <w:highlight w:val="none"/>
              </w:rPr>
            </w:pPr>
          </w:p>
        </w:tc>
        <w:tc>
          <w:tcPr>
            <w:tcW w:w="1418" w:type="dxa"/>
          </w:tcPr>
          <w:p w14:paraId="4C39BCCE">
            <w:pPr>
              <w:pStyle w:val="34"/>
              <w:keepNext/>
              <w:spacing w:after="0" w:line="440" w:lineRule="exact"/>
              <w:ind w:left="63" w:right="63"/>
              <w:rPr>
                <w:rFonts w:ascii="宋体" w:hAnsi="宋体"/>
                <w:color w:val="000000"/>
                <w:sz w:val="24"/>
                <w:szCs w:val="24"/>
                <w:highlight w:val="none"/>
              </w:rPr>
            </w:pPr>
          </w:p>
        </w:tc>
        <w:tc>
          <w:tcPr>
            <w:tcW w:w="1701" w:type="dxa"/>
          </w:tcPr>
          <w:p w14:paraId="5E0D02E0">
            <w:pPr>
              <w:pStyle w:val="34"/>
              <w:keepNext/>
              <w:spacing w:after="0" w:line="440" w:lineRule="exact"/>
              <w:ind w:left="63" w:right="63"/>
              <w:rPr>
                <w:rFonts w:ascii="宋体" w:hAnsi="宋体"/>
                <w:color w:val="000000"/>
                <w:sz w:val="24"/>
                <w:szCs w:val="24"/>
                <w:highlight w:val="none"/>
              </w:rPr>
            </w:pPr>
          </w:p>
        </w:tc>
      </w:tr>
      <w:tr w14:paraId="39750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FA0454">
            <w:pPr>
              <w:pStyle w:val="34"/>
              <w:keepNext/>
              <w:spacing w:after="0" w:line="440" w:lineRule="exact"/>
              <w:ind w:left="63" w:right="63"/>
              <w:rPr>
                <w:rFonts w:ascii="宋体" w:hAnsi="宋体"/>
                <w:color w:val="000000"/>
                <w:sz w:val="24"/>
                <w:szCs w:val="24"/>
                <w:highlight w:val="none"/>
              </w:rPr>
            </w:pPr>
          </w:p>
        </w:tc>
        <w:tc>
          <w:tcPr>
            <w:tcW w:w="1984" w:type="dxa"/>
          </w:tcPr>
          <w:p w14:paraId="7F84F61C">
            <w:pPr>
              <w:pStyle w:val="34"/>
              <w:keepNext/>
              <w:spacing w:after="0" w:line="440" w:lineRule="exact"/>
              <w:ind w:left="63" w:right="63"/>
              <w:rPr>
                <w:rFonts w:ascii="宋体" w:hAnsi="宋体"/>
                <w:color w:val="000000"/>
                <w:sz w:val="24"/>
                <w:szCs w:val="24"/>
                <w:highlight w:val="none"/>
              </w:rPr>
            </w:pPr>
          </w:p>
        </w:tc>
        <w:tc>
          <w:tcPr>
            <w:tcW w:w="851" w:type="dxa"/>
          </w:tcPr>
          <w:p w14:paraId="2AE28A15">
            <w:pPr>
              <w:pStyle w:val="34"/>
              <w:keepNext/>
              <w:spacing w:after="0" w:line="440" w:lineRule="exact"/>
              <w:ind w:left="63" w:right="63"/>
              <w:rPr>
                <w:rFonts w:ascii="宋体" w:hAnsi="宋体"/>
                <w:color w:val="000000"/>
                <w:sz w:val="24"/>
                <w:szCs w:val="24"/>
                <w:highlight w:val="none"/>
              </w:rPr>
            </w:pPr>
          </w:p>
        </w:tc>
        <w:tc>
          <w:tcPr>
            <w:tcW w:w="774" w:type="dxa"/>
          </w:tcPr>
          <w:p w14:paraId="4FD80F7C">
            <w:pPr>
              <w:pStyle w:val="34"/>
              <w:keepNext/>
              <w:spacing w:after="0" w:line="440" w:lineRule="exact"/>
              <w:ind w:left="63" w:right="63"/>
              <w:rPr>
                <w:rFonts w:ascii="宋体" w:hAnsi="宋体"/>
                <w:color w:val="000000"/>
                <w:sz w:val="24"/>
                <w:szCs w:val="24"/>
                <w:highlight w:val="none"/>
              </w:rPr>
            </w:pPr>
          </w:p>
        </w:tc>
        <w:tc>
          <w:tcPr>
            <w:tcW w:w="1352" w:type="dxa"/>
          </w:tcPr>
          <w:p w14:paraId="2ED6E94E">
            <w:pPr>
              <w:pStyle w:val="34"/>
              <w:keepNext/>
              <w:spacing w:after="0" w:line="440" w:lineRule="exact"/>
              <w:ind w:left="63" w:right="63"/>
              <w:rPr>
                <w:rFonts w:ascii="宋体" w:hAnsi="宋体"/>
                <w:color w:val="000000"/>
                <w:sz w:val="24"/>
                <w:szCs w:val="24"/>
                <w:highlight w:val="none"/>
              </w:rPr>
            </w:pPr>
          </w:p>
        </w:tc>
        <w:tc>
          <w:tcPr>
            <w:tcW w:w="1418" w:type="dxa"/>
          </w:tcPr>
          <w:p w14:paraId="05C12656">
            <w:pPr>
              <w:pStyle w:val="34"/>
              <w:keepNext/>
              <w:spacing w:after="0" w:line="440" w:lineRule="exact"/>
              <w:ind w:left="63" w:right="63"/>
              <w:rPr>
                <w:rFonts w:ascii="宋体" w:hAnsi="宋体"/>
                <w:color w:val="000000"/>
                <w:sz w:val="24"/>
                <w:szCs w:val="24"/>
                <w:highlight w:val="none"/>
              </w:rPr>
            </w:pPr>
          </w:p>
        </w:tc>
        <w:tc>
          <w:tcPr>
            <w:tcW w:w="1701" w:type="dxa"/>
          </w:tcPr>
          <w:p w14:paraId="5DE87247">
            <w:pPr>
              <w:pStyle w:val="34"/>
              <w:keepNext/>
              <w:spacing w:after="0" w:line="440" w:lineRule="exact"/>
              <w:ind w:left="63" w:right="63"/>
              <w:rPr>
                <w:rFonts w:ascii="宋体" w:hAnsi="宋体"/>
                <w:color w:val="000000"/>
                <w:sz w:val="24"/>
                <w:szCs w:val="24"/>
                <w:highlight w:val="none"/>
              </w:rPr>
            </w:pPr>
          </w:p>
        </w:tc>
      </w:tr>
      <w:tr w14:paraId="34B45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B8578D">
            <w:pPr>
              <w:pStyle w:val="34"/>
              <w:keepNext/>
              <w:spacing w:after="0" w:line="440" w:lineRule="exact"/>
              <w:ind w:left="63" w:right="63"/>
              <w:rPr>
                <w:rFonts w:ascii="宋体" w:hAnsi="宋体"/>
                <w:color w:val="000000"/>
                <w:sz w:val="24"/>
                <w:szCs w:val="24"/>
                <w:highlight w:val="none"/>
              </w:rPr>
            </w:pPr>
          </w:p>
        </w:tc>
        <w:tc>
          <w:tcPr>
            <w:tcW w:w="1984" w:type="dxa"/>
          </w:tcPr>
          <w:p w14:paraId="3303A7E5">
            <w:pPr>
              <w:pStyle w:val="34"/>
              <w:keepNext/>
              <w:spacing w:after="0" w:line="440" w:lineRule="exact"/>
              <w:ind w:left="63" w:right="63"/>
              <w:rPr>
                <w:rFonts w:ascii="宋体" w:hAnsi="宋体"/>
                <w:color w:val="000000"/>
                <w:sz w:val="24"/>
                <w:szCs w:val="24"/>
                <w:highlight w:val="none"/>
              </w:rPr>
            </w:pPr>
          </w:p>
        </w:tc>
        <w:tc>
          <w:tcPr>
            <w:tcW w:w="851" w:type="dxa"/>
          </w:tcPr>
          <w:p w14:paraId="2E4CD6B5">
            <w:pPr>
              <w:pStyle w:val="34"/>
              <w:keepNext/>
              <w:spacing w:after="0" w:line="440" w:lineRule="exact"/>
              <w:ind w:left="63" w:right="63"/>
              <w:rPr>
                <w:rFonts w:ascii="宋体" w:hAnsi="宋体"/>
                <w:color w:val="000000"/>
                <w:sz w:val="24"/>
                <w:szCs w:val="24"/>
                <w:highlight w:val="none"/>
              </w:rPr>
            </w:pPr>
          </w:p>
        </w:tc>
        <w:tc>
          <w:tcPr>
            <w:tcW w:w="774" w:type="dxa"/>
          </w:tcPr>
          <w:p w14:paraId="54D5A16A">
            <w:pPr>
              <w:pStyle w:val="34"/>
              <w:keepNext/>
              <w:spacing w:after="0" w:line="440" w:lineRule="exact"/>
              <w:ind w:left="63" w:right="63"/>
              <w:rPr>
                <w:rFonts w:ascii="宋体" w:hAnsi="宋体"/>
                <w:color w:val="000000"/>
                <w:sz w:val="24"/>
                <w:szCs w:val="24"/>
                <w:highlight w:val="none"/>
              </w:rPr>
            </w:pPr>
          </w:p>
        </w:tc>
        <w:tc>
          <w:tcPr>
            <w:tcW w:w="1352" w:type="dxa"/>
          </w:tcPr>
          <w:p w14:paraId="229E3A2C">
            <w:pPr>
              <w:pStyle w:val="34"/>
              <w:keepNext/>
              <w:spacing w:after="0" w:line="440" w:lineRule="exact"/>
              <w:ind w:left="63" w:right="63"/>
              <w:rPr>
                <w:rFonts w:ascii="宋体" w:hAnsi="宋体"/>
                <w:color w:val="000000"/>
                <w:sz w:val="24"/>
                <w:szCs w:val="24"/>
                <w:highlight w:val="none"/>
              </w:rPr>
            </w:pPr>
          </w:p>
        </w:tc>
        <w:tc>
          <w:tcPr>
            <w:tcW w:w="1418" w:type="dxa"/>
          </w:tcPr>
          <w:p w14:paraId="2B2A7B95">
            <w:pPr>
              <w:pStyle w:val="34"/>
              <w:keepNext/>
              <w:spacing w:after="0" w:line="440" w:lineRule="exact"/>
              <w:ind w:left="63" w:right="63"/>
              <w:rPr>
                <w:rFonts w:ascii="宋体" w:hAnsi="宋体"/>
                <w:color w:val="000000"/>
                <w:sz w:val="24"/>
                <w:szCs w:val="24"/>
                <w:highlight w:val="none"/>
              </w:rPr>
            </w:pPr>
          </w:p>
        </w:tc>
        <w:tc>
          <w:tcPr>
            <w:tcW w:w="1701" w:type="dxa"/>
          </w:tcPr>
          <w:p w14:paraId="17D3D58E">
            <w:pPr>
              <w:pStyle w:val="34"/>
              <w:keepNext/>
              <w:spacing w:after="0" w:line="440" w:lineRule="exact"/>
              <w:ind w:left="63" w:right="63"/>
              <w:rPr>
                <w:rFonts w:ascii="宋体" w:hAnsi="宋体"/>
                <w:color w:val="000000"/>
                <w:sz w:val="24"/>
                <w:szCs w:val="24"/>
                <w:highlight w:val="none"/>
              </w:rPr>
            </w:pPr>
          </w:p>
        </w:tc>
      </w:tr>
      <w:tr w14:paraId="2E6F4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1D306C">
            <w:pPr>
              <w:pStyle w:val="34"/>
              <w:keepNext/>
              <w:spacing w:after="0" w:line="440" w:lineRule="exact"/>
              <w:ind w:left="63" w:right="63"/>
              <w:rPr>
                <w:rFonts w:ascii="宋体" w:hAnsi="宋体"/>
                <w:color w:val="000000"/>
                <w:sz w:val="24"/>
                <w:szCs w:val="24"/>
                <w:highlight w:val="none"/>
              </w:rPr>
            </w:pPr>
          </w:p>
        </w:tc>
        <w:tc>
          <w:tcPr>
            <w:tcW w:w="1984" w:type="dxa"/>
          </w:tcPr>
          <w:p w14:paraId="4BD7485F">
            <w:pPr>
              <w:pStyle w:val="34"/>
              <w:keepNext/>
              <w:spacing w:after="0" w:line="440" w:lineRule="exact"/>
              <w:ind w:left="63" w:right="63"/>
              <w:rPr>
                <w:rFonts w:ascii="宋体" w:hAnsi="宋体"/>
                <w:color w:val="000000"/>
                <w:sz w:val="24"/>
                <w:szCs w:val="24"/>
                <w:highlight w:val="none"/>
              </w:rPr>
            </w:pPr>
          </w:p>
        </w:tc>
        <w:tc>
          <w:tcPr>
            <w:tcW w:w="851" w:type="dxa"/>
          </w:tcPr>
          <w:p w14:paraId="1D0033A3">
            <w:pPr>
              <w:pStyle w:val="34"/>
              <w:keepNext/>
              <w:spacing w:after="0" w:line="440" w:lineRule="exact"/>
              <w:ind w:left="63" w:right="63"/>
              <w:rPr>
                <w:rFonts w:ascii="宋体" w:hAnsi="宋体"/>
                <w:color w:val="000000"/>
                <w:sz w:val="24"/>
                <w:szCs w:val="24"/>
                <w:highlight w:val="none"/>
              </w:rPr>
            </w:pPr>
          </w:p>
        </w:tc>
        <w:tc>
          <w:tcPr>
            <w:tcW w:w="774" w:type="dxa"/>
          </w:tcPr>
          <w:p w14:paraId="2BC9C6DD">
            <w:pPr>
              <w:pStyle w:val="34"/>
              <w:keepNext/>
              <w:spacing w:after="0" w:line="440" w:lineRule="exact"/>
              <w:ind w:left="63" w:right="63"/>
              <w:rPr>
                <w:rFonts w:ascii="宋体" w:hAnsi="宋体"/>
                <w:color w:val="000000"/>
                <w:sz w:val="24"/>
                <w:szCs w:val="24"/>
                <w:highlight w:val="none"/>
              </w:rPr>
            </w:pPr>
          </w:p>
        </w:tc>
        <w:tc>
          <w:tcPr>
            <w:tcW w:w="1352" w:type="dxa"/>
          </w:tcPr>
          <w:p w14:paraId="76DECD2C">
            <w:pPr>
              <w:pStyle w:val="34"/>
              <w:keepNext/>
              <w:spacing w:after="0" w:line="440" w:lineRule="exact"/>
              <w:ind w:left="63" w:right="63"/>
              <w:rPr>
                <w:rFonts w:ascii="宋体" w:hAnsi="宋体"/>
                <w:color w:val="000000"/>
                <w:sz w:val="24"/>
                <w:szCs w:val="24"/>
                <w:highlight w:val="none"/>
              </w:rPr>
            </w:pPr>
          </w:p>
        </w:tc>
        <w:tc>
          <w:tcPr>
            <w:tcW w:w="1418" w:type="dxa"/>
          </w:tcPr>
          <w:p w14:paraId="5C71F65C">
            <w:pPr>
              <w:pStyle w:val="34"/>
              <w:keepNext/>
              <w:spacing w:after="0" w:line="440" w:lineRule="exact"/>
              <w:ind w:left="63" w:right="63"/>
              <w:rPr>
                <w:rFonts w:ascii="宋体" w:hAnsi="宋体"/>
                <w:color w:val="000000"/>
                <w:sz w:val="24"/>
                <w:szCs w:val="24"/>
                <w:highlight w:val="none"/>
              </w:rPr>
            </w:pPr>
          </w:p>
        </w:tc>
        <w:tc>
          <w:tcPr>
            <w:tcW w:w="1701" w:type="dxa"/>
          </w:tcPr>
          <w:p w14:paraId="1B051E7C">
            <w:pPr>
              <w:pStyle w:val="34"/>
              <w:keepNext/>
              <w:spacing w:after="0" w:line="440" w:lineRule="exact"/>
              <w:ind w:left="63" w:right="63"/>
              <w:rPr>
                <w:rFonts w:ascii="宋体" w:hAnsi="宋体"/>
                <w:color w:val="000000"/>
                <w:sz w:val="24"/>
                <w:szCs w:val="24"/>
                <w:highlight w:val="none"/>
              </w:rPr>
            </w:pPr>
          </w:p>
        </w:tc>
      </w:tr>
      <w:tr w14:paraId="7BB79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F352D6">
            <w:pPr>
              <w:pStyle w:val="34"/>
              <w:keepNext/>
              <w:spacing w:after="0" w:line="440" w:lineRule="exact"/>
              <w:ind w:left="63" w:right="63"/>
              <w:rPr>
                <w:rFonts w:ascii="宋体" w:hAnsi="宋体"/>
                <w:color w:val="000000"/>
                <w:sz w:val="24"/>
                <w:szCs w:val="24"/>
                <w:highlight w:val="none"/>
              </w:rPr>
            </w:pPr>
          </w:p>
        </w:tc>
        <w:tc>
          <w:tcPr>
            <w:tcW w:w="1984" w:type="dxa"/>
          </w:tcPr>
          <w:p w14:paraId="7ABDC8FC">
            <w:pPr>
              <w:pStyle w:val="34"/>
              <w:keepNext/>
              <w:spacing w:after="0" w:line="440" w:lineRule="exact"/>
              <w:ind w:left="63" w:right="63"/>
              <w:rPr>
                <w:rFonts w:ascii="宋体" w:hAnsi="宋体"/>
                <w:color w:val="000000"/>
                <w:sz w:val="24"/>
                <w:szCs w:val="24"/>
                <w:highlight w:val="none"/>
              </w:rPr>
            </w:pPr>
          </w:p>
        </w:tc>
        <w:tc>
          <w:tcPr>
            <w:tcW w:w="851" w:type="dxa"/>
          </w:tcPr>
          <w:p w14:paraId="5DD46574">
            <w:pPr>
              <w:pStyle w:val="34"/>
              <w:keepNext/>
              <w:spacing w:after="0" w:line="440" w:lineRule="exact"/>
              <w:ind w:left="63" w:right="63"/>
              <w:rPr>
                <w:rFonts w:ascii="宋体" w:hAnsi="宋体"/>
                <w:color w:val="000000"/>
                <w:sz w:val="24"/>
                <w:szCs w:val="24"/>
                <w:highlight w:val="none"/>
              </w:rPr>
            </w:pPr>
          </w:p>
        </w:tc>
        <w:tc>
          <w:tcPr>
            <w:tcW w:w="774" w:type="dxa"/>
          </w:tcPr>
          <w:p w14:paraId="3845015C">
            <w:pPr>
              <w:pStyle w:val="34"/>
              <w:keepNext/>
              <w:spacing w:after="0" w:line="440" w:lineRule="exact"/>
              <w:ind w:left="63" w:right="63"/>
              <w:rPr>
                <w:rFonts w:ascii="宋体" w:hAnsi="宋体"/>
                <w:color w:val="000000"/>
                <w:sz w:val="24"/>
                <w:szCs w:val="24"/>
                <w:highlight w:val="none"/>
              </w:rPr>
            </w:pPr>
          </w:p>
        </w:tc>
        <w:tc>
          <w:tcPr>
            <w:tcW w:w="1352" w:type="dxa"/>
          </w:tcPr>
          <w:p w14:paraId="4A5207AE">
            <w:pPr>
              <w:pStyle w:val="34"/>
              <w:keepNext/>
              <w:spacing w:after="0" w:line="440" w:lineRule="exact"/>
              <w:ind w:left="63" w:right="63"/>
              <w:rPr>
                <w:rFonts w:ascii="宋体" w:hAnsi="宋体"/>
                <w:color w:val="000000"/>
                <w:sz w:val="24"/>
                <w:szCs w:val="24"/>
                <w:highlight w:val="none"/>
              </w:rPr>
            </w:pPr>
          </w:p>
        </w:tc>
        <w:tc>
          <w:tcPr>
            <w:tcW w:w="1418" w:type="dxa"/>
          </w:tcPr>
          <w:p w14:paraId="47FD6F35">
            <w:pPr>
              <w:pStyle w:val="34"/>
              <w:keepNext/>
              <w:spacing w:after="0" w:line="440" w:lineRule="exact"/>
              <w:ind w:left="63" w:right="63"/>
              <w:rPr>
                <w:rFonts w:ascii="宋体" w:hAnsi="宋体"/>
                <w:color w:val="000000"/>
                <w:sz w:val="24"/>
                <w:szCs w:val="24"/>
                <w:highlight w:val="none"/>
              </w:rPr>
            </w:pPr>
          </w:p>
        </w:tc>
        <w:tc>
          <w:tcPr>
            <w:tcW w:w="1701" w:type="dxa"/>
          </w:tcPr>
          <w:p w14:paraId="60A02BA7">
            <w:pPr>
              <w:pStyle w:val="34"/>
              <w:keepNext/>
              <w:spacing w:after="0" w:line="440" w:lineRule="exact"/>
              <w:ind w:left="63" w:right="63"/>
              <w:rPr>
                <w:rFonts w:ascii="宋体" w:hAnsi="宋体"/>
                <w:color w:val="000000"/>
                <w:sz w:val="24"/>
                <w:szCs w:val="24"/>
                <w:highlight w:val="none"/>
              </w:rPr>
            </w:pPr>
          </w:p>
        </w:tc>
      </w:tr>
      <w:tr w14:paraId="757D7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74C3ED">
            <w:pPr>
              <w:pStyle w:val="34"/>
              <w:keepNext/>
              <w:spacing w:after="0" w:line="440" w:lineRule="exact"/>
              <w:ind w:left="63" w:right="63"/>
              <w:rPr>
                <w:rFonts w:ascii="宋体" w:hAnsi="宋体"/>
                <w:color w:val="000000"/>
                <w:sz w:val="24"/>
                <w:szCs w:val="24"/>
                <w:highlight w:val="none"/>
              </w:rPr>
            </w:pPr>
          </w:p>
        </w:tc>
        <w:tc>
          <w:tcPr>
            <w:tcW w:w="1984" w:type="dxa"/>
          </w:tcPr>
          <w:p w14:paraId="138D46EC">
            <w:pPr>
              <w:pStyle w:val="34"/>
              <w:keepNext/>
              <w:spacing w:after="0" w:line="440" w:lineRule="exact"/>
              <w:ind w:left="63" w:right="63"/>
              <w:rPr>
                <w:rFonts w:ascii="宋体" w:hAnsi="宋体"/>
                <w:color w:val="000000"/>
                <w:sz w:val="24"/>
                <w:szCs w:val="24"/>
                <w:highlight w:val="none"/>
              </w:rPr>
            </w:pPr>
          </w:p>
        </w:tc>
        <w:tc>
          <w:tcPr>
            <w:tcW w:w="851" w:type="dxa"/>
          </w:tcPr>
          <w:p w14:paraId="2DE68DD3">
            <w:pPr>
              <w:pStyle w:val="34"/>
              <w:keepNext/>
              <w:spacing w:after="0" w:line="440" w:lineRule="exact"/>
              <w:ind w:left="63" w:right="63"/>
              <w:rPr>
                <w:rFonts w:ascii="宋体" w:hAnsi="宋体"/>
                <w:color w:val="000000"/>
                <w:sz w:val="24"/>
                <w:szCs w:val="24"/>
                <w:highlight w:val="none"/>
              </w:rPr>
            </w:pPr>
          </w:p>
        </w:tc>
        <w:tc>
          <w:tcPr>
            <w:tcW w:w="774" w:type="dxa"/>
          </w:tcPr>
          <w:p w14:paraId="00DB9313">
            <w:pPr>
              <w:pStyle w:val="34"/>
              <w:keepNext/>
              <w:spacing w:after="0" w:line="440" w:lineRule="exact"/>
              <w:ind w:left="63" w:right="63"/>
              <w:rPr>
                <w:rFonts w:ascii="宋体" w:hAnsi="宋体"/>
                <w:color w:val="000000"/>
                <w:sz w:val="24"/>
                <w:szCs w:val="24"/>
                <w:highlight w:val="none"/>
              </w:rPr>
            </w:pPr>
          </w:p>
        </w:tc>
        <w:tc>
          <w:tcPr>
            <w:tcW w:w="1352" w:type="dxa"/>
          </w:tcPr>
          <w:p w14:paraId="02A5F4F5">
            <w:pPr>
              <w:pStyle w:val="34"/>
              <w:keepNext/>
              <w:spacing w:after="0" w:line="440" w:lineRule="exact"/>
              <w:ind w:left="63" w:right="63"/>
              <w:rPr>
                <w:rFonts w:ascii="宋体" w:hAnsi="宋体"/>
                <w:color w:val="000000"/>
                <w:sz w:val="24"/>
                <w:szCs w:val="24"/>
                <w:highlight w:val="none"/>
              </w:rPr>
            </w:pPr>
          </w:p>
        </w:tc>
        <w:tc>
          <w:tcPr>
            <w:tcW w:w="1418" w:type="dxa"/>
          </w:tcPr>
          <w:p w14:paraId="33B2FF32">
            <w:pPr>
              <w:pStyle w:val="34"/>
              <w:keepNext/>
              <w:spacing w:after="0" w:line="440" w:lineRule="exact"/>
              <w:ind w:left="63" w:right="63"/>
              <w:rPr>
                <w:rFonts w:ascii="宋体" w:hAnsi="宋体"/>
                <w:color w:val="000000"/>
                <w:sz w:val="24"/>
                <w:szCs w:val="24"/>
                <w:highlight w:val="none"/>
              </w:rPr>
            </w:pPr>
          </w:p>
        </w:tc>
        <w:tc>
          <w:tcPr>
            <w:tcW w:w="1701" w:type="dxa"/>
          </w:tcPr>
          <w:p w14:paraId="74F4FC3C">
            <w:pPr>
              <w:pStyle w:val="34"/>
              <w:keepNext/>
              <w:spacing w:after="0" w:line="440" w:lineRule="exact"/>
              <w:ind w:left="63" w:right="63"/>
              <w:rPr>
                <w:rFonts w:ascii="宋体" w:hAnsi="宋体"/>
                <w:color w:val="000000"/>
                <w:sz w:val="24"/>
                <w:szCs w:val="24"/>
                <w:highlight w:val="none"/>
              </w:rPr>
            </w:pPr>
          </w:p>
        </w:tc>
      </w:tr>
      <w:tr w14:paraId="3A730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53B898">
            <w:pPr>
              <w:pStyle w:val="34"/>
              <w:keepNext/>
              <w:spacing w:after="0" w:line="440" w:lineRule="exact"/>
              <w:ind w:left="63" w:right="63"/>
              <w:rPr>
                <w:rFonts w:ascii="宋体" w:hAnsi="宋体"/>
                <w:color w:val="000000"/>
                <w:sz w:val="24"/>
                <w:szCs w:val="24"/>
                <w:highlight w:val="none"/>
              </w:rPr>
            </w:pPr>
          </w:p>
        </w:tc>
        <w:tc>
          <w:tcPr>
            <w:tcW w:w="1984" w:type="dxa"/>
          </w:tcPr>
          <w:p w14:paraId="28DD898B">
            <w:pPr>
              <w:pStyle w:val="34"/>
              <w:keepNext/>
              <w:spacing w:after="0" w:line="440" w:lineRule="exact"/>
              <w:ind w:left="63" w:right="63"/>
              <w:rPr>
                <w:rFonts w:ascii="宋体" w:hAnsi="宋体"/>
                <w:color w:val="000000"/>
                <w:sz w:val="24"/>
                <w:szCs w:val="24"/>
                <w:highlight w:val="none"/>
              </w:rPr>
            </w:pPr>
          </w:p>
        </w:tc>
        <w:tc>
          <w:tcPr>
            <w:tcW w:w="851" w:type="dxa"/>
          </w:tcPr>
          <w:p w14:paraId="55F269AB">
            <w:pPr>
              <w:pStyle w:val="34"/>
              <w:keepNext/>
              <w:spacing w:after="0" w:line="440" w:lineRule="exact"/>
              <w:ind w:left="63" w:right="63"/>
              <w:rPr>
                <w:rFonts w:ascii="宋体" w:hAnsi="宋体"/>
                <w:color w:val="000000"/>
                <w:sz w:val="24"/>
                <w:szCs w:val="24"/>
                <w:highlight w:val="none"/>
              </w:rPr>
            </w:pPr>
          </w:p>
        </w:tc>
        <w:tc>
          <w:tcPr>
            <w:tcW w:w="774" w:type="dxa"/>
          </w:tcPr>
          <w:p w14:paraId="4FCCAC99">
            <w:pPr>
              <w:pStyle w:val="34"/>
              <w:keepNext/>
              <w:spacing w:after="0" w:line="440" w:lineRule="exact"/>
              <w:ind w:left="63" w:right="63"/>
              <w:rPr>
                <w:rFonts w:ascii="宋体" w:hAnsi="宋体"/>
                <w:color w:val="000000"/>
                <w:sz w:val="24"/>
                <w:szCs w:val="24"/>
                <w:highlight w:val="none"/>
              </w:rPr>
            </w:pPr>
          </w:p>
        </w:tc>
        <w:tc>
          <w:tcPr>
            <w:tcW w:w="1352" w:type="dxa"/>
          </w:tcPr>
          <w:p w14:paraId="7A063D80">
            <w:pPr>
              <w:pStyle w:val="34"/>
              <w:keepNext/>
              <w:spacing w:after="0" w:line="440" w:lineRule="exact"/>
              <w:ind w:left="63" w:right="63"/>
              <w:rPr>
                <w:rFonts w:ascii="宋体" w:hAnsi="宋体"/>
                <w:color w:val="000000"/>
                <w:sz w:val="24"/>
                <w:szCs w:val="24"/>
                <w:highlight w:val="none"/>
              </w:rPr>
            </w:pPr>
          </w:p>
        </w:tc>
        <w:tc>
          <w:tcPr>
            <w:tcW w:w="1418" w:type="dxa"/>
          </w:tcPr>
          <w:p w14:paraId="5C72421F">
            <w:pPr>
              <w:pStyle w:val="34"/>
              <w:keepNext/>
              <w:spacing w:after="0" w:line="440" w:lineRule="exact"/>
              <w:ind w:left="63" w:right="63"/>
              <w:rPr>
                <w:rFonts w:ascii="宋体" w:hAnsi="宋体"/>
                <w:color w:val="000000"/>
                <w:sz w:val="24"/>
                <w:szCs w:val="24"/>
                <w:highlight w:val="none"/>
              </w:rPr>
            </w:pPr>
          </w:p>
        </w:tc>
        <w:tc>
          <w:tcPr>
            <w:tcW w:w="1701" w:type="dxa"/>
          </w:tcPr>
          <w:p w14:paraId="265F8B63">
            <w:pPr>
              <w:pStyle w:val="34"/>
              <w:keepNext/>
              <w:spacing w:after="0" w:line="440" w:lineRule="exact"/>
              <w:ind w:left="63" w:right="63"/>
              <w:rPr>
                <w:rFonts w:ascii="宋体" w:hAnsi="宋体"/>
                <w:color w:val="000000"/>
                <w:sz w:val="24"/>
                <w:szCs w:val="24"/>
                <w:highlight w:val="none"/>
              </w:rPr>
            </w:pPr>
          </w:p>
        </w:tc>
      </w:tr>
      <w:tr w14:paraId="080A1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B5C19B">
            <w:pPr>
              <w:pStyle w:val="34"/>
              <w:keepNext/>
              <w:spacing w:after="0" w:line="440" w:lineRule="exact"/>
              <w:ind w:left="63" w:right="63"/>
              <w:rPr>
                <w:rFonts w:ascii="宋体" w:hAnsi="宋体"/>
                <w:color w:val="000000"/>
                <w:sz w:val="24"/>
                <w:szCs w:val="24"/>
                <w:highlight w:val="none"/>
              </w:rPr>
            </w:pPr>
          </w:p>
        </w:tc>
        <w:tc>
          <w:tcPr>
            <w:tcW w:w="1984" w:type="dxa"/>
          </w:tcPr>
          <w:p w14:paraId="59D15A95">
            <w:pPr>
              <w:pStyle w:val="34"/>
              <w:keepNext/>
              <w:spacing w:after="0" w:line="440" w:lineRule="exact"/>
              <w:ind w:left="63" w:right="63"/>
              <w:rPr>
                <w:rFonts w:ascii="宋体" w:hAnsi="宋体"/>
                <w:color w:val="000000"/>
                <w:sz w:val="24"/>
                <w:szCs w:val="24"/>
                <w:highlight w:val="none"/>
              </w:rPr>
            </w:pPr>
          </w:p>
        </w:tc>
        <w:tc>
          <w:tcPr>
            <w:tcW w:w="851" w:type="dxa"/>
          </w:tcPr>
          <w:p w14:paraId="4F8CE8F5">
            <w:pPr>
              <w:pStyle w:val="34"/>
              <w:keepNext/>
              <w:spacing w:after="0" w:line="440" w:lineRule="exact"/>
              <w:ind w:left="63" w:right="63"/>
              <w:rPr>
                <w:rFonts w:ascii="宋体" w:hAnsi="宋体"/>
                <w:color w:val="000000"/>
                <w:sz w:val="24"/>
                <w:szCs w:val="24"/>
                <w:highlight w:val="none"/>
              </w:rPr>
            </w:pPr>
          </w:p>
        </w:tc>
        <w:tc>
          <w:tcPr>
            <w:tcW w:w="774" w:type="dxa"/>
          </w:tcPr>
          <w:p w14:paraId="6BD1EF3E">
            <w:pPr>
              <w:pStyle w:val="34"/>
              <w:keepNext/>
              <w:spacing w:after="0" w:line="440" w:lineRule="exact"/>
              <w:ind w:left="63" w:right="63"/>
              <w:rPr>
                <w:rFonts w:ascii="宋体" w:hAnsi="宋体"/>
                <w:color w:val="000000"/>
                <w:sz w:val="24"/>
                <w:szCs w:val="24"/>
                <w:highlight w:val="none"/>
              </w:rPr>
            </w:pPr>
          </w:p>
        </w:tc>
        <w:tc>
          <w:tcPr>
            <w:tcW w:w="1352" w:type="dxa"/>
          </w:tcPr>
          <w:p w14:paraId="6FD42178">
            <w:pPr>
              <w:pStyle w:val="34"/>
              <w:keepNext/>
              <w:spacing w:after="0" w:line="440" w:lineRule="exact"/>
              <w:ind w:left="63" w:right="63"/>
              <w:rPr>
                <w:rFonts w:ascii="宋体" w:hAnsi="宋体"/>
                <w:color w:val="000000"/>
                <w:sz w:val="24"/>
                <w:szCs w:val="24"/>
                <w:highlight w:val="none"/>
              </w:rPr>
            </w:pPr>
          </w:p>
        </w:tc>
        <w:tc>
          <w:tcPr>
            <w:tcW w:w="1418" w:type="dxa"/>
          </w:tcPr>
          <w:p w14:paraId="3814F3DA">
            <w:pPr>
              <w:pStyle w:val="34"/>
              <w:keepNext/>
              <w:spacing w:after="0" w:line="440" w:lineRule="exact"/>
              <w:ind w:left="63" w:right="63"/>
              <w:rPr>
                <w:rFonts w:ascii="宋体" w:hAnsi="宋体"/>
                <w:color w:val="000000"/>
                <w:sz w:val="24"/>
                <w:szCs w:val="24"/>
                <w:highlight w:val="none"/>
              </w:rPr>
            </w:pPr>
          </w:p>
        </w:tc>
        <w:tc>
          <w:tcPr>
            <w:tcW w:w="1701" w:type="dxa"/>
          </w:tcPr>
          <w:p w14:paraId="16DBC465">
            <w:pPr>
              <w:pStyle w:val="34"/>
              <w:keepNext/>
              <w:spacing w:after="0" w:line="440" w:lineRule="exact"/>
              <w:ind w:left="63" w:right="63"/>
              <w:rPr>
                <w:rFonts w:ascii="宋体" w:hAnsi="宋体"/>
                <w:color w:val="000000"/>
                <w:sz w:val="24"/>
                <w:szCs w:val="24"/>
                <w:highlight w:val="none"/>
              </w:rPr>
            </w:pPr>
          </w:p>
        </w:tc>
      </w:tr>
      <w:tr w14:paraId="5B25D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B33419">
            <w:pPr>
              <w:pStyle w:val="34"/>
              <w:keepNext/>
              <w:spacing w:after="0" w:line="440" w:lineRule="exact"/>
              <w:ind w:left="63" w:right="63"/>
              <w:rPr>
                <w:rFonts w:ascii="宋体" w:hAnsi="宋体"/>
                <w:color w:val="000000"/>
                <w:sz w:val="24"/>
                <w:szCs w:val="24"/>
                <w:highlight w:val="none"/>
              </w:rPr>
            </w:pPr>
          </w:p>
        </w:tc>
        <w:tc>
          <w:tcPr>
            <w:tcW w:w="1984" w:type="dxa"/>
          </w:tcPr>
          <w:p w14:paraId="46E24B18">
            <w:pPr>
              <w:pStyle w:val="34"/>
              <w:keepNext/>
              <w:spacing w:after="0" w:line="440" w:lineRule="exact"/>
              <w:ind w:left="63" w:right="63"/>
              <w:rPr>
                <w:rFonts w:ascii="宋体" w:hAnsi="宋体"/>
                <w:color w:val="000000"/>
                <w:sz w:val="24"/>
                <w:szCs w:val="24"/>
                <w:highlight w:val="none"/>
              </w:rPr>
            </w:pPr>
          </w:p>
        </w:tc>
        <w:tc>
          <w:tcPr>
            <w:tcW w:w="851" w:type="dxa"/>
          </w:tcPr>
          <w:p w14:paraId="7267B168">
            <w:pPr>
              <w:pStyle w:val="34"/>
              <w:keepNext/>
              <w:spacing w:after="0" w:line="440" w:lineRule="exact"/>
              <w:ind w:left="63" w:right="63"/>
              <w:rPr>
                <w:rFonts w:ascii="宋体" w:hAnsi="宋体"/>
                <w:color w:val="000000"/>
                <w:sz w:val="24"/>
                <w:szCs w:val="24"/>
                <w:highlight w:val="none"/>
              </w:rPr>
            </w:pPr>
          </w:p>
        </w:tc>
        <w:tc>
          <w:tcPr>
            <w:tcW w:w="774" w:type="dxa"/>
          </w:tcPr>
          <w:p w14:paraId="0F0DCCE2">
            <w:pPr>
              <w:pStyle w:val="34"/>
              <w:keepNext/>
              <w:spacing w:after="0" w:line="440" w:lineRule="exact"/>
              <w:ind w:left="63" w:right="63"/>
              <w:rPr>
                <w:rFonts w:ascii="宋体" w:hAnsi="宋体"/>
                <w:color w:val="000000"/>
                <w:sz w:val="24"/>
                <w:szCs w:val="24"/>
                <w:highlight w:val="none"/>
              </w:rPr>
            </w:pPr>
          </w:p>
        </w:tc>
        <w:tc>
          <w:tcPr>
            <w:tcW w:w="1352" w:type="dxa"/>
          </w:tcPr>
          <w:p w14:paraId="1F79B55F">
            <w:pPr>
              <w:pStyle w:val="34"/>
              <w:keepNext/>
              <w:spacing w:after="0" w:line="440" w:lineRule="exact"/>
              <w:ind w:left="63" w:right="63"/>
              <w:rPr>
                <w:rFonts w:ascii="宋体" w:hAnsi="宋体"/>
                <w:color w:val="000000"/>
                <w:sz w:val="24"/>
                <w:szCs w:val="24"/>
                <w:highlight w:val="none"/>
              </w:rPr>
            </w:pPr>
          </w:p>
        </w:tc>
        <w:tc>
          <w:tcPr>
            <w:tcW w:w="1418" w:type="dxa"/>
          </w:tcPr>
          <w:p w14:paraId="1B2FCAFD">
            <w:pPr>
              <w:pStyle w:val="34"/>
              <w:keepNext/>
              <w:spacing w:after="0" w:line="440" w:lineRule="exact"/>
              <w:ind w:left="63" w:right="63"/>
              <w:rPr>
                <w:rFonts w:ascii="宋体" w:hAnsi="宋体"/>
                <w:color w:val="000000"/>
                <w:sz w:val="24"/>
                <w:szCs w:val="24"/>
                <w:highlight w:val="none"/>
              </w:rPr>
            </w:pPr>
          </w:p>
        </w:tc>
        <w:tc>
          <w:tcPr>
            <w:tcW w:w="1701" w:type="dxa"/>
          </w:tcPr>
          <w:p w14:paraId="138B1EB5">
            <w:pPr>
              <w:pStyle w:val="34"/>
              <w:keepNext/>
              <w:spacing w:after="0" w:line="440" w:lineRule="exact"/>
              <w:ind w:left="63" w:right="63"/>
              <w:rPr>
                <w:rFonts w:ascii="宋体" w:hAnsi="宋体"/>
                <w:color w:val="000000"/>
                <w:sz w:val="24"/>
                <w:szCs w:val="24"/>
                <w:highlight w:val="none"/>
              </w:rPr>
            </w:pPr>
          </w:p>
        </w:tc>
      </w:tr>
      <w:tr w14:paraId="4A4B1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590EE7">
            <w:pPr>
              <w:pStyle w:val="34"/>
              <w:keepNext/>
              <w:spacing w:after="0" w:line="440" w:lineRule="exact"/>
              <w:ind w:left="63" w:right="63"/>
              <w:rPr>
                <w:rFonts w:ascii="宋体" w:hAnsi="宋体"/>
                <w:color w:val="000000"/>
                <w:sz w:val="24"/>
                <w:szCs w:val="24"/>
                <w:highlight w:val="none"/>
              </w:rPr>
            </w:pPr>
          </w:p>
        </w:tc>
        <w:tc>
          <w:tcPr>
            <w:tcW w:w="1984" w:type="dxa"/>
          </w:tcPr>
          <w:p w14:paraId="549D854A">
            <w:pPr>
              <w:pStyle w:val="34"/>
              <w:keepNext/>
              <w:spacing w:after="0" w:line="440" w:lineRule="exact"/>
              <w:ind w:left="63" w:right="63"/>
              <w:rPr>
                <w:rFonts w:ascii="宋体" w:hAnsi="宋体"/>
                <w:color w:val="000000"/>
                <w:sz w:val="24"/>
                <w:szCs w:val="24"/>
                <w:highlight w:val="none"/>
              </w:rPr>
            </w:pPr>
          </w:p>
        </w:tc>
        <w:tc>
          <w:tcPr>
            <w:tcW w:w="851" w:type="dxa"/>
          </w:tcPr>
          <w:p w14:paraId="3A0F4BC3">
            <w:pPr>
              <w:pStyle w:val="34"/>
              <w:keepNext/>
              <w:spacing w:after="0" w:line="440" w:lineRule="exact"/>
              <w:ind w:left="63" w:right="63"/>
              <w:rPr>
                <w:rFonts w:ascii="宋体" w:hAnsi="宋体"/>
                <w:color w:val="000000"/>
                <w:sz w:val="24"/>
                <w:szCs w:val="24"/>
                <w:highlight w:val="none"/>
              </w:rPr>
            </w:pPr>
          </w:p>
        </w:tc>
        <w:tc>
          <w:tcPr>
            <w:tcW w:w="774" w:type="dxa"/>
          </w:tcPr>
          <w:p w14:paraId="77DA568C">
            <w:pPr>
              <w:pStyle w:val="34"/>
              <w:keepNext/>
              <w:spacing w:after="0" w:line="440" w:lineRule="exact"/>
              <w:ind w:left="63" w:right="63"/>
              <w:rPr>
                <w:rFonts w:ascii="宋体" w:hAnsi="宋体"/>
                <w:color w:val="000000"/>
                <w:sz w:val="24"/>
                <w:szCs w:val="24"/>
                <w:highlight w:val="none"/>
              </w:rPr>
            </w:pPr>
          </w:p>
        </w:tc>
        <w:tc>
          <w:tcPr>
            <w:tcW w:w="1352" w:type="dxa"/>
          </w:tcPr>
          <w:p w14:paraId="0E37297B">
            <w:pPr>
              <w:pStyle w:val="34"/>
              <w:keepNext/>
              <w:spacing w:after="0" w:line="440" w:lineRule="exact"/>
              <w:ind w:left="63" w:right="63"/>
              <w:rPr>
                <w:rFonts w:ascii="宋体" w:hAnsi="宋体"/>
                <w:color w:val="000000"/>
                <w:sz w:val="24"/>
                <w:szCs w:val="24"/>
                <w:highlight w:val="none"/>
              </w:rPr>
            </w:pPr>
          </w:p>
        </w:tc>
        <w:tc>
          <w:tcPr>
            <w:tcW w:w="1418" w:type="dxa"/>
          </w:tcPr>
          <w:p w14:paraId="753F0775">
            <w:pPr>
              <w:pStyle w:val="34"/>
              <w:keepNext/>
              <w:spacing w:after="0" w:line="440" w:lineRule="exact"/>
              <w:ind w:left="63" w:right="63"/>
              <w:rPr>
                <w:rFonts w:ascii="宋体" w:hAnsi="宋体"/>
                <w:color w:val="000000"/>
                <w:sz w:val="24"/>
                <w:szCs w:val="24"/>
                <w:highlight w:val="none"/>
              </w:rPr>
            </w:pPr>
          </w:p>
        </w:tc>
        <w:tc>
          <w:tcPr>
            <w:tcW w:w="1701" w:type="dxa"/>
          </w:tcPr>
          <w:p w14:paraId="0E0E010D">
            <w:pPr>
              <w:pStyle w:val="34"/>
              <w:keepNext/>
              <w:spacing w:after="0" w:line="440" w:lineRule="exact"/>
              <w:ind w:left="63" w:right="63"/>
              <w:rPr>
                <w:rFonts w:ascii="宋体" w:hAnsi="宋体"/>
                <w:color w:val="000000"/>
                <w:sz w:val="24"/>
                <w:szCs w:val="24"/>
                <w:highlight w:val="none"/>
              </w:rPr>
            </w:pPr>
          </w:p>
        </w:tc>
      </w:tr>
      <w:tr w14:paraId="24285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0267F4">
            <w:pPr>
              <w:pStyle w:val="34"/>
              <w:keepNext/>
              <w:spacing w:after="0" w:line="440" w:lineRule="exact"/>
              <w:ind w:left="63" w:right="63"/>
              <w:rPr>
                <w:rFonts w:ascii="宋体" w:hAnsi="宋体"/>
                <w:color w:val="000000"/>
                <w:sz w:val="24"/>
                <w:szCs w:val="24"/>
                <w:highlight w:val="none"/>
              </w:rPr>
            </w:pPr>
          </w:p>
        </w:tc>
        <w:tc>
          <w:tcPr>
            <w:tcW w:w="1984" w:type="dxa"/>
          </w:tcPr>
          <w:p w14:paraId="7D5AD76D">
            <w:pPr>
              <w:pStyle w:val="34"/>
              <w:keepNext/>
              <w:spacing w:after="0" w:line="440" w:lineRule="exact"/>
              <w:ind w:left="63" w:right="63"/>
              <w:rPr>
                <w:rFonts w:ascii="宋体" w:hAnsi="宋体"/>
                <w:color w:val="000000"/>
                <w:sz w:val="24"/>
                <w:szCs w:val="24"/>
                <w:highlight w:val="none"/>
              </w:rPr>
            </w:pPr>
          </w:p>
        </w:tc>
        <w:tc>
          <w:tcPr>
            <w:tcW w:w="851" w:type="dxa"/>
          </w:tcPr>
          <w:p w14:paraId="21075DFF">
            <w:pPr>
              <w:pStyle w:val="34"/>
              <w:keepNext/>
              <w:spacing w:after="0" w:line="440" w:lineRule="exact"/>
              <w:ind w:left="63" w:right="63"/>
              <w:rPr>
                <w:rFonts w:ascii="宋体" w:hAnsi="宋体"/>
                <w:color w:val="000000"/>
                <w:sz w:val="24"/>
                <w:szCs w:val="24"/>
                <w:highlight w:val="none"/>
              </w:rPr>
            </w:pPr>
          </w:p>
        </w:tc>
        <w:tc>
          <w:tcPr>
            <w:tcW w:w="774" w:type="dxa"/>
          </w:tcPr>
          <w:p w14:paraId="32ADBA9B">
            <w:pPr>
              <w:pStyle w:val="34"/>
              <w:keepNext/>
              <w:spacing w:after="0" w:line="440" w:lineRule="exact"/>
              <w:ind w:left="63" w:right="63"/>
              <w:rPr>
                <w:rFonts w:ascii="宋体" w:hAnsi="宋体"/>
                <w:color w:val="000000"/>
                <w:sz w:val="24"/>
                <w:szCs w:val="24"/>
                <w:highlight w:val="none"/>
              </w:rPr>
            </w:pPr>
          </w:p>
        </w:tc>
        <w:tc>
          <w:tcPr>
            <w:tcW w:w="1352" w:type="dxa"/>
          </w:tcPr>
          <w:p w14:paraId="4DDCA446">
            <w:pPr>
              <w:pStyle w:val="34"/>
              <w:keepNext/>
              <w:spacing w:after="0" w:line="440" w:lineRule="exact"/>
              <w:ind w:left="63" w:right="63"/>
              <w:rPr>
                <w:rFonts w:ascii="宋体" w:hAnsi="宋体"/>
                <w:color w:val="000000"/>
                <w:sz w:val="24"/>
                <w:szCs w:val="24"/>
                <w:highlight w:val="none"/>
              </w:rPr>
            </w:pPr>
          </w:p>
        </w:tc>
        <w:tc>
          <w:tcPr>
            <w:tcW w:w="1418" w:type="dxa"/>
          </w:tcPr>
          <w:p w14:paraId="2496F4B6">
            <w:pPr>
              <w:pStyle w:val="34"/>
              <w:keepNext/>
              <w:spacing w:after="0" w:line="440" w:lineRule="exact"/>
              <w:ind w:left="63" w:right="63"/>
              <w:rPr>
                <w:rFonts w:ascii="宋体" w:hAnsi="宋体"/>
                <w:color w:val="000000"/>
                <w:sz w:val="24"/>
                <w:szCs w:val="24"/>
                <w:highlight w:val="none"/>
              </w:rPr>
            </w:pPr>
          </w:p>
        </w:tc>
        <w:tc>
          <w:tcPr>
            <w:tcW w:w="1701" w:type="dxa"/>
          </w:tcPr>
          <w:p w14:paraId="4E36B771">
            <w:pPr>
              <w:pStyle w:val="34"/>
              <w:keepNext/>
              <w:spacing w:after="0" w:line="440" w:lineRule="exact"/>
              <w:ind w:left="63" w:right="63"/>
              <w:rPr>
                <w:rFonts w:ascii="宋体" w:hAnsi="宋体"/>
                <w:color w:val="000000"/>
                <w:sz w:val="24"/>
                <w:szCs w:val="24"/>
                <w:highlight w:val="none"/>
              </w:rPr>
            </w:pPr>
          </w:p>
        </w:tc>
      </w:tr>
      <w:tr w14:paraId="6F1A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C357F">
            <w:pPr>
              <w:pStyle w:val="34"/>
              <w:keepNext/>
              <w:spacing w:after="0" w:line="440" w:lineRule="exact"/>
              <w:ind w:left="63" w:right="63"/>
              <w:rPr>
                <w:rFonts w:ascii="宋体" w:hAnsi="宋体"/>
                <w:color w:val="000000"/>
                <w:sz w:val="24"/>
                <w:szCs w:val="24"/>
                <w:highlight w:val="none"/>
              </w:rPr>
            </w:pPr>
          </w:p>
        </w:tc>
        <w:tc>
          <w:tcPr>
            <w:tcW w:w="1984" w:type="dxa"/>
          </w:tcPr>
          <w:p w14:paraId="7E7D2585">
            <w:pPr>
              <w:pStyle w:val="34"/>
              <w:keepNext/>
              <w:spacing w:after="0" w:line="440" w:lineRule="exact"/>
              <w:ind w:left="63" w:right="63"/>
              <w:rPr>
                <w:rFonts w:ascii="宋体" w:hAnsi="宋体"/>
                <w:color w:val="000000"/>
                <w:sz w:val="24"/>
                <w:szCs w:val="24"/>
                <w:highlight w:val="none"/>
              </w:rPr>
            </w:pPr>
          </w:p>
        </w:tc>
        <w:tc>
          <w:tcPr>
            <w:tcW w:w="851" w:type="dxa"/>
          </w:tcPr>
          <w:p w14:paraId="22155E19">
            <w:pPr>
              <w:pStyle w:val="34"/>
              <w:keepNext/>
              <w:spacing w:after="0" w:line="440" w:lineRule="exact"/>
              <w:ind w:left="63" w:right="63"/>
              <w:rPr>
                <w:rFonts w:ascii="宋体" w:hAnsi="宋体"/>
                <w:color w:val="000000"/>
                <w:sz w:val="24"/>
                <w:szCs w:val="24"/>
                <w:highlight w:val="none"/>
              </w:rPr>
            </w:pPr>
          </w:p>
        </w:tc>
        <w:tc>
          <w:tcPr>
            <w:tcW w:w="774" w:type="dxa"/>
          </w:tcPr>
          <w:p w14:paraId="28C7A572">
            <w:pPr>
              <w:pStyle w:val="34"/>
              <w:keepNext/>
              <w:spacing w:after="0" w:line="440" w:lineRule="exact"/>
              <w:ind w:left="63" w:right="63"/>
              <w:rPr>
                <w:rFonts w:ascii="宋体" w:hAnsi="宋体"/>
                <w:color w:val="000000"/>
                <w:sz w:val="24"/>
                <w:szCs w:val="24"/>
                <w:highlight w:val="none"/>
              </w:rPr>
            </w:pPr>
          </w:p>
        </w:tc>
        <w:tc>
          <w:tcPr>
            <w:tcW w:w="1352" w:type="dxa"/>
          </w:tcPr>
          <w:p w14:paraId="0E22E161">
            <w:pPr>
              <w:pStyle w:val="34"/>
              <w:keepNext/>
              <w:spacing w:after="0" w:line="440" w:lineRule="exact"/>
              <w:ind w:left="63" w:right="63"/>
              <w:rPr>
                <w:rFonts w:ascii="宋体" w:hAnsi="宋体"/>
                <w:color w:val="000000"/>
                <w:sz w:val="24"/>
                <w:szCs w:val="24"/>
                <w:highlight w:val="none"/>
              </w:rPr>
            </w:pPr>
          </w:p>
        </w:tc>
        <w:tc>
          <w:tcPr>
            <w:tcW w:w="1418" w:type="dxa"/>
          </w:tcPr>
          <w:p w14:paraId="6B2D0D58">
            <w:pPr>
              <w:pStyle w:val="34"/>
              <w:keepNext/>
              <w:spacing w:after="0" w:line="440" w:lineRule="exact"/>
              <w:ind w:left="63" w:right="63"/>
              <w:rPr>
                <w:rFonts w:ascii="宋体" w:hAnsi="宋体"/>
                <w:color w:val="000000"/>
                <w:sz w:val="24"/>
                <w:szCs w:val="24"/>
                <w:highlight w:val="none"/>
              </w:rPr>
            </w:pPr>
          </w:p>
        </w:tc>
        <w:tc>
          <w:tcPr>
            <w:tcW w:w="1701" w:type="dxa"/>
          </w:tcPr>
          <w:p w14:paraId="3A65D145">
            <w:pPr>
              <w:pStyle w:val="34"/>
              <w:keepNext/>
              <w:spacing w:after="0" w:line="440" w:lineRule="exact"/>
              <w:ind w:left="63" w:right="63"/>
              <w:rPr>
                <w:rFonts w:ascii="宋体" w:hAnsi="宋体"/>
                <w:color w:val="000000"/>
                <w:sz w:val="24"/>
                <w:szCs w:val="24"/>
                <w:highlight w:val="none"/>
              </w:rPr>
            </w:pPr>
          </w:p>
        </w:tc>
      </w:tr>
    </w:tbl>
    <w:p w14:paraId="5714294C">
      <w:pPr>
        <w:spacing w:line="440" w:lineRule="exact"/>
        <w:rPr>
          <w:rFonts w:ascii="宋体" w:hAnsi="宋体"/>
          <w:color w:val="000000"/>
          <w:sz w:val="30"/>
          <w:szCs w:val="30"/>
          <w:highlight w:val="none"/>
        </w:rPr>
      </w:pPr>
    </w:p>
    <w:p w14:paraId="3B8138ED">
      <w:pPr>
        <w:spacing w:before="120" w:beforeLines="50" w:after="120" w:afterLines="50" w:line="440" w:lineRule="exact"/>
        <w:jc w:val="center"/>
        <w:rPr>
          <w:rFonts w:ascii="宋体" w:hAnsi="宋体"/>
          <w:color w:val="000000"/>
          <w:sz w:val="24"/>
          <w:szCs w:val="24"/>
          <w:highlight w:val="none"/>
        </w:rPr>
      </w:pPr>
      <w:r>
        <w:rPr>
          <w:rFonts w:ascii="宋体" w:hAnsi="宋体"/>
          <w:color w:val="000000"/>
          <w:sz w:val="30"/>
          <w:szCs w:val="30"/>
          <w:highlight w:val="none"/>
        </w:rPr>
        <w:br w:type="page"/>
      </w:r>
      <w:r>
        <w:rPr>
          <w:rFonts w:hint="eastAsia" w:ascii="宋体" w:hAnsi="宋体"/>
          <w:color w:val="000000"/>
          <w:sz w:val="24"/>
          <w:szCs w:val="24"/>
          <w:highlight w:val="none"/>
          <w:lang w:val="en-US" w:eastAsia="zh-CN"/>
        </w:rPr>
        <w:t>8</w:t>
      </w:r>
      <w:r>
        <w:rPr>
          <w:rFonts w:ascii="宋体" w:hAnsi="宋体"/>
          <w:color w:val="000000"/>
          <w:sz w:val="24"/>
          <w:szCs w:val="24"/>
          <w:highlight w:val="none"/>
        </w:rPr>
        <w:t>-3：专业工程暂估价表</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E35B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6771C0A6">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序号</w:t>
            </w:r>
          </w:p>
        </w:tc>
        <w:tc>
          <w:tcPr>
            <w:tcW w:w="1984" w:type="dxa"/>
            <w:tcBorders>
              <w:top w:val="single" w:color="auto" w:sz="12" w:space="0"/>
              <w:bottom w:val="double" w:color="auto" w:sz="6" w:space="0"/>
            </w:tcBorders>
          </w:tcPr>
          <w:p w14:paraId="11F8975E">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专业工程名称</w:t>
            </w:r>
          </w:p>
        </w:tc>
        <w:tc>
          <w:tcPr>
            <w:tcW w:w="4678" w:type="dxa"/>
            <w:tcBorders>
              <w:top w:val="single" w:color="auto" w:sz="12" w:space="0"/>
              <w:bottom w:val="double" w:color="auto" w:sz="6" w:space="0"/>
            </w:tcBorders>
          </w:tcPr>
          <w:p w14:paraId="08D3BCAE">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工程内容</w:t>
            </w:r>
          </w:p>
        </w:tc>
        <w:tc>
          <w:tcPr>
            <w:tcW w:w="1276" w:type="dxa"/>
            <w:tcBorders>
              <w:top w:val="single" w:color="auto" w:sz="12" w:space="0"/>
              <w:bottom w:val="double" w:color="auto" w:sz="6" w:space="0"/>
            </w:tcBorders>
          </w:tcPr>
          <w:p w14:paraId="3DFA1649">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金额</w:t>
            </w:r>
          </w:p>
        </w:tc>
      </w:tr>
      <w:tr w14:paraId="71C1E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2D7D03D1">
            <w:pPr>
              <w:pStyle w:val="34"/>
              <w:keepNext/>
              <w:spacing w:after="0" w:line="440" w:lineRule="exact"/>
              <w:ind w:left="63" w:right="63"/>
              <w:rPr>
                <w:rFonts w:ascii="宋体" w:hAnsi="宋体"/>
                <w:color w:val="000000"/>
                <w:sz w:val="24"/>
                <w:szCs w:val="24"/>
                <w:highlight w:val="none"/>
              </w:rPr>
            </w:pPr>
          </w:p>
        </w:tc>
        <w:tc>
          <w:tcPr>
            <w:tcW w:w="1984" w:type="dxa"/>
            <w:tcBorders>
              <w:top w:val="double" w:color="auto" w:sz="6" w:space="0"/>
              <w:bottom w:val="single" w:color="auto" w:sz="6" w:space="0"/>
            </w:tcBorders>
          </w:tcPr>
          <w:p w14:paraId="300822C6">
            <w:pPr>
              <w:pStyle w:val="34"/>
              <w:keepNext/>
              <w:spacing w:after="0" w:line="440" w:lineRule="exact"/>
              <w:ind w:left="63" w:right="63"/>
              <w:rPr>
                <w:rFonts w:ascii="宋体" w:hAnsi="宋体"/>
                <w:color w:val="000000"/>
                <w:sz w:val="24"/>
                <w:szCs w:val="24"/>
                <w:highlight w:val="none"/>
              </w:rPr>
            </w:pPr>
          </w:p>
        </w:tc>
        <w:tc>
          <w:tcPr>
            <w:tcW w:w="4678" w:type="dxa"/>
            <w:tcBorders>
              <w:top w:val="double" w:color="auto" w:sz="6" w:space="0"/>
              <w:bottom w:val="single" w:color="auto" w:sz="6" w:space="0"/>
            </w:tcBorders>
          </w:tcPr>
          <w:p w14:paraId="432AC219">
            <w:pPr>
              <w:pStyle w:val="34"/>
              <w:keepNext/>
              <w:spacing w:after="0" w:line="440" w:lineRule="exact"/>
              <w:ind w:left="63" w:right="63"/>
              <w:rPr>
                <w:rFonts w:ascii="宋体" w:hAnsi="宋体"/>
                <w:color w:val="000000"/>
                <w:sz w:val="24"/>
                <w:szCs w:val="24"/>
                <w:highlight w:val="none"/>
              </w:rPr>
            </w:pPr>
          </w:p>
        </w:tc>
        <w:tc>
          <w:tcPr>
            <w:tcW w:w="1276" w:type="dxa"/>
            <w:tcBorders>
              <w:top w:val="double" w:color="auto" w:sz="6" w:space="0"/>
              <w:bottom w:val="single" w:color="auto" w:sz="6" w:space="0"/>
            </w:tcBorders>
          </w:tcPr>
          <w:p w14:paraId="5A650D73">
            <w:pPr>
              <w:pStyle w:val="34"/>
              <w:keepNext/>
              <w:spacing w:after="0" w:line="440" w:lineRule="exact"/>
              <w:ind w:left="63" w:right="63"/>
              <w:rPr>
                <w:rFonts w:ascii="宋体" w:hAnsi="宋体"/>
                <w:color w:val="000000"/>
                <w:sz w:val="24"/>
                <w:szCs w:val="24"/>
                <w:highlight w:val="none"/>
              </w:rPr>
            </w:pPr>
          </w:p>
        </w:tc>
      </w:tr>
      <w:tr w14:paraId="6AC2D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36287227">
            <w:pPr>
              <w:pStyle w:val="34"/>
              <w:keepNext/>
              <w:spacing w:after="0" w:line="440" w:lineRule="exact"/>
              <w:ind w:left="63" w:right="63"/>
              <w:rPr>
                <w:rFonts w:ascii="宋体" w:hAnsi="宋体"/>
                <w:color w:val="000000"/>
                <w:sz w:val="24"/>
                <w:szCs w:val="24"/>
                <w:highlight w:val="none"/>
              </w:rPr>
            </w:pPr>
          </w:p>
        </w:tc>
        <w:tc>
          <w:tcPr>
            <w:tcW w:w="1984" w:type="dxa"/>
            <w:tcBorders>
              <w:top w:val="nil"/>
            </w:tcBorders>
          </w:tcPr>
          <w:p w14:paraId="48B01B68">
            <w:pPr>
              <w:pStyle w:val="34"/>
              <w:keepNext/>
              <w:spacing w:after="0" w:line="440" w:lineRule="exact"/>
              <w:ind w:left="63" w:right="63"/>
              <w:rPr>
                <w:rFonts w:ascii="宋体" w:hAnsi="宋体"/>
                <w:color w:val="000000"/>
                <w:sz w:val="24"/>
                <w:szCs w:val="24"/>
                <w:highlight w:val="none"/>
              </w:rPr>
            </w:pPr>
          </w:p>
        </w:tc>
        <w:tc>
          <w:tcPr>
            <w:tcW w:w="4678" w:type="dxa"/>
            <w:tcBorders>
              <w:top w:val="nil"/>
            </w:tcBorders>
          </w:tcPr>
          <w:p w14:paraId="27184B6F">
            <w:pPr>
              <w:pStyle w:val="34"/>
              <w:keepNext/>
              <w:spacing w:after="0" w:line="440" w:lineRule="exact"/>
              <w:ind w:left="63" w:right="63"/>
              <w:rPr>
                <w:rFonts w:ascii="宋体" w:hAnsi="宋体"/>
                <w:color w:val="000000"/>
                <w:sz w:val="24"/>
                <w:szCs w:val="24"/>
                <w:highlight w:val="none"/>
              </w:rPr>
            </w:pPr>
          </w:p>
        </w:tc>
        <w:tc>
          <w:tcPr>
            <w:tcW w:w="1276" w:type="dxa"/>
            <w:tcBorders>
              <w:top w:val="nil"/>
            </w:tcBorders>
          </w:tcPr>
          <w:p w14:paraId="6A12B551">
            <w:pPr>
              <w:pStyle w:val="34"/>
              <w:keepNext/>
              <w:spacing w:after="0" w:line="440" w:lineRule="exact"/>
              <w:ind w:left="63" w:right="63"/>
              <w:rPr>
                <w:rFonts w:ascii="宋体" w:hAnsi="宋体"/>
                <w:color w:val="000000"/>
                <w:sz w:val="24"/>
                <w:szCs w:val="24"/>
                <w:highlight w:val="none"/>
              </w:rPr>
            </w:pPr>
          </w:p>
        </w:tc>
      </w:tr>
      <w:tr w14:paraId="7438E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4F993F61">
            <w:pPr>
              <w:pStyle w:val="34"/>
              <w:keepNext/>
              <w:spacing w:after="0" w:line="440" w:lineRule="exact"/>
              <w:ind w:left="63" w:right="63"/>
              <w:rPr>
                <w:rFonts w:ascii="宋体" w:hAnsi="宋体"/>
                <w:color w:val="000000"/>
                <w:sz w:val="24"/>
                <w:szCs w:val="24"/>
                <w:highlight w:val="none"/>
              </w:rPr>
            </w:pPr>
          </w:p>
        </w:tc>
        <w:tc>
          <w:tcPr>
            <w:tcW w:w="1984" w:type="dxa"/>
            <w:tcBorders>
              <w:top w:val="nil"/>
            </w:tcBorders>
          </w:tcPr>
          <w:p w14:paraId="4521439B">
            <w:pPr>
              <w:pStyle w:val="34"/>
              <w:keepNext/>
              <w:spacing w:after="0" w:line="440" w:lineRule="exact"/>
              <w:ind w:left="63" w:right="63"/>
              <w:rPr>
                <w:rFonts w:ascii="宋体" w:hAnsi="宋体"/>
                <w:color w:val="000000"/>
                <w:sz w:val="24"/>
                <w:szCs w:val="24"/>
                <w:highlight w:val="none"/>
              </w:rPr>
            </w:pPr>
          </w:p>
        </w:tc>
        <w:tc>
          <w:tcPr>
            <w:tcW w:w="4678" w:type="dxa"/>
            <w:tcBorders>
              <w:top w:val="nil"/>
            </w:tcBorders>
          </w:tcPr>
          <w:p w14:paraId="282B6335">
            <w:pPr>
              <w:pStyle w:val="34"/>
              <w:keepNext/>
              <w:spacing w:after="0" w:line="440" w:lineRule="exact"/>
              <w:ind w:left="63" w:right="63"/>
              <w:rPr>
                <w:rFonts w:ascii="宋体" w:hAnsi="宋体"/>
                <w:color w:val="000000"/>
                <w:sz w:val="24"/>
                <w:szCs w:val="24"/>
                <w:highlight w:val="none"/>
              </w:rPr>
            </w:pPr>
          </w:p>
        </w:tc>
        <w:tc>
          <w:tcPr>
            <w:tcW w:w="1276" w:type="dxa"/>
            <w:tcBorders>
              <w:top w:val="nil"/>
            </w:tcBorders>
          </w:tcPr>
          <w:p w14:paraId="2389B030">
            <w:pPr>
              <w:pStyle w:val="34"/>
              <w:keepNext/>
              <w:spacing w:after="0" w:line="440" w:lineRule="exact"/>
              <w:ind w:left="63" w:right="63"/>
              <w:rPr>
                <w:rFonts w:ascii="宋体" w:hAnsi="宋体"/>
                <w:color w:val="000000"/>
                <w:sz w:val="24"/>
                <w:szCs w:val="24"/>
                <w:highlight w:val="none"/>
              </w:rPr>
            </w:pPr>
          </w:p>
        </w:tc>
      </w:tr>
      <w:tr w14:paraId="26ABB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74CDD9">
            <w:pPr>
              <w:pStyle w:val="34"/>
              <w:keepNext/>
              <w:spacing w:after="0" w:line="440" w:lineRule="exact"/>
              <w:ind w:left="63" w:right="63"/>
              <w:rPr>
                <w:rFonts w:ascii="宋体" w:hAnsi="宋体"/>
                <w:color w:val="000000"/>
                <w:sz w:val="24"/>
                <w:szCs w:val="24"/>
                <w:highlight w:val="none"/>
              </w:rPr>
            </w:pPr>
          </w:p>
        </w:tc>
        <w:tc>
          <w:tcPr>
            <w:tcW w:w="1984" w:type="dxa"/>
          </w:tcPr>
          <w:p w14:paraId="2D09E5C2">
            <w:pPr>
              <w:pStyle w:val="34"/>
              <w:keepNext/>
              <w:spacing w:after="0" w:line="440" w:lineRule="exact"/>
              <w:ind w:left="63" w:right="63"/>
              <w:rPr>
                <w:rFonts w:ascii="宋体" w:hAnsi="宋体"/>
                <w:color w:val="000000"/>
                <w:sz w:val="24"/>
                <w:szCs w:val="24"/>
                <w:highlight w:val="none"/>
              </w:rPr>
            </w:pPr>
          </w:p>
        </w:tc>
        <w:tc>
          <w:tcPr>
            <w:tcW w:w="4678" w:type="dxa"/>
          </w:tcPr>
          <w:p w14:paraId="6FC01AD7">
            <w:pPr>
              <w:pStyle w:val="34"/>
              <w:keepNext/>
              <w:spacing w:after="0" w:line="440" w:lineRule="exact"/>
              <w:ind w:left="63" w:right="63"/>
              <w:rPr>
                <w:rFonts w:ascii="宋体" w:hAnsi="宋体"/>
                <w:color w:val="000000"/>
                <w:sz w:val="24"/>
                <w:szCs w:val="24"/>
                <w:highlight w:val="none"/>
              </w:rPr>
            </w:pPr>
          </w:p>
        </w:tc>
        <w:tc>
          <w:tcPr>
            <w:tcW w:w="1276" w:type="dxa"/>
          </w:tcPr>
          <w:p w14:paraId="37D2A25E">
            <w:pPr>
              <w:pStyle w:val="34"/>
              <w:keepNext/>
              <w:spacing w:after="0" w:line="440" w:lineRule="exact"/>
              <w:ind w:left="63" w:right="63"/>
              <w:rPr>
                <w:rFonts w:ascii="宋体" w:hAnsi="宋体"/>
                <w:color w:val="000000"/>
                <w:sz w:val="24"/>
                <w:szCs w:val="24"/>
                <w:highlight w:val="none"/>
              </w:rPr>
            </w:pPr>
          </w:p>
        </w:tc>
      </w:tr>
      <w:tr w14:paraId="0A9F8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4C49F5D">
            <w:pPr>
              <w:pStyle w:val="34"/>
              <w:keepNext/>
              <w:spacing w:after="0" w:line="440" w:lineRule="exact"/>
              <w:ind w:left="63" w:right="63"/>
              <w:rPr>
                <w:rFonts w:ascii="宋体" w:hAnsi="宋体"/>
                <w:color w:val="000000"/>
                <w:sz w:val="24"/>
                <w:szCs w:val="24"/>
                <w:highlight w:val="none"/>
              </w:rPr>
            </w:pPr>
          </w:p>
        </w:tc>
        <w:tc>
          <w:tcPr>
            <w:tcW w:w="1984" w:type="dxa"/>
          </w:tcPr>
          <w:p w14:paraId="26227B8B">
            <w:pPr>
              <w:pStyle w:val="34"/>
              <w:keepNext/>
              <w:spacing w:after="0" w:line="440" w:lineRule="exact"/>
              <w:ind w:left="63" w:right="63"/>
              <w:rPr>
                <w:rFonts w:ascii="宋体" w:hAnsi="宋体"/>
                <w:color w:val="000000"/>
                <w:sz w:val="24"/>
                <w:szCs w:val="24"/>
                <w:highlight w:val="none"/>
              </w:rPr>
            </w:pPr>
          </w:p>
        </w:tc>
        <w:tc>
          <w:tcPr>
            <w:tcW w:w="4678" w:type="dxa"/>
          </w:tcPr>
          <w:p w14:paraId="13EA4549">
            <w:pPr>
              <w:pStyle w:val="34"/>
              <w:keepNext/>
              <w:spacing w:after="0" w:line="440" w:lineRule="exact"/>
              <w:ind w:left="63" w:right="63"/>
              <w:rPr>
                <w:rFonts w:ascii="宋体" w:hAnsi="宋体"/>
                <w:color w:val="000000"/>
                <w:sz w:val="24"/>
                <w:szCs w:val="24"/>
                <w:highlight w:val="none"/>
              </w:rPr>
            </w:pPr>
          </w:p>
        </w:tc>
        <w:tc>
          <w:tcPr>
            <w:tcW w:w="1276" w:type="dxa"/>
          </w:tcPr>
          <w:p w14:paraId="1D70C76E">
            <w:pPr>
              <w:pStyle w:val="34"/>
              <w:keepNext/>
              <w:spacing w:after="0" w:line="440" w:lineRule="exact"/>
              <w:ind w:left="63" w:right="63"/>
              <w:rPr>
                <w:rFonts w:ascii="宋体" w:hAnsi="宋体"/>
                <w:color w:val="000000"/>
                <w:sz w:val="24"/>
                <w:szCs w:val="24"/>
                <w:highlight w:val="none"/>
              </w:rPr>
            </w:pPr>
          </w:p>
        </w:tc>
      </w:tr>
      <w:tr w14:paraId="214F8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5DDAD32">
            <w:pPr>
              <w:pStyle w:val="34"/>
              <w:keepNext/>
              <w:spacing w:after="0" w:line="440" w:lineRule="exact"/>
              <w:ind w:left="63" w:right="63"/>
              <w:rPr>
                <w:rFonts w:ascii="宋体" w:hAnsi="宋体"/>
                <w:color w:val="000000"/>
                <w:sz w:val="24"/>
                <w:szCs w:val="24"/>
                <w:highlight w:val="none"/>
              </w:rPr>
            </w:pPr>
          </w:p>
        </w:tc>
        <w:tc>
          <w:tcPr>
            <w:tcW w:w="1984" w:type="dxa"/>
          </w:tcPr>
          <w:p w14:paraId="444A0E76">
            <w:pPr>
              <w:pStyle w:val="34"/>
              <w:keepNext/>
              <w:spacing w:after="0" w:line="440" w:lineRule="exact"/>
              <w:ind w:left="63" w:right="63"/>
              <w:rPr>
                <w:rFonts w:ascii="宋体" w:hAnsi="宋体"/>
                <w:color w:val="000000"/>
                <w:sz w:val="24"/>
                <w:szCs w:val="24"/>
                <w:highlight w:val="none"/>
              </w:rPr>
            </w:pPr>
          </w:p>
        </w:tc>
        <w:tc>
          <w:tcPr>
            <w:tcW w:w="4678" w:type="dxa"/>
          </w:tcPr>
          <w:p w14:paraId="6819A0A7">
            <w:pPr>
              <w:pStyle w:val="34"/>
              <w:keepNext/>
              <w:spacing w:after="0" w:line="440" w:lineRule="exact"/>
              <w:ind w:left="63" w:right="63"/>
              <w:rPr>
                <w:rFonts w:ascii="宋体" w:hAnsi="宋体"/>
                <w:color w:val="000000"/>
                <w:sz w:val="24"/>
                <w:szCs w:val="24"/>
                <w:highlight w:val="none"/>
              </w:rPr>
            </w:pPr>
          </w:p>
        </w:tc>
        <w:tc>
          <w:tcPr>
            <w:tcW w:w="1276" w:type="dxa"/>
          </w:tcPr>
          <w:p w14:paraId="3A351410">
            <w:pPr>
              <w:pStyle w:val="34"/>
              <w:keepNext/>
              <w:spacing w:after="0" w:line="440" w:lineRule="exact"/>
              <w:ind w:left="63" w:right="63"/>
              <w:rPr>
                <w:rFonts w:ascii="宋体" w:hAnsi="宋体"/>
                <w:color w:val="000000"/>
                <w:sz w:val="24"/>
                <w:szCs w:val="24"/>
                <w:highlight w:val="none"/>
              </w:rPr>
            </w:pPr>
          </w:p>
        </w:tc>
      </w:tr>
      <w:tr w14:paraId="431B9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399E269">
            <w:pPr>
              <w:pStyle w:val="34"/>
              <w:keepNext/>
              <w:spacing w:after="0" w:line="440" w:lineRule="exact"/>
              <w:ind w:left="63" w:right="63"/>
              <w:rPr>
                <w:rFonts w:ascii="宋体" w:hAnsi="宋体"/>
                <w:color w:val="000000"/>
                <w:sz w:val="24"/>
                <w:szCs w:val="24"/>
                <w:highlight w:val="none"/>
              </w:rPr>
            </w:pPr>
          </w:p>
        </w:tc>
        <w:tc>
          <w:tcPr>
            <w:tcW w:w="1984" w:type="dxa"/>
          </w:tcPr>
          <w:p w14:paraId="418F9310">
            <w:pPr>
              <w:pStyle w:val="34"/>
              <w:keepNext/>
              <w:spacing w:after="0" w:line="440" w:lineRule="exact"/>
              <w:ind w:left="63" w:right="63"/>
              <w:rPr>
                <w:rFonts w:ascii="宋体" w:hAnsi="宋体"/>
                <w:color w:val="000000"/>
                <w:sz w:val="24"/>
                <w:szCs w:val="24"/>
                <w:highlight w:val="none"/>
              </w:rPr>
            </w:pPr>
          </w:p>
        </w:tc>
        <w:tc>
          <w:tcPr>
            <w:tcW w:w="4678" w:type="dxa"/>
          </w:tcPr>
          <w:p w14:paraId="3C099A24">
            <w:pPr>
              <w:pStyle w:val="34"/>
              <w:keepNext/>
              <w:spacing w:after="0" w:line="440" w:lineRule="exact"/>
              <w:ind w:left="63" w:right="63"/>
              <w:rPr>
                <w:rFonts w:ascii="宋体" w:hAnsi="宋体"/>
                <w:color w:val="000000"/>
                <w:sz w:val="24"/>
                <w:szCs w:val="24"/>
                <w:highlight w:val="none"/>
              </w:rPr>
            </w:pPr>
          </w:p>
        </w:tc>
        <w:tc>
          <w:tcPr>
            <w:tcW w:w="1276" w:type="dxa"/>
          </w:tcPr>
          <w:p w14:paraId="576B1BF0">
            <w:pPr>
              <w:pStyle w:val="34"/>
              <w:keepNext/>
              <w:spacing w:after="0" w:line="440" w:lineRule="exact"/>
              <w:ind w:left="63" w:right="63"/>
              <w:rPr>
                <w:rFonts w:ascii="宋体" w:hAnsi="宋体"/>
                <w:color w:val="000000"/>
                <w:sz w:val="24"/>
                <w:szCs w:val="24"/>
                <w:highlight w:val="none"/>
              </w:rPr>
            </w:pPr>
          </w:p>
        </w:tc>
      </w:tr>
      <w:tr w14:paraId="5C6E9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56CA301">
            <w:pPr>
              <w:pStyle w:val="34"/>
              <w:keepNext/>
              <w:spacing w:after="0" w:line="440" w:lineRule="exact"/>
              <w:ind w:left="63" w:right="63"/>
              <w:rPr>
                <w:rFonts w:ascii="宋体" w:hAnsi="宋体"/>
                <w:color w:val="000000"/>
                <w:sz w:val="24"/>
                <w:szCs w:val="24"/>
                <w:highlight w:val="none"/>
              </w:rPr>
            </w:pPr>
          </w:p>
        </w:tc>
        <w:tc>
          <w:tcPr>
            <w:tcW w:w="1984" w:type="dxa"/>
          </w:tcPr>
          <w:p w14:paraId="03B60F6B">
            <w:pPr>
              <w:pStyle w:val="34"/>
              <w:keepNext/>
              <w:spacing w:after="0" w:line="440" w:lineRule="exact"/>
              <w:ind w:left="63" w:right="63"/>
              <w:rPr>
                <w:rFonts w:ascii="宋体" w:hAnsi="宋体"/>
                <w:color w:val="000000"/>
                <w:sz w:val="24"/>
                <w:szCs w:val="24"/>
                <w:highlight w:val="none"/>
              </w:rPr>
            </w:pPr>
          </w:p>
        </w:tc>
        <w:tc>
          <w:tcPr>
            <w:tcW w:w="4678" w:type="dxa"/>
          </w:tcPr>
          <w:p w14:paraId="7A7A3C3B">
            <w:pPr>
              <w:pStyle w:val="34"/>
              <w:keepNext/>
              <w:spacing w:after="0" w:line="440" w:lineRule="exact"/>
              <w:ind w:left="63" w:right="63"/>
              <w:rPr>
                <w:rFonts w:ascii="宋体" w:hAnsi="宋体"/>
                <w:color w:val="000000"/>
                <w:sz w:val="24"/>
                <w:szCs w:val="24"/>
                <w:highlight w:val="none"/>
              </w:rPr>
            </w:pPr>
          </w:p>
        </w:tc>
        <w:tc>
          <w:tcPr>
            <w:tcW w:w="1276" w:type="dxa"/>
          </w:tcPr>
          <w:p w14:paraId="3E65A4C3">
            <w:pPr>
              <w:pStyle w:val="34"/>
              <w:keepNext/>
              <w:spacing w:after="0" w:line="440" w:lineRule="exact"/>
              <w:ind w:left="63" w:right="63"/>
              <w:rPr>
                <w:rFonts w:ascii="宋体" w:hAnsi="宋体"/>
                <w:color w:val="000000"/>
                <w:sz w:val="24"/>
                <w:szCs w:val="24"/>
                <w:highlight w:val="none"/>
              </w:rPr>
            </w:pPr>
          </w:p>
        </w:tc>
      </w:tr>
      <w:tr w14:paraId="07673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93452F5">
            <w:pPr>
              <w:pStyle w:val="34"/>
              <w:keepNext/>
              <w:spacing w:after="0" w:line="440" w:lineRule="exact"/>
              <w:ind w:left="63" w:right="63"/>
              <w:rPr>
                <w:rFonts w:ascii="宋体" w:hAnsi="宋体"/>
                <w:color w:val="000000"/>
                <w:sz w:val="24"/>
                <w:szCs w:val="24"/>
                <w:highlight w:val="none"/>
              </w:rPr>
            </w:pPr>
          </w:p>
        </w:tc>
        <w:tc>
          <w:tcPr>
            <w:tcW w:w="1984" w:type="dxa"/>
          </w:tcPr>
          <w:p w14:paraId="075F4C9C">
            <w:pPr>
              <w:pStyle w:val="34"/>
              <w:keepNext/>
              <w:spacing w:after="0" w:line="440" w:lineRule="exact"/>
              <w:ind w:left="63" w:right="63"/>
              <w:rPr>
                <w:rFonts w:ascii="宋体" w:hAnsi="宋体"/>
                <w:color w:val="000000"/>
                <w:sz w:val="24"/>
                <w:szCs w:val="24"/>
                <w:highlight w:val="none"/>
              </w:rPr>
            </w:pPr>
          </w:p>
        </w:tc>
        <w:tc>
          <w:tcPr>
            <w:tcW w:w="4678" w:type="dxa"/>
          </w:tcPr>
          <w:p w14:paraId="6E0ABAB6">
            <w:pPr>
              <w:pStyle w:val="34"/>
              <w:keepNext/>
              <w:spacing w:after="0" w:line="440" w:lineRule="exact"/>
              <w:ind w:left="63" w:right="63"/>
              <w:rPr>
                <w:rFonts w:ascii="宋体" w:hAnsi="宋体"/>
                <w:color w:val="000000"/>
                <w:sz w:val="24"/>
                <w:szCs w:val="24"/>
                <w:highlight w:val="none"/>
              </w:rPr>
            </w:pPr>
          </w:p>
        </w:tc>
        <w:tc>
          <w:tcPr>
            <w:tcW w:w="1276" w:type="dxa"/>
          </w:tcPr>
          <w:p w14:paraId="2CA9C13E">
            <w:pPr>
              <w:pStyle w:val="34"/>
              <w:keepNext/>
              <w:spacing w:after="0" w:line="440" w:lineRule="exact"/>
              <w:ind w:left="63" w:right="63"/>
              <w:rPr>
                <w:rFonts w:ascii="宋体" w:hAnsi="宋体"/>
                <w:color w:val="000000"/>
                <w:sz w:val="24"/>
                <w:szCs w:val="24"/>
                <w:highlight w:val="none"/>
              </w:rPr>
            </w:pPr>
          </w:p>
        </w:tc>
      </w:tr>
      <w:tr w14:paraId="7634E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E5D68CE">
            <w:pPr>
              <w:pStyle w:val="34"/>
              <w:keepNext/>
              <w:spacing w:after="0" w:line="440" w:lineRule="exact"/>
              <w:ind w:left="63" w:right="63"/>
              <w:rPr>
                <w:rFonts w:ascii="宋体" w:hAnsi="宋体"/>
                <w:color w:val="000000"/>
                <w:sz w:val="24"/>
                <w:szCs w:val="24"/>
                <w:highlight w:val="none"/>
              </w:rPr>
            </w:pPr>
          </w:p>
        </w:tc>
        <w:tc>
          <w:tcPr>
            <w:tcW w:w="1984" w:type="dxa"/>
          </w:tcPr>
          <w:p w14:paraId="008A70A5">
            <w:pPr>
              <w:pStyle w:val="34"/>
              <w:keepNext/>
              <w:spacing w:after="0" w:line="440" w:lineRule="exact"/>
              <w:ind w:left="63" w:right="63"/>
              <w:rPr>
                <w:rFonts w:ascii="宋体" w:hAnsi="宋体"/>
                <w:color w:val="000000"/>
                <w:sz w:val="24"/>
                <w:szCs w:val="24"/>
                <w:highlight w:val="none"/>
              </w:rPr>
            </w:pPr>
          </w:p>
        </w:tc>
        <w:tc>
          <w:tcPr>
            <w:tcW w:w="4678" w:type="dxa"/>
          </w:tcPr>
          <w:p w14:paraId="5A101A32">
            <w:pPr>
              <w:pStyle w:val="34"/>
              <w:keepNext/>
              <w:spacing w:after="0" w:line="440" w:lineRule="exact"/>
              <w:ind w:left="63" w:right="63"/>
              <w:rPr>
                <w:rFonts w:ascii="宋体" w:hAnsi="宋体"/>
                <w:color w:val="000000"/>
                <w:sz w:val="24"/>
                <w:szCs w:val="24"/>
                <w:highlight w:val="none"/>
              </w:rPr>
            </w:pPr>
          </w:p>
        </w:tc>
        <w:tc>
          <w:tcPr>
            <w:tcW w:w="1276" w:type="dxa"/>
          </w:tcPr>
          <w:p w14:paraId="36C9C91B">
            <w:pPr>
              <w:pStyle w:val="34"/>
              <w:keepNext/>
              <w:spacing w:after="0" w:line="440" w:lineRule="exact"/>
              <w:ind w:left="63" w:right="63"/>
              <w:rPr>
                <w:rFonts w:ascii="宋体" w:hAnsi="宋体"/>
                <w:color w:val="000000"/>
                <w:sz w:val="24"/>
                <w:szCs w:val="24"/>
                <w:highlight w:val="none"/>
              </w:rPr>
            </w:pPr>
          </w:p>
        </w:tc>
      </w:tr>
      <w:tr w14:paraId="3EEB2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690BA2F">
            <w:pPr>
              <w:pStyle w:val="34"/>
              <w:keepNext/>
              <w:spacing w:after="0" w:line="440" w:lineRule="exact"/>
              <w:ind w:left="63" w:right="63"/>
              <w:rPr>
                <w:rFonts w:ascii="宋体" w:hAnsi="宋体"/>
                <w:color w:val="000000"/>
                <w:sz w:val="24"/>
                <w:szCs w:val="24"/>
                <w:highlight w:val="none"/>
              </w:rPr>
            </w:pPr>
          </w:p>
        </w:tc>
        <w:tc>
          <w:tcPr>
            <w:tcW w:w="1984" w:type="dxa"/>
          </w:tcPr>
          <w:p w14:paraId="59437C9B">
            <w:pPr>
              <w:pStyle w:val="34"/>
              <w:keepNext/>
              <w:spacing w:after="0" w:line="440" w:lineRule="exact"/>
              <w:ind w:left="63" w:right="63"/>
              <w:rPr>
                <w:rFonts w:ascii="宋体" w:hAnsi="宋体"/>
                <w:color w:val="000000"/>
                <w:sz w:val="24"/>
                <w:szCs w:val="24"/>
                <w:highlight w:val="none"/>
              </w:rPr>
            </w:pPr>
          </w:p>
        </w:tc>
        <w:tc>
          <w:tcPr>
            <w:tcW w:w="4678" w:type="dxa"/>
          </w:tcPr>
          <w:p w14:paraId="0D1036DB">
            <w:pPr>
              <w:pStyle w:val="34"/>
              <w:keepNext/>
              <w:spacing w:after="0" w:line="440" w:lineRule="exact"/>
              <w:ind w:left="63" w:right="63"/>
              <w:rPr>
                <w:rFonts w:ascii="宋体" w:hAnsi="宋体"/>
                <w:color w:val="000000"/>
                <w:sz w:val="24"/>
                <w:szCs w:val="24"/>
                <w:highlight w:val="none"/>
              </w:rPr>
            </w:pPr>
          </w:p>
        </w:tc>
        <w:tc>
          <w:tcPr>
            <w:tcW w:w="1276" w:type="dxa"/>
          </w:tcPr>
          <w:p w14:paraId="42151C4A">
            <w:pPr>
              <w:pStyle w:val="34"/>
              <w:keepNext/>
              <w:spacing w:after="0" w:line="440" w:lineRule="exact"/>
              <w:ind w:left="63" w:right="63"/>
              <w:rPr>
                <w:rFonts w:ascii="宋体" w:hAnsi="宋体"/>
                <w:color w:val="000000"/>
                <w:sz w:val="24"/>
                <w:szCs w:val="24"/>
                <w:highlight w:val="none"/>
              </w:rPr>
            </w:pPr>
          </w:p>
        </w:tc>
      </w:tr>
      <w:tr w14:paraId="66BC3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F4079C7">
            <w:pPr>
              <w:pStyle w:val="34"/>
              <w:keepNext/>
              <w:spacing w:after="0" w:line="440" w:lineRule="exact"/>
              <w:ind w:left="63" w:right="63"/>
              <w:rPr>
                <w:rFonts w:ascii="宋体" w:hAnsi="宋体"/>
                <w:color w:val="000000"/>
                <w:sz w:val="24"/>
                <w:szCs w:val="24"/>
                <w:highlight w:val="none"/>
              </w:rPr>
            </w:pPr>
          </w:p>
        </w:tc>
        <w:tc>
          <w:tcPr>
            <w:tcW w:w="1984" w:type="dxa"/>
          </w:tcPr>
          <w:p w14:paraId="478CC087">
            <w:pPr>
              <w:pStyle w:val="34"/>
              <w:keepNext/>
              <w:spacing w:after="0" w:line="440" w:lineRule="exact"/>
              <w:ind w:left="63" w:right="63"/>
              <w:rPr>
                <w:rFonts w:ascii="宋体" w:hAnsi="宋体"/>
                <w:color w:val="000000"/>
                <w:sz w:val="24"/>
                <w:szCs w:val="24"/>
                <w:highlight w:val="none"/>
              </w:rPr>
            </w:pPr>
          </w:p>
        </w:tc>
        <w:tc>
          <w:tcPr>
            <w:tcW w:w="4678" w:type="dxa"/>
          </w:tcPr>
          <w:p w14:paraId="7DC2D0D5">
            <w:pPr>
              <w:pStyle w:val="34"/>
              <w:keepNext/>
              <w:spacing w:after="0" w:line="440" w:lineRule="exact"/>
              <w:ind w:left="63" w:right="63"/>
              <w:rPr>
                <w:rFonts w:ascii="宋体" w:hAnsi="宋体"/>
                <w:color w:val="000000"/>
                <w:sz w:val="24"/>
                <w:szCs w:val="24"/>
                <w:highlight w:val="none"/>
              </w:rPr>
            </w:pPr>
          </w:p>
        </w:tc>
        <w:tc>
          <w:tcPr>
            <w:tcW w:w="1276" w:type="dxa"/>
          </w:tcPr>
          <w:p w14:paraId="35D27AC2">
            <w:pPr>
              <w:pStyle w:val="34"/>
              <w:keepNext/>
              <w:spacing w:after="0" w:line="440" w:lineRule="exact"/>
              <w:ind w:left="63" w:right="63"/>
              <w:rPr>
                <w:rFonts w:ascii="宋体" w:hAnsi="宋体"/>
                <w:color w:val="000000"/>
                <w:sz w:val="24"/>
                <w:szCs w:val="24"/>
                <w:highlight w:val="none"/>
              </w:rPr>
            </w:pPr>
          </w:p>
        </w:tc>
      </w:tr>
      <w:tr w14:paraId="184EE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D790910">
            <w:pPr>
              <w:pStyle w:val="34"/>
              <w:keepNext/>
              <w:spacing w:after="0" w:line="440" w:lineRule="exact"/>
              <w:ind w:left="63" w:right="63"/>
              <w:rPr>
                <w:rFonts w:ascii="宋体" w:hAnsi="宋体"/>
                <w:color w:val="000000"/>
                <w:sz w:val="24"/>
                <w:szCs w:val="24"/>
                <w:highlight w:val="none"/>
              </w:rPr>
            </w:pPr>
          </w:p>
        </w:tc>
        <w:tc>
          <w:tcPr>
            <w:tcW w:w="1984" w:type="dxa"/>
          </w:tcPr>
          <w:p w14:paraId="075D9B49">
            <w:pPr>
              <w:pStyle w:val="34"/>
              <w:keepNext/>
              <w:spacing w:after="0" w:line="440" w:lineRule="exact"/>
              <w:ind w:left="63" w:right="63"/>
              <w:rPr>
                <w:rFonts w:ascii="宋体" w:hAnsi="宋体"/>
                <w:color w:val="000000"/>
                <w:sz w:val="24"/>
                <w:szCs w:val="24"/>
                <w:highlight w:val="none"/>
              </w:rPr>
            </w:pPr>
          </w:p>
        </w:tc>
        <w:tc>
          <w:tcPr>
            <w:tcW w:w="4678" w:type="dxa"/>
          </w:tcPr>
          <w:p w14:paraId="2D1AE549">
            <w:pPr>
              <w:pStyle w:val="34"/>
              <w:keepNext/>
              <w:spacing w:after="0" w:line="440" w:lineRule="exact"/>
              <w:ind w:left="63" w:right="63"/>
              <w:rPr>
                <w:rFonts w:ascii="宋体" w:hAnsi="宋体"/>
                <w:color w:val="000000"/>
                <w:sz w:val="24"/>
                <w:szCs w:val="24"/>
                <w:highlight w:val="none"/>
              </w:rPr>
            </w:pPr>
          </w:p>
        </w:tc>
        <w:tc>
          <w:tcPr>
            <w:tcW w:w="1276" w:type="dxa"/>
          </w:tcPr>
          <w:p w14:paraId="7BDAE9F9">
            <w:pPr>
              <w:pStyle w:val="34"/>
              <w:keepNext/>
              <w:spacing w:after="0" w:line="440" w:lineRule="exact"/>
              <w:ind w:left="63" w:right="63"/>
              <w:rPr>
                <w:rFonts w:ascii="宋体" w:hAnsi="宋体"/>
                <w:color w:val="000000"/>
                <w:sz w:val="24"/>
                <w:szCs w:val="24"/>
                <w:highlight w:val="none"/>
              </w:rPr>
            </w:pPr>
          </w:p>
        </w:tc>
      </w:tr>
      <w:tr w14:paraId="19AF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62ADDA0">
            <w:pPr>
              <w:pStyle w:val="34"/>
              <w:keepNext/>
              <w:spacing w:after="0" w:line="440" w:lineRule="exact"/>
              <w:ind w:left="63" w:right="63"/>
              <w:rPr>
                <w:rFonts w:ascii="宋体" w:hAnsi="宋体"/>
                <w:color w:val="000000"/>
                <w:sz w:val="24"/>
                <w:szCs w:val="24"/>
                <w:highlight w:val="none"/>
              </w:rPr>
            </w:pPr>
          </w:p>
        </w:tc>
        <w:tc>
          <w:tcPr>
            <w:tcW w:w="1984" w:type="dxa"/>
          </w:tcPr>
          <w:p w14:paraId="55851518">
            <w:pPr>
              <w:pStyle w:val="34"/>
              <w:keepNext/>
              <w:spacing w:after="0" w:line="440" w:lineRule="exact"/>
              <w:ind w:left="63" w:right="63"/>
              <w:rPr>
                <w:rFonts w:ascii="宋体" w:hAnsi="宋体"/>
                <w:color w:val="000000"/>
                <w:sz w:val="24"/>
                <w:szCs w:val="24"/>
                <w:highlight w:val="none"/>
              </w:rPr>
            </w:pPr>
          </w:p>
        </w:tc>
        <w:tc>
          <w:tcPr>
            <w:tcW w:w="4678" w:type="dxa"/>
          </w:tcPr>
          <w:p w14:paraId="6D872EFB">
            <w:pPr>
              <w:pStyle w:val="34"/>
              <w:keepNext/>
              <w:spacing w:after="0" w:line="440" w:lineRule="exact"/>
              <w:ind w:left="63" w:right="63"/>
              <w:rPr>
                <w:rFonts w:ascii="宋体" w:hAnsi="宋体"/>
                <w:color w:val="000000"/>
                <w:sz w:val="24"/>
                <w:szCs w:val="24"/>
                <w:highlight w:val="none"/>
              </w:rPr>
            </w:pPr>
          </w:p>
        </w:tc>
        <w:tc>
          <w:tcPr>
            <w:tcW w:w="1276" w:type="dxa"/>
          </w:tcPr>
          <w:p w14:paraId="76223749">
            <w:pPr>
              <w:pStyle w:val="34"/>
              <w:keepNext/>
              <w:spacing w:after="0" w:line="440" w:lineRule="exact"/>
              <w:ind w:left="63" w:right="63"/>
              <w:rPr>
                <w:rFonts w:ascii="宋体" w:hAnsi="宋体"/>
                <w:color w:val="000000"/>
                <w:sz w:val="24"/>
                <w:szCs w:val="24"/>
                <w:highlight w:val="none"/>
              </w:rPr>
            </w:pPr>
          </w:p>
        </w:tc>
      </w:tr>
      <w:tr w14:paraId="0A9AD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B0FFFAF">
            <w:pPr>
              <w:pStyle w:val="34"/>
              <w:keepNext/>
              <w:spacing w:after="0" w:line="440" w:lineRule="exact"/>
              <w:ind w:left="63" w:right="63"/>
              <w:rPr>
                <w:rFonts w:ascii="宋体" w:hAnsi="宋体"/>
                <w:color w:val="000000"/>
                <w:sz w:val="24"/>
                <w:szCs w:val="24"/>
                <w:highlight w:val="none"/>
              </w:rPr>
            </w:pPr>
          </w:p>
        </w:tc>
        <w:tc>
          <w:tcPr>
            <w:tcW w:w="1984" w:type="dxa"/>
          </w:tcPr>
          <w:p w14:paraId="7FD0985D">
            <w:pPr>
              <w:pStyle w:val="34"/>
              <w:keepNext/>
              <w:spacing w:after="0" w:line="440" w:lineRule="exact"/>
              <w:ind w:left="63" w:right="63"/>
              <w:rPr>
                <w:rFonts w:ascii="宋体" w:hAnsi="宋体"/>
                <w:color w:val="000000"/>
                <w:sz w:val="24"/>
                <w:szCs w:val="24"/>
                <w:highlight w:val="none"/>
              </w:rPr>
            </w:pPr>
          </w:p>
        </w:tc>
        <w:tc>
          <w:tcPr>
            <w:tcW w:w="4678" w:type="dxa"/>
          </w:tcPr>
          <w:p w14:paraId="0072260B">
            <w:pPr>
              <w:pStyle w:val="34"/>
              <w:keepNext/>
              <w:spacing w:after="0" w:line="440" w:lineRule="exact"/>
              <w:ind w:left="63" w:right="63"/>
              <w:rPr>
                <w:rFonts w:ascii="宋体" w:hAnsi="宋体"/>
                <w:color w:val="000000"/>
                <w:sz w:val="24"/>
                <w:szCs w:val="24"/>
                <w:highlight w:val="none"/>
              </w:rPr>
            </w:pPr>
          </w:p>
        </w:tc>
        <w:tc>
          <w:tcPr>
            <w:tcW w:w="1276" w:type="dxa"/>
          </w:tcPr>
          <w:p w14:paraId="362A2A05">
            <w:pPr>
              <w:pStyle w:val="34"/>
              <w:keepNext/>
              <w:spacing w:after="0" w:line="440" w:lineRule="exact"/>
              <w:ind w:left="63" w:right="63"/>
              <w:rPr>
                <w:rFonts w:ascii="宋体" w:hAnsi="宋体"/>
                <w:color w:val="000000"/>
                <w:sz w:val="24"/>
                <w:szCs w:val="24"/>
                <w:highlight w:val="none"/>
              </w:rPr>
            </w:pPr>
          </w:p>
        </w:tc>
      </w:tr>
      <w:tr w14:paraId="610BB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1B2FB9F">
            <w:pPr>
              <w:pStyle w:val="34"/>
              <w:keepNext/>
              <w:spacing w:after="0" w:line="440" w:lineRule="exact"/>
              <w:ind w:left="63" w:right="63"/>
              <w:rPr>
                <w:rFonts w:ascii="宋体" w:hAnsi="宋体"/>
                <w:color w:val="000000"/>
                <w:sz w:val="24"/>
                <w:szCs w:val="24"/>
                <w:highlight w:val="none"/>
              </w:rPr>
            </w:pPr>
          </w:p>
        </w:tc>
        <w:tc>
          <w:tcPr>
            <w:tcW w:w="1984" w:type="dxa"/>
          </w:tcPr>
          <w:p w14:paraId="7A6BFC11">
            <w:pPr>
              <w:pStyle w:val="34"/>
              <w:keepNext/>
              <w:spacing w:after="0" w:line="440" w:lineRule="exact"/>
              <w:ind w:left="63" w:right="63"/>
              <w:rPr>
                <w:rFonts w:ascii="宋体" w:hAnsi="宋体"/>
                <w:color w:val="000000"/>
                <w:sz w:val="24"/>
                <w:szCs w:val="24"/>
                <w:highlight w:val="none"/>
              </w:rPr>
            </w:pPr>
          </w:p>
        </w:tc>
        <w:tc>
          <w:tcPr>
            <w:tcW w:w="4678" w:type="dxa"/>
          </w:tcPr>
          <w:p w14:paraId="1BB21B61">
            <w:pPr>
              <w:pStyle w:val="34"/>
              <w:keepNext/>
              <w:spacing w:after="0" w:line="440" w:lineRule="exact"/>
              <w:ind w:left="63" w:right="63"/>
              <w:rPr>
                <w:rFonts w:ascii="宋体" w:hAnsi="宋体"/>
                <w:color w:val="000000"/>
                <w:sz w:val="24"/>
                <w:szCs w:val="24"/>
                <w:highlight w:val="none"/>
              </w:rPr>
            </w:pPr>
          </w:p>
        </w:tc>
        <w:tc>
          <w:tcPr>
            <w:tcW w:w="1276" w:type="dxa"/>
          </w:tcPr>
          <w:p w14:paraId="1AD10DD1">
            <w:pPr>
              <w:pStyle w:val="34"/>
              <w:keepNext/>
              <w:spacing w:after="0" w:line="440" w:lineRule="exact"/>
              <w:ind w:left="63" w:right="63"/>
              <w:rPr>
                <w:rFonts w:ascii="宋体" w:hAnsi="宋体"/>
                <w:color w:val="000000"/>
                <w:sz w:val="24"/>
                <w:szCs w:val="24"/>
                <w:highlight w:val="none"/>
              </w:rPr>
            </w:pPr>
          </w:p>
        </w:tc>
      </w:tr>
      <w:tr w14:paraId="0419E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9D96F80">
            <w:pPr>
              <w:pStyle w:val="34"/>
              <w:keepNext/>
              <w:spacing w:after="0" w:line="440" w:lineRule="exact"/>
              <w:ind w:left="63" w:right="63"/>
              <w:rPr>
                <w:rFonts w:ascii="宋体" w:hAnsi="宋体"/>
                <w:color w:val="000000"/>
                <w:sz w:val="24"/>
                <w:szCs w:val="24"/>
                <w:highlight w:val="none"/>
              </w:rPr>
            </w:pPr>
          </w:p>
        </w:tc>
        <w:tc>
          <w:tcPr>
            <w:tcW w:w="1984" w:type="dxa"/>
          </w:tcPr>
          <w:p w14:paraId="459733DA">
            <w:pPr>
              <w:pStyle w:val="34"/>
              <w:keepNext/>
              <w:spacing w:after="0" w:line="440" w:lineRule="exact"/>
              <w:ind w:left="63" w:right="63"/>
              <w:rPr>
                <w:rFonts w:ascii="宋体" w:hAnsi="宋体"/>
                <w:color w:val="000000"/>
                <w:sz w:val="24"/>
                <w:szCs w:val="24"/>
                <w:highlight w:val="none"/>
              </w:rPr>
            </w:pPr>
          </w:p>
        </w:tc>
        <w:tc>
          <w:tcPr>
            <w:tcW w:w="4678" w:type="dxa"/>
          </w:tcPr>
          <w:p w14:paraId="54AD0E6E">
            <w:pPr>
              <w:pStyle w:val="34"/>
              <w:keepNext/>
              <w:spacing w:after="0" w:line="440" w:lineRule="exact"/>
              <w:ind w:left="63" w:right="63"/>
              <w:rPr>
                <w:rFonts w:ascii="宋体" w:hAnsi="宋体"/>
                <w:color w:val="000000"/>
                <w:sz w:val="24"/>
                <w:szCs w:val="24"/>
                <w:highlight w:val="none"/>
              </w:rPr>
            </w:pPr>
          </w:p>
        </w:tc>
        <w:tc>
          <w:tcPr>
            <w:tcW w:w="1276" w:type="dxa"/>
          </w:tcPr>
          <w:p w14:paraId="0E0F82CE">
            <w:pPr>
              <w:pStyle w:val="34"/>
              <w:keepNext/>
              <w:spacing w:after="0" w:line="440" w:lineRule="exact"/>
              <w:ind w:left="63" w:right="63"/>
              <w:rPr>
                <w:rFonts w:ascii="宋体" w:hAnsi="宋体"/>
                <w:color w:val="000000"/>
                <w:sz w:val="24"/>
                <w:szCs w:val="24"/>
                <w:highlight w:val="none"/>
              </w:rPr>
            </w:pPr>
          </w:p>
        </w:tc>
      </w:tr>
      <w:tr w14:paraId="7894F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FEA8643">
            <w:pPr>
              <w:pStyle w:val="34"/>
              <w:keepNext/>
              <w:spacing w:after="0" w:line="440" w:lineRule="exact"/>
              <w:ind w:left="63" w:right="63"/>
              <w:rPr>
                <w:rFonts w:ascii="宋体" w:hAnsi="宋体"/>
                <w:color w:val="000000"/>
                <w:sz w:val="24"/>
                <w:szCs w:val="24"/>
                <w:highlight w:val="none"/>
              </w:rPr>
            </w:pPr>
          </w:p>
        </w:tc>
        <w:tc>
          <w:tcPr>
            <w:tcW w:w="1984" w:type="dxa"/>
          </w:tcPr>
          <w:p w14:paraId="132DACDB">
            <w:pPr>
              <w:pStyle w:val="34"/>
              <w:keepNext/>
              <w:spacing w:after="0" w:line="440" w:lineRule="exact"/>
              <w:ind w:left="63" w:right="63"/>
              <w:rPr>
                <w:rFonts w:ascii="宋体" w:hAnsi="宋体"/>
                <w:color w:val="000000"/>
                <w:sz w:val="24"/>
                <w:szCs w:val="24"/>
                <w:highlight w:val="none"/>
              </w:rPr>
            </w:pPr>
          </w:p>
        </w:tc>
        <w:tc>
          <w:tcPr>
            <w:tcW w:w="4678" w:type="dxa"/>
          </w:tcPr>
          <w:p w14:paraId="5A4D126B">
            <w:pPr>
              <w:pStyle w:val="34"/>
              <w:keepNext/>
              <w:spacing w:after="0" w:line="440" w:lineRule="exact"/>
              <w:ind w:left="63" w:right="63"/>
              <w:rPr>
                <w:rFonts w:ascii="宋体" w:hAnsi="宋体"/>
                <w:color w:val="000000"/>
                <w:sz w:val="24"/>
                <w:szCs w:val="24"/>
                <w:highlight w:val="none"/>
              </w:rPr>
            </w:pPr>
          </w:p>
        </w:tc>
        <w:tc>
          <w:tcPr>
            <w:tcW w:w="1276" w:type="dxa"/>
          </w:tcPr>
          <w:p w14:paraId="59C869F0">
            <w:pPr>
              <w:pStyle w:val="34"/>
              <w:keepNext/>
              <w:spacing w:after="0" w:line="440" w:lineRule="exact"/>
              <w:ind w:left="63" w:right="63"/>
              <w:rPr>
                <w:rFonts w:ascii="宋体" w:hAnsi="宋体"/>
                <w:color w:val="000000"/>
                <w:sz w:val="24"/>
                <w:szCs w:val="24"/>
                <w:highlight w:val="none"/>
              </w:rPr>
            </w:pPr>
          </w:p>
        </w:tc>
      </w:tr>
      <w:tr w14:paraId="0147C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610F7D2">
            <w:pPr>
              <w:pStyle w:val="34"/>
              <w:keepNext/>
              <w:spacing w:after="0" w:line="440" w:lineRule="exact"/>
              <w:ind w:left="63" w:right="63"/>
              <w:rPr>
                <w:rFonts w:ascii="宋体" w:hAnsi="宋体"/>
                <w:color w:val="000000"/>
                <w:sz w:val="24"/>
                <w:szCs w:val="24"/>
                <w:highlight w:val="none"/>
              </w:rPr>
            </w:pPr>
          </w:p>
        </w:tc>
        <w:tc>
          <w:tcPr>
            <w:tcW w:w="1984" w:type="dxa"/>
          </w:tcPr>
          <w:p w14:paraId="53FFF3A7">
            <w:pPr>
              <w:pStyle w:val="34"/>
              <w:keepNext/>
              <w:spacing w:after="0" w:line="440" w:lineRule="exact"/>
              <w:ind w:left="63" w:right="63"/>
              <w:rPr>
                <w:rFonts w:ascii="宋体" w:hAnsi="宋体"/>
                <w:color w:val="000000"/>
                <w:sz w:val="24"/>
                <w:szCs w:val="24"/>
                <w:highlight w:val="none"/>
              </w:rPr>
            </w:pPr>
          </w:p>
        </w:tc>
        <w:tc>
          <w:tcPr>
            <w:tcW w:w="4678" w:type="dxa"/>
          </w:tcPr>
          <w:p w14:paraId="1D3328A2">
            <w:pPr>
              <w:pStyle w:val="34"/>
              <w:keepNext/>
              <w:spacing w:after="0" w:line="440" w:lineRule="exact"/>
              <w:ind w:left="63" w:right="63"/>
              <w:rPr>
                <w:rFonts w:ascii="宋体" w:hAnsi="宋体"/>
                <w:color w:val="000000"/>
                <w:sz w:val="24"/>
                <w:szCs w:val="24"/>
                <w:highlight w:val="none"/>
              </w:rPr>
            </w:pPr>
          </w:p>
        </w:tc>
        <w:tc>
          <w:tcPr>
            <w:tcW w:w="1276" w:type="dxa"/>
          </w:tcPr>
          <w:p w14:paraId="4EAA95F5">
            <w:pPr>
              <w:pStyle w:val="34"/>
              <w:keepNext/>
              <w:spacing w:after="0" w:line="440" w:lineRule="exact"/>
              <w:ind w:left="63" w:right="63"/>
              <w:rPr>
                <w:rFonts w:ascii="宋体" w:hAnsi="宋体"/>
                <w:color w:val="000000"/>
                <w:sz w:val="24"/>
                <w:szCs w:val="24"/>
                <w:highlight w:val="none"/>
              </w:rPr>
            </w:pPr>
          </w:p>
        </w:tc>
      </w:tr>
      <w:tr w14:paraId="6953F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8A9442E">
            <w:pPr>
              <w:pStyle w:val="34"/>
              <w:keepNext/>
              <w:spacing w:after="0" w:line="440" w:lineRule="exact"/>
              <w:ind w:left="63" w:right="63"/>
              <w:rPr>
                <w:rFonts w:ascii="宋体" w:hAnsi="宋体"/>
                <w:color w:val="000000"/>
                <w:sz w:val="24"/>
                <w:szCs w:val="24"/>
                <w:highlight w:val="none"/>
              </w:rPr>
            </w:pPr>
          </w:p>
        </w:tc>
        <w:tc>
          <w:tcPr>
            <w:tcW w:w="1984" w:type="dxa"/>
          </w:tcPr>
          <w:p w14:paraId="50A97C5E">
            <w:pPr>
              <w:pStyle w:val="34"/>
              <w:keepNext/>
              <w:spacing w:after="0" w:line="440" w:lineRule="exact"/>
              <w:ind w:left="63" w:right="63"/>
              <w:rPr>
                <w:rFonts w:ascii="宋体" w:hAnsi="宋体"/>
                <w:color w:val="000000"/>
                <w:sz w:val="24"/>
                <w:szCs w:val="24"/>
                <w:highlight w:val="none"/>
              </w:rPr>
            </w:pPr>
          </w:p>
        </w:tc>
        <w:tc>
          <w:tcPr>
            <w:tcW w:w="4678" w:type="dxa"/>
          </w:tcPr>
          <w:p w14:paraId="1114F76C">
            <w:pPr>
              <w:pStyle w:val="34"/>
              <w:keepNext/>
              <w:spacing w:after="0" w:line="440" w:lineRule="exact"/>
              <w:ind w:left="63" w:right="63"/>
              <w:rPr>
                <w:rFonts w:ascii="宋体" w:hAnsi="宋体"/>
                <w:color w:val="000000"/>
                <w:sz w:val="24"/>
                <w:szCs w:val="24"/>
                <w:highlight w:val="none"/>
              </w:rPr>
            </w:pPr>
          </w:p>
        </w:tc>
        <w:tc>
          <w:tcPr>
            <w:tcW w:w="1276" w:type="dxa"/>
          </w:tcPr>
          <w:p w14:paraId="6C649278">
            <w:pPr>
              <w:pStyle w:val="34"/>
              <w:keepNext/>
              <w:spacing w:after="0" w:line="440" w:lineRule="exact"/>
              <w:ind w:left="63" w:right="63"/>
              <w:rPr>
                <w:rFonts w:ascii="宋体" w:hAnsi="宋体"/>
                <w:color w:val="000000"/>
                <w:sz w:val="24"/>
                <w:szCs w:val="24"/>
                <w:highlight w:val="none"/>
              </w:rPr>
            </w:pPr>
          </w:p>
        </w:tc>
      </w:tr>
      <w:tr w14:paraId="5B2FB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CBB32C">
            <w:pPr>
              <w:pStyle w:val="34"/>
              <w:keepNext/>
              <w:spacing w:after="0" w:line="440" w:lineRule="exact"/>
              <w:ind w:left="63" w:right="63"/>
              <w:rPr>
                <w:rFonts w:ascii="宋体" w:hAnsi="宋体"/>
                <w:color w:val="000000"/>
                <w:sz w:val="24"/>
                <w:szCs w:val="24"/>
                <w:highlight w:val="none"/>
              </w:rPr>
            </w:pPr>
          </w:p>
        </w:tc>
        <w:tc>
          <w:tcPr>
            <w:tcW w:w="1984" w:type="dxa"/>
          </w:tcPr>
          <w:p w14:paraId="25A581BE">
            <w:pPr>
              <w:pStyle w:val="34"/>
              <w:keepNext/>
              <w:spacing w:after="0" w:line="440" w:lineRule="exact"/>
              <w:ind w:left="63" w:right="63"/>
              <w:rPr>
                <w:rFonts w:ascii="宋体" w:hAnsi="宋体"/>
                <w:color w:val="000000"/>
                <w:sz w:val="24"/>
                <w:szCs w:val="24"/>
                <w:highlight w:val="none"/>
              </w:rPr>
            </w:pPr>
          </w:p>
        </w:tc>
        <w:tc>
          <w:tcPr>
            <w:tcW w:w="4678" w:type="dxa"/>
          </w:tcPr>
          <w:p w14:paraId="596F18EF">
            <w:pPr>
              <w:pStyle w:val="34"/>
              <w:keepNext/>
              <w:spacing w:after="0" w:line="440" w:lineRule="exact"/>
              <w:ind w:left="63" w:right="63"/>
              <w:rPr>
                <w:rFonts w:ascii="宋体" w:hAnsi="宋体"/>
                <w:color w:val="000000"/>
                <w:sz w:val="24"/>
                <w:szCs w:val="24"/>
                <w:highlight w:val="none"/>
              </w:rPr>
            </w:pPr>
          </w:p>
        </w:tc>
        <w:tc>
          <w:tcPr>
            <w:tcW w:w="1276" w:type="dxa"/>
          </w:tcPr>
          <w:p w14:paraId="161C6A89">
            <w:pPr>
              <w:pStyle w:val="34"/>
              <w:keepNext/>
              <w:spacing w:after="0" w:line="440" w:lineRule="exact"/>
              <w:ind w:left="63" w:right="63"/>
              <w:rPr>
                <w:rFonts w:ascii="宋体" w:hAnsi="宋体"/>
                <w:color w:val="000000"/>
                <w:sz w:val="24"/>
                <w:szCs w:val="24"/>
                <w:highlight w:val="none"/>
              </w:rPr>
            </w:pPr>
          </w:p>
        </w:tc>
      </w:tr>
      <w:tr w14:paraId="1A979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0ACF4DF">
            <w:pPr>
              <w:pStyle w:val="34"/>
              <w:keepNext/>
              <w:spacing w:after="0" w:line="440" w:lineRule="exact"/>
              <w:ind w:left="63" w:right="63"/>
              <w:rPr>
                <w:rFonts w:ascii="宋体" w:hAnsi="宋体"/>
                <w:color w:val="000000"/>
                <w:sz w:val="24"/>
                <w:szCs w:val="24"/>
                <w:highlight w:val="none"/>
              </w:rPr>
            </w:pPr>
          </w:p>
        </w:tc>
        <w:tc>
          <w:tcPr>
            <w:tcW w:w="1984" w:type="dxa"/>
          </w:tcPr>
          <w:p w14:paraId="163ADE37">
            <w:pPr>
              <w:pStyle w:val="34"/>
              <w:keepNext/>
              <w:spacing w:after="0" w:line="440" w:lineRule="exact"/>
              <w:ind w:left="63" w:right="63"/>
              <w:rPr>
                <w:rFonts w:ascii="宋体" w:hAnsi="宋体"/>
                <w:color w:val="000000"/>
                <w:sz w:val="24"/>
                <w:szCs w:val="24"/>
                <w:highlight w:val="none"/>
              </w:rPr>
            </w:pPr>
          </w:p>
        </w:tc>
        <w:tc>
          <w:tcPr>
            <w:tcW w:w="4678" w:type="dxa"/>
          </w:tcPr>
          <w:p w14:paraId="6B6B973B">
            <w:pPr>
              <w:pStyle w:val="34"/>
              <w:keepNext/>
              <w:spacing w:after="0" w:line="440" w:lineRule="exact"/>
              <w:ind w:left="63" w:right="63"/>
              <w:rPr>
                <w:rFonts w:ascii="宋体" w:hAnsi="宋体"/>
                <w:color w:val="000000"/>
                <w:sz w:val="24"/>
                <w:szCs w:val="24"/>
                <w:highlight w:val="none"/>
              </w:rPr>
            </w:pPr>
          </w:p>
        </w:tc>
        <w:tc>
          <w:tcPr>
            <w:tcW w:w="1276" w:type="dxa"/>
          </w:tcPr>
          <w:p w14:paraId="19959591">
            <w:pPr>
              <w:pStyle w:val="34"/>
              <w:keepNext/>
              <w:spacing w:after="0" w:line="440" w:lineRule="exact"/>
              <w:ind w:left="63" w:right="63"/>
              <w:rPr>
                <w:rFonts w:ascii="宋体" w:hAnsi="宋体"/>
                <w:color w:val="000000"/>
                <w:sz w:val="24"/>
                <w:szCs w:val="24"/>
                <w:highlight w:val="none"/>
              </w:rPr>
            </w:pPr>
          </w:p>
        </w:tc>
      </w:tr>
      <w:tr w14:paraId="6D158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5667B76">
            <w:pPr>
              <w:pStyle w:val="34"/>
              <w:keepNext/>
              <w:spacing w:after="0" w:line="440" w:lineRule="exact"/>
              <w:ind w:left="63" w:right="63"/>
              <w:rPr>
                <w:rFonts w:ascii="宋体" w:hAnsi="宋体"/>
                <w:color w:val="000000"/>
                <w:sz w:val="24"/>
                <w:szCs w:val="24"/>
                <w:highlight w:val="none"/>
              </w:rPr>
            </w:pPr>
          </w:p>
        </w:tc>
        <w:tc>
          <w:tcPr>
            <w:tcW w:w="1984" w:type="dxa"/>
          </w:tcPr>
          <w:p w14:paraId="379B30F7">
            <w:pPr>
              <w:pStyle w:val="34"/>
              <w:keepNext/>
              <w:spacing w:after="0" w:line="440" w:lineRule="exact"/>
              <w:ind w:left="63" w:right="63"/>
              <w:rPr>
                <w:rFonts w:ascii="宋体" w:hAnsi="宋体"/>
                <w:color w:val="000000"/>
                <w:sz w:val="24"/>
                <w:szCs w:val="24"/>
                <w:highlight w:val="none"/>
              </w:rPr>
            </w:pPr>
          </w:p>
        </w:tc>
        <w:tc>
          <w:tcPr>
            <w:tcW w:w="4678" w:type="dxa"/>
          </w:tcPr>
          <w:p w14:paraId="57B23810">
            <w:pPr>
              <w:pStyle w:val="34"/>
              <w:keepNext/>
              <w:spacing w:after="0" w:line="440" w:lineRule="exact"/>
              <w:ind w:left="63" w:right="63"/>
              <w:rPr>
                <w:rFonts w:ascii="宋体" w:hAnsi="宋体"/>
                <w:color w:val="000000"/>
                <w:sz w:val="24"/>
                <w:szCs w:val="24"/>
                <w:highlight w:val="none"/>
              </w:rPr>
            </w:pPr>
          </w:p>
        </w:tc>
        <w:tc>
          <w:tcPr>
            <w:tcW w:w="1276" w:type="dxa"/>
          </w:tcPr>
          <w:p w14:paraId="6B1DB0D3">
            <w:pPr>
              <w:pStyle w:val="34"/>
              <w:keepNext/>
              <w:spacing w:after="0" w:line="440" w:lineRule="exact"/>
              <w:ind w:left="63" w:right="63"/>
              <w:rPr>
                <w:rFonts w:ascii="宋体" w:hAnsi="宋体"/>
                <w:color w:val="000000"/>
                <w:sz w:val="24"/>
                <w:szCs w:val="24"/>
                <w:highlight w:val="none"/>
              </w:rPr>
            </w:pPr>
          </w:p>
        </w:tc>
      </w:tr>
      <w:tr w14:paraId="330FA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6E0AE568">
            <w:pPr>
              <w:pStyle w:val="34"/>
              <w:keepNext/>
              <w:spacing w:after="0" w:line="440" w:lineRule="exact"/>
              <w:ind w:left="63" w:right="63"/>
              <w:rPr>
                <w:rFonts w:ascii="宋体" w:hAnsi="宋体"/>
                <w:color w:val="000000"/>
                <w:sz w:val="24"/>
                <w:szCs w:val="24"/>
                <w:highlight w:val="none"/>
              </w:rPr>
            </w:pPr>
            <w:r>
              <w:rPr>
                <w:rFonts w:ascii="宋体" w:hAnsi="宋体"/>
                <w:color w:val="000000"/>
                <w:sz w:val="24"/>
                <w:szCs w:val="24"/>
                <w:highlight w:val="none"/>
              </w:rPr>
              <w:t>小计：</w:t>
            </w:r>
          </w:p>
        </w:tc>
      </w:tr>
    </w:tbl>
    <w:p w14:paraId="358D074F">
      <w:pPr>
        <w:rPr>
          <w:rFonts w:ascii="宋体" w:hAnsi="宋体"/>
          <w:b/>
          <w:color w:val="000000" w:themeColor="text1"/>
          <w:sz w:val="52"/>
          <w:highlight w:val="none"/>
          <w14:textFill>
            <w14:solidFill>
              <w14:schemeClr w14:val="tx1"/>
            </w14:solidFill>
          </w14:textFill>
        </w:rPr>
      </w:pPr>
      <w:r>
        <w:rPr>
          <w:rFonts w:ascii="宋体" w:hAnsi="宋体"/>
          <w:b/>
          <w:color w:val="000000" w:themeColor="text1"/>
          <w:sz w:val="52"/>
          <w:highlight w:val="none"/>
          <w14:textFill>
            <w14:solidFill>
              <w14:schemeClr w14:val="tx1"/>
            </w14:solidFill>
          </w14:textFill>
        </w:rPr>
        <w:br w:type="page"/>
      </w:r>
    </w:p>
    <w:p w14:paraId="3B5924DB">
      <w:pPr>
        <w:spacing w:line="360" w:lineRule="auto"/>
        <w:rPr>
          <w:rFonts w:ascii="宋体" w:hAnsi="宋体" w:cs="宋体"/>
          <w:szCs w:val="21"/>
          <w:highlight w:val="none"/>
        </w:rPr>
      </w:pPr>
      <w:r>
        <w:rPr>
          <w:rFonts w:hint="eastAsia" w:ascii="宋体" w:hAnsi="宋体" w:cs="宋体"/>
          <w:szCs w:val="21"/>
          <w:highlight w:val="none"/>
        </w:rPr>
        <w:t>附件</w:t>
      </w:r>
      <w:r>
        <w:rPr>
          <w:rFonts w:hint="eastAsia" w:ascii="宋体" w:hAnsi="宋体" w:cs="宋体"/>
          <w:szCs w:val="21"/>
          <w:highlight w:val="none"/>
          <w:lang w:val="en-US" w:eastAsia="zh-CN"/>
        </w:rPr>
        <w:t>9</w:t>
      </w:r>
      <w:r>
        <w:rPr>
          <w:rFonts w:hint="eastAsia" w:ascii="宋体" w:hAnsi="宋体" w:cs="宋体"/>
          <w:szCs w:val="21"/>
          <w:highlight w:val="none"/>
        </w:rPr>
        <w:t xml:space="preserve">： </w:t>
      </w:r>
    </w:p>
    <w:p w14:paraId="3990E968">
      <w:pPr>
        <w:spacing w:line="360" w:lineRule="auto"/>
        <w:jc w:val="center"/>
        <w:rPr>
          <w:rFonts w:ascii="宋体" w:hAnsi="宋体" w:cs="宋体"/>
          <w:b/>
          <w:bCs/>
          <w:szCs w:val="21"/>
          <w:highlight w:val="none"/>
        </w:rPr>
      </w:pPr>
      <w:bookmarkStart w:id="1024" w:name="_Toc342597899"/>
      <w:bookmarkStart w:id="1025" w:name="_Toc342132078"/>
      <w:bookmarkStart w:id="1026" w:name="_Toc304201062"/>
      <w:bookmarkStart w:id="1027" w:name="_Toc342639958"/>
      <w:bookmarkStart w:id="1028" w:name="_Toc407356177"/>
      <w:bookmarkStart w:id="1029" w:name="_Toc342662385"/>
      <w:bookmarkStart w:id="1030" w:name="_Toc342639804"/>
      <w:r>
        <w:rPr>
          <w:rFonts w:hint="eastAsia" w:ascii="宋体" w:hAnsi="宋体" w:cs="宋体"/>
          <w:b/>
          <w:bCs/>
          <w:szCs w:val="21"/>
          <w:highlight w:val="none"/>
        </w:rPr>
        <w:t>廉政合同格式</w:t>
      </w:r>
      <w:bookmarkEnd w:id="1024"/>
      <w:bookmarkEnd w:id="1025"/>
      <w:bookmarkEnd w:id="1026"/>
      <w:bookmarkEnd w:id="1027"/>
      <w:bookmarkEnd w:id="1028"/>
      <w:bookmarkEnd w:id="1029"/>
      <w:bookmarkEnd w:id="1030"/>
    </w:p>
    <w:p w14:paraId="69132B8C">
      <w:pPr>
        <w:spacing w:line="360" w:lineRule="auto"/>
        <w:rPr>
          <w:rFonts w:ascii="宋体" w:hAnsi="宋体" w:cs="宋体"/>
          <w:szCs w:val="21"/>
          <w:highlight w:val="none"/>
        </w:rPr>
      </w:pPr>
    </w:p>
    <w:p w14:paraId="73CF270B">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关于在工程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cs="宋体"/>
          <w:szCs w:val="21"/>
          <w:highlight w:val="none"/>
          <w:u w:val="single"/>
        </w:rPr>
        <w:t>上海奥吉实业有限公司</w:t>
      </w:r>
      <w:r>
        <w:rPr>
          <w:rFonts w:hint="eastAsia" w:ascii="宋体" w:hAnsi="宋体" w:cs="宋体"/>
          <w:szCs w:val="21"/>
          <w:highlight w:val="none"/>
        </w:rPr>
        <w:t>（以下简称“甲方”）与施工单位</w:t>
      </w:r>
      <w:r>
        <w:rPr>
          <w:rFonts w:hint="eastAsia" w:ascii="宋体" w:hAnsi="宋体" w:cs="宋体"/>
          <w:szCs w:val="21"/>
          <w:highlight w:val="none"/>
          <w:u w:val="single"/>
        </w:rPr>
        <w:t>（全称）</w:t>
      </w:r>
      <w:r>
        <w:rPr>
          <w:rFonts w:hint="eastAsia" w:ascii="宋体" w:hAnsi="宋体" w:cs="宋体"/>
          <w:szCs w:val="21"/>
          <w:highlight w:val="none"/>
        </w:rPr>
        <w:t>（以下简称“乙方”）特订立如下合同。</w:t>
      </w:r>
    </w:p>
    <w:p w14:paraId="0D430117">
      <w:pPr>
        <w:spacing w:line="360" w:lineRule="auto"/>
        <w:ind w:firstLine="420" w:firstLineChars="200"/>
        <w:rPr>
          <w:rFonts w:ascii="宋体" w:hAnsi="宋体" w:cs="宋体"/>
          <w:szCs w:val="21"/>
          <w:highlight w:val="none"/>
        </w:rPr>
      </w:pPr>
      <w:r>
        <w:rPr>
          <w:rFonts w:hint="eastAsia" w:ascii="宋体" w:hAnsi="宋体" w:cs="宋体"/>
          <w:szCs w:val="21"/>
          <w:highlight w:val="none"/>
        </w:rPr>
        <w:t>1、甲乙双方的权利和义务</w:t>
      </w:r>
    </w:p>
    <w:p w14:paraId="27A283E8">
      <w:pPr>
        <w:spacing w:line="360" w:lineRule="auto"/>
        <w:ind w:firstLine="420" w:firstLineChars="200"/>
        <w:rPr>
          <w:rFonts w:ascii="宋体" w:hAnsi="宋体" w:cs="宋体"/>
          <w:szCs w:val="21"/>
          <w:highlight w:val="none"/>
        </w:rPr>
      </w:pPr>
      <w:r>
        <w:rPr>
          <w:rFonts w:hint="eastAsia" w:ascii="宋体" w:hAnsi="宋体" w:cs="宋体"/>
          <w:szCs w:val="21"/>
          <w:highlight w:val="none"/>
        </w:rPr>
        <w:t>（1）严格遵守党的政策规定和国家有关法律法规及建设部的有关规定。</w:t>
      </w:r>
    </w:p>
    <w:p w14:paraId="353EE044">
      <w:pPr>
        <w:spacing w:line="360" w:lineRule="auto"/>
        <w:ind w:firstLine="420" w:firstLineChars="200"/>
        <w:rPr>
          <w:rFonts w:ascii="宋体" w:hAnsi="宋体" w:cs="宋体"/>
          <w:szCs w:val="21"/>
          <w:highlight w:val="none"/>
        </w:rPr>
      </w:pPr>
      <w:r>
        <w:rPr>
          <w:rFonts w:hint="eastAsia" w:ascii="宋体" w:hAnsi="宋体" w:cs="宋体"/>
          <w:szCs w:val="21"/>
          <w:highlight w:val="none"/>
        </w:rPr>
        <w:t>（2）严格执行</w:t>
      </w:r>
      <w:r>
        <w:rPr>
          <w:rFonts w:hint="eastAsia" w:ascii="宋体" w:hAnsi="宋体" w:cs="宋体"/>
          <w:szCs w:val="21"/>
          <w:highlight w:val="none"/>
          <w:u w:val="single"/>
        </w:rPr>
        <w:t>2025年奥吉大厦装修及仓储场地翻新项目</w:t>
      </w:r>
      <w:r>
        <w:rPr>
          <w:rFonts w:hint="eastAsia" w:ascii="宋体" w:hAnsi="宋体" w:cs="宋体"/>
          <w:szCs w:val="21"/>
          <w:highlight w:val="none"/>
        </w:rPr>
        <w:t>工程的合同文件，自觉按合同办事。</w:t>
      </w:r>
    </w:p>
    <w:p w14:paraId="3359CF6E">
      <w:pPr>
        <w:spacing w:line="360" w:lineRule="auto"/>
        <w:ind w:firstLine="420" w:firstLineChars="200"/>
        <w:rPr>
          <w:rFonts w:ascii="宋体" w:hAnsi="宋体" w:cs="宋体"/>
          <w:szCs w:val="21"/>
          <w:highlight w:val="none"/>
        </w:rPr>
      </w:pPr>
      <w:r>
        <w:rPr>
          <w:rFonts w:hint="eastAsia" w:ascii="宋体" w:hAnsi="宋体" w:cs="宋体"/>
          <w:szCs w:val="21"/>
          <w:highlight w:val="none"/>
        </w:rPr>
        <w:t>（3）双方的业务活动坚持公开、公正、公平、诚信、透明的原则（法律认定的商业秘密和合同文件另有规定除外），不得损害国家和集体利益，不得违反工程建设管理规章制度。</w:t>
      </w:r>
    </w:p>
    <w:p w14:paraId="7F5EFB43">
      <w:pPr>
        <w:spacing w:line="360" w:lineRule="auto"/>
        <w:ind w:firstLine="420" w:firstLineChars="200"/>
        <w:rPr>
          <w:rFonts w:ascii="宋体" w:hAnsi="宋体" w:cs="宋体"/>
          <w:szCs w:val="21"/>
          <w:highlight w:val="none"/>
        </w:rPr>
      </w:pPr>
      <w:r>
        <w:rPr>
          <w:rFonts w:hint="eastAsia" w:ascii="宋体" w:hAnsi="宋体" w:cs="宋体"/>
          <w:szCs w:val="21"/>
          <w:highlight w:val="none"/>
        </w:rPr>
        <w:t>（4）建立健全廉政制度，开展廉政教育，设立廉政告示牌，公布举报电话，监督并认真查处违法违纪行为。</w:t>
      </w:r>
    </w:p>
    <w:p w14:paraId="62E4B91C">
      <w:pPr>
        <w:spacing w:line="360" w:lineRule="auto"/>
        <w:ind w:firstLine="420" w:firstLineChars="200"/>
        <w:rPr>
          <w:rFonts w:ascii="宋体" w:hAnsi="宋体" w:cs="宋体"/>
          <w:szCs w:val="21"/>
          <w:highlight w:val="none"/>
        </w:rPr>
      </w:pPr>
      <w:r>
        <w:rPr>
          <w:rFonts w:hint="eastAsia" w:ascii="宋体" w:hAnsi="宋体" w:cs="宋体"/>
          <w:szCs w:val="21"/>
          <w:highlight w:val="none"/>
        </w:rPr>
        <w:t>（5）发现对方在业务活动中有违反廉政规定的行为，有及时提醒对方纠正的权利和义务。</w:t>
      </w:r>
    </w:p>
    <w:p w14:paraId="70BC7171">
      <w:pPr>
        <w:spacing w:line="360" w:lineRule="auto"/>
        <w:ind w:firstLine="420" w:firstLineChars="200"/>
        <w:rPr>
          <w:rFonts w:ascii="宋体" w:hAnsi="宋体" w:cs="宋体"/>
          <w:szCs w:val="21"/>
          <w:highlight w:val="none"/>
        </w:rPr>
      </w:pPr>
      <w:r>
        <w:rPr>
          <w:rFonts w:hint="eastAsia" w:ascii="宋体" w:hAnsi="宋体" w:cs="宋体"/>
          <w:szCs w:val="21"/>
          <w:highlight w:val="none"/>
        </w:rPr>
        <w:t>（6）发现对方严重违反本合同义务条款的行为，有向其上级有关部门举报、建议给予处理并要求告知处理结果的权利。</w:t>
      </w:r>
    </w:p>
    <w:p w14:paraId="19EE1BE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2、甲方的义务</w:t>
      </w:r>
    </w:p>
    <w:p w14:paraId="3A9799A6">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（1）甲方及其工作人员不得索要或接受乙方的礼金、有价证券和贵重物品，不得在乙方报销任何应有甲方或甲方工作人员个人支付的费用等。</w:t>
      </w:r>
    </w:p>
    <w:p w14:paraId="2397EDAA">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（2）甲方工作人员不得参加可能影响公正的乙方安排的宴请和娱乐活动；不得接受乙方提供通讯工具、交通工具和高档办公用品等。</w:t>
      </w:r>
    </w:p>
    <w:p w14:paraId="0A3DD0D4">
      <w:pPr>
        <w:spacing w:line="360" w:lineRule="auto"/>
        <w:ind w:firstLine="420" w:firstLineChars="200"/>
        <w:rPr>
          <w:rFonts w:ascii="宋体" w:hAnsi="宋体" w:cs="宋体"/>
          <w:szCs w:val="21"/>
          <w:highlight w:val="none"/>
        </w:rPr>
      </w:pPr>
      <w:r>
        <w:rPr>
          <w:rFonts w:hint="eastAsia" w:ascii="宋体" w:hAnsi="宋体" w:cs="宋体"/>
          <w:szCs w:val="21"/>
          <w:highlight w:val="none"/>
        </w:rPr>
        <w:t>（3）甲方及其工作人员不得要求或者接受乙方为其住房装修、参与婚丧嫁娶活动、配偶子女的工作安排以及出国出境、旅游等提供方便。</w:t>
      </w:r>
    </w:p>
    <w:p w14:paraId="709157A5">
      <w:pPr>
        <w:spacing w:line="360" w:lineRule="auto"/>
        <w:ind w:firstLine="420" w:firstLineChars="200"/>
        <w:rPr>
          <w:rFonts w:ascii="宋体" w:hAnsi="宋体" w:cs="宋体"/>
          <w:szCs w:val="21"/>
          <w:highlight w:val="none"/>
        </w:rPr>
      </w:pPr>
      <w:r>
        <w:rPr>
          <w:rFonts w:hint="eastAsia" w:ascii="宋体" w:hAnsi="宋体" w:cs="宋体"/>
          <w:szCs w:val="21"/>
          <w:highlight w:val="none"/>
        </w:rPr>
        <w:t>（4）甲方工作人员及其配偶、子女不得从事与甲方工程有关的材料、设备供应、工程分包、劳务等经济活动。</w:t>
      </w:r>
    </w:p>
    <w:p w14:paraId="7A0CC4C2">
      <w:pPr>
        <w:spacing w:line="360" w:lineRule="auto"/>
        <w:ind w:firstLine="420" w:firstLineChars="200"/>
        <w:rPr>
          <w:rFonts w:ascii="宋体" w:hAnsi="宋体" w:cs="宋体"/>
          <w:szCs w:val="21"/>
          <w:highlight w:val="none"/>
        </w:rPr>
      </w:pPr>
      <w:r>
        <w:rPr>
          <w:rFonts w:hint="eastAsia" w:ascii="宋体" w:hAnsi="宋体" w:cs="宋体"/>
          <w:szCs w:val="21"/>
          <w:highlight w:val="none"/>
        </w:rPr>
        <w:t>（5）甲方及其工作人员不得以任何理由向乙方推荐分包单位或推销材料，不得要求乙方购买合同规定外的材料和设备。</w:t>
      </w:r>
    </w:p>
    <w:p w14:paraId="127F7C1D">
      <w:pPr>
        <w:spacing w:line="360" w:lineRule="auto"/>
        <w:ind w:firstLine="420" w:firstLineChars="200"/>
        <w:rPr>
          <w:rFonts w:ascii="宋体" w:hAnsi="宋体" w:cs="宋体"/>
          <w:szCs w:val="21"/>
          <w:highlight w:val="none"/>
        </w:rPr>
      </w:pPr>
      <w:r>
        <w:rPr>
          <w:rFonts w:hint="eastAsia" w:ascii="宋体" w:hAnsi="宋体" w:cs="宋体"/>
          <w:szCs w:val="21"/>
          <w:highlight w:val="none"/>
        </w:rPr>
        <w:t>（6）甲方工作人员要秉公办事，不准营私舞弊，不准利用职权从事各种个人有偿中介活动、安排个人施工队伍。</w:t>
      </w:r>
    </w:p>
    <w:p w14:paraId="618ACC00">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3、乙方义务</w:t>
      </w:r>
    </w:p>
    <w:p w14:paraId="6DDA5A0C">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（1）乙方不得以任何理由向甲方及其工作人员行贿或馈赠礼金、有价证券、贵重礼品。</w:t>
      </w:r>
    </w:p>
    <w:p w14:paraId="3BDAF6B7">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（2）乙方不得以任何名义为甲方及其工作人员报销应由甲方单位或个人支付的任何费用。</w:t>
      </w:r>
    </w:p>
    <w:p w14:paraId="6EE899A6">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（3）乙方不得以任何理由安排甲方工作人员参加宴请及娱乐活动。</w:t>
      </w:r>
    </w:p>
    <w:p w14:paraId="5A182D72">
      <w:pPr>
        <w:spacing w:line="360" w:lineRule="auto"/>
        <w:ind w:firstLine="420" w:firstLineChars="200"/>
        <w:rPr>
          <w:rFonts w:ascii="宋体" w:hAnsi="宋体" w:cs="宋体"/>
          <w:szCs w:val="21"/>
          <w:highlight w:val="none"/>
        </w:rPr>
      </w:pPr>
      <w:r>
        <w:rPr>
          <w:rFonts w:hint="eastAsia" w:ascii="宋体" w:hAnsi="宋体" w:cs="宋体"/>
          <w:szCs w:val="21"/>
          <w:highlight w:val="none"/>
        </w:rPr>
        <w:t>4、违约责任</w:t>
      </w:r>
    </w:p>
    <w:p w14:paraId="02DA90C1">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（1）甲方及其工作人员违反本合同第一、二条，按管理权限，依据有关规定给予党纪、政纪或组织处理；涉嫌犯罪的，移交司法机关追究刑事责任；给乙方造成经济损失的，应予以赔偿。</w:t>
      </w:r>
    </w:p>
    <w:p w14:paraId="20C5808F">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及其工作人员违反本合同第一、三条，按管理权限，依据有关规定给予党纪、政纪或组织处理；给甲方造成经济损失的，应予以赔偿，情节严重的，甲方建议工程建设主管部门给予乙方一至三年内不得进入其主管的工程建设市场的处罚。</w:t>
      </w:r>
    </w:p>
    <w:p w14:paraId="6665655E">
      <w:pPr>
        <w:spacing w:line="360" w:lineRule="auto"/>
        <w:ind w:firstLine="420" w:firstLineChars="200"/>
        <w:rPr>
          <w:rFonts w:ascii="宋体" w:hAnsi="宋体" w:cs="宋体"/>
          <w:szCs w:val="21"/>
          <w:highlight w:val="none"/>
        </w:rPr>
      </w:pPr>
      <w:r>
        <w:rPr>
          <w:rFonts w:hint="eastAsia" w:ascii="宋体" w:hAnsi="宋体" w:cs="宋体"/>
          <w:szCs w:val="21"/>
          <w:highlight w:val="none"/>
        </w:rPr>
        <w:t>5、双方约定</w:t>
      </w:r>
    </w:p>
    <w:p w14:paraId="25A3430A">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本合同由双方或双方上级单位的监察机关负责监督执行。由甲方或甲方上级单位的纪检监察机关邀请乙方或乙方上级单位纪检监察机关对本合同执行情况进行检查，提出在本合同规定范围内的裁定意见。</w:t>
      </w:r>
    </w:p>
    <w:p w14:paraId="4D9C7CE0">
      <w:pPr>
        <w:spacing w:line="360" w:lineRule="auto"/>
        <w:ind w:firstLine="420" w:firstLineChars="200"/>
        <w:rPr>
          <w:rFonts w:ascii="宋体" w:hAnsi="宋体" w:cs="宋体"/>
          <w:szCs w:val="21"/>
          <w:highlight w:val="none"/>
        </w:rPr>
      </w:pPr>
      <w:r>
        <w:rPr>
          <w:rFonts w:hint="eastAsia" w:ascii="宋体" w:hAnsi="宋体" w:cs="宋体"/>
          <w:szCs w:val="21"/>
          <w:highlight w:val="none"/>
        </w:rPr>
        <w:t>6、本合同有效期为甲乙双方签署之日起至该工程项目竣工验收合格后截止。</w:t>
      </w:r>
    </w:p>
    <w:p w14:paraId="317EA926">
      <w:pPr>
        <w:spacing w:line="360" w:lineRule="auto"/>
        <w:ind w:firstLine="420" w:firstLineChars="200"/>
        <w:rPr>
          <w:rFonts w:ascii="宋体" w:hAnsi="宋体" w:cs="宋体"/>
          <w:szCs w:val="21"/>
          <w:highlight w:val="none"/>
        </w:rPr>
      </w:pPr>
      <w:r>
        <w:rPr>
          <w:rFonts w:hint="eastAsia" w:ascii="宋体" w:hAnsi="宋体" w:cs="宋体"/>
          <w:szCs w:val="21"/>
          <w:highlight w:val="none"/>
        </w:rPr>
        <w:t>7、本合同作为</w:t>
      </w:r>
      <w:r>
        <w:rPr>
          <w:rFonts w:hint="eastAsia" w:ascii="宋体" w:hAnsi="宋体" w:cs="宋体"/>
          <w:szCs w:val="21"/>
          <w:highlight w:val="none"/>
          <w:u w:val="single"/>
        </w:rPr>
        <w:t>2025年奥吉大厦装修及仓储场地翻新项目</w:t>
      </w:r>
      <w:r>
        <w:rPr>
          <w:rFonts w:hint="eastAsia" w:ascii="宋体" w:hAnsi="宋体" w:cs="宋体"/>
          <w:szCs w:val="21"/>
          <w:highlight w:val="none"/>
        </w:rPr>
        <w:t>工程合同的附件，与工程施工合同具有同等的法律效力，经合同双方签署立即生效。</w:t>
      </w:r>
    </w:p>
    <w:p w14:paraId="110EA862">
      <w:pPr>
        <w:spacing w:line="360" w:lineRule="auto"/>
        <w:ind w:firstLine="420" w:firstLineChars="200"/>
        <w:rPr>
          <w:rFonts w:ascii="宋体" w:hAnsi="宋体" w:cs="宋体"/>
          <w:szCs w:val="21"/>
          <w:highlight w:val="none"/>
        </w:rPr>
      </w:pPr>
      <w:r>
        <w:rPr>
          <w:rFonts w:hint="eastAsia" w:ascii="宋体" w:hAnsi="宋体" w:cs="宋体"/>
          <w:szCs w:val="21"/>
          <w:highlight w:val="none"/>
        </w:rPr>
        <w:t>8、本合同一式四份，由甲乙双方各执一份，送交甲乙双方的监督单位各一份。</w:t>
      </w:r>
    </w:p>
    <w:p w14:paraId="4C323684">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甲方：</w:t>
      </w:r>
      <w:r>
        <w:rPr>
          <w:rFonts w:hint="eastAsia" w:ascii="宋体" w:hAnsi="宋体" w:cs="宋体"/>
          <w:szCs w:val="21"/>
          <w:highlight w:val="none"/>
          <w:u w:val="single"/>
        </w:rPr>
        <w:t xml:space="preserve">  （单位全称）（盖章）  </w:t>
      </w:r>
      <w:r>
        <w:rPr>
          <w:rFonts w:hint="eastAsia" w:ascii="宋体" w:hAnsi="宋体" w:cs="宋体"/>
          <w:szCs w:val="21"/>
          <w:highlight w:val="none"/>
        </w:rPr>
        <w:t xml:space="preserve">       乙方：</w:t>
      </w:r>
      <w:r>
        <w:rPr>
          <w:rFonts w:hint="eastAsia" w:ascii="宋体" w:hAnsi="宋体" w:cs="宋体"/>
          <w:szCs w:val="21"/>
          <w:highlight w:val="none"/>
          <w:u w:val="single"/>
        </w:rPr>
        <w:t xml:space="preserve">  （单位全称）（盖章）  </w:t>
      </w:r>
    </w:p>
    <w:p w14:paraId="1E6C79D3">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法定代表人：</w:t>
      </w:r>
      <w:r>
        <w:rPr>
          <w:rFonts w:hint="eastAsia" w:ascii="宋体" w:hAnsi="宋体" w:cs="宋体"/>
          <w:szCs w:val="21"/>
          <w:highlight w:val="none"/>
          <w:u w:val="single"/>
        </w:rPr>
        <w:t xml:space="preserve">  （签章）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（签章）      </w:t>
      </w:r>
    </w:p>
    <w:p w14:paraId="06E33887">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                                地址：</w:t>
      </w:r>
    </w:p>
    <w:p w14:paraId="2C73FFE7">
      <w:pPr>
        <w:spacing w:line="360" w:lineRule="auto"/>
        <w:ind w:firstLine="420" w:firstLineChars="200"/>
        <w:rPr>
          <w:rFonts w:ascii="宋体" w:hAnsi="宋体" w:cs="宋体"/>
          <w:szCs w:val="21"/>
          <w:highlight w:val="none"/>
        </w:rPr>
      </w:pPr>
      <w:r>
        <w:rPr>
          <w:rFonts w:hint="eastAsia" w:ascii="宋体" w:hAnsi="宋体" w:cs="宋体"/>
          <w:szCs w:val="21"/>
          <w:highlight w:val="none"/>
        </w:rPr>
        <w:t>电话：                                电话：</w:t>
      </w:r>
    </w:p>
    <w:p w14:paraId="7836B1E7">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日期：</w:t>
      </w:r>
      <w:r>
        <w:rPr>
          <w:rFonts w:hint="eastAsia" w:ascii="宋体" w:hAnsi="宋体" w:cs="宋体"/>
          <w:szCs w:val="21"/>
          <w:highlight w:val="none"/>
          <w:lang w:val="en-US" w:eastAsia="zh-CN"/>
        </w:rPr>
        <w:t xml:space="preserve">                                </w:t>
      </w:r>
      <w:r>
        <w:rPr>
          <w:rFonts w:hint="eastAsia" w:ascii="宋体" w:hAnsi="宋体" w:cs="宋体"/>
          <w:szCs w:val="21"/>
          <w:highlight w:val="none"/>
        </w:rPr>
        <w:t>日期：</w:t>
      </w:r>
    </w:p>
    <w:p w14:paraId="5332BE5F">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银行账户：</w:t>
      </w:r>
      <w:r>
        <w:rPr>
          <w:rFonts w:hint="eastAsia" w:ascii="宋体" w:hAnsi="宋体" w:cs="宋体"/>
          <w:szCs w:val="21"/>
          <w:highlight w:val="none"/>
        </w:rPr>
        <w:t xml:space="preserve">                            </w:t>
      </w:r>
      <w:r>
        <w:rPr>
          <w:rFonts w:hint="eastAsia" w:ascii="宋体" w:hAnsi="宋体" w:cs="宋体"/>
          <w:szCs w:val="21"/>
          <w:highlight w:val="none"/>
          <w:lang w:val="en-US" w:eastAsia="zh-CN"/>
        </w:rPr>
        <w:t>银行账户：</w:t>
      </w:r>
      <w:r>
        <w:rPr>
          <w:rFonts w:hint="eastAsia" w:ascii="宋体" w:hAnsi="宋体" w:cs="宋体"/>
          <w:szCs w:val="21"/>
          <w:highlight w:val="none"/>
        </w:rPr>
        <w:t xml:space="preserve">   </w:t>
      </w:r>
    </w:p>
    <w:p w14:paraId="7DC1807E">
      <w:pPr>
        <w:rPr>
          <w:rFonts w:ascii="Calibri" w:hAnsi="Calibri" w:cs="宋体"/>
          <w:b/>
          <w:bCs/>
          <w:szCs w:val="24"/>
          <w:highlight w:val="none"/>
        </w:rPr>
      </w:pPr>
      <w:r>
        <w:rPr>
          <w:rFonts w:ascii="Calibri" w:hAnsi="Calibri" w:cs="宋体"/>
          <w:b/>
          <w:bCs/>
          <w:szCs w:val="24"/>
          <w:highlight w:val="none"/>
        </w:rPr>
        <w:br w:type="page"/>
      </w:r>
    </w:p>
    <w:p w14:paraId="5D183B72">
      <w:pPr>
        <w:spacing w:line="360" w:lineRule="auto"/>
        <w:rPr>
          <w:rFonts w:ascii="宋体" w:hAnsi="宋体" w:cs="宋体"/>
          <w:szCs w:val="21"/>
          <w:highlight w:val="none"/>
        </w:rPr>
      </w:pPr>
      <w:r>
        <w:rPr>
          <w:rFonts w:hint="eastAsia" w:ascii="宋体" w:hAnsi="宋体" w:cs="宋体"/>
          <w:szCs w:val="21"/>
          <w:highlight w:val="none"/>
        </w:rPr>
        <w:t>附件</w:t>
      </w:r>
      <w:r>
        <w:rPr>
          <w:rFonts w:hint="eastAsia" w:ascii="宋体" w:hAnsi="宋体" w:cs="宋体"/>
          <w:szCs w:val="21"/>
          <w:highlight w:val="none"/>
          <w:lang w:val="en-US" w:eastAsia="zh-CN"/>
        </w:rPr>
        <w:t>10</w:t>
      </w:r>
      <w:r>
        <w:rPr>
          <w:rFonts w:hint="eastAsia" w:ascii="宋体" w:hAnsi="宋体" w:cs="宋体"/>
          <w:szCs w:val="21"/>
          <w:highlight w:val="none"/>
        </w:rPr>
        <w:t xml:space="preserve">： </w:t>
      </w:r>
    </w:p>
    <w:p w14:paraId="39B4B4B3">
      <w:pPr>
        <w:spacing w:line="360" w:lineRule="auto"/>
        <w:jc w:val="center"/>
        <w:rPr>
          <w:rFonts w:ascii="Calibri" w:hAnsi="Calibri"/>
          <w:b/>
          <w:bCs/>
          <w:sz w:val="24"/>
          <w:szCs w:val="24"/>
          <w:highlight w:val="none"/>
        </w:rPr>
      </w:pPr>
    </w:p>
    <w:p w14:paraId="46450922">
      <w:pPr>
        <w:spacing w:line="360" w:lineRule="auto"/>
        <w:jc w:val="center"/>
        <w:rPr>
          <w:rFonts w:ascii="Calibri" w:hAnsi="Calibri"/>
          <w:b/>
          <w:bCs/>
          <w:sz w:val="24"/>
          <w:szCs w:val="24"/>
          <w:highlight w:val="none"/>
        </w:rPr>
      </w:pPr>
      <w:r>
        <w:rPr>
          <w:rFonts w:hint="eastAsia" w:ascii="Calibri" w:hAnsi="Calibri"/>
          <w:b/>
          <w:bCs/>
          <w:sz w:val="24"/>
          <w:szCs w:val="24"/>
          <w:highlight w:val="none"/>
        </w:rPr>
        <w:t>出口管制及制裁合规条款</w:t>
      </w:r>
    </w:p>
    <w:p w14:paraId="50D2CE8C">
      <w:pPr>
        <w:spacing w:line="360" w:lineRule="auto"/>
        <w:ind w:firstLine="420" w:firstLineChars="200"/>
        <w:rPr>
          <w:rFonts w:ascii="宋体" w:hAnsi="宋体"/>
          <w:color w:val="000000"/>
          <w:szCs w:val="21"/>
          <w:highlight w:val="none"/>
        </w:rPr>
      </w:pPr>
    </w:p>
    <w:p w14:paraId="60F1571E">
      <w:pPr>
        <w:spacing w:line="360" w:lineRule="auto"/>
        <w:ind w:firstLine="420" w:firstLineChars="200"/>
        <w:rPr>
          <w:rFonts w:ascii="宋体" w:hAnsi="宋体"/>
          <w:color w:val="000000"/>
          <w:szCs w:val="21"/>
          <w:highlight w:val="none"/>
        </w:rPr>
      </w:pPr>
      <w:r>
        <w:rPr>
          <w:rFonts w:ascii="宋体" w:hAnsi="宋体"/>
          <w:color w:val="000000"/>
          <w:szCs w:val="21"/>
          <w:highlight w:val="none"/>
        </w:rPr>
        <w:t>为规范商业行为，</w:t>
      </w:r>
      <w:r>
        <w:rPr>
          <w:rFonts w:hint="eastAsia" w:ascii="宋体" w:hAnsi="宋体"/>
          <w:color w:val="000000"/>
          <w:szCs w:val="21"/>
          <w:highlight w:val="none"/>
        </w:rPr>
        <w:t>明确双方制裁合规义务</w:t>
      </w:r>
      <w:r>
        <w:rPr>
          <w:rFonts w:ascii="宋体" w:hAnsi="宋体"/>
          <w:color w:val="000000"/>
          <w:szCs w:val="21"/>
          <w:highlight w:val="none"/>
        </w:rPr>
        <w:t>，合同双方协商一致，达成以下条款：</w:t>
      </w:r>
    </w:p>
    <w:p w14:paraId="6610DE24">
      <w:pPr>
        <w:numPr>
          <w:ilvl w:val="0"/>
          <w:numId w:val="22"/>
        </w:numPr>
        <w:snapToGrid w:val="0"/>
        <w:spacing w:line="360" w:lineRule="auto"/>
        <w:ind w:right="86"/>
        <w:rPr>
          <w:rFonts w:ascii="宋体" w:hAnsi="宋体"/>
          <w:bCs/>
          <w:szCs w:val="21"/>
          <w:highlight w:val="none"/>
        </w:rPr>
      </w:pPr>
      <w:r>
        <w:rPr>
          <w:rFonts w:ascii="宋体" w:hAnsi="宋体"/>
          <w:color w:val="000000"/>
          <w:szCs w:val="21"/>
          <w:highlight w:val="none"/>
        </w:rPr>
        <w:t>“交易对象”指与</w:t>
      </w:r>
      <w:r>
        <w:rPr>
          <w:rFonts w:hint="eastAsia" w:ascii="宋体" w:hAnsi="宋体"/>
          <w:color w:val="000000"/>
          <w:szCs w:val="21"/>
          <w:highlight w:val="none"/>
        </w:rPr>
        <w:t>上海奥吉实业有限公司（下称</w:t>
      </w:r>
      <w:r>
        <w:rPr>
          <w:rFonts w:hint="eastAsia" w:ascii="宋体" w:hAnsi="宋体"/>
          <w:color w:val="000000"/>
          <w:szCs w:val="21"/>
          <w:highlight w:val="none"/>
          <w:u w:val="single"/>
        </w:rPr>
        <w:t>奥吉实业</w:t>
      </w:r>
      <w:r>
        <w:rPr>
          <w:rFonts w:hint="eastAsia" w:ascii="宋体" w:hAnsi="宋体"/>
          <w:color w:val="000000"/>
          <w:szCs w:val="21"/>
          <w:highlight w:val="none"/>
        </w:rPr>
        <w:t>）</w:t>
      </w:r>
      <w:r>
        <w:rPr>
          <w:rFonts w:ascii="宋体" w:hAnsi="宋体"/>
          <w:color w:val="000000"/>
          <w:szCs w:val="21"/>
          <w:highlight w:val="none"/>
        </w:rPr>
        <w:t>达成交易或合作意向的公司、组织或个人，包括但不限于上下游供应商、客户、中介机构、合资合营方等；以及受上述对象委托，或者代表、代理上述对象与</w:t>
      </w:r>
      <w:r>
        <w:rPr>
          <w:rFonts w:ascii="宋体" w:hAnsi="宋体"/>
          <w:color w:val="000000"/>
          <w:szCs w:val="21"/>
          <w:highlight w:val="none"/>
          <w:u w:val="single"/>
        </w:rPr>
        <w:t>奥吉实业</w:t>
      </w:r>
      <w:r>
        <w:rPr>
          <w:rFonts w:ascii="宋体" w:hAnsi="宋体"/>
          <w:color w:val="000000"/>
          <w:szCs w:val="21"/>
          <w:highlight w:val="none"/>
        </w:rPr>
        <w:t>洽谈交易、合作的公司、组织或个人。</w:t>
      </w:r>
    </w:p>
    <w:p w14:paraId="113ED072">
      <w:pPr>
        <w:numPr>
          <w:ilvl w:val="0"/>
          <w:numId w:val="22"/>
        </w:numPr>
        <w:snapToGrid w:val="0"/>
        <w:spacing w:line="360" w:lineRule="auto"/>
        <w:ind w:right="86"/>
        <w:rPr>
          <w:rFonts w:ascii="宋体" w:hAnsi="宋体"/>
          <w:bCs/>
          <w:szCs w:val="21"/>
          <w:highlight w:val="none"/>
        </w:rPr>
      </w:pPr>
      <w:r>
        <w:rPr>
          <w:rFonts w:hint="eastAsia" w:ascii="宋体" w:hAnsi="宋体"/>
          <w:bCs/>
          <w:szCs w:val="21"/>
          <w:highlight w:val="none"/>
        </w:rPr>
        <w:t>交易对象和奥吉实业保证并承诺：在履行本协议过程中，遵守所有可适用的经济及贸易制裁、对外贸易管制、出口及再出口管制法律、法规、规定、要求及类似法规，包括但不限于美国商务部出口管制条例、美国国务院国际武器贸易条例及美国财政部对外资产控制办公室的相关规定、联合国制裁规则以及其他适用的本协议履行地或本协议项下船舶装载货物可能进入或途经国家的制裁规则（以下统称“出口及制裁法规”）。</w:t>
      </w:r>
    </w:p>
    <w:p w14:paraId="66B28A11">
      <w:pPr>
        <w:numPr>
          <w:ilvl w:val="0"/>
          <w:numId w:val="22"/>
        </w:numPr>
        <w:snapToGrid w:val="0"/>
        <w:spacing w:line="360" w:lineRule="auto"/>
        <w:ind w:right="86"/>
        <w:rPr>
          <w:rFonts w:ascii="宋体" w:hAnsi="宋体"/>
          <w:bCs/>
          <w:szCs w:val="21"/>
          <w:highlight w:val="none"/>
        </w:rPr>
      </w:pPr>
      <w:r>
        <w:rPr>
          <w:rFonts w:hint="eastAsia" w:ascii="宋体" w:hAnsi="宋体"/>
          <w:bCs/>
          <w:szCs w:val="21"/>
          <w:highlight w:val="none"/>
        </w:rPr>
        <w:t>交易对象和奥吉实业保证并承诺自签署本协议之日起至本协议履行完毕：</w:t>
      </w:r>
    </w:p>
    <w:p w14:paraId="61582266">
      <w:pPr>
        <w:numPr>
          <w:ilvl w:val="1"/>
          <w:numId w:val="22"/>
        </w:numPr>
        <w:snapToGrid w:val="0"/>
        <w:spacing w:line="360" w:lineRule="auto"/>
        <w:ind w:right="86" w:firstLine="420"/>
        <w:rPr>
          <w:rFonts w:ascii="宋体" w:hAnsi="宋体"/>
          <w:bCs/>
          <w:szCs w:val="21"/>
          <w:highlight w:val="none"/>
        </w:rPr>
      </w:pPr>
      <w:r>
        <w:rPr>
          <w:rFonts w:hint="eastAsia" w:ascii="宋体" w:hAnsi="宋体"/>
          <w:bCs/>
          <w:szCs w:val="21"/>
          <w:highlight w:val="none"/>
        </w:rPr>
        <w:t>任何一方、其董事、高级管理人员、任何代表其或由其代表履行本协议项下义务或行使本协议项下权利的实体或个人（实体或个人以下统称“人士”）、任何一方指定的接受本协议项下义务履行的第三方人士均不是：</w:t>
      </w:r>
    </w:p>
    <w:p w14:paraId="0F45AA37">
      <w:pPr>
        <w:snapToGrid w:val="0"/>
        <w:spacing w:line="360" w:lineRule="auto"/>
        <w:ind w:left="840" w:leftChars="200" w:right="86" w:hanging="420" w:hangingChars="200"/>
        <w:rPr>
          <w:rFonts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1 \* GB3 </w:instrText>
      </w:r>
      <w:r>
        <w:rPr>
          <w:rFonts w:hint="eastAsia" w:ascii="宋体" w:hAnsi="宋体"/>
          <w:bCs/>
          <w:szCs w:val="21"/>
          <w:highlight w:val="none"/>
        </w:rPr>
        <w:fldChar w:fldCharType="separate"/>
      </w:r>
      <w:r>
        <w:rPr>
          <w:rFonts w:hint="eastAsia" w:ascii="宋体" w:hAnsi="宋体"/>
          <w:bCs/>
          <w:szCs w:val="21"/>
          <w:highlight w:val="none"/>
        </w:rPr>
        <w:t>①</w:t>
      </w:r>
      <w:r>
        <w:rPr>
          <w:rFonts w:hint="eastAsia" w:ascii="宋体" w:hAnsi="宋体"/>
          <w:bCs/>
          <w:szCs w:val="21"/>
          <w:highlight w:val="none"/>
        </w:rPr>
        <w:fldChar w:fldCharType="end"/>
      </w:r>
      <w:r>
        <w:rPr>
          <w:rFonts w:hint="eastAsia" w:ascii="宋体" w:hAnsi="宋体"/>
          <w:bCs/>
          <w:szCs w:val="21"/>
          <w:highlight w:val="none"/>
        </w:rPr>
        <w:t xml:space="preserve"> 被美国财政部对外资产控制办公室列入特别指定国民名单中的人士（以下简称“SDN”），由SDN直接或间接拥有或控制50%及以上权益的人士，或代表SDN行事的人士；</w:t>
      </w:r>
    </w:p>
    <w:p w14:paraId="09511075">
      <w:pPr>
        <w:snapToGrid w:val="0"/>
        <w:spacing w:line="360" w:lineRule="auto"/>
        <w:ind w:left="840" w:leftChars="200" w:right="86" w:hanging="420" w:hangingChars="200"/>
        <w:rPr>
          <w:rFonts w:ascii="宋体" w:hAnsi="宋体"/>
          <w:bCs/>
          <w:szCs w:val="21"/>
          <w:highlight w:val="none"/>
        </w:rPr>
      </w:pPr>
      <w:r>
        <w:rPr>
          <w:rFonts w:hint="eastAsia" w:ascii="宋体" w:hAnsi="宋体"/>
          <w:bCs/>
          <w:szCs w:val="21"/>
          <w:highlight w:val="none"/>
        </w:rPr>
        <w:fldChar w:fldCharType="begin"/>
      </w:r>
      <w:r>
        <w:rPr>
          <w:rFonts w:hint="eastAsia" w:ascii="宋体" w:hAnsi="宋体"/>
          <w:bCs/>
          <w:szCs w:val="21"/>
          <w:highlight w:val="none"/>
        </w:rPr>
        <w:instrText xml:space="preserve"> = 2 \* GB3 </w:instrText>
      </w:r>
      <w:r>
        <w:rPr>
          <w:rFonts w:hint="eastAsia" w:ascii="宋体" w:hAnsi="宋体"/>
          <w:bCs/>
          <w:szCs w:val="21"/>
          <w:highlight w:val="none"/>
        </w:rPr>
        <w:fldChar w:fldCharType="separate"/>
      </w:r>
      <w:r>
        <w:rPr>
          <w:rFonts w:hint="eastAsia" w:ascii="宋体" w:hAnsi="宋体"/>
          <w:bCs/>
          <w:szCs w:val="21"/>
          <w:highlight w:val="none"/>
        </w:rPr>
        <w:t>②</w:t>
      </w:r>
      <w:r>
        <w:rPr>
          <w:rFonts w:hint="eastAsia" w:ascii="宋体" w:hAnsi="宋体"/>
          <w:bCs/>
          <w:szCs w:val="21"/>
          <w:highlight w:val="none"/>
        </w:rPr>
        <w:fldChar w:fldCharType="end"/>
      </w:r>
      <w:r>
        <w:rPr>
          <w:rFonts w:hint="eastAsia" w:ascii="宋体" w:hAnsi="宋体"/>
          <w:bCs/>
          <w:szCs w:val="21"/>
          <w:highlight w:val="none"/>
        </w:rPr>
        <w:t xml:space="preserve"> 联合国、美国和本协议履行地或本协议项下船舶装载货物可能进入或途经的国家（包括欧盟）现行有效的任何其他出口限制或制裁清单中的人士。</w:t>
      </w:r>
    </w:p>
    <w:p w14:paraId="608FEEBD">
      <w:pPr>
        <w:snapToGrid w:val="0"/>
        <w:spacing w:line="360" w:lineRule="auto"/>
        <w:ind w:left="840" w:leftChars="200" w:right="86" w:hanging="420" w:hangingChars="200"/>
        <w:rPr>
          <w:rFonts w:ascii="宋体" w:hAnsi="宋体"/>
          <w:bCs/>
          <w:szCs w:val="21"/>
          <w:highlight w:val="none"/>
        </w:rPr>
      </w:pPr>
      <w:r>
        <w:rPr>
          <w:rFonts w:hint="eastAsia" w:ascii="宋体" w:hAnsi="宋体"/>
          <w:bCs/>
          <w:szCs w:val="21"/>
          <w:highlight w:val="none"/>
        </w:rPr>
        <w:t>（上述提到的人士以下统称“受限方”）</w:t>
      </w:r>
    </w:p>
    <w:p w14:paraId="5876AF3A">
      <w:pPr>
        <w:numPr>
          <w:ilvl w:val="1"/>
          <w:numId w:val="22"/>
        </w:numPr>
        <w:adjustRightInd w:val="0"/>
        <w:snapToGrid w:val="0"/>
        <w:spacing w:line="360" w:lineRule="auto"/>
        <w:rPr>
          <w:rFonts w:ascii="宋体" w:hAnsi="宋体"/>
          <w:bCs/>
          <w:szCs w:val="21"/>
          <w:highlight w:val="none"/>
        </w:rPr>
      </w:pPr>
      <w:r>
        <w:rPr>
          <w:rFonts w:hint="eastAsia" w:ascii="宋体" w:hAnsi="宋体"/>
          <w:bCs/>
          <w:szCs w:val="21"/>
          <w:highlight w:val="none"/>
        </w:rPr>
        <w:t>任何受限方在本协议项下不享有任何利益或财产权益，不参与任何与本协议有关的事项，不会就本协议的履行获得任何其他金融或经济利益。</w:t>
      </w:r>
    </w:p>
    <w:p w14:paraId="18DFE502">
      <w:pPr>
        <w:numPr>
          <w:ilvl w:val="0"/>
          <w:numId w:val="22"/>
        </w:numPr>
        <w:snapToGrid w:val="0"/>
        <w:spacing w:line="360" w:lineRule="auto"/>
        <w:ind w:right="1"/>
        <w:rPr>
          <w:rFonts w:ascii="宋体" w:hAnsi="宋体"/>
          <w:bCs/>
          <w:szCs w:val="21"/>
          <w:highlight w:val="none"/>
        </w:rPr>
      </w:pPr>
      <w:r>
        <w:rPr>
          <w:rFonts w:hint="eastAsia" w:ascii="宋体" w:hAnsi="宋体"/>
          <w:bCs/>
          <w:szCs w:val="21"/>
          <w:highlight w:val="none"/>
        </w:rPr>
        <w:t>除非相关出口及制裁法规允许，任何一方均不会将本协议项下获得的物品、技术、服务或资金（如有）用于资助、协助、支持受限方（或与受限方相关）的活动或业务、受制裁的交易（或与受制裁的交易相关的）行为或业务，或以任何其他形式违反出口及制裁法规。</w:t>
      </w:r>
    </w:p>
    <w:p w14:paraId="397E5DE3">
      <w:pPr>
        <w:numPr>
          <w:ilvl w:val="0"/>
          <w:numId w:val="22"/>
        </w:numPr>
        <w:snapToGrid w:val="0"/>
        <w:spacing w:line="360" w:lineRule="auto"/>
        <w:ind w:right="1"/>
        <w:rPr>
          <w:rFonts w:ascii="宋体" w:hAnsi="宋体"/>
          <w:bCs/>
          <w:szCs w:val="21"/>
          <w:highlight w:val="none"/>
        </w:rPr>
      </w:pPr>
      <w:r>
        <w:rPr>
          <w:rFonts w:hint="eastAsia" w:ascii="宋体" w:hAnsi="宋体"/>
          <w:bCs/>
          <w:szCs w:val="21"/>
          <w:highlight w:val="none"/>
        </w:rPr>
        <w:t>交易对象、其委托人、其代表不得在未取得出口及制裁法规授权的政府机关事先许可的情况下，要求奥吉实业、船方及其子公司、代理或分包商直接或间接提供：（1）涉及任何出口及制裁法规下被禁止的国家、公司或个人的运输、转关或其他服务；（2）任何导致奥吉实业、船方及其子公司、代理或分包商违反任何出口及制裁法规的运输、转关或其他服务。交易对象、其委托人、其代表同意在奥吉实业要求时，提供材料、信息、保证或声明证明、保证其要求奥吉实业、船方及其子公司、代理或分包商直接或间接提供的运输、转关或其他服务符合出口及制裁法规。</w:t>
      </w:r>
    </w:p>
    <w:p w14:paraId="21EB6929">
      <w:pPr>
        <w:numPr>
          <w:ilvl w:val="0"/>
          <w:numId w:val="22"/>
        </w:numPr>
        <w:snapToGrid w:val="0"/>
        <w:spacing w:line="360" w:lineRule="auto"/>
        <w:ind w:right="1"/>
        <w:rPr>
          <w:rFonts w:ascii="宋体" w:hAnsi="宋体"/>
          <w:bCs/>
          <w:szCs w:val="21"/>
          <w:highlight w:val="none"/>
        </w:rPr>
      </w:pPr>
      <w:r>
        <w:rPr>
          <w:rFonts w:hint="eastAsia" w:ascii="宋体" w:hAnsi="宋体"/>
          <w:bCs/>
          <w:szCs w:val="21"/>
          <w:highlight w:val="none"/>
        </w:rPr>
        <w:t>交易对象、其委托人、其代表，或奥吉实业、船方及其子公司、代理或分包商根据本协议承运货物的收货人、托运人\发货人、通知方以及提供服务涉及的服务接收方一旦被列入任何出口限制或制裁清单，包括但不限于特别指定国民名单、行业制裁识别清单、外国被制裁者名单、实体名单、拒绝人员名单、未经核实名单或其他类似的美国或其他辖区可适用的制裁清单，奥吉实业、船方及其子公司、代理或分包商有权随时通过书面通知终止本协议或终止履行本协议项下义务。</w:t>
      </w:r>
    </w:p>
    <w:p w14:paraId="66457116">
      <w:pPr>
        <w:numPr>
          <w:ilvl w:val="0"/>
          <w:numId w:val="22"/>
        </w:numPr>
        <w:snapToGrid w:val="0"/>
        <w:spacing w:line="360" w:lineRule="auto"/>
        <w:ind w:right="1"/>
        <w:rPr>
          <w:rFonts w:ascii="宋体" w:hAnsi="宋体"/>
          <w:bCs/>
          <w:szCs w:val="21"/>
          <w:highlight w:val="none"/>
        </w:rPr>
      </w:pPr>
      <w:r>
        <w:rPr>
          <w:rFonts w:hint="eastAsia" w:ascii="宋体" w:hAnsi="宋体"/>
          <w:bCs/>
          <w:szCs w:val="21"/>
          <w:highlight w:val="none"/>
        </w:rPr>
        <w:t>若任何本协议项下义务的履行被出口及制裁法规禁止，各方均可免于履行该等义务。在此情况下，该等义务履行方(以下称“受影响方”)应在合理时间内尽快就受影响的义务向另一方发出书面通知。通知一经发出，在不承担任何责任(包括但不限于任何违约损害赔偿、罚款、成本、费用和开支)的情况下，受影响方有权：</w:t>
      </w:r>
    </w:p>
    <w:p w14:paraId="701F2E52">
      <w:pPr>
        <w:numPr>
          <w:ilvl w:val="1"/>
          <w:numId w:val="22"/>
        </w:numPr>
        <w:adjustRightInd w:val="0"/>
        <w:snapToGrid w:val="0"/>
        <w:spacing w:line="360" w:lineRule="auto"/>
        <w:rPr>
          <w:rFonts w:ascii="宋体" w:hAnsi="宋体"/>
          <w:bCs/>
          <w:szCs w:val="21"/>
          <w:highlight w:val="none"/>
        </w:rPr>
      </w:pPr>
      <w:r>
        <w:rPr>
          <w:rFonts w:hint="eastAsia" w:ascii="宋体" w:hAnsi="宋体"/>
          <w:bCs/>
          <w:szCs w:val="21"/>
          <w:highlight w:val="none"/>
        </w:rPr>
        <w:t>立即中止受影响义务的履行(无论是付款或其他履行)，直至该义务不再受影响为止；及/或</w:t>
      </w:r>
    </w:p>
    <w:p w14:paraId="46287715">
      <w:pPr>
        <w:numPr>
          <w:ilvl w:val="1"/>
          <w:numId w:val="22"/>
        </w:numPr>
        <w:adjustRightInd w:val="0"/>
        <w:snapToGrid w:val="0"/>
        <w:spacing w:line="360" w:lineRule="auto"/>
        <w:rPr>
          <w:rFonts w:ascii="宋体" w:hAnsi="宋体"/>
          <w:bCs/>
          <w:szCs w:val="21"/>
          <w:highlight w:val="none"/>
        </w:rPr>
      </w:pPr>
      <w:r>
        <w:rPr>
          <w:rFonts w:hint="eastAsia" w:ascii="宋体" w:hAnsi="宋体"/>
          <w:bCs/>
          <w:szCs w:val="21"/>
          <w:highlight w:val="none"/>
        </w:rPr>
        <w:t>终止该受影响义务的履行，如果合同到期时该义务仍被禁止履行，或有合理理由预期至合同到期该义务仍被禁止履行，但对已经交付货物或已经提供服务的付款义务除外。受影响的付款义务应继续暂停直至付款义务不再受影响，该暂停的付款义务不影响未付款项的利息计算。</w:t>
      </w:r>
    </w:p>
    <w:p w14:paraId="23415084">
      <w:pPr>
        <w:numPr>
          <w:ilvl w:val="0"/>
          <w:numId w:val="22"/>
        </w:numPr>
        <w:snapToGrid w:val="0"/>
        <w:spacing w:line="360" w:lineRule="auto"/>
        <w:ind w:right="86"/>
        <w:rPr>
          <w:rFonts w:ascii="宋体" w:hAnsi="宋体"/>
          <w:bCs/>
          <w:szCs w:val="21"/>
          <w:highlight w:val="none"/>
        </w:rPr>
      </w:pPr>
      <w:r>
        <w:rPr>
          <w:rFonts w:hint="eastAsia" w:ascii="宋体" w:hAnsi="宋体"/>
          <w:bCs/>
          <w:szCs w:val="21"/>
          <w:highlight w:val="none"/>
        </w:rPr>
        <w:t>交易对象和奥吉实业同意，若任何一方(以下简称“变更方”) 在本出口及制裁合规条款 (以下简称“本合规条款”) 下的陈述、保证、信息不再准确或完整，变更方应立即通知另一方,并提供一份相关情况变更的详细报告。</w:t>
      </w:r>
    </w:p>
    <w:p w14:paraId="65200885">
      <w:pPr>
        <w:numPr>
          <w:ilvl w:val="0"/>
          <w:numId w:val="22"/>
        </w:numPr>
        <w:snapToGrid w:val="0"/>
        <w:spacing w:line="360" w:lineRule="auto"/>
        <w:ind w:right="1"/>
        <w:rPr>
          <w:rFonts w:ascii="宋体" w:hAnsi="宋体"/>
          <w:bCs/>
          <w:szCs w:val="21"/>
          <w:highlight w:val="none"/>
        </w:rPr>
      </w:pPr>
      <w:r>
        <w:rPr>
          <w:rFonts w:hint="eastAsia" w:ascii="宋体" w:hAnsi="宋体"/>
          <w:bCs/>
          <w:szCs w:val="21"/>
          <w:highlight w:val="none"/>
        </w:rPr>
        <w:t>任何一方（以下简称“违约方”）有以下情形之一，另一方（以下简称“守约方”）有权立即通过书面通知终止本协议：违反本合规条款、未就本合规条款下陈述、保证或信息的变更情况通知守约方或未提供信息证明其遵守本合规条款。以上情形均视为对本协议的根本违约</w:t>
      </w:r>
      <w:r>
        <w:rPr>
          <w:rFonts w:hint="eastAsia" w:ascii="宋体" w:hAnsi="宋体"/>
          <w:szCs w:val="21"/>
          <w:highlight w:val="none"/>
        </w:rPr>
        <w:t>。</w:t>
      </w:r>
    </w:p>
    <w:p w14:paraId="4AB0C70E">
      <w:pPr>
        <w:numPr>
          <w:ilvl w:val="0"/>
          <w:numId w:val="22"/>
        </w:numPr>
        <w:tabs>
          <w:tab w:val="clear" w:pos="360"/>
        </w:tabs>
        <w:snapToGrid w:val="0"/>
        <w:spacing w:line="360" w:lineRule="auto"/>
        <w:ind w:right="1"/>
        <w:rPr>
          <w:rFonts w:ascii="宋体" w:hAnsi="宋体"/>
          <w:bCs/>
          <w:szCs w:val="21"/>
          <w:highlight w:val="none"/>
        </w:rPr>
      </w:pPr>
      <w:r>
        <w:rPr>
          <w:rFonts w:hint="eastAsia" w:ascii="宋体" w:hAnsi="宋体"/>
          <w:bCs/>
          <w:szCs w:val="21"/>
          <w:highlight w:val="none"/>
        </w:rPr>
        <w:t>违约方同意赔偿守约方因违约方违反本合规条款而遭受或产生的任何罚款、索赔、损失、损害赔偿、成本(包括法律费用)、开支和责任。</w:t>
      </w:r>
    </w:p>
    <w:p w14:paraId="7B8BAEBE">
      <w:pPr>
        <w:widowControl/>
        <w:jc w:val="left"/>
        <w:rPr>
          <w:rFonts w:ascii="宋体" w:hAnsi="宋体" w:cstheme="minorBidi"/>
          <w:b/>
          <w:color w:val="000000" w:themeColor="text1"/>
          <w:sz w:val="52"/>
          <w:szCs w:val="22"/>
          <w:highlight w:val="none"/>
          <w14:textFill>
            <w14:solidFill>
              <w14:schemeClr w14:val="tx1"/>
            </w14:solidFill>
          </w14:textFill>
        </w:rPr>
      </w:pPr>
      <w:r>
        <w:rPr>
          <w:rFonts w:ascii="宋体" w:hAnsi="宋体"/>
          <w:b/>
          <w:color w:val="000000" w:themeColor="text1"/>
          <w:sz w:val="52"/>
          <w:highlight w:val="none"/>
          <w14:textFill>
            <w14:solidFill>
              <w14:schemeClr w14:val="tx1"/>
            </w14:solidFill>
          </w14:textFill>
        </w:rPr>
        <w:br w:type="page"/>
      </w:r>
    </w:p>
    <w:p w14:paraId="0CEE83E8">
      <w:pPr>
        <w:pStyle w:val="45"/>
        <w:jc w:val="center"/>
        <w:outlineLvl w:val="0"/>
        <w:rPr>
          <w:b/>
          <w:color w:val="000000" w:themeColor="text1"/>
          <w:sz w:val="52"/>
          <w:highlight w:val="none"/>
          <w14:textFill>
            <w14:solidFill>
              <w14:schemeClr w14:val="tx1"/>
            </w14:solidFill>
          </w14:textFill>
        </w:rPr>
      </w:pPr>
      <w:bookmarkStart w:id="1031" w:name="_Hlk81302454"/>
    </w:p>
    <w:p w14:paraId="35471F78">
      <w:pPr>
        <w:pStyle w:val="45"/>
        <w:jc w:val="center"/>
        <w:outlineLvl w:val="0"/>
        <w:rPr>
          <w:b/>
          <w:color w:val="000000" w:themeColor="text1"/>
          <w:sz w:val="52"/>
          <w:highlight w:val="none"/>
          <w14:textFill>
            <w14:solidFill>
              <w14:schemeClr w14:val="tx1"/>
            </w14:solidFill>
          </w14:textFill>
        </w:rPr>
      </w:pPr>
    </w:p>
    <w:p w14:paraId="048EFD50">
      <w:pPr>
        <w:pStyle w:val="45"/>
        <w:jc w:val="center"/>
        <w:outlineLvl w:val="0"/>
        <w:rPr>
          <w:b/>
          <w:color w:val="000000" w:themeColor="text1"/>
          <w:sz w:val="52"/>
          <w:highlight w:val="none"/>
          <w14:textFill>
            <w14:solidFill>
              <w14:schemeClr w14:val="tx1"/>
            </w14:solidFill>
          </w14:textFill>
        </w:rPr>
      </w:pPr>
    </w:p>
    <w:p w14:paraId="0577F29C">
      <w:pPr>
        <w:pStyle w:val="45"/>
        <w:jc w:val="center"/>
        <w:outlineLvl w:val="0"/>
        <w:rPr>
          <w:b/>
          <w:color w:val="000000" w:themeColor="text1"/>
          <w:sz w:val="52"/>
          <w:highlight w:val="none"/>
          <w14:textFill>
            <w14:solidFill>
              <w14:schemeClr w14:val="tx1"/>
            </w14:solidFill>
          </w14:textFill>
        </w:rPr>
      </w:pPr>
    </w:p>
    <w:p w14:paraId="65A30471">
      <w:pPr>
        <w:pStyle w:val="45"/>
        <w:jc w:val="center"/>
        <w:outlineLvl w:val="0"/>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第六部分</w:t>
      </w:r>
    </w:p>
    <w:p w14:paraId="39EE3E9D">
      <w:pPr>
        <w:pStyle w:val="45"/>
        <w:jc w:val="center"/>
        <w:rPr>
          <w:b/>
          <w:color w:val="000000" w:themeColor="text1"/>
          <w:sz w:val="52"/>
          <w:highlight w:val="none"/>
          <w14:textFill>
            <w14:solidFill>
              <w14:schemeClr w14:val="tx1"/>
            </w14:solidFill>
          </w14:textFill>
        </w:rPr>
      </w:pPr>
      <w:r>
        <w:rPr>
          <w:rFonts w:hint="eastAsia"/>
          <w:b/>
          <w:color w:val="000000" w:themeColor="text1"/>
          <w:sz w:val="52"/>
          <w:highlight w:val="none"/>
          <w14:textFill>
            <w14:solidFill>
              <w14:schemeClr w14:val="tx1"/>
            </w14:solidFill>
          </w14:textFill>
        </w:rPr>
        <w:t>格式附件</w:t>
      </w:r>
    </w:p>
    <w:p w14:paraId="03E4E588">
      <w:pPr>
        <w:pStyle w:val="45"/>
        <w:jc w:val="center"/>
        <w:rPr>
          <w:b/>
          <w:color w:val="000000" w:themeColor="text1"/>
          <w:highlight w:val="none"/>
          <w14:textFill>
            <w14:solidFill>
              <w14:schemeClr w14:val="tx1"/>
            </w14:solidFill>
          </w14:textFill>
        </w:rPr>
      </w:pPr>
    </w:p>
    <w:p w14:paraId="7F46335F">
      <w:pPr>
        <w:pStyle w:val="45"/>
        <w:jc w:val="center"/>
        <w:rPr>
          <w:b/>
          <w:color w:val="000000" w:themeColor="text1"/>
          <w:highlight w:val="none"/>
          <w14:textFill>
            <w14:solidFill>
              <w14:schemeClr w14:val="tx1"/>
            </w14:solidFill>
          </w14:textFill>
        </w:rPr>
      </w:pPr>
    </w:p>
    <w:p w14:paraId="432DC0B8">
      <w:pPr>
        <w:pStyle w:val="45"/>
        <w:jc w:val="both"/>
        <w:rPr>
          <w:b/>
          <w:color w:val="000000" w:themeColor="text1"/>
          <w:highlight w:val="none"/>
          <w14:textFill>
            <w14:solidFill>
              <w14:schemeClr w14:val="tx1"/>
            </w14:solidFill>
          </w14:textFill>
        </w:rPr>
      </w:pPr>
    </w:p>
    <w:p w14:paraId="3E7ACA7A">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bookmarkStart w:id="1032" w:name="_Hlk101275261"/>
      <w:r>
        <w:rPr>
          <w:rFonts w:hint="eastAsia" w:ascii="宋体" w:hAnsi="宋体"/>
          <w:b/>
          <w:bCs/>
          <w:color w:val="000000" w:themeColor="text1"/>
          <w:spacing w:val="20"/>
          <w:sz w:val="24"/>
          <w:szCs w:val="32"/>
          <w:highlight w:val="none"/>
          <w14:textFill>
            <w14:solidFill>
              <w14:schemeClr w14:val="tx1"/>
            </w14:solidFill>
          </w14:textFill>
        </w:rPr>
        <w:br w:type="page"/>
      </w:r>
    </w:p>
    <w:p w14:paraId="3BCCA6CD">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w:t>
      </w:r>
      <w:r>
        <w:rPr>
          <w:rFonts w:ascii="宋体" w:hAnsi="宋体"/>
          <w:b/>
          <w:bCs/>
          <w:color w:val="000000" w:themeColor="text1"/>
          <w:spacing w:val="20"/>
          <w:sz w:val="24"/>
          <w:szCs w:val="32"/>
          <w:highlight w:val="none"/>
          <w14:textFill>
            <w14:solidFill>
              <w14:schemeClr w14:val="tx1"/>
            </w14:solidFill>
          </w14:textFill>
        </w:rPr>
        <w:t>1</w:t>
      </w:r>
    </w:p>
    <w:p w14:paraId="3527E7F5">
      <w:pPr>
        <w:widowControl/>
        <w:autoSpaceDE w:val="0"/>
        <w:autoSpaceDN w:val="0"/>
        <w:spacing w:line="500" w:lineRule="atLeast"/>
        <w:jc w:val="center"/>
        <w:textAlignment w:val="bottom"/>
        <w:rPr>
          <w:rFonts w:ascii="宋体" w:hAnsi="宋体"/>
          <w:b/>
          <w:color w:val="000000" w:themeColor="text1"/>
          <w:spacing w:val="60"/>
          <w:sz w:val="36"/>
          <w:highlight w:val="none"/>
          <w14:textFill>
            <w14:solidFill>
              <w14:schemeClr w14:val="tx1"/>
            </w14:solidFill>
          </w14:textFill>
        </w:rPr>
      </w:pPr>
      <w:r>
        <w:rPr>
          <w:rFonts w:hint="eastAsia" w:ascii="宋体" w:hAnsi="宋体"/>
          <w:b/>
          <w:color w:val="000000" w:themeColor="text1"/>
          <w:spacing w:val="60"/>
          <w:sz w:val="36"/>
          <w:highlight w:val="none"/>
          <w14:textFill>
            <w14:solidFill>
              <w14:schemeClr w14:val="tx1"/>
            </w14:solidFill>
          </w14:textFill>
        </w:rPr>
        <w:t xml:space="preserve">响  应 </w:t>
      </w:r>
      <w:r>
        <w:rPr>
          <w:rFonts w:ascii="宋体" w:hAnsi="宋体"/>
          <w:b/>
          <w:color w:val="000000" w:themeColor="text1"/>
          <w:spacing w:val="60"/>
          <w:sz w:val="36"/>
          <w:highlight w:val="none"/>
          <w14:textFill>
            <w14:solidFill>
              <w14:schemeClr w14:val="tx1"/>
            </w14:solidFill>
          </w14:textFill>
        </w:rPr>
        <w:t xml:space="preserve"> </w:t>
      </w:r>
      <w:r>
        <w:rPr>
          <w:rFonts w:hint="eastAsia" w:ascii="宋体" w:hAnsi="宋体"/>
          <w:b/>
          <w:color w:val="000000" w:themeColor="text1"/>
          <w:spacing w:val="60"/>
          <w:sz w:val="36"/>
          <w:highlight w:val="none"/>
          <w14:textFill>
            <w14:solidFill>
              <w14:schemeClr w14:val="tx1"/>
            </w14:solidFill>
          </w14:textFill>
        </w:rPr>
        <w:t>函</w:t>
      </w:r>
    </w:p>
    <w:p w14:paraId="56FA618B">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致：</w:t>
      </w:r>
    </w:p>
    <w:p w14:paraId="5E7CEC88">
      <w:pPr>
        <w:suppressAutoHyphens/>
        <w:kinsoku w:val="0"/>
        <w:overflowPunct w:val="0"/>
        <w:autoSpaceDE w:val="0"/>
        <w:autoSpaceDN w:val="0"/>
        <w:snapToGrid w:val="0"/>
        <w:spacing w:line="500" w:lineRule="atLeast"/>
        <w:textAlignment w:val="bottom"/>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1．在考察了工程现场和研究了</w:t>
      </w: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 xml:space="preserve"> 工程的</w:t>
      </w:r>
      <w:r>
        <w:rPr>
          <w:rFonts w:hint="eastAsia" w:ascii="宋体" w:hAnsi="宋体" w:cs="宋体"/>
          <w:color w:val="000000" w:themeColor="text1"/>
          <w:spacing w:val="-10"/>
          <w:sz w:val="24"/>
          <w:highlight w:val="none"/>
          <w14:textFill>
            <w14:solidFill>
              <w14:schemeClr w14:val="tx1"/>
            </w14:solidFill>
          </w14:textFill>
        </w:rPr>
        <w:t>谈判</w:t>
      </w:r>
      <w:r>
        <w:rPr>
          <w:rFonts w:hint="eastAsia" w:ascii="宋体" w:hAnsi="宋体"/>
          <w:color w:val="000000" w:themeColor="text1"/>
          <w:kern w:val="0"/>
          <w:sz w:val="24"/>
          <w:highlight w:val="none"/>
          <w14:textFill>
            <w14:solidFill>
              <w14:schemeClr w14:val="tx1"/>
            </w14:solidFill>
          </w14:textFill>
        </w:rPr>
        <w:t>邀请书</w:t>
      </w:r>
      <w:r>
        <w:rPr>
          <w:rFonts w:hint="eastAsia" w:ascii="宋体" w:hAnsi="宋体"/>
          <w:color w:val="000000" w:themeColor="text1"/>
          <w:sz w:val="24"/>
          <w:szCs w:val="22"/>
          <w:highlight w:val="none"/>
          <w14:textFill>
            <w14:solidFill>
              <w14:schemeClr w14:val="tx1"/>
            </w14:solidFill>
          </w14:textFill>
        </w:rPr>
        <w:t>、供应商须知、谈判文件内容、合同文件、设计施工图纸及附件后，我方愿以人民币(大写):</w:t>
      </w:r>
    </w:p>
    <w:p w14:paraId="798B11D7">
      <w:pPr>
        <w:suppressAutoHyphens/>
        <w:kinsoku w:val="0"/>
        <w:overflowPunct w:val="0"/>
        <w:autoSpaceDE w:val="0"/>
        <w:autoSpaceDN w:val="0"/>
        <w:snapToGrid w:val="0"/>
        <w:spacing w:line="500" w:lineRule="atLeast"/>
        <w:textAlignment w:val="bottom"/>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的总价按上述谈判文件内容、施工图纸的条件要求承包上述工程的施工、完工和维修。</w:t>
      </w:r>
    </w:p>
    <w:p w14:paraId="67386FA5">
      <w:pPr>
        <w:spacing w:line="500" w:lineRule="atLeast"/>
        <w:rPr>
          <w:rFonts w:ascii="宋体" w:hAnsi="宋体"/>
          <w:color w:val="000000" w:themeColor="text1"/>
          <w:sz w:val="24"/>
          <w:szCs w:val="22"/>
          <w:highlight w:val="none"/>
          <w14:textFill>
            <w14:solidFill>
              <w14:schemeClr w14:val="tx1"/>
            </w14:solidFill>
          </w14:textFill>
        </w:rPr>
      </w:pPr>
      <w:r>
        <w:rPr>
          <w:rFonts w:ascii="宋体" w:hAnsi="宋体"/>
          <w:color w:val="000000" w:themeColor="text1"/>
          <w:sz w:val="24"/>
          <w:szCs w:val="22"/>
          <w:highlight w:val="none"/>
          <w14:textFill>
            <w14:solidFill>
              <w14:schemeClr w14:val="tx1"/>
            </w14:solidFill>
          </w14:textFill>
        </w:rPr>
        <w:t xml:space="preserve">2. </w:t>
      </w:r>
      <w:r>
        <w:rPr>
          <w:rFonts w:hint="eastAsia" w:ascii="宋体" w:hAnsi="宋体"/>
          <w:color w:val="000000" w:themeColor="text1"/>
          <w:sz w:val="24"/>
          <w:szCs w:val="22"/>
          <w:highlight w:val="none"/>
          <w14:textFill>
            <w14:solidFill>
              <w14:schemeClr w14:val="tx1"/>
            </w14:solidFill>
          </w14:textFill>
        </w:rPr>
        <w:t>我方保证从投递标书之日起至报价有效期内遵守本响应文件。在此期限之内，本响应文件对我方始终有约束力，并可随时被贵方接受。</w:t>
      </w:r>
    </w:p>
    <w:p w14:paraId="7B200799">
      <w:pPr>
        <w:spacing w:line="500" w:lineRule="atLeast"/>
        <w:rPr>
          <w:rFonts w:ascii="宋体" w:hAnsi="宋体"/>
          <w:color w:val="000000" w:themeColor="text1"/>
          <w:sz w:val="24"/>
          <w:szCs w:val="22"/>
          <w:highlight w:val="none"/>
          <w14:textFill>
            <w14:solidFill>
              <w14:schemeClr w14:val="tx1"/>
            </w14:solidFill>
          </w14:textFill>
        </w:rPr>
      </w:pPr>
      <w:r>
        <w:rPr>
          <w:rFonts w:ascii="宋体" w:hAnsi="宋体"/>
          <w:color w:val="000000" w:themeColor="text1"/>
          <w:sz w:val="24"/>
          <w:szCs w:val="22"/>
          <w:highlight w:val="none"/>
          <w14:textFill>
            <w14:solidFill>
              <w14:schemeClr w14:val="tx1"/>
            </w14:solidFill>
          </w14:textFill>
        </w:rPr>
        <w:t xml:space="preserve">3. </w:t>
      </w:r>
      <w:r>
        <w:rPr>
          <w:rFonts w:hint="eastAsia" w:ascii="宋体" w:hAnsi="宋体"/>
          <w:color w:val="000000" w:themeColor="text1"/>
          <w:sz w:val="24"/>
          <w:szCs w:val="22"/>
          <w:highlight w:val="none"/>
          <w14:textFill>
            <w14:solidFill>
              <w14:schemeClr w14:val="tx1"/>
            </w14:solidFill>
          </w14:textFill>
        </w:rPr>
        <w:t>如贵方接受我方响应文件，我方保证按照采购人的要求，组织施工的技术力量及管理力量，安排人员及设备，作好进场准备，并在开工令规定的期限内开工。</w:t>
      </w:r>
    </w:p>
    <w:p w14:paraId="16D05FB0">
      <w:pPr>
        <w:spacing w:line="500" w:lineRule="atLeast"/>
        <w:rPr>
          <w:rFonts w:ascii="宋体" w:hAnsi="宋体"/>
          <w:color w:val="000000" w:themeColor="text1"/>
          <w:sz w:val="24"/>
          <w:szCs w:val="22"/>
          <w:highlight w:val="none"/>
          <w14:textFill>
            <w14:solidFill>
              <w14:schemeClr w14:val="tx1"/>
            </w14:solidFill>
          </w14:textFill>
        </w:rPr>
      </w:pPr>
      <w:r>
        <w:rPr>
          <w:rFonts w:ascii="宋体" w:hAnsi="宋体"/>
          <w:color w:val="000000" w:themeColor="text1"/>
          <w:sz w:val="24"/>
          <w:szCs w:val="22"/>
          <w:highlight w:val="none"/>
          <w14:textFill>
            <w14:solidFill>
              <w14:schemeClr w14:val="tx1"/>
            </w14:solidFill>
          </w14:textFill>
        </w:rPr>
        <w:t xml:space="preserve">4. </w:t>
      </w:r>
      <w:r>
        <w:rPr>
          <w:rFonts w:hint="eastAsia" w:ascii="宋体" w:hAnsi="宋体"/>
          <w:color w:val="000000" w:themeColor="text1"/>
          <w:sz w:val="24"/>
          <w:szCs w:val="22"/>
          <w:highlight w:val="none"/>
          <w14:textFill>
            <w14:solidFill>
              <w14:schemeClr w14:val="tx1"/>
            </w14:solidFill>
          </w14:textFill>
        </w:rPr>
        <w:t>如果贵方接受我方响应文件，我方保证遵守贵方的书面成交通知书。在制订和签署正式合同协议之前，本响应文件连同贵方的成交通知书应成为约束双方的合同。</w:t>
      </w:r>
    </w:p>
    <w:p w14:paraId="52F39404">
      <w:pPr>
        <w:spacing w:line="500" w:lineRule="atLeast"/>
        <w:rPr>
          <w:rFonts w:ascii="宋体" w:hAnsi="宋体"/>
          <w:color w:val="000000" w:themeColor="text1"/>
          <w:sz w:val="24"/>
          <w:szCs w:val="22"/>
          <w:highlight w:val="none"/>
          <w14:textFill>
            <w14:solidFill>
              <w14:schemeClr w14:val="tx1"/>
            </w14:solidFill>
          </w14:textFill>
        </w:rPr>
      </w:pPr>
      <w:r>
        <w:rPr>
          <w:rFonts w:ascii="宋体" w:hAnsi="宋体"/>
          <w:color w:val="000000" w:themeColor="text1"/>
          <w:sz w:val="24"/>
          <w:szCs w:val="22"/>
          <w:highlight w:val="none"/>
          <w14:textFill>
            <w14:solidFill>
              <w14:schemeClr w14:val="tx1"/>
            </w14:solidFill>
          </w14:textFill>
        </w:rPr>
        <w:t xml:space="preserve">5. </w:t>
      </w:r>
      <w:r>
        <w:rPr>
          <w:rFonts w:hint="eastAsia" w:ascii="宋体" w:hAnsi="宋体"/>
          <w:color w:val="000000" w:themeColor="text1"/>
          <w:sz w:val="24"/>
          <w:szCs w:val="22"/>
          <w:highlight w:val="none"/>
          <w14:textFill>
            <w14:solidFill>
              <w14:schemeClr w14:val="tx1"/>
            </w14:solidFill>
          </w14:textFill>
        </w:rPr>
        <w:t>我方理解贵方不一定接受我方的响应文件。</w:t>
      </w:r>
    </w:p>
    <w:p w14:paraId="65823651">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6</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我方声明报价文件及所提供的一切资料均真实无误及有效。由于我方提供资料不实而造成的责任和后果由我方承担。我方同意按照贵方提出的要求，提供与谈判有关的任何其它数据或信息。</w:t>
      </w:r>
    </w:p>
    <w:p w14:paraId="4F6AAB99">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7</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我方承诺自愿遵守、执行采购人管理法规制度及政策规定。</w:t>
      </w:r>
    </w:p>
    <w:p w14:paraId="4A45F52E">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公司名称（盖章）：</w:t>
      </w:r>
    </w:p>
    <w:p w14:paraId="78DBD56D">
      <w:pPr>
        <w:spacing w:line="500" w:lineRule="atLeast"/>
        <w:rPr>
          <w:rFonts w:ascii="宋体" w:hAnsi="宋体"/>
          <w:color w:val="000000" w:themeColor="text1"/>
          <w:sz w:val="24"/>
          <w:szCs w:val="22"/>
          <w:highlight w:val="none"/>
          <w14:textFill>
            <w14:solidFill>
              <w14:schemeClr w14:val="tx1"/>
            </w14:solidFill>
          </w14:textFill>
        </w:rPr>
      </w:pPr>
    </w:p>
    <w:p w14:paraId="2497B022">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法定代表人（盖章）：</w:t>
      </w:r>
    </w:p>
    <w:p w14:paraId="6A4CD3CD">
      <w:pPr>
        <w:spacing w:line="500" w:lineRule="atLeast"/>
        <w:rPr>
          <w:rFonts w:ascii="宋体" w:hAnsi="宋体"/>
          <w:color w:val="000000" w:themeColor="text1"/>
          <w:sz w:val="24"/>
          <w:szCs w:val="22"/>
          <w:highlight w:val="none"/>
          <w14:textFill>
            <w14:solidFill>
              <w14:schemeClr w14:val="tx1"/>
            </w14:solidFill>
          </w14:textFill>
        </w:rPr>
      </w:pPr>
    </w:p>
    <w:p w14:paraId="20665C4E">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公司地址：</w:t>
      </w:r>
    </w:p>
    <w:p w14:paraId="11EFE758">
      <w:pPr>
        <w:spacing w:line="500" w:lineRule="atLeast"/>
        <w:rPr>
          <w:rFonts w:ascii="宋体" w:hAnsi="宋体"/>
          <w:color w:val="000000" w:themeColor="text1"/>
          <w:sz w:val="24"/>
          <w:szCs w:val="22"/>
          <w:highlight w:val="none"/>
          <w14:textFill>
            <w14:solidFill>
              <w14:schemeClr w14:val="tx1"/>
            </w14:solidFill>
          </w14:textFill>
        </w:rPr>
      </w:pPr>
    </w:p>
    <w:p w14:paraId="3B8AC7A0">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日    期：</w:t>
      </w:r>
    </w:p>
    <w:p w14:paraId="1E412A55">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ascii="宋体" w:hAnsi="宋体"/>
          <w:color w:val="000000" w:themeColor="text1"/>
          <w:spacing w:val="8"/>
          <w:highlight w:val="none"/>
          <w14:textFill>
            <w14:solidFill>
              <w14:schemeClr w14:val="tx1"/>
            </w14:solidFill>
          </w14:textFill>
        </w:rPr>
        <w:br w:type="page"/>
      </w:r>
      <w:r>
        <w:rPr>
          <w:rFonts w:hint="eastAsia" w:ascii="宋体" w:hAnsi="宋体"/>
          <w:b/>
          <w:bCs/>
          <w:color w:val="000000" w:themeColor="text1"/>
          <w:spacing w:val="20"/>
          <w:sz w:val="24"/>
          <w:szCs w:val="32"/>
          <w:highlight w:val="none"/>
          <w14:textFill>
            <w14:solidFill>
              <w14:schemeClr w14:val="tx1"/>
            </w14:solidFill>
          </w14:textFill>
        </w:rPr>
        <w:t>附件</w:t>
      </w:r>
      <w:r>
        <w:rPr>
          <w:rFonts w:ascii="宋体" w:hAnsi="宋体"/>
          <w:b/>
          <w:bCs/>
          <w:color w:val="000000" w:themeColor="text1"/>
          <w:spacing w:val="20"/>
          <w:sz w:val="24"/>
          <w:szCs w:val="32"/>
          <w:highlight w:val="none"/>
          <w14:textFill>
            <w14:solidFill>
              <w14:schemeClr w14:val="tx1"/>
            </w14:solidFill>
          </w14:textFill>
        </w:rPr>
        <w:t>2</w:t>
      </w:r>
    </w:p>
    <w:p w14:paraId="4501D160">
      <w:pPr>
        <w:spacing w:line="360" w:lineRule="auto"/>
        <w:ind w:left="444" w:leftChars="-171" w:right="31" w:rightChars="15" w:hanging="803" w:hangingChars="250"/>
        <w:jc w:val="center"/>
        <w:rPr>
          <w:rStyle w:val="100"/>
          <w:rFonts w:ascii="宋体" w:hAnsi="宋体"/>
          <w:color w:val="000000" w:themeColor="text1"/>
          <w:highlight w:val="none"/>
          <w14:textFill>
            <w14:solidFill>
              <w14:schemeClr w14:val="tx1"/>
            </w14:solidFill>
          </w14:textFill>
        </w:rPr>
      </w:pPr>
      <w:r>
        <w:rPr>
          <w:rStyle w:val="238"/>
          <w:rFonts w:hint="eastAsia" w:ascii="宋体" w:hAnsi="宋体"/>
          <w:color w:val="000000" w:themeColor="text1"/>
          <w:highlight w:val="none"/>
          <w14:textFill>
            <w14:solidFill>
              <w14:schemeClr w14:val="tx1"/>
            </w14:solidFill>
          </w14:textFill>
        </w:rPr>
        <w:t>响应承诺书</w:t>
      </w:r>
    </w:p>
    <w:p w14:paraId="71CA2930">
      <w:pPr>
        <w:spacing w:line="360" w:lineRule="auto"/>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本公司承诺：</w:t>
      </w:r>
    </w:p>
    <w:p w14:paraId="739B040E">
      <w:pPr>
        <w:spacing w:line="360" w:lineRule="auto"/>
        <w:ind w:firstLine="424" w:firstLineChars="177"/>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遵循公开、公平、公正和诚实守信的原则，参加本项目的</w:t>
      </w:r>
      <w:r>
        <w:rPr>
          <w:rFonts w:hint="eastAsia" w:ascii="宋体" w:hAnsi="宋体" w:cs="宋体"/>
          <w:color w:val="000000" w:themeColor="text1"/>
          <w:spacing w:val="-10"/>
          <w:sz w:val="24"/>
          <w:highlight w:val="none"/>
          <w14:textFill>
            <w14:solidFill>
              <w14:schemeClr w14:val="tx1"/>
            </w14:solidFill>
          </w14:textFill>
        </w:rPr>
        <w:t>谈判</w:t>
      </w:r>
      <w:r>
        <w:rPr>
          <w:rFonts w:hint="eastAsia" w:ascii="宋体" w:hAnsi="宋体"/>
          <w:color w:val="000000" w:themeColor="text1"/>
          <w:sz w:val="24"/>
          <w:szCs w:val="22"/>
          <w:highlight w:val="none"/>
          <w14:textFill>
            <w14:solidFill>
              <w14:schemeClr w14:val="tx1"/>
            </w14:solidFill>
          </w14:textFill>
        </w:rPr>
        <w:t>。</w:t>
      </w:r>
    </w:p>
    <w:p w14:paraId="1CF78366">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一、不提供有违真实的材料。</w:t>
      </w:r>
    </w:p>
    <w:p w14:paraId="5E78B2B3">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二、不与采购人或其他供应商串通采购，损害国家利益、社会利益或他人的合法权益。</w:t>
      </w:r>
    </w:p>
    <w:p w14:paraId="576C6447">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三、不向采购人或评审小组成员行贿，以谋取成交。</w:t>
      </w:r>
    </w:p>
    <w:p w14:paraId="744FDD2B">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四、不以他人名义提交响应文件或者其他方式弄虚作假，骗取成交。</w:t>
      </w:r>
    </w:p>
    <w:p w14:paraId="36E4B19C">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五、不进行缺乏事实根据或者法律依据的投诉。</w:t>
      </w:r>
    </w:p>
    <w:p w14:paraId="7E7E723A">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六、不在提交响应文件时哄抬价格或恶意压价。</w:t>
      </w:r>
    </w:p>
    <w:p w14:paraId="53F122FD">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七、遵守国家和本市安全、质量有关法律法规和规范性文件中关于质量员、安全员的数量和人选的相关规定。</w:t>
      </w:r>
    </w:p>
    <w:p w14:paraId="64D830EE">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八、加强对分包或劳务分包管理，对所分包工程的安全、质量和进度承担责任，不拖欠农民工工资，按时将分包合同报行政部门备案。</w:t>
      </w:r>
    </w:p>
    <w:p w14:paraId="54D9FF50">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九、按照谈判文件规定及合同约定，执行合理的施工工期。</w:t>
      </w:r>
    </w:p>
    <w:p w14:paraId="4A248CA2">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十、保证建筑材料符合相关标准和设计要求，不使用未经检测或者检测质量不合格的建筑材料。</w:t>
      </w:r>
    </w:p>
    <w:p w14:paraId="77340441">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十一、本公司若违反本响应文件承诺，愿承担相应的法律责任。</w:t>
      </w:r>
    </w:p>
    <w:p w14:paraId="219436EA">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十二、其他承诺：</w:t>
      </w: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 xml:space="preserve"> </w:t>
      </w:r>
    </w:p>
    <w:p w14:paraId="4E0B67E1">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p>
    <w:p w14:paraId="269CF769">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公司名称（盖章）： </w:t>
      </w:r>
    </w:p>
    <w:p w14:paraId="6ECC345C">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法定代表人（签字或盖章）： </w:t>
      </w:r>
    </w:p>
    <w:p w14:paraId="71184B95">
      <w:pPr>
        <w:spacing w:line="360" w:lineRule="auto"/>
        <w:ind w:left="360" w:hanging="360" w:hangingChars="15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年</w:t>
      </w: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月</w:t>
      </w: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日</w:t>
      </w:r>
    </w:p>
    <w:p w14:paraId="43440311">
      <w:pPr>
        <w:widowControl/>
        <w:autoSpaceDE w:val="0"/>
        <w:autoSpaceDN w:val="0"/>
        <w:spacing w:line="500" w:lineRule="atLeast"/>
        <w:textAlignment w:val="bottom"/>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14:paraId="5F1FFABF">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附件3-1</w:t>
      </w:r>
    </w:p>
    <w:p w14:paraId="68E351D1">
      <w:pPr>
        <w:widowControl/>
        <w:autoSpaceDE w:val="0"/>
        <w:autoSpaceDN w:val="0"/>
        <w:spacing w:line="500" w:lineRule="atLeast"/>
        <w:jc w:val="center"/>
        <w:textAlignment w:val="bottom"/>
        <w:rPr>
          <w:rFonts w:ascii="宋体" w:hAnsi="宋体"/>
          <w:b/>
          <w:color w:val="000000" w:themeColor="text1"/>
          <w:spacing w:val="60"/>
          <w:sz w:val="36"/>
          <w:highlight w:val="none"/>
          <w14:textFill>
            <w14:solidFill>
              <w14:schemeClr w14:val="tx1"/>
            </w14:solidFill>
          </w14:textFill>
        </w:rPr>
      </w:pPr>
      <w:r>
        <w:rPr>
          <w:rFonts w:hint="eastAsia" w:ascii="宋体" w:hAnsi="宋体"/>
          <w:b/>
          <w:color w:val="000000" w:themeColor="text1"/>
          <w:spacing w:val="60"/>
          <w:sz w:val="36"/>
          <w:highlight w:val="none"/>
          <w14:textFill>
            <w14:solidFill>
              <w14:schemeClr w14:val="tx1"/>
            </w14:solidFill>
          </w14:textFill>
        </w:rPr>
        <w:t>法定代表人证明</w:t>
      </w:r>
    </w:p>
    <w:p w14:paraId="73C6B65C">
      <w:pPr>
        <w:spacing w:before="240" w:beforeLines="100" w:after="120" w:afterLines="50"/>
        <w:rPr>
          <w:rFonts w:ascii="宋体" w:hAnsi="宋体"/>
          <w:color w:val="000000" w:themeColor="text1"/>
          <w:sz w:val="36"/>
          <w:szCs w:val="28"/>
          <w:highlight w:val="none"/>
          <w14:textFill>
            <w14:solidFill>
              <w14:schemeClr w14:val="tx1"/>
            </w14:solidFill>
          </w14:textFill>
        </w:rPr>
      </w:pPr>
    </w:p>
    <w:p w14:paraId="294ED5CB">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投 标 人：</w:t>
      </w:r>
      <w:r>
        <w:rPr>
          <w:rFonts w:hint="eastAsia" w:ascii="宋体" w:hAnsi="宋体"/>
          <w:color w:val="000000" w:themeColor="text1"/>
          <w:sz w:val="24"/>
          <w:szCs w:val="21"/>
          <w:highlight w:val="none"/>
          <w:u w:val="single"/>
          <w14:textFill>
            <w14:solidFill>
              <w14:schemeClr w14:val="tx1"/>
            </w14:solidFill>
          </w14:textFill>
        </w:rPr>
        <w:t xml:space="preserve">                                                        </w:t>
      </w:r>
    </w:p>
    <w:p w14:paraId="506C95A7">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单位性质：</w:t>
      </w:r>
      <w:r>
        <w:rPr>
          <w:rFonts w:hint="eastAsia" w:ascii="宋体" w:hAnsi="宋体"/>
          <w:color w:val="000000" w:themeColor="text1"/>
          <w:sz w:val="24"/>
          <w:szCs w:val="21"/>
          <w:highlight w:val="none"/>
          <w:u w:val="single"/>
          <w14:textFill>
            <w14:solidFill>
              <w14:schemeClr w14:val="tx1"/>
            </w14:solidFill>
          </w14:textFill>
        </w:rPr>
        <w:t xml:space="preserve">                                                        </w:t>
      </w:r>
    </w:p>
    <w:p w14:paraId="70B5F764">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地    址：</w:t>
      </w:r>
      <w:r>
        <w:rPr>
          <w:rFonts w:hint="eastAsia" w:ascii="宋体" w:hAnsi="宋体"/>
          <w:color w:val="000000" w:themeColor="text1"/>
          <w:sz w:val="24"/>
          <w:szCs w:val="21"/>
          <w:highlight w:val="none"/>
          <w:u w:val="single"/>
          <w14:textFill>
            <w14:solidFill>
              <w14:schemeClr w14:val="tx1"/>
            </w14:solidFill>
          </w14:textFill>
        </w:rPr>
        <w:t xml:space="preserve">                                                        </w:t>
      </w:r>
    </w:p>
    <w:p w14:paraId="0FE09B5C">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成立时间：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日</w:t>
      </w:r>
    </w:p>
    <w:p w14:paraId="36B4DEC8">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经营期限：</w:t>
      </w:r>
      <w:r>
        <w:rPr>
          <w:rFonts w:hint="eastAsia" w:ascii="宋体" w:hAnsi="宋体"/>
          <w:color w:val="000000" w:themeColor="text1"/>
          <w:sz w:val="24"/>
          <w:szCs w:val="21"/>
          <w:highlight w:val="none"/>
          <w:u w:val="single"/>
          <w14:textFill>
            <w14:solidFill>
              <w14:schemeClr w14:val="tx1"/>
            </w14:solidFill>
          </w14:textFill>
        </w:rPr>
        <w:t xml:space="preserve">                                                        </w:t>
      </w:r>
    </w:p>
    <w:p w14:paraId="53D367A3">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姓    名：</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性        别：</w:t>
      </w:r>
      <w:r>
        <w:rPr>
          <w:rFonts w:hint="eastAsia" w:ascii="宋体" w:hAnsi="宋体"/>
          <w:color w:val="000000" w:themeColor="text1"/>
          <w:sz w:val="24"/>
          <w:szCs w:val="21"/>
          <w:highlight w:val="none"/>
          <w:u w:val="single"/>
          <w14:textFill>
            <w14:solidFill>
              <w14:schemeClr w14:val="tx1"/>
            </w14:solidFill>
          </w14:textFill>
        </w:rPr>
        <w:t xml:space="preserve">                </w:t>
      </w:r>
    </w:p>
    <w:p w14:paraId="703BAEE7">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年    龄：</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职        务：</w:t>
      </w:r>
      <w:r>
        <w:rPr>
          <w:rFonts w:hint="eastAsia" w:ascii="宋体" w:hAnsi="宋体"/>
          <w:color w:val="000000" w:themeColor="text1"/>
          <w:sz w:val="24"/>
          <w:szCs w:val="21"/>
          <w:highlight w:val="none"/>
          <w:u w:val="single"/>
          <w14:textFill>
            <w14:solidFill>
              <w14:schemeClr w14:val="tx1"/>
            </w14:solidFill>
          </w14:textFill>
        </w:rPr>
        <w:t xml:space="preserve">                </w:t>
      </w:r>
    </w:p>
    <w:p w14:paraId="3CB1DA31">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系</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（供应商名称）的法定代表人。</w:t>
      </w:r>
    </w:p>
    <w:p w14:paraId="0E0C5076">
      <w:pPr>
        <w:spacing w:line="500" w:lineRule="exac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特此证明。</w:t>
      </w:r>
    </w:p>
    <w:tbl>
      <w:tblPr>
        <w:tblStyle w:val="88"/>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41BC139C">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14:paraId="564F7804">
            <w:pPr>
              <w:spacing w:line="44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粘贴法定代表人</w:t>
            </w:r>
            <w:r>
              <w:rPr>
                <w:rFonts w:ascii="宋体" w:hAnsi="宋体"/>
                <w:color w:val="000000" w:themeColor="text1"/>
                <w:highlight w:val="none"/>
                <w14:textFill>
                  <w14:solidFill>
                    <w14:schemeClr w14:val="tx1"/>
                  </w14:solidFill>
                </w14:textFill>
              </w:rPr>
              <w:t>（身份证复印件）</w:t>
            </w:r>
          </w:p>
        </w:tc>
      </w:tr>
    </w:tbl>
    <w:p w14:paraId="6F35BBC8">
      <w:pPr>
        <w:spacing w:line="500" w:lineRule="exact"/>
        <w:rPr>
          <w:rFonts w:ascii="宋体" w:hAnsi="宋体"/>
          <w:color w:val="000000" w:themeColor="text1"/>
          <w:sz w:val="24"/>
          <w:szCs w:val="21"/>
          <w:highlight w:val="none"/>
          <w14:textFill>
            <w14:solidFill>
              <w14:schemeClr w14:val="tx1"/>
            </w14:solidFill>
          </w14:textFill>
        </w:rPr>
      </w:pPr>
    </w:p>
    <w:p w14:paraId="7B71DBB8">
      <w:pPr>
        <w:spacing w:line="500" w:lineRule="exact"/>
        <w:jc w:val="righ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公司名称</w:t>
      </w:r>
      <w:r>
        <w:rPr>
          <w:rFonts w:hint="eastAsia" w:ascii="宋体" w:hAnsi="宋体"/>
          <w:color w:val="000000" w:themeColor="text1"/>
          <w:sz w:val="24"/>
          <w:szCs w:val="21"/>
          <w:highlight w:val="none"/>
          <w14:textFill>
            <w14:solidFill>
              <w14:schemeClr w14:val="tx1"/>
            </w14:solidFill>
          </w14:textFill>
        </w:rPr>
        <w:t>：</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（盖章）</w:t>
      </w:r>
    </w:p>
    <w:p w14:paraId="5A07099E">
      <w:pPr>
        <w:spacing w:line="500" w:lineRule="atLeast"/>
        <w:jc w:val="center"/>
        <w:rPr>
          <w:rFonts w:ascii="宋体" w:hAnsi="宋体"/>
          <w:b/>
          <w:color w:val="000000" w:themeColor="text1"/>
          <w:sz w:val="44"/>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 xml:space="preserve">                         </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年</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月</w:t>
      </w:r>
      <w:r>
        <w:rPr>
          <w:rFonts w:hint="eastAsia" w:ascii="宋体"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日</w:t>
      </w:r>
    </w:p>
    <w:p w14:paraId="7CAB1602">
      <w:pPr>
        <w:widowControl/>
        <w:jc w:val="left"/>
        <w:rPr>
          <w:rFonts w:ascii="宋体" w:hAnsi="宋体"/>
          <w:b/>
          <w:color w:val="000000" w:themeColor="text1"/>
          <w:sz w:val="44"/>
          <w:highlight w:val="none"/>
          <w14:textFill>
            <w14:solidFill>
              <w14:schemeClr w14:val="tx1"/>
            </w14:solidFill>
          </w14:textFill>
        </w:rPr>
      </w:pPr>
      <w:r>
        <w:rPr>
          <w:rFonts w:ascii="宋体" w:hAnsi="宋体"/>
          <w:b/>
          <w:color w:val="000000" w:themeColor="text1"/>
          <w:sz w:val="44"/>
          <w:highlight w:val="none"/>
          <w14:textFill>
            <w14:solidFill>
              <w14:schemeClr w14:val="tx1"/>
            </w14:solidFill>
          </w14:textFill>
        </w:rPr>
        <w:br w:type="page"/>
      </w:r>
    </w:p>
    <w:p w14:paraId="4A7847A2">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附件3-2</w:t>
      </w:r>
    </w:p>
    <w:p w14:paraId="0360E3E7">
      <w:pPr>
        <w:widowControl/>
        <w:autoSpaceDE w:val="0"/>
        <w:autoSpaceDN w:val="0"/>
        <w:spacing w:line="500" w:lineRule="atLeast"/>
        <w:jc w:val="center"/>
        <w:textAlignment w:val="bottom"/>
        <w:rPr>
          <w:rFonts w:ascii="宋体" w:hAnsi="宋体"/>
          <w:b/>
          <w:color w:val="000000" w:themeColor="text1"/>
          <w:spacing w:val="60"/>
          <w:sz w:val="36"/>
          <w:highlight w:val="none"/>
          <w14:textFill>
            <w14:solidFill>
              <w14:schemeClr w14:val="tx1"/>
            </w14:solidFill>
          </w14:textFill>
        </w:rPr>
      </w:pPr>
      <w:r>
        <w:rPr>
          <w:rFonts w:hint="eastAsia" w:ascii="宋体" w:hAnsi="宋体"/>
          <w:b/>
          <w:color w:val="000000" w:themeColor="text1"/>
          <w:spacing w:val="60"/>
          <w:sz w:val="36"/>
          <w:highlight w:val="none"/>
          <w14:textFill>
            <w14:solidFill>
              <w14:schemeClr w14:val="tx1"/>
            </w14:solidFill>
          </w14:textFill>
        </w:rPr>
        <w:t>授</w:t>
      </w:r>
      <w:r>
        <w:rPr>
          <w:rFonts w:ascii="宋体" w:hAnsi="宋体"/>
          <w:b/>
          <w:color w:val="000000" w:themeColor="text1"/>
          <w:spacing w:val="60"/>
          <w:sz w:val="36"/>
          <w:highlight w:val="none"/>
          <w14:textFill>
            <w14:solidFill>
              <w14:schemeClr w14:val="tx1"/>
            </w14:solidFill>
          </w14:textFill>
        </w:rPr>
        <w:t xml:space="preserve">  </w:t>
      </w:r>
      <w:r>
        <w:rPr>
          <w:rFonts w:hint="eastAsia" w:ascii="宋体" w:hAnsi="宋体"/>
          <w:b/>
          <w:color w:val="000000" w:themeColor="text1"/>
          <w:spacing w:val="60"/>
          <w:sz w:val="36"/>
          <w:highlight w:val="none"/>
          <w14:textFill>
            <w14:solidFill>
              <w14:schemeClr w14:val="tx1"/>
            </w14:solidFill>
          </w14:textFill>
        </w:rPr>
        <w:t>权</w:t>
      </w:r>
      <w:r>
        <w:rPr>
          <w:rFonts w:ascii="宋体" w:hAnsi="宋体"/>
          <w:b/>
          <w:color w:val="000000" w:themeColor="text1"/>
          <w:spacing w:val="60"/>
          <w:sz w:val="36"/>
          <w:highlight w:val="none"/>
          <w14:textFill>
            <w14:solidFill>
              <w14:schemeClr w14:val="tx1"/>
            </w14:solidFill>
          </w14:textFill>
        </w:rPr>
        <w:t xml:space="preserve">  </w:t>
      </w:r>
      <w:r>
        <w:rPr>
          <w:rFonts w:hint="eastAsia" w:ascii="宋体" w:hAnsi="宋体"/>
          <w:b/>
          <w:color w:val="000000" w:themeColor="text1"/>
          <w:spacing w:val="60"/>
          <w:sz w:val="36"/>
          <w:highlight w:val="none"/>
          <w14:textFill>
            <w14:solidFill>
              <w14:schemeClr w14:val="tx1"/>
            </w14:solidFill>
          </w14:textFill>
        </w:rPr>
        <w:t>书</w:t>
      </w:r>
    </w:p>
    <w:p w14:paraId="3713C46C">
      <w:pPr>
        <w:spacing w:line="500" w:lineRule="atLeast"/>
        <w:rPr>
          <w:rFonts w:ascii="宋体" w:hAnsi="宋体"/>
          <w:color w:val="000000" w:themeColor="text1"/>
          <w:sz w:val="28"/>
          <w:highlight w:val="none"/>
          <w14:textFill>
            <w14:solidFill>
              <w14:schemeClr w14:val="tx1"/>
            </w14:solidFill>
          </w14:textFill>
        </w:rPr>
      </w:pPr>
    </w:p>
    <w:p w14:paraId="0C634339">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本授权书申明：</w:t>
      </w:r>
    </w:p>
    <w:p w14:paraId="571688F8">
      <w:pPr>
        <w:spacing w:line="500" w:lineRule="atLeast"/>
        <w:rPr>
          <w:rFonts w:ascii="宋体" w:hAnsi="宋体"/>
          <w:color w:val="000000" w:themeColor="text1"/>
          <w:sz w:val="24"/>
          <w:szCs w:val="22"/>
          <w:highlight w:val="none"/>
          <w:u w:val="single"/>
          <w14:textFill>
            <w14:solidFill>
              <w14:schemeClr w14:val="tx1"/>
            </w14:solidFill>
          </w14:textFill>
        </w:rPr>
      </w:pPr>
      <w:r>
        <w:rPr>
          <w:rFonts w:hint="eastAsia" w:ascii="宋体" w:hAnsi="宋体"/>
          <w:color w:val="000000" w:themeColor="text1"/>
          <w:sz w:val="24"/>
          <w:szCs w:val="22"/>
          <w:highlight w:val="none"/>
          <w:u w:val="single"/>
          <w14:textFill>
            <w14:solidFill>
              <w14:schemeClr w14:val="tx1"/>
            </w14:solidFill>
          </w14:textFill>
        </w:rPr>
        <w:t xml:space="preserve">    </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u w:val="single"/>
          <w14:textFill>
            <w14:solidFill>
              <w14:schemeClr w14:val="tx1"/>
            </w14:solidFill>
          </w14:textFill>
        </w:rPr>
        <w:t xml:space="preserve"> </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（公司注册地点）</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（公</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司</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名</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称）</w:t>
      </w:r>
    </w:p>
    <w:p w14:paraId="169172D4">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法定代表人</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（姓</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名）经合法授权，特代表本公司（以下称供应商）任命：</w:t>
      </w:r>
    </w:p>
    <w:p w14:paraId="64EEF599">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 </w:t>
      </w:r>
      <w:r>
        <w:rPr>
          <w:rFonts w:ascii="宋体" w:hAnsi="宋体"/>
          <w:color w:val="000000" w:themeColor="text1"/>
          <w:sz w:val="24"/>
          <w:szCs w:val="22"/>
          <w:highlight w:val="none"/>
          <w14:textFill>
            <w14:solidFill>
              <w14:schemeClr w14:val="tx1"/>
            </w14:solidFill>
          </w14:textFill>
        </w:rPr>
        <w:t xml:space="preserve">   </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（公</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司</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名</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称）</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u w:val="single"/>
          <w14:textFill>
            <w14:solidFill>
              <w14:schemeClr w14:val="tx1"/>
            </w14:solidFill>
          </w14:textFill>
        </w:rPr>
        <w:t xml:space="preserve">   </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（职务）</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（姓名）为正式的合法代理人</w:t>
      </w:r>
      <w:r>
        <w:rPr>
          <w:rFonts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并授权该代理人在有关</w:t>
      </w:r>
      <w:r>
        <w:rPr>
          <w:rFonts w:hint="eastAsia"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（工程名称）谈判中</w:t>
      </w:r>
      <w:r>
        <w:rPr>
          <w:rFonts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以供应商的名义签署响应书、进行谈判、签署合同并处理与此有关的一切事务，本授权书不得转委托。</w:t>
      </w:r>
    </w:p>
    <w:p w14:paraId="3E50CC78">
      <w:pPr>
        <w:spacing w:line="500" w:lineRule="atLeast"/>
        <w:rPr>
          <w:rFonts w:ascii="宋体" w:hAnsi="宋体"/>
          <w:color w:val="000000" w:themeColor="text1"/>
          <w:sz w:val="24"/>
          <w:szCs w:val="22"/>
          <w:highlight w:val="none"/>
          <w14:textFill>
            <w14:solidFill>
              <w14:schemeClr w14:val="tx1"/>
            </w14:solidFill>
          </w14:textFill>
        </w:rPr>
      </w:pPr>
    </w:p>
    <w:p w14:paraId="3CC0E1EC">
      <w:pPr>
        <w:spacing w:line="50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公司名称（盖章）：</w:t>
      </w:r>
      <w:r>
        <w:rPr>
          <w:rFonts w:hint="eastAsia" w:ascii="宋体" w:hAnsi="宋体"/>
          <w:color w:val="000000" w:themeColor="text1"/>
          <w:sz w:val="24"/>
          <w:szCs w:val="22"/>
          <w:highlight w:val="none"/>
          <w:u w:val="single"/>
          <w14:textFill>
            <w14:solidFill>
              <w14:schemeClr w14:val="tx1"/>
            </w14:solidFill>
          </w14:textFill>
        </w:rPr>
        <w:t xml:space="preserve">                                  </w:t>
      </w:r>
    </w:p>
    <w:p w14:paraId="4EA7FBC4">
      <w:pPr>
        <w:spacing w:line="500" w:lineRule="atLeast"/>
        <w:rPr>
          <w:rFonts w:ascii="宋体" w:hAnsi="宋体"/>
          <w:color w:val="000000" w:themeColor="text1"/>
          <w:sz w:val="24"/>
          <w:szCs w:val="22"/>
          <w:highlight w:val="none"/>
          <w14:textFill>
            <w14:solidFill>
              <w14:schemeClr w14:val="tx1"/>
            </w14:solidFill>
          </w14:textFill>
        </w:rPr>
      </w:pPr>
    </w:p>
    <w:p w14:paraId="1D7270A9">
      <w:pPr>
        <w:spacing w:line="500" w:lineRule="atLeast"/>
        <w:rPr>
          <w:rFonts w:ascii="宋体" w:hAnsi="宋体"/>
          <w:color w:val="000000" w:themeColor="text1"/>
          <w:sz w:val="24"/>
          <w:szCs w:val="22"/>
          <w:highlight w:val="none"/>
          <w:u w:val="singl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法定代表人（签字或盖章）：</w:t>
      </w:r>
      <w:r>
        <w:rPr>
          <w:rFonts w:ascii="宋体" w:hAnsi="宋体"/>
          <w:color w:val="000000" w:themeColor="text1"/>
          <w:sz w:val="24"/>
          <w:szCs w:val="22"/>
          <w:highlight w:val="none"/>
          <w:u w:val="single"/>
          <w14:textFill>
            <w14:solidFill>
              <w14:schemeClr w14:val="tx1"/>
            </w14:solidFill>
          </w14:textFill>
        </w:rPr>
        <w:t xml:space="preserve">                                   </w:t>
      </w:r>
      <w:r>
        <w:rPr>
          <w:rFonts w:hint="eastAsia" w:ascii="宋体" w:hAnsi="宋体"/>
          <w:color w:val="000000" w:themeColor="text1"/>
          <w:sz w:val="24"/>
          <w:szCs w:val="22"/>
          <w:highlight w:val="none"/>
          <w:u w:val="single"/>
          <w14:textFill>
            <w14:solidFill>
              <w14:schemeClr w14:val="tx1"/>
            </w14:solidFill>
          </w14:textFill>
        </w:rPr>
        <w:t xml:space="preserve"> </w:t>
      </w:r>
    </w:p>
    <w:p w14:paraId="4A58D0CC">
      <w:pPr>
        <w:spacing w:line="500" w:lineRule="atLeast"/>
        <w:rPr>
          <w:rFonts w:ascii="宋体" w:hAnsi="宋体"/>
          <w:color w:val="000000" w:themeColor="text1"/>
          <w:sz w:val="24"/>
          <w:szCs w:val="22"/>
          <w:highlight w:val="none"/>
          <w14:textFill>
            <w14:solidFill>
              <w14:schemeClr w14:val="tx1"/>
            </w14:solidFill>
          </w14:textFill>
        </w:rPr>
      </w:pPr>
    </w:p>
    <w:p w14:paraId="4C4EEDF0">
      <w:pPr>
        <w:spacing w:line="500" w:lineRule="atLeast"/>
        <w:rPr>
          <w:rFonts w:ascii="宋体" w:hAnsi="宋体"/>
          <w:color w:val="000000" w:themeColor="text1"/>
          <w:sz w:val="24"/>
          <w:szCs w:val="22"/>
          <w:highlight w:val="none"/>
          <w:u w:val="singl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代理人（签字）：</w:t>
      </w:r>
      <w:r>
        <w:rPr>
          <w:rFonts w:ascii="宋体" w:hAnsi="宋体"/>
          <w:color w:val="000000" w:themeColor="text1"/>
          <w:sz w:val="24"/>
          <w:szCs w:val="22"/>
          <w:highlight w:val="none"/>
          <w14:textFill>
            <w14:solidFill>
              <w14:schemeClr w14:val="tx1"/>
            </w14:solidFill>
          </w14:textFill>
        </w:rPr>
        <w:t xml:space="preserve"> </w:t>
      </w:r>
      <w:r>
        <w:rPr>
          <w:rFonts w:ascii="宋体" w:hAnsi="宋体"/>
          <w:color w:val="000000" w:themeColor="text1"/>
          <w:sz w:val="24"/>
          <w:szCs w:val="22"/>
          <w:highlight w:val="none"/>
          <w:u w:val="single"/>
          <w14:textFill>
            <w14:solidFill>
              <w14:schemeClr w14:val="tx1"/>
            </w14:solidFill>
          </w14:textFill>
        </w:rPr>
        <w:t xml:space="preserve">                                       </w:t>
      </w:r>
    </w:p>
    <w:p w14:paraId="0B0AE323">
      <w:pPr>
        <w:spacing w:line="500" w:lineRule="atLeast"/>
        <w:rPr>
          <w:rFonts w:ascii="宋体" w:hAnsi="宋体"/>
          <w:color w:val="000000" w:themeColor="text1"/>
          <w:sz w:val="24"/>
          <w:szCs w:val="22"/>
          <w:highlight w:val="none"/>
          <w14:textFill>
            <w14:solidFill>
              <w14:schemeClr w14:val="tx1"/>
            </w14:solidFill>
          </w14:textFill>
        </w:rPr>
      </w:pPr>
    </w:p>
    <w:p w14:paraId="3BB86C1D">
      <w:pPr>
        <w:spacing w:line="500" w:lineRule="atLeast"/>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地</w:t>
      </w:r>
      <w:r>
        <w:rPr>
          <w:rFonts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14:textFill>
            <w14:solidFill>
              <w14:schemeClr w14:val="tx1"/>
            </w14:solidFill>
          </w14:textFill>
        </w:rPr>
        <w:t>点：</w:t>
      </w:r>
      <w:r>
        <w:rPr>
          <w:rFonts w:ascii="宋体" w:hAnsi="宋体"/>
          <w:color w:val="000000" w:themeColor="text1"/>
          <w:sz w:val="24"/>
          <w:szCs w:val="22"/>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p>
    <w:tbl>
      <w:tblPr>
        <w:tblStyle w:val="88"/>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14:paraId="1C917316">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14:paraId="2D18696E">
            <w:pPr>
              <w:spacing w:line="44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粘贴委托人</w:t>
            </w:r>
            <w:r>
              <w:rPr>
                <w:rFonts w:ascii="宋体" w:hAnsi="宋体"/>
                <w:color w:val="000000" w:themeColor="text1"/>
                <w:highlight w:val="none"/>
                <w14:textFill>
                  <w14:solidFill>
                    <w14:schemeClr w14:val="tx1"/>
                  </w14:solidFill>
                </w14:textFill>
              </w:rPr>
              <w:t>（身份证复印件）</w:t>
            </w:r>
          </w:p>
        </w:tc>
      </w:tr>
    </w:tbl>
    <w:p w14:paraId="12F8C978">
      <w:pPr>
        <w:spacing w:line="500" w:lineRule="atLeast"/>
        <w:rPr>
          <w:rFonts w:ascii="宋体" w:hAnsi="宋体"/>
          <w:color w:val="000000" w:themeColor="text1"/>
          <w:highlight w:val="none"/>
          <w14:textFill>
            <w14:solidFill>
              <w14:schemeClr w14:val="tx1"/>
            </w14:solidFill>
          </w14:textFill>
        </w:rPr>
      </w:pPr>
    </w:p>
    <w:p w14:paraId="6D55B617">
      <w:pPr>
        <w:spacing w:line="500" w:lineRule="atLeas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ascii="宋体" w:hAnsi="宋体"/>
          <w:color w:val="000000" w:themeColor="text1"/>
          <w:highlight w:val="none"/>
          <w14:textFill>
            <w14:solidFill>
              <w14:schemeClr w14:val="tx1"/>
            </w14:solidFill>
          </w14:textFill>
        </w:rPr>
        <w:t xml:space="preserve">   </w:t>
      </w:r>
    </w:p>
    <w:p w14:paraId="089A581B">
      <w:pPr>
        <w:pStyle w:val="6"/>
        <w:tabs>
          <w:tab w:val="left" w:pos="420"/>
        </w:tabs>
        <w:spacing w:before="120" w:after="120"/>
        <w:ind w:right="123"/>
        <w:rPr>
          <w:rFonts w:ascii="宋体" w:hAnsi="宋体"/>
          <w:color w:val="000000" w:themeColor="text1"/>
          <w:highlight w:val="none"/>
          <w14:textFill>
            <w14:solidFill>
              <w14:schemeClr w14:val="tx1"/>
            </w14:solidFill>
          </w14:textFill>
        </w:rPr>
        <w:sectPr>
          <w:pgSz w:w="11907" w:h="16840"/>
          <w:pgMar w:top="1361" w:right="1418" w:bottom="1418" w:left="1418" w:header="851" w:footer="992" w:gutter="113"/>
          <w:cols w:space="720" w:num="1"/>
          <w:docGrid w:linePitch="312" w:charSpace="0"/>
        </w:sectPr>
      </w:pPr>
    </w:p>
    <w:p w14:paraId="48EB6421">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附件4</w:t>
      </w:r>
    </w:p>
    <w:p w14:paraId="096D254D">
      <w:pPr>
        <w:widowControl/>
        <w:autoSpaceDE w:val="0"/>
        <w:autoSpaceDN w:val="0"/>
        <w:spacing w:line="500" w:lineRule="atLeast"/>
        <w:jc w:val="center"/>
        <w:textAlignment w:val="bottom"/>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建设工程施工报价标书情况汇总表</w:t>
      </w:r>
    </w:p>
    <w:tbl>
      <w:tblPr>
        <w:tblStyle w:val="88"/>
        <w:tblW w:w="1443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927"/>
        <w:gridCol w:w="1842"/>
        <w:gridCol w:w="2127"/>
        <w:gridCol w:w="1984"/>
        <w:gridCol w:w="1872"/>
        <w:gridCol w:w="2097"/>
        <w:gridCol w:w="12"/>
      </w:tblGrid>
      <w:tr w14:paraId="62AB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383" w:hRule="atLeast"/>
        </w:trPr>
        <w:tc>
          <w:tcPr>
            <w:tcW w:w="12325" w:type="dxa"/>
            <w:gridSpan w:val="6"/>
            <w:vAlign w:val="center"/>
          </w:tcPr>
          <w:p w14:paraId="3B3CB03F">
            <w:pPr>
              <w:spacing w:line="38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建设工程名称：</w:t>
            </w:r>
            <w:r>
              <w:rPr>
                <w:rFonts w:ascii="宋体" w:hAnsi="宋体"/>
                <w:color w:val="000000" w:themeColor="text1"/>
                <w:sz w:val="24"/>
                <w:szCs w:val="22"/>
                <w:highlight w:val="none"/>
                <w14:textFill>
                  <w14:solidFill>
                    <w14:schemeClr w14:val="tx1"/>
                  </w14:solidFill>
                </w14:textFill>
              </w:rPr>
              <w:t xml:space="preserve"> </w:t>
            </w:r>
          </w:p>
        </w:tc>
        <w:tc>
          <w:tcPr>
            <w:tcW w:w="2097" w:type="dxa"/>
            <w:vMerge w:val="restart"/>
            <w:vAlign w:val="center"/>
          </w:tcPr>
          <w:p w14:paraId="22424059">
            <w:pPr>
              <w:spacing w:line="340" w:lineRule="atLeast"/>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备注</w:t>
            </w:r>
          </w:p>
        </w:tc>
      </w:tr>
      <w:tr w14:paraId="1DB8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388" w:hRule="atLeast"/>
        </w:trPr>
        <w:tc>
          <w:tcPr>
            <w:tcW w:w="2573" w:type="dxa"/>
            <w:vMerge w:val="restart"/>
            <w:vAlign w:val="center"/>
          </w:tcPr>
          <w:p w14:paraId="629700B6">
            <w:pPr>
              <w:spacing w:line="340" w:lineRule="atLeast"/>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工程名称</w:t>
            </w:r>
          </w:p>
        </w:tc>
        <w:tc>
          <w:tcPr>
            <w:tcW w:w="1927" w:type="dxa"/>
            <w:vMerge w:val="restart"/>
            <w:vAlign w:val="center"/>
          </w:tcPr>
          <w:p w14:paraId="56033070">
            <w:pPr>
              <w:spacing w:line="340" w:lineRule="atLeast"/>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总计(元)</w:t>
            </w:r>
          </w:p>
        </w:tc>
        <w:tc>
          <w:tcPr>
            <w:tcW w:w="7825" w:type="dxa"/>
            <w:gridSpan w:val="4"/>
            <w:vAlign w:val="center"/>
          </w:tcPr>
          <w:p w14:paraId="53662F39">
            <w:pPr>
              <w:spacing w:line="340" w:lineRule="atLeast"/>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报价（元）</w:t>
            </w:r>
          </w:p>
        </w:tc>
        <w:tc>
          <w:tcPr>
            <w:tcW w:w="2097" w:type="dxa"/>
            <w:vMerge w:val="continue"/>
            <w:vAlign w:val="center"/>
          </w:tcPr>
          <w:p w14:paraId="122E8530">
            <w:pPr>
              <w:spacing w:line="340" w:lineRule="atLeast"/>
              <w:jc w:val="center"/>
              <w:rPr>
                <w:rFonts w:ascii="宋体" w:hAnsi="宋体"/>
                <w:color w:val="000000" w:themeColor="text1"/>
                <w:sz w:val="24"/>
                <w:szCs w:val="22"/>
                <w:highlight w:val="none"/>
                <w14:textFill>
                  <w14:solidFill>
                    <w14:schemeClr w14:val="tx1"/>
                  </w14:solidFill>
                </w14:textFill>
              </w:rPr>
            </w:pPr>
          </w:p>
        </w:tc>
      </w:tr>
      <w:tr w14:paraId="2333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950" w:hRule="atLeast"/>
        </w:trPr>
        <w:tc>
          <w:tcPr>
            <w:tcW w:w="2573" w:type="dxa"/>
            <w:vMerge w:val="continue"/>
            <w:vAlign w:val="center"/>
          </w:tcPr>
          <w:p w14:paraId="3E160DE6">
            <w:pPr>
              <w:spacing w:line="380" w:lineRule="atLeast"/>
              <w:jc w:val="center"/>
              <w:rPr>
                <w:rFonts w:ascii="宋体" w:hAnsi="宋体"/>
                <w:color w:val="000000" w:themeColor="text1"/>
                <w:sz w:val="24"/>
                <w:szCs w:val="22"/>
                <w:highlight w:val="none"/>
                <w14:textFill>
                  <w14:solidFill>
                    <w14:schemeClr w14:val="tx1"/>
                  </w14:solidFill>
                </w14:textFill>
              </w:rPr>
            </w:pPr>
          </w:p>
        </w:tc>
        <w:tc>
          <w:tcPr>
            <w:tcW w:w="1927" w:type="dxa"/>
            <w:vMerge w:val="continue"/>
            <w:vAlign w:val="center"/>
          </w:tcPr>
          <w:p w14:paraId="6F1FF63C">
            <w:pPr>
              <w:spacing w:line="380" w:lineRule="atLeast"/>
              <w:jc w:val="center"/>
              <w:rPr>
                <w:rFonts w:ascii="宋体" w:hAnsi="宋体"/>
                <w:color w:val="000000" w:themeColor="text1"/>
                <w:sz w:val="24"/>
                <w:szCs w:val="22"/>
                <w:highlight w:val="none"/>
                <w14:textFill>
                  <w14:solidFill>
                    <w14:schemeClr w14:val="tx1"/>
                  </w14:solidFill>
                </w14:textFill>
              </w:rPr>
            </w:pPr>
          </w:p>
        </w:tc>
        <w:tc>
          <w:tcPr>
            <w:tcW w:w="1842" w:type="dxa"/>
            <w:vAlign w:val="center"/>
          </w:tcPr>
          <w:p w14:paraId="38365927">
            <w:pPr>
              <w:jc w:val="center"/>
              <w:rPr>
                <w:rFonts w:ascii="宋体" w:hAnsi="宋体"/>
                <w:color w:val="000000" w:themeColor="text1"/>
                <w:sz w:val="24"/>
                <w:szCs w:val="22"/>
                <w:highlight w:val="none"/>
                <w14:textFill>
                  <w14:solidFill>
                    <w14:schemeClr w14:val="tx1"/>
                  </w14:solidFill>
                </w14:textFill>
              </w:rPr>
            </w:pPr>
            <w:sdt>
              <w:sdtPr>
                <w:rPr>
                  <w:rFonts w:hint="eastAsia" w:ascii="宋体" w:hAnsi="宋体"/>
                  <w:color w:val="000000" w:themeColor="text1"/>
                  <w:sz w:val="24"/>
                  <w:szCs w:val="22"/>
                  <w:highlight w:val="none"/>
                  <w14:textFill>
                    <w14:solidFill>
                      <w14:schemeClr w14:val="tx1"/>
                    </w14:solidFill>
                  </w14:textFill>
                </w:rPr>
                <w:alias w:val="清单"/>
                <w:tag w:val="m841f7f675b44869494716ab242_xl_236d"/>
                <w:id w:val="529156947"/>
                <w:lock w:val="sdtLocked"/>
                <w:placeholder>
                  <w:docPart w:val="2811E653859145C28088B7CB411103A8"/>
                </w:placeholder>
                <w:dropDownList>
                  <w:listItem w:displayText="分部分项工程量清单" w:value="分部分项工程量清单"/>
                  <w:listItem w:displayText="工程量清单" w:value="工程量清单"/>
                </w:dropDownList>
              </w:sdtPr>
              <w:sdtEndPr>
                <w:rPr>
                  <w:rFonts w:hint="eastAsia" w:ascii="宋体" w:hAnsi="宋体"/>
                  <w:color w:val="000000" w:themeColor="text1"/>
                  <w:sz w:val="24"/>
                  <w:szCs w:val="22"/>
                  <w:highlight w:val="none"/>
                  <w14:textFill>
                    <w14:solidFill>
                      <w14:schemeClr w14:val="tx1"/>
                    </w14:solidFill>
                  </w14:textFill>
                </w:rPr>
              </w:sdtEndPr>
              <w:sdtContent>
                <w:r>
                  <w:rPr>
                    <w:rFonts w:hint="eastAsia" w:ascii="宋体" w:hAnsi="宋体"/>
                    <w:color w:val="000000" w:themeColor="text1"/>
                    <w:sz w:val="24"/>
                    <w:szCs w:val="22"/>
                    <w:highlight w:val="none"/>
                    <w14:textFill>
                      <w14:solidFill>
                        <w14:schemeClr w14:val="tx1"/>
                      </w14:solidFill>
                    </w14:textFill>
                  </w:rPr>
                  <w:t>工程量清单</w:t>
                </w:r>
              </w:sdtContent>
            </w:sdt>
            <w:r>
              <w:rPr>
                <w:rFonts w:hint="eastAsia" w:ascii="宋体" w:hAnsi="宋体"/>
                <w:color w:val="000000" w:themeColor="text1"/>
                <w:sz w:val="24"/>
                <w:szCs w:val="22"/>
                <w:highlight w:val="none"/>
                <w14:textFill>
                  <w14:solidFill>
                    <w14:schemeClr w14:val="tx1"/>
                  </w14:solidFill>
                </w14:textFill>
              </w:rPr>
              <w:t>报价</w:t>
            </w:r>
          </w:p>
        </w:tc>
        <w:tc>
          <w:tcPr>
            <w:tcW w:w="2127" w:type="dxa"/>
            <w:tcBorders>
              <w:right w:val="single" w:color="auto" w:sz="2" w:space="0"/>
            </w:tcBorders>
            <w:vAlign w:val="center"/>
          </w:tcPr>
          <w:p w14:paraId="180702AA">
            <w:pPr>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措施费报价</w:t>
            </w:r>
          </w:p>
        </w:tc>
        <w:tc>
          <w:tcPr>
            <w:tcW w:w="1984" w:type="dxa"/>
            <w:tcBorders>
              <w:left w:val="single" w:color="auto" w:sz="2" w:space="0"/>
            </w:tcBorders>
            <w:vAlign w:val="center"/>
          </w:tcPr>
          <w:p w14:paraId="5FFDF0E6">
            <w:pPr>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其他项目费报价</w:t>
            </w:r>
          </w:p>
        </w:tc>
        <w:tc>
          <w:tcPr>
            <w:tcW w:w="1872" w:type="dxa"/>
            <w:vAlign w:val="center"/>
          </w:tcPr>
          <w:p w14:paraId="6B25C2E0">
            <w:pPr>
              <w:jc w:val="cente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增值税报价</w:t>
            </w:r>
          </w:p>
        </w:tc>
        <w:tc>
          <w:tcPr>
            <w:tcW w:w="2097" w:type="dxa"/>
            <w:vMerge w:val="continue"/>
            <w:vAlign w:val="center"/>
          </w:tcPr>
          <w:p w14:paraId="22B209EE">
            <w:pPr>
              <w:spacing w:line="380" w:lineRule="atLeast"/>
              <w:jc w:val="center"/>
              <w:rPr>
                <w:rFonts w:ascii="宋体" w:hAnsi="宋体"/>
                <w:color w:val="000000" w:themeColor="text1"/>
                <w:sz w:val="24"/>
                <w:szCs w:val="22"/>
                <w:highlight w:val="none"/>
                <w14:textFill>
                  <w14:solidFill>
                    <w14:schemeClr w14:val="tx1"/>
                  </w14:solidFill>
                </w14:textFill>
              </w:rPr>
            </w:pPr>
          </w:p>
        </w:tc>
      </w:tr>
      <w:tr w14:paraId="09F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533" w:hRule="exact"/>
        </w:trPr>
        <w:tc>
          <w:tcPr>
            <w:tcW w:w="2573" w:type="dxa"/>
            <w:vAlign w:val="center"/>
          </w:tcPr>
          <w:p w14:paraId="138DAE5B">
            <w:pPr>
              <w:spacing w:line="340" w:lineRule="atLeast"/>
              <w:jc w:val="center"/>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奥吉大厦装修</w:t>
            </w:r>
          </w:p>
        </w:tc>
        <w:tc>
          <w:tcPr>
            <w:tcW w:w="1927" w:type="dxa"/>
            <w:vAlign w:val="center"/>
          </w:tcPr>
          <w:p w14:paraId="3D669AEC">
            <w:pPr>
              <w:rPr>
                <w:rFonts w:ascii="宋体" w:hAnsi="宋体"/>
                <w:color w:val="000000" w:themeColor="text1"/>
                <w:sz w:val="24"/>
                <w:szCs w:val="22"/>
                <w:highlight w:val="none"/>
                <w14:textFill>
                  <w14:solidFill>
                    <w14:schemeClr w14:val="tx1"/>
                  </w14:solidFill>
                </w14:textFill>
              </w:rPr>
            </w:pPr>
          </w:p>
        </w:tc>
        <w:tc>
          <w:tcPr>
            <w:tcW w:w="1842" w:type="dxa"/>
            <w:vAlign w:val="center"/>
          </w:tcPr>
          <w:p w14:paraId="24521C9D">
            <w:pPr>
              <w:jc w:val="center"/>
              <w:rPr>
                <w:rFonts w:ascii="宋体" w:hAnsi="宋体"/>
                <w:color w:val="000000" w:themeColor="text1"/>
                <w:sz w:val="24"/>
                <w:szCs w:val="22"/>
                <w:highlight w:val="none"/>
                <w14:textFill>
                  <w14:solidFill>
                    <w14:schemeClr w14:val="tx1"/>
                  </w14:solidFill>
                </w14:textFill>
              </w:rPr>
            </w:pPr>
          </w:p>
        </w:tc>
        <w:tc>
          <w:tcPr>
            <w:tcW w:w="2127" w:type="dxa"/>
            <w:tcBorders>
              <w:right w:val="single" w:color="auto" w:sz="2" w:space="0"/>
            </w:tcBorders>
            <w:vAlign w:val="center"/>
          </w:tcPr>
          <w:p w14:paraId="7D207472">
            <w:pPr>
              <w:rPr>
                <w:rFonts w:ascii="宋体" w:hAnsi="宋体"/>
                <w:color w:val="000000" w:themeColor="text1"/>
                <w:sz w:val="24"/>
                <w:szCs w:val="22"/>
                <w:highlight w:val="none"/>
                <w14:textFill>
                  <w14:solidFill>
                    <w14:schemeClr w14:val="tx1"/>
                  </w14:solidFill>
                </w14:textFill>
              </w:rPr>
            </w:pPr>
          </w:p>
        </w:tc>
        <w:tc>
          <w:tcPr>
            <w:tcW w:w="1984" w:type="dxa"/>
            <w:tcBorders>
              <w:left w:val="single" w:color="auto" w:sz="2" w:space="0"/>
            </w:tcBorders>
            <w:vAlign w:val="center"/>
          </w:tcPr>
          <w:p w14:paraId="61202935">
            <w:pPr>
              <w:rPr>
                <w:rFonts w:ascii="宋体" w:hAnsi="宋体"/>
                <w:color w:val="000000" w:themeColor="text1"/>
                <w:sz w:val="24"/>
                <w:szCs w:val="22"/>
                <w:highlight w:val="none"/>
                <w14:textFill>
                  <w14:solidFill>
                    <w14:schemeClr w14:val="tx1"/>
                  </w14:solidFill>
                </w14:textFill>
              </w:rPr>
            </w:pPr>
          </w:p>
        </w:tc>
        <w:tc>
          <w:tcPr>
            <w:tcW w:w="1872" w:type="dxa"/>
            <w:vAlign w:val="center"/>
          </w:tcPr>
          <w:p w14:paraId="1F50D9E0">
            <w:pPr>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  </w:t>
            </w:r>
          </w:p>
        </w:tc>
        <w:tc>
          <w:tcPr>
            <w:tcW w:w="2097" w:type="dxa"/>
            <w:vAlign w:val="center"/>
          </w:tcPr>
          <w:p w14:paraId="7BC32F47">
            <w:pPr>
              <w:rPr>
                <w:rFonts w:ascii="宋体" w:hAnsi="宋体"/>
                <w:color w:val="000000" w:themeColor="text1"/>
                <w:sz w:val="24"/>
                <w:szCs w:val="22"/>
                <w:highlight w:val="none"/>
                <w14:textFill>
                  <w14:solidFill>
                    <w14:schemeClr w14:val="tx1"/>
                  </w14:solidFill>
                </w14:textFill>
              </w:rPr>
            </w:pPr>
          </w:p>
        </w:tc>
      </w:tr>
      <w:tr w14:paraId="288D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555" w:hRule="exact"/>
        </w:trPr>
        <w:tc>
          <w:tcPr>
            <w:tcW w:w="2573" w:type="dxa"/>
            <w:vAlign w:val="center"/>
          </w:tcPr>
          <w:p w14:paraId="4A6A17C4">
            <w:pPr>
              <w:spacing w:line="340" w:lineRule="atLeast"/>
              <w:jc w:val="center"/>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仓库场地翻新</w:t>
            </w:r>
          </w:p>
        </w:tc>
        <w:tc>
          <w:tcPr>
            <w:tcW w:w="1927" w:type="dxa"/>
            <w:vAlign w:val="center"/>
          </w:tcPr>
          <w:p w14:paraId="631EA6D9">
            <w:pPr>
              <w:rPr>
                <w:rFonts w:ascii="宋体" w:hAnsi="宋体"/>
                <w:color w:val="000000" w:themeColor="text1"/>
                <w:highlight w:val="none"/>
                <w14:textFill>
                  <w14:solidFill>
                    <w14:schemeClr w14:val="tx1"/>
                  </w14:solidFill>
                </w14:textFill>
              </w:rPr>
            </w:pPr>
          </w:p>
        </w:tc>
        <w:tc>
          <w:tcPr>
            <w:tcW w:w="1842" w:type="dxa"/>
            <w:vAlign w:val="center"/>
          </w:tcPr>
          <w:p w14:paraId="29F3BB35">
            <w:pPr>
              <w:jc w:val="center"/>
              <w:rPr>
                <w:rFonts w:ascii="宋体" w:hAnsi="宋体"/>
                <w:color w:val="000000" w:themeColor="text1"/>
                <w:highlight w:val="none"/>
                <w14:textFill>
                  <w14:solidFill>
                    <w14:schemeClr w14:val="tx1"/>
                  </w14:solidFill>
                </w14:textFill>
              </w:rPr>
            </w:pPr>
          </w:p>
        </w:tc>
        <w:tc>
          <w:tcPr>
            <w:tcW w:w="2127" w:type="dxa"/>
            <w:tcBorders>
              <w:right w:val="single" w:color="auto" w:sz="2" w:space="0"/>
            </w:tcBorders>
            <w:vAlign w:val="center"/>
          </w:tcPr>
          <w:p w14:paraId="0661BB12">
            <w:pPr>
              <w:rPr>
                <w:rFonts w:ascii="宋体" w:hAnsi="宋体"/>
                <w:color w:val="000000" w:themeColor="text1"/>
                <w:highlight w:val="none"/>
                <w14:textFill>
                  <w14:solidFill>
                    <w14:schemeClr w14:val="tx1"/>
                  </w14:solidFill>
                </w14:textFill>
              </w:rPr>
            </w:pPr>
          </w:p>
        </w:tc>
        <w:tc>
          <w:tcPr>
            <w:tcW w:w="1984" w:type="dxa"/>
            <w:tcBorders>
              <w:left w:val="single" w:color="auto" w:sz="2" w:space="0"/>
            </w:tcBorders>
            <w:vAlign w:val="center"/>
          </w:tcPr>
          <w:p w14:paraId="6E525AB5">
            <w:pPr>
              <w:rPr>
                <w:rFonts w:ascii="宋体" w:hAnsi="宋体"/>
                <w:color w:val="000000" w:themeColor="text1"/>
                <w:highlight w:val="none"/>
                <w14:textFill>
                  <w14:solidFill>
                    <w14:schemeClr w14:val="tx1"/>
                  </w14:solidFill>
                </w14:textFill>
              </w:rPr>
            </w:pPr>
          </w:p>
        </w:tc>
        <w:tc>
          <w:tcPr>
            <w:tcW w:w="1872" w:type="dxa"/>
            <w:vAlign w:val="center"/>
          </w:tcPr>
          <w:p w14:paraId="7C20B0DA">
            <w:pPr>
              <w:rPr>
                <w:rFonts w:ascii="宋体" w:hAnsi="宋体"/>
                <w:color w:val="000000" w:themeColor="text1"/>
                <w:highlight w:val="none"/>
                <w14:textFill>
                  <w14:solidFill>
                    <w14:schemeClr w14:val="tx1"/>
                  </w14:solidFill>
                </w14:textFill>
              </w:rPr>
            </w:pPr>
          </w:p>
        </w:tc>
        <w:tc>
          <w:tcPr>
            <w:tcW w:w="2097" w:type="dxa"/>
            <w:vAlign w:val="center"/>
          </w:tcPr>
          <w:p w14:paraId="0D2D93D5">
            <w:pPr>
              <w:rPr>
                <w:rFonts w:ascii="宋体" w:hAnsi="宋体"/>
                <w:color w:val="000000" w:themeColor="text1"/>
                <w:highlight w:val="none"/>
                <w14:textFill>
                  <w14:solidFill>
                    <w14:schemeClr w14:val="tx1"/>
                  </w14:solidFill>
                </w14:textFill>
              </w:rPr>
            </w:pPr>
          </w:p>
        </w:tc>
      </w:tr>
      <w:tr w14:paraId="58E9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555" w:hRule="exact"/>
        </w:trPr>
        <w:tc>
          <w:tcPr>
            <w:tcW w:w="2573" w:type="dxa"/>
            <w:vAlign w:val="center"/>
          </w:tcPr>
          <w:p w14:paraId="4D3F0F28">
            <w:pPr>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合计总报价</w:t>
            </w:r>
          </w:p>
        </w:tc>
        <w:tc>
          <w:tcPr>
            <w:tcW w:w="9752" w:type="dxa"/>
            <w:gridSpan w:val="5"/>
            <w:vAlign w:val="center"/>
          </w:tcPr>
          <w:p w14:paraId="5CD2FF25">
            <w:pPr>
              <w:rPr>
                <w:rFonts w:ascii="宋体" w:hAnsi="宋体"/>
                <w:color w:val="000000" w:themeColor="text1"/>
                <w:highlight w:val="none"/>
                <w14:textFill>
                  <w14:solidFill>
                    <w14:schemeClr w14:val="tx1"/>
                  </w14:solidFill>
                </w14:textFill>
              </w:rPr>
            </w:pPr>
          </w:p>
        </w:tc>
        <w:tc>
          <w:tcPr>
            <w:tcW w:w="2097" w:type="dxa"/>
            <w:vAlign w:val="center"/>
          </w:tcPr>
          <w:p w14:paraId="6CE79B9C">
            <w:pPr>
              <w:rPr>
                <w:rFonts w:ascii="宋体" w:hAnsi="宋体"/>
                <w:color w:val="000000" w:themeColor="text1"/>
                <w:highlight w:val="none"/>
                <w14:textFill>
                  <w14:solidFill>
                    <w14:schemeClr w14:val="tx1"/>
                  </w14:solidFill>
                </w14:textFill>
              </w:rPr>
            </w:pPr>
          </w:p>
        </w:tc>
      </w:tr>
      <w:tr w14:paraId="0DDF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trPr>
        <w:tc>
          <w:tcPr>
            <w:tcW w:w="14434" w:type="dxa"/>
            <w:gridSpan w:val="8"/>
          </w:tcPr>
          <w:p w14:paraId="47B5D6BE">
            <w:pPr>
              <w:spacing w:line="38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备注：</w:t>
            </w:r>
          </w:p>
          <w:p w14:paraId="25FC23E5">
            <w:pPr>
              <w:spacing w:line="400" w:lineRule="exact"/>
              <w:ind w:firstLine="1680" w:firstLineChars="70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1、总报价人民币大写：</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w:t>
            </w:r>
          </w:p>
          <w:p w14:paraId="54F9DF1B">
            <w:pPr>
              <w:spacing w:line="400" w:lineRule="exact"/>
              <w:ind w:firstLine="1677" w:firstLineChars="699"/>
              <w:jc w:val="lef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2、自报施工工期</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日历天，自报质量</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w:t>
            </w:r>
          </w:p>
          <w:p w14:paraId="10F103A0">
            <w:pPr>
              <w:spacing w:line="400" w:lineRule="exact"/>
              <w:ind w:firstLine="1692" w:firstLineChars="705"/>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3、工期延误惩罚承诺：</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，质量保证惩罚承诺：</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w:t>
            </w:r>
          </w:p>
          <w:p w14:paraId="0924CB6C">
            <w:pPr>
              <w:spacing w:line="400" w:lineRule="exact"/>
              <w:ind w:firstLine="1680" w:firstLineChars="70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4、项目负责人姓名：</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 xml:space="preserve"> 手机号：</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身份证号：</w:t>
            </w:r>
            <w:r>
              <w:rPr>
                <w:rFonts w:hint="eastAsia" w:ascii="宋体" w:hAnsi="宋体"/>
                <w:color w:val="000000" w:themeColor="text1"/>
                <w:sz w:val="24"/>
                <w:szCs w:val="22"/>
                <w:highlight w:val="none"/>
                <w:u w:val="single"/>
                <w14:textFill>
                  <w14:solidFill>
                    <w14:schemeClr w14:val="tx1"/>
                  </w14:solidFill>
                </w14:textFill>
              </w:rPr>
              <w:t xml:space="preserve">     *      </w:t>
            </w:r>
            <w:r>
              <w:rPr>
                <w:rFonts w:hint="eastAsia" w:ascii="宋体" w:hAnsi="宋体"/>
                <w:color w:val="000000" w:themeColor="text1"/>
                <w:sz w:val="24"/>
                <w:szCs w:val="22"/>
                <w:highlight w:val="none"/>
                <w14:textFill>
                  <w14:solidFill>
                    <w14:schemeClr w14:val="tx1"/>
                  </w14:solidFill>
                </w14:textFill>
              </w:rPr>
              <w:t>。</w:t>
            </w:r>
          </w:p>
          <w:p w14:paraId="639CADD9">
            <w:pPr>
              <w:spacing w:line="38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                                                                              供应商：（盖章）</w:t>
            </w:r>
          </w:p>
          <w:p w14:paraId="0CC63FD7">
            <w:pPr>
              <w:spacing w:line="380" w:lineRule="atLeast"/>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                                                                             法定代表人或其委托代理人：  （签字或盖章）：</w:t>
            </w:r>
          </w:p>
          <w:p w14:paraId="2C8BE510">
            <w:pPr>
              <w:spacing w:line="380" w:lineRule="atLeas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 xml:space="preserve">                                                                                              年  月  日</w:t>
            </w:r>
          </w:p>
        </w:tc>
      </w:tr>
    </w:tbl>
    <w:p w14:paraId="4BCCD810">
      <w:pPr>
        <w:widowControl/>
        <w:autoSpaceDE w:val="0"/>
        <w:autoSpaceDN w:val="0"/>
        <w:spacing w:line="500" w:lineRule="atLeast"/>
        <w:jc w:val="center"/>
        <w:textAlignment w:val="bottom"/>
        <w:rPr>
          <w:rFonts w:ascii="宋体" w:hAnsi="宋体"/>
          <w:color w:val="000000" w:themeColor="text1"/>
          <w:spacing w:val="60"/>
          <w:sz w:val="36"/>
          <w:highlight w:val="none"/>
          <w14:textFill>
            <w14:solidFill>
              <w14:schemeClr w14:val="tx1"/>
            </w14:solidFill>
          </w14:textFill>
        </w:rPr>
      </w:pPr>
    </w:p>
    <w:p w14:paraId="0AF827C4">
      <w:pPr>
        <w:rPr>
          <w:rFonts w:ascii="宋体" w:hAnsi="宋体"/>
          <w:color w:val="000000" w:themeColor="text1"/>
          <w:spacing w:val="8"/>
          <w:highlight w:val="none"/>
          <w14:textFill>
            <w14:solidFill>
              <w14:schemeClr w14:val="tx1"/>
            </w14:solidFill>
          </w14:textFill>
        </w:rPr>
        <w:sectPr>
          <w:pgSz w:w="16840" w:h="11907" w:orient="landscape"/>
          <w:pgMar w:top="1418" w:right="1361" w:bottom="1418" w:left="1418" w:header="851" w:footer="992" w:gutter="113"/>
          <w:pgNumType w:chapStyle="1"/>
          <w:cols w:space="720" w:num="1"/>
          <w:docGrid w:linePitch="326" w:charSpace="0"/>
        </w:sectPr>
      </w:pPr>
    </w:p>
    <w:p w14:paraId="18324C0B">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附件5</w:t>
      </w:r>
    </w:p>
    <w:p w14:paraId="5C9C08E0">
      <w:pPr>
        <w:widowControl/>
        <w:spacing w:line="360" w:lineRule="auto"/>
        <w:jc w:val="center"/>
        <w:rPr>
          <w:rFonts w:ascii="宋体" w:hAnsi="宋体"/>
          <w:b/>
          <w:bCs/>
          <w:sz w:val="24"/>
          <w:szCs w:val="24"/>
          <w:highlight w:val="none"/>
        </w:rPr>
      </w:pPr>
      <w:r>
        <w:rPr>
          <w:rFonts w:hint="eastAsia" w:ascii="宋体" w:hAnsi="宋体" w:cs="宋体"/>
          <w:b/>
          <w:bCs/>
          <w:color w:val="000000"/>
          <w:sz w:val="24"/>
          <w:szCs w:val="24"/>
          <w:highlight w:val="none"/>
          <w:lang w:bidi="ar"/>
        </w:rPr>
        <w:t>主要材料（设备）品牌、型号一览表</w:t>
      </w:r>
    </w:p>
    <w:tbl>
      <w:tblPr>
        <w:tblStyle w:val="88"/>
        <w:tblW w:w="9220" w:type="dxa"/>
        <w:tblInd w:w="-5" w:type="dxa"/>
        <w:tblLayout w:type="fixed"/>
        <w:tblCellMar>
          <w:top w:w="15" w:type="dxa"/>
          <w:left w:w="15" w:type="dxa"/>
          <w:bottom w:w="15" w:type="dxa"/>
          <w:right w:w="15" w:type="dxa"/>
        </w:tblCellMar>
      </w:tblPr>
      <w:tblGrid>
        <w:gridCol w:w="1024"/>
        <w:gridCol w:w="2304"/>
        <w:gridCol w:w="1932"/>
        <w:gridCol w:w="2016"/>
        <w:gridCol w:w="1944"/>
      </w:tblGrid>
      <w:tr w14:paraId="685BB924">
        <w:tblPrEx>
          <w:tblCellMar>
            <w:top w:w="15" w:type="dxa"/>
            <w:left w:w="15" w:type="dxa"/>
            <w:bottom w:w="15" w:type="dxa"/>
            <w:right w:w="15" w:type="dxa"/>
          </w:tblCellMar>
        </w:tblPrEx>
        <w:trPr>
          <w:trHeight w:val="1063" w:hRule="atLeast"/>
        </w:trPr>
        <w:tc>
          <w:tcPr>
            <w:tcW w:w="1024" w:type="dxa"/>
            <w:tcBorders>
              <w:top w:val="single" w:color="000000" w:sz="4" w:space="0"/>
              <w:left w:val="single" w:color="000000" w:sz="4" w:space="0"/>
              <w:bottom w:val="single" w:color="000000" w:sz="4" w:space="0"/>
              <w:right w:val="single" w:color="000000" w:sz="4" w:space="0"/>
            </w:tcBorders>
            <w:vAlign w:val="center"/>
          </w:tcPr>
          <w:p w14:paraId="690D7322">
            <w:pPr>
              <w:widowControl/>
              <w:jc w:val="center"/>
              <w:textAlignment w:val="bottom"/>
              <w:rPr>
                <w:rFonts w:ascii="宋体" w:hAnsi="宋体" w:cs="宋体"/>
                <w:color w:val="000000"/>
                <w:szCs w:val="24"/>
                <w:highlight w:val="none"/>
              </w:rPr>
            </w:pPr>
            <w:r>
              <w:rPr>
                <w:rFonts w:hint="eastAsia" w:ascii="宋体" w:hAnsi="宋体" w:cs="宋体"/>
                <w:color w:val="000000"/>
                <w:szCs w:val="24"/>
                <w:highlight w:val="none"/>
              </w:rPr>
              <w:t>序号</w:t>
            </w:r>
          </w:p>
        </w:tc>
        <w:tc>
          <w:tcPr>
            <w:tcW w:w="2304" w:type="dxa"/>
            <w:tcBorders>
              <w:top w:val="single" w:color="000000" w:sz="4" w:space="0"/>
              <w:left w:val="single" w:color="000000" w:sz="4" w:space="0"/>
              <w:bottom w:val="single" w:color="000000" w:sz="4" w:space="0"/>
              <w:right w:val="single" w:color="000000" w:sz="4" w:space="0"/>
            </w:tcBorders>
            <w:vAlign w:val="center"/>
          </w:tcPr>
          <w:p w14:paraId="4406BF8F">
            <w:pPr>
              <w:widowControl/>
              <w:jc w:val="center"/>
              <w:textAlignment w:val="bottom"/>
              <w:rPr>
                <w:rFonts w:ascii="宋体" w:hAnsi="宋体" w:cs="宋体"/>
                <w:color w:val="000000"/>
                <w:szCs w:val="24"/>
                <w:highlight w:val="none"/>
              </w:rPr>
            </w:pPr>
            <w:r>
              <w:rPr>
                <w:rFonts w:hint="eastAsia" w:ascii="宋体" w:hAnsi="宋体" w:cs="宋体"/>
                <w:color w:val="000000"/>
                <w:szCs w:val="24"/>
                <w:highlight w:val="none"/>
              </w:rPr>
              <w:t>材料（设备）名称</w:t>
            </w:r>
          </w:p>
        </w:tc>
        <w:tc>
          <w:tcPr>
            <w:tcW w:w="1932" w:type="dxa"/>
            <w:tcBorders>
              <w:top w:val="single" w:color="000000" w:sz="4" w:space="0"/>
              <w:left w:val="single" w:color="000000" w:sz="4" w:space="0"/>
              <w:bottom w:val="single" w:color="000000" w:sz="4" w:space="0"/>
              <w:right w:val="single" w:color="000000" w:sz="4" w:space="0"/>
            </w:tcBorders>
            <w:vAlign w:val="center"/>
          </w:tcPr>
          <w:p w14:paraId="51EFB37B">
            <w:pPr>
              <w:widowControl/>
              <w:jc w:val="center"/>
              <w:textAlignment w:val="bottom"/>
              <w:rPr>
                <w:rFonts w:ascii="宋体" w:hAnsi="宋体" w:cs="宋体"/>
                <w:color w:val="000000"/>
                <w:szCs w:val="24"/>
                <w:highlight w:val="none"/>
              </w:rPr>
            </w:pPr>
            <w:r>
              <w:rPr>
                <w:rFonts w:hint="eastAsia" w:ascii="宋体" w:hAnsi="宋体" w:cs="宋体"/>
                <w:color w:val="000000"/>
                <w:szCs w:val="24"/>
                <w:highlight w:val="none"/>
              </w:rPr>
              <w:t>规格、型号</w:t>
            </w:r>
          </w:p>
        </w:tc>
        <w:tc>
          <w:tcPr>
            <w:tcW w:w="2016" w:type="dxa"/>
            <w:tcBorders>
              <w:top w:val="single" w:color="000000" w:sz="4" w:space="0"/>
              <w:left w:val="single" w:color="000000" w:sz="4" w:space="0"/>
              <w:bottom w:val="single" w:color="000000" w:sz="4" w:space="0"/>
              <w:right w:val="single" w:color="000000" w:sz="4" w:space="0"/>
            </w:tcBorders>
            <w:vAlign w:val="center"/>
          </w:tcPr>
          <w:p w14:paraId="73C54A0D">
            <w:pPr>
              <w:widowControl/>
              <w:jc w:val="center"/>
              <w:textAlignment w:val="bottom"/>
              <w:rPr>
                <w:rFonts w:ascii="宋体" w:hAnsi="宋体" w:cs="宋体"/>
                <w:color w:val="000000"/>
                <w:szCs w:val="24"/>
                <w:highlight w:val="none"/>
              </w:rPr>
            </w:pPr>
            <w:r>
              <w:rPr>
                <w:rFonts w:hint="eastAsia" w:ascii="宋体" w:hAnsi="宋体" w:cs="宋体"/>
                <w:color w:val="000000"/>
                <w:szCs w:val="24"/>
                <w:highlight w:val="none"/>
              </w:rPr>
              <w:t>报价品牌</w:t>
            </w:r>
          </w:p>
        </w:tc>
        <w:tc>
          <w:tcPr>
            <w:tcW w:w="1944" w:type="dxa"/>
            <w:tcBorders>
              <w:top w:val="single" w:color="000000" w:sz="4" w:space="0"/>
              <w:left w:val="single" w:color="000000" w:sz="4" w:space="0"/>
              <w:bottom w:val="single" w:color="000000" w:sz="4" w:space="0"/>
              <w:right w:val="single" w:color="000000" w:sz="4" w:space="0"/>
            </w:tcBorders>
            <w:vAlign w:val="center"/>
          </w:tcPr>
          <w:p w14:paraId="72B6C2CA">
            <w:pPr>
              <w:widowControl/>
              <w:jc w:val="center"/>
              <w:textAlignment w:val="bottom"/>
              <w:rPr>
                <w:rFonts w:ascii="宋体" w:hAnsi="宋体" w:cs="宋体"/>
                <w:color w:val="000000"/>
                <w:szCs w:val="24"/>
                <w:highlight w:val="none"/>
              </w:rPr>
            </w:pPr>
            <w:r>
              <w:rPr>
                <w:rFonts w:hint="eastAsia" w:ascii="宋体" w:hAnsi="宋体" w:cs="宋体"/>
                <w:color w:val="000000"/>
                <w:szCs w:val="24"/>
                <w:highlight w:val="none"/>
              </w:rPr>
              <w:t>备注</w:t>
            </w:r>
          </w:p>
        </w:tc>
      </w:tr>
      <w:tr w14:paraId="68CE5384">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21DA7A5D">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559504EB">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50EAA1FB">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545508A1">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5D38D849">
            <w:pPr>
              <w:widowControl/>
              <w:jc w:val="center"/>
              <w:textAlignment w:val="bottom"/>
              <w:rPr>
                <w:rFonts w:ascii="宋体" w:hAnsi="宋体" w:cs="宋体"/>
                <w:color w:val="000000"/>
                <w:szCs w:val="24"/>
                <w:highlight w:val="none"/>
              </w:rPr>
            </w:pPr>
          </w:p>
        </w:tc>
      </w:tr>
      <w:tr w14:paraId="613E2699">
        <w:tblPrEx>
          <w:tblCellMar>
            <w:top w:w="15" w:type="dxa"/>
            <w:left w:w="15" w:type="dxa"/>
            <w:bottom w:w="15" w:type="dxa"/>
            <w:right w:w="15" w:type="dxa"/>
          </w:tblCellMar>
        </w:tblPrEx>
        <w:trPr>
          <w:trHeight w:val="621"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4E66D77A">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5A654C12">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7B2425D4">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34CC274F">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170CCDC1">
            <w:pPr>
              <w:widowControl/>
              <w:jc w:val="center"/>
              <w:textAlignment w:val="bottom"/>
              <w:rPr>
                <w:rFonts w:ascii="宋体" w:hAnsi="宋体" w:cs="宋体"/>
                <w:color w:val="000000"/>
                <w:szCs w:val="24"/>
                <w:highlight w:val="none"/>
              </w:rPr>
            </w:pPr>
          </w:p>
        </w:tc>
      </w:tr>
      <w:tr w14:paraId="21798757">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285BB258">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60D5AFFC">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00CD4479">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5DC874FA">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6E3C7C4D">
            <w:pPr>
              <w:widowControl/>
              <w:jc w:val="center"/>
              <w:textAlignment w:val="bottom"/>
              <w:rPr>
                <w:rFonts w:ascii="宋体" w:hAnsi="宋体" w:cs="宋体"/>
                <w:color w:val="000000"/>
                <w:szCs w:val="24"/>
                <w:highlight w:val="none"/>
              </w:rPr>
            </w:pPr>
          </w:p>
        </w:tc>
      </w:tr>
      <w:tr w14:paraId="3271E6F7">
        <w:tblPrEx>
          <w:tblCellMar>
            <w:top w:w="15" w:type="dxa"/>
            <w:left w:w="15" w:type="dxa"/>
            <w:bottom w:w="15" w:type="dxa"/>
            <w:right w:w="15" w:type="dxa"/>
          </w:tblCellMar>
        </w:tblPrEx>
        <w:trPr>
          <w:trHeight w:val="621"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4E49E7B3">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044AA8BB">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3F37B439">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5709C194">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2C54208F">
            <w:pPr>
              <w:widowControl/>
              <w:jc w:val="center"/>
              <w:textAlignment w:val="bottom"/>
              <w:rPr>
                <w:rFonts w:ascii="宋体" w:hAnsi="宋体" w:cs="宋体"/>
                <w:color w:val="000000"/>
                <w:szCs w:val="24"/>
                <w:highlight w:val="none"/>
              </w:rPr>
            </w:pPr>
          </w:p>
        </w:tc>
      </w:tr>
      <w:tr w14:paraId="3F548946">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56B6637A">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2E131FAE">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2EB32051">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28EB8F8E">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6FEF030A">
            <w:pPr>
              <w:widowControl/>
              <w:jc w:val="center"/>
              <w:textAlignment w:val="bottom"/>
              <w:rPr>
                <w:rFonts w:ascii="宋体" w:hAnsi="宋体" w:cs="宋体"/>
                <w:color w:val="000000"/>
                <w:szCs w:val="24"/>
                <w:highlight w:val="none"/>
              </w:rPr>
            </w:pPr>
          </w:p>
        </w:tc>
      </w:tr>
      <w:tr w14:paraId="05F24D01">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292318F9">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4281DA6E">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0AA57CDD">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09B3E808">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55D921CB">
            <w:pPr>
              <w:widowControl/>
              <w:jc w:val="center"/>
              <w:textAlignment w:val="bottom"/>
              <w:rPr>
                <w:rFonts w:ascii="宋体" w:hAnsi="宋体" w:cs="宋体"/>
                <w:color w:val="000000"/>
                <w:szCs w:val="24"/>
                <w:highlight w:val="none"/>
              </w:rPr>
            </w:pPr>
          </w:p>
        </w:tc>
      </w:tr>
      <w:tr w14:paraId="0ACD7E1C">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3B80D430">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58591173">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6BFF44B6">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3AFBF573">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6F041604">
            <w:pPr>
              <w:widowControl/>
              <w:jc w:val="center"/>
              <w:textAlignment w:val="bottom"/>
              <w:rPr>
                <w:rFonts w:ascii="宋体" w:hAnsi="宋体" w:cs="宋体"/>
                <w:color w:val="000000"/>
                <w:szCs w:val="24"/>
                <w:highlight w:val="none"/>
              </w:rPr>
            </w:pPr>
          </w:p>
        </w:tc>
      </w:tr>
      <w:tr w14:paraId="0D8FFFCD">
        <w:tblPrEx>
          <w:tblCellMar>
            <w:top w:w="15" w:type="dxa"/>
            <w:left w:w="15" w:type="dxa"/>
            <w:bottom w:w="15" w:type="dxa"/>
            <w:right w:w="15" w:type="dxa"/>
          </w:tblCellMar>
        </w:tblPrEx>
        <w:trPr>
          <w:trHeight w:val="621"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086BA5F5">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24CA5ACF">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020A7086">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658B766E">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324B4B2E">
            <w:pPr>
              <w:widowControl/>
              <w:jc w:val="center"/>
              <w:textAlignment w:val="bottom"/>
              <w:rPr>
                <w:rFonts w:ascii="宋体" w:hAnsi="宋体" w:cs="宋体"/>
                <w:color w:val="000000"/>
                <w:szCs w:val="24"/>
                <w:highlight w:val="none"/>
              </w:rPr>
            </w:pPr>
          </w:p>
        </w:tc>
      </w:tr>
      <w:tr w14:paraId="7F94DFA5">
        <w:tblPrEx>
          <w:tblCellMar>
            <w:top w:w="15" w:type="dxa"/>
            <w:left w:w="15" w:type="dxa"/>
            <w:bottom w:w="15" w:type="dxa"/>
            <w:right w:w="15" w:type="dxa"/>
          </w:tblCellMar>
        </w:tblPrEx>
        <w:trPr>
          <w:trHeight w:val="621"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68551803">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2387224E">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123BBD71">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18DF46E2">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48AF13BC">
            <w:pPr>
              <w:widowControl/>
              <w:jc w:val="center"/>
              <w:textAlignment w:val="bottom"/>
              <w:rPr>
                <w:rFonts w:ascii="宋体" w:hAnsi="宋体" w:cs="宋体"/>
                <w:color w:val="000000"/>
                <w:szCs w:val="24"/>
                <w:highlight w:val="none"/>
              </w:rPr>
            </w:pPr>
          </w:p>
        </w:tc>
      </w:tr>
      <w:tr w14:paraId="3BE71378">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0D54C0AB">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07702030">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738F9086">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65A862A2">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07DCC7BB">
            <w:pPr>
              <w:widowControl/>
              <w:jc w:val="center"/>
              <w:textAlignment w:val="bottom"/>
              <w:rPr>
                <w:rFonts w:ascii="宋体" w:hAnsi="宋体" w:cs="宋体"/>
                <w:color w:val="000000"/>
                <w:szCs w:val="24"/>
                <w:highlight w:val="none"/>
              </w:rPr>
            </w:pPr>
          </w:p>
        </w:tc>
      </w:tr>
      <w:tr w14:paraId="52CFA58B">
        <w:tblPrEx>
          <w:tblCellMar>
            <w:top w:w="15" w:type="dxa"/>
            <w:left w:w="15" w:type="dxa"/>
            <w:bottom w:w="15" w:type="dxa"/>
            <w:right w:w="15" w:type="dxa"/>
          </w:tblCellMar>
        </w:tblPrEx>
        <w:trPr>
          <w:trHeight w:val="62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2AE2C7D3">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5918AC56">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22985269">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489E4097">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7A20AE67">
            <w:pPr>
              <w:widowControl/>
              <w:jc w:val="center"/>
              <w:textAlignment w:val="bottom"/>
              <w:rPr>
                <w:rFonts w:ascii="宋体" w:hAnsi="宋体" w:cs="宋体"/>
                <w:color w:val="000000"/>
                <w:szCs w:val="24"/>
                <w:highlight w:val="none"/>
              </w:rPr>
            </w:pPr>
          </w:p>
        </w:tc>
      </w:tr>
      <w:tr w14:paraId="0C7206BD">
        <w:tblPrEx>
          <w:tblCellMar>
            <w:top w:w="15" w:type="dxa"/>
            <w:left w:w="15" w:type="dxa"/>
            <w:bottom w:w="15" w:type="dxa"/>
            <w:right w:w="15" w:type="dxa"/>
          </w:tblCellMar>
        </w:tblPrEx>
        <w:trPr>
          <w:trHeight w:val="621"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030EB6B7">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66844F90">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7CED3348">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32D55E8C">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3E98F168">
            <w:pPr>
              <w:widowControl/>
              <w:jc w:val="center"/>
              <w:textAlignment w:val="bottom"/>
              <w:rPr>
                <w:rFonts w:ascii="宋体" w:hAnsi="宋体" w:cs="宋体"/>
                <w:color w:val="000000"/>
                <w:szCs w:val="24"/>
                <w:highlight w:val="none"/>
              </w:rPr>
            </w:pPr>
          </w:p>
        </w:tc>
      </w:tr>
      <w:tr w14:paraId="4908A2AA">
        <w:tblPrEx>
          <w:tblCellMar>
            <w:top w:w="15" w:type="dxa"/>
            <w:left w:w="15" w:type="dxa"/>
            <w:bottom w:w="15" w:type="dxa"/>
            <w:right w:w="15" w:type="dxa"/>
          </w:tblCellMar>
        </w:tblPrEx>
        <w:trPr>
          <w:trHeight w:val="559"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0D793FFA">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7F981FF3">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0A0EAE15">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70391865">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vAlign w:val="bottom"/>
          </w:tcPr>
          <w:p w14:paraId="5969C071">
            <w:pPr>
              <w:widowControl/>
              <w:jc w:val="center"/>
              <w:textAlignment w:val="bottom"/>
              <w:rPr>
                <w:rFonts w:ascii="宋体" w:hAnsi="宋体" w:cs="宋体"/>
                <w:color w:val="000000"/>
                <w:szCs w:val="24"/>
                <w:highlight w:val="none"/>
              </w:rPr>
            </w:pPr>
          </w:p>
        </w:tc>
      </w:tr>
      <w:tr w14:paraId="72842BD8">
        <w:tblPrEx>
          <w:tblCellMar>
            <w:top w:w="15" w:type="dxa"/>
            <w:left w:w="15" w:type="dxa"/>
            <w:bottom w:w="15" w:type="dxa"/>
            <w:right w:w="15" w:type="dxa"/>
          </w:tblCellMar>
        </w:tblPrEx>
        <w:trPr>
          <w:trHeight w:val="573" w:hRule="atLeast"/>
        </w:trPr>
        <w:tc>
          <w:tcPr>
            <w:tcW w:w="1024" w:type="dxa"/>
            <w:tcBorders>
              <w:top w:val="single" w:color="000000" w:sz="4" w:space="0"/>
              <w:left w:val="single" w:color="000000" w:sz="4" w:space="0"/>
              <w:bottom w:val="single" w:color="000000" w:sz="4" w:space="0"/>
              <w:right w:val="single" w:color="000000" w:sz="4" w:space="0"/>
            </w:tcBorders>
            <w:vAlign w:val="bottom"/>
          </w:tcPr>
          <w:p w14:paraId="6B553802">
            <w:pPr>
              <w:widowControl/>
              <w:jc w:val="center"/>
              <w:textAlignment w:val="bottom"/>
              <w:rPr>
                <w:rFonts w:ascii="宋体" w:hAnsi="宋体" w:cs="宋体"/>
                <w:color w:val="000000"/>
                <w:szCs w:val="24"/>
                <w:highlight w:val="none"/>
              </w:rPr>
            </w:pPr>
          </w:p>
        </w:tc>
        <w:tc>
          <w:tcPr>
            <w:tcW w:w="2304" w:type="dxa"/>
            <w:tcBorders>
              <w:top w:val="single" w:color="000000" w:sz="4" w:space="0"/>
              <w:left w:val="single" w:color="000000" w:sz="4" w:space="0"/>
              <w:bottom w:val="single" w:color="000000" w:sz="4" w:space="0"/>
              <w:right w:val="single" w:color="000000" w:sz="4" w:space="0"/>
            </w:tcBorders>
            <w:vAlign w:val="bottom"/>
          </w:tcPr>
          <w:p w14:paraId="3F52A647">
            <w:pPr>
              <w:widowControl/>
              <w:jc w:val="center"/>
              <w:textAlignment w:val="bottom"/>
              <w:rPr>
                <w:rFonts w:ascii="宋体" w:hAnsi="宋体" w:cs="宋体"/>
                <w:color w:val="000000"/>
                <w:szCs w:val="24"/>
                <w:highlight w:val="none"/>
              </w:rPr>
            </w:pPr>
          </w:p>
        </w:tc>
        <w:tc>
          <w:tcPr>
            <w:tcW w:w="1932" w:type="dxa"/>
            <w:tcBorders>
              <w:top w:val="single" w:color="000000" w:sz="4" w:space="0"/>
              <w:left w:val="single" w:color="000000" w:sz="4" w:space="0"/>
              <w:bottom w:val="single" w:color="000000" w:sz="4" w:space="0"/>
              <w:right w:val="single" w:color="000000" w:sz="4" w:space="0"/>
            </w:tcBorders>
            <w:vAlign w:val="bottom"/>
          </w:tcPr>
          <w:p w14:paraId="60C1CDE1">
            <w:pPr>
              <w:widowControl/>
              <w:jc w:val="center"/>
              <w:textAlignment w:val="bottom"/>
              <w:rPr>
                <w:rFonts w:ascii="宋体" w:hAnsi="宋体" w:cs="宋体"/>
                <w:color w:val="000000"/>
                <w:szCs w:val="24"/>
                <w:highlight w:val="none"/>
              </w:rPr>
            </w:pPr>
          </w:p>
        </w:tc>
        <w:tc>
          <w:tcPr>
            <w:tcW w:w="2016" w:type="dxa"/>
            <w:tcBorders>
              <w:top w:val="single" w:color="000000" w:sz="4" w:space="0"/>
              <w:left w:val="single" w:color="000000" w:sz="4" w:space="0"/>
              <w:bottom w:val="single" w:color="000000" w:sz="4" w:space="0"/>
              <w:right w:val="single" w:color="000000" w:sz="4" w:space="0"/>
            </w:tcBorders>
            <w:vAlign w:val="bottom"/>
          </w:tcPr>
          <w:p w14:paraId="060413A6">
            <w:pPr>
              <w:widowControl/>
              <w:jc w:val="center"/>
              <w:textAlignment w:val="bottom"/>
              <w:rPr>
                <w:rFonts w:ascii="宋体" w:hAnsi="宋体" w:cs="宋体"/>
                <w:color w:val="000000"/>
                <w:szCs w:val="24"/>
                <w:highlight w:val="none"/>
              </w:rPr>
            </w:pPr>
          </w:p>
        </w:tc>
        <w:tc>
          <w:tcPr>
            <w:tcW w:w="1944" w:type="dxa"/>
            <w:tcBorders>
              <w:top w:val="single" w:color="000000" w:sz="4" w:space="0"/>
              <w:left w:val="single" w:color="000000" w:sz="4" w:space="0"/>
              <w:bottom w:val="single" w:color="000000" w:sz="4" w:space="0"/>
              <w:right w:val="single" w:color="000000" w:sz="4" w:space="0"/>
            </w:tcBorders>
          </w:tcPr>
          <w:p w14:paraId="657271C9">
            <w:pPr>
              <w:jc w:val="left"/>
              <w:rPr>
                <w:rFonts w:ascii="宋体" w:hAnsi="宋体" w:cs="宋体"/>
                <w:color w:val="000000"/>
                <w:szCs w:val="24"/>
                <w:highlight w:val="none"/>
              </w:rPr>
            </w:pPr>
          </w:p>
        </w:tc>
      </w:tr>
    </w:tbl>
    <w:p w14:paraId="5392F906">
      <w:pPr>
        <w:widowControl/>
        <w:jc w:val="left"/>
        <w:rPr>
          <w:rFonts w:ascii="宋体" w:hAnsi="宋体"/>
          <w:b/>
          <w:highlight w:val="none"/>
        </w:rPr>
      </w:pPr>
    </w:p>
    <w:p w14:paraId="48684940">
      <w:pPr>
        <w:widowControl/>
        <w:jc w:val="left"/>
        <w:rPr>
          <w:rFonts w:ascii="宋体" w:hAnsi="宋体"/>
          <w:b/>
          <w:highlight w:val="none"/>
        </w:rPr>
      </w:pPr>
      <w:r>
        <w:rPr>
          <w:rFonts w:ascii="宋体" w:hAnsi="宋体"/>
          <w:b/>
          <w:highlight w:val="none"/>
        </w:rPr>
        <w:br w:type="page"/>
      </w:r>
    </w:p>
    <w:p w14:paraId="63CEEF92">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附件6</w:t>
      </w:r>
    </w:p>
    <w:p w14:paraId="14C98D48">
      <w:pPr>
        <w:spacing w:line="239" w:lineRule="auto"/>
        <w:jc w:val="center"/>
        <w:rPr>
          <w:rFonts w:ascii="宋体" w:hAnsi="宋体"/>
          <w:sz w:val="24"/>
          <w:szCs w:val="22"/>
          <w:highlight w:val="none"/>
        </w:rPr>
      </w:pPr>
      <w:r>
        <w:rPr>
          <w:rFonts w:hint="eastAsia" w:ascii="宋体" w:hAnsi="宋体"/>
          <w:sz w:val="24"/>
          <w:szCs w:val="22"/>
          <w:highlight w:val="none"/>
        </w:rPr>
        <w:t>已标价工程量清单</w:t>
      </w:r>
    </w:p>
    <w:p w14:paraId="133DC373">
      <w:pPr>
        <w:spacing w:line="239" w:lineRule="auto"/>
        <w:rPr>
          <w:rFonts w:ascii="宋体" w:hAnsi="宋体"/>
          <w:sz w:val="24"/>
          <w:szCs w:val="22"/>
          <w:highlight w:val="none"/>
        </w:rPr>
      </w:pPr>
    </w:p>
    <w:p w14:paraId="437FC069">
      <w:pPr>
        <w:keepNext/>
        <w:keepLines/>
        <w:spacing w:before="260" w:after="260" w:line="415" w:lineRule="auto"/>
        <w:rPr>
          <w:rFonts w:ascii="宋体" w:hAnsi="宋体"/>
          <w:sz w:val="24"/>
          <w:szCs w:val="24"/>
          <w:highlight w:val="none"/>
        </w:rPr>
      </w:pPr>
      <w:r>
        <w:rPr>
          <w:rFonts w:hint="eastAsia" w:ascii="宋体" w:hAnsi="宋体"/>
          <w:sz w:val="24"/>
          <w:szCs w:val="22"/>
          <w:highlight w:val="none"/>
        </w:rPr>
        <w:t>说明：已标价工程量清单按相关清单表格式填写。构成合同文件的已标价工程量清单包括有关工程量清单、报价以及其他说明的内容。</w:t>
      </w:r>
    </w:p>
    <w:p w14:paraId="17054760">
      <w:pPr>
        <w:widowControl/>
        <w:jc w:val="left"/>
        <w:rPr>
          <w:rFonts w:ascii="宋体" w:hAnsi="宋体"/>
          <w:b/>
          <w:highlight w:val="none"/>
        </w:rPr>
      </w:pPr>
    </w:p>
    <w:p w14:paraId="408FEF70">
      <w:pPr>
        <w:widowControl/>
        <w:jc w:val="left"/>
        <w:rPr>
          <w:rFonts w:ascii="宋体" w:hAnsi="宋体"/>
          <w:b/>
          <w:highlight w:val="none"/>
        </w:rPr>
      </w:pPr>
      <w:r>
        <w:rPr>
          <w:rFonts w:ascii="宋体" w:hAnsi="宋体"/>
          <w:b/>
          <w:highlight w:val="none"/>
        </w:rPr>
        <w:br w:type="page"/>
      </w:r>
    </w:p>
    <w:p w14:paraId="6CE1730D">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w:t>
      </w:r>
      <w:r>
        <w:rPr>
          <w:rFonts w:ascii="宋体" w:hAnsi="宋体"/>
          <w:b/>
          <w:bCs/>
          <w:color w:val="000000" w:themeColor="text1"/>
          <w:spacing w:val="20"/>
          <w:sz w:val="24"/>
          <w:szCs w:val="32"/>
          <w:highlight w:val="none"/>
          <w14:textFill>
            <w14:solidFill>
              <w14:schemeClr w14:val="tx1"/>
            </w14:solidFill>
          </w14:textFill>
        </w:rPr>
        <w:t>7</w:t>
      </w:r>
    </w:p>
    <w:p w14:paraId="2007B1FC">
      <w:pPr>
        <w:snapToGrid w:val="0"/>
        <w:jc w:val="center"/>
        <w:rPr>
          <w:rFonts w:ascii="宋体" w:hAnsi="宋体" w:cs="宋体"/>
          <w:b/>
          <w:color w:val="000000" w:themeColor="text1"/>
          <w:sz w:val="24"/>
          <w:szCs w:val="30"/>
          <w:highlight w:val="none"/>
          <w14:textFill>
            <w14:solidFill>
              <w14:schemeClr w14:val="tx1"/>
            </w14:solidFill>
          </w14:textFill>
        </w:rPr>
      </w:pPr>
      <w:r>
        <w:rPr>
          <w:rFonts w:hint="eastAsia" w:ascii="宋体" w:hAnsi="宋体" w:cs="宋体"/>
          <w:b/>
          <w:color w:val="000000" w:themeColor="text1"/>
          <w:sz w:val="24"/>
          <w:szCs w:val="30"/>
          <w:highlight w:val="none"/>
          <w14:textFill>
            <w14:solidFill>
              <w14:schemeClr w14:val="tx1"/>
            </w14:solidFill>
          </w14:textFill>
        </w:rPr>
        <w:t xml:space="preserve">   </w:t>
      </w:r>
    </w:p>
    <w:p w14:paraId="14C323A5">
      <w:pPr>
        <w:snapToGrid w:val="0"/>
        <w:spacing w:line="360" w:lineRule="auto"/>
        <w:jc w:val="center"/>
        <w:rPr>
          <w:rFonts w:ascii="宋体" w:hAnsi="宋体" w:cs="宋体"/>
          <w:b/>
          <w:sz w:val="24"/>
          <w:highlight w:val="none"/>
        </w:rPr>
      </w:pPr>
      <w:r>
        <w:rPr>
          <w:rFonts w:hint="eastAsia" w:ascii="宋体" w:hAnsi="宋体" w:cs="宋体"/>
          <w:b/>
          <w:sz w:val="24"/>
          <w:highlight w:val="none"/>
        </w:rPr>
        <w:t>参加此次采购活动前</w:t>
      </w:r>
      <w:r>
        <w:rPr>
          <w:rFonts w:ascii="宋体" w:hAnsi="宋体" w:cs="宋体"/>
          <w:b/>
          <w:sz w:val="24"/>
          <w:highlight w:val="none"/>
        </w:rPr>
        <w:t>3</w:t>
      </w:r>
      <w:r>
        <w:rPr>
          <w:rFonts w:hint="eastAsia" w:ascii="宋体" w:hAnsi="宋体" w:cs="宋体"/>
          <w:b/>
          <w:sz w:val="24"/>
          <w:highlight w:val="none"/>
        </w:rPr>
        <w:t>年内在经营活动中没有重大违法记录的书面声明</w:t>
      </w:r>
    </w:p>
    <w:p w14:paraId="1D3B1D74">
      <w:pPr>
        <w:pStyle w:val="81"/>
        <w:spacing w:before="0" w:beforeAutospacing="0" w:after="0" w:afterAutospacing="0" w:line="360" w:lineRule="auto"/>
        <w:rPr>
          <w:rFonts w:cs="宋体"/>
          <w:color w:val="auto"/>
          <w:kern w:val="2"/>
          <w:highlight w:val="none"/>
        </w:rPr>
      </w:pPr>
    </w:p>
    <w:p w14:paraId="7FE59A91">
      <w:pPr>
        <w:pStyle w:val="81"/>
        <w:spacing w:before="0" w:beforeAutospacing="0" w:after="0" w:afterAutospacing="0" w:line="360" w:lineRule="auto"/>
        <w:rPr>
          <w:rFonts w:cs="宋体"/>
          <w:color w:val="auto"/>
          <w:kern w:val="2"/>
          <w:highlight w:val="none"/>
        </w:rPr>
      </w:pPr>
      <w:r>
        <w:rPr>
          <w:rFonts w:hint="eastAsia" w:cs="宋体"/>
          <w:color w:val="auto"/>
          <w:kern w:val="2"/>
          <w:highlight w:val="none"/>
        </w:rPr>
        <w:t>致：</w:t>
      </w:r>
      <w:r>
        <w:rPr>
          <w:rFonts w:hint="eastAsia" w:cs="宋体"/>
          <w:color w:val="auto"/>
          <w:kern w:val="2"/>
          <w:highlight w:val="none"/>
          <w:u w:val="single"/>
        </w:rPr>
        <w:t>（采购人）</w:t>
      </w:r>
    </w:p>
    <w:p w14:paraId="2667AC0E">
      <w:pPr>
        <w:pStyle w:val="81"/>
        <w:spacing w:before="0" w:beforeAutospacing="0" w:after="0" w:afterAutospacing="0" w:line="360" w:lineRule="auto"/>
        <w:rPr>
          <w:rFonts w:cs="宋体"/>
          <w:color w:val="auto"/>
          <w:kern w:val="2"/>
          <w:highlight w:val="none"/>
        </w:rPr>
      </w:pPr>
    </w:p>
    <w:p w14:paraId="724066D4">
      <w:pPr>
        <w:spacing w:line="360" w:lineRule="auto"/>
        <w:ind w:firstLine="360" w:firstLineChars="150"/>
        <w:rPr>
          <w:rFonts w:ascii="宋体" w:hAnsi="宋体" w:cs="宋体"/>
          <w:sz w:val="24"/>
          <w:highlight w:val="none"/>
        </w:rPr>
      </w:pPr>
      <w:r>
        <w:rPr>
          <w:rFonts w:hint="eastAsia" w:ascii="宋体" w:hAnsi="宋体" w:cs="宋体"/>
          <w:sz w:val="24"/>
          <w:highlight w:val="none"/>
        </w:rPr>
        <w:t>我公司承诺在参加本项目采购活动前三年内，在经营活动中没有重大违法记录，遵守国家其他有关的法律、法规和管理办法。</w:t>
      </w:r>
    </w:p>
    <w:p w14:paraId="2BB5D9BD">
      <w:pPr>
        <w:spacing w:line="360" w:lineRule="auto"/>
        <w:ind w:firstLine="480" w:firstLineChars="200"/>
        <w:rPr>
          <w:rFonts w:ascii="宋体" w:hAnsi="宋体" w:cs="宋体"/>
          <w:sz w:val="24"/>
          <w:highlight w:val="none"/>
        </w:rPr>
      </w:pPr>
      <w:r>
        <w:rPr>
          <w:rFonts w:hint="eastAsia" w:ascii="宋体" w:hAnsi="宋体" w:cs="宋体"/>
          <w:sz w:val="24"/>
          <w:highlight w:val="none"/>
        </w:rPr>
        <w:t>特此声明。</w:t>
      </w:r>
    </w:p>
    <w:p w14:paraId="7A6EF1E9">
      <w:pPr>
        <w:pStyle w:val="87"/>
        <w:rPr>
          <w:rFonts w:ascii="宋体" w:hAnsi="宋体" w:eastAsia="宋体"/>
          <w:highlight w:val="none"/>
        </w:rPr>
      </w:pPr>
    </w:p>
    <w:p w14:paraId="0D437813">
      <w:pPr>
        <w:spacing w:line="500" w:lineRule="exact"/>
        <w:rPr>
          <w:rFonts w:ascii="宋体" w:hAnsi="宋体" w:cs="宋体"/>
          <w:sz w:val="24"/>
          <w:highlight w:val="none"/>
        </w:rPr>
      </w:pPr>
      <w:r>
        <w:rPr>
          <w:rFonts w:hint="eastAsia" w:ascii="宋体" w:hAnsi="宋体" w:cs="宋体"/>
          <w:sz w:val="24"/>
          <w:highlight w:val="none"/>
        </w:rPr>
        <w:t>（注：重大违法记录是指供应商因违法经营受到刑事处罚或者责令停产停业、吊销许可证或者执照、较大数额罚款等行政处罚。</w:t>
      </w:r>
      <w:r>
        <w:rPr>
          <w:rFonts w:hint="eastAsia" w:ascii="宋体" w:hAnsi="宋体" w:cs="宋体"/>
          <w:sz w:val="24"/>
          <w:highlight w:val="none"/>
        </w:rPr>
        <w:br w:type="textWrapping"/>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供应商在参加采购活动前3年内因违法经营被禁止在一定期限内参加采购活动，期限届满的，可以参加采购活动。）</w:t>
      </w:r>
    </w:p>
    <w:p w14:paraId="22C430D5">
      <w:pPr>
        <w:widowControl/>
        <w:spacing w:before="100" w:beforeAutospacing="1" w:after="100" w:afterAutospacing="1"/>
        <w:jc w:val="left"/>
        <w:rPr>
          <w:rFonts w:ascii="宋体" w:hAnsi="宋体"/>
          <w:b/>
          <w:color w:val="000000" w:themeColor="text1"/>
          <w:szCs w:val="21"/>
          <w:highlight w:val="none"/>
          <w14:textFill>
            <w14:solidFill>
              <w14:schemeClr w14:val="tx1"/>
            </w14:solidFill>
          </w14:textFill>
        </w:rPr>
      </w:pPr>
    </w:p>
    <w:p w14:paraId="5B9210CD">
      <w:pPr>
        <w:widowControl/>
        <w:spacing w:before="100" w:beforeAutospacing="1" w:after="100" w:afterAutospacing="1"/>
        <w:jc w:val="left"/>
        <w:rPr>
          <w:rFonts w:ascii="宋体" w:hAnsi="宋体"/>
          <w:b/>
          <w:color w:val="000000" w:themeColor="text1"/>
          <w:szCs w:val="21"/>
          <w:highlight w:val="none"/>
          <w14:textFill>
            <w14:solidFill>
              <w14:schemeClr w14:val="tx1"/>
            </w14:solidFill>
          </w14:textFill>
        </w:rPr>
      </w:pPr>
    </w:p>
    <w:p w14:paraId="0D9B75DF">
      <w:pPr>
        <w:pStyle w:val="81"/>
        <w:spacing w:before="0" w:beforeAutospacing="0" w:after="0" w:afterAutospacing="0" w:line="360" w:lineRule="auto"/>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单位名称</w:t>
      </w:r>
      <w:r>
        <w:rPr>
          <w:color w:val="000000" w:themeColor="text1"/>
          <w:kern w:val="2"/>
          <w:highlight w:val="none"/>
          <w14:textFill>
            <w14:solidFill>
              <w14:schemeClr w14:val="tx1"/>
            </w14:solidFill>
          </w14:textFill>
        </w:rPr>
        <w:t>：（盖章）</w:t>
      </w:r>
    </w:p>
    <w:p w14:paraId="2005A6FC">
      <w:pPr>
        <w:pStyle w:val="45"/>
        <w:spacing w:before="0" w:beforeAutospacing="0" w:after="0" w:afterAutospacing="0"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法定代表人或其授权委托人：（签字或盖章）</w:t>
      </w:r>
    </w:p>
    <w:p w14:paraId="13E3C327">
      <w:pPr>
        <w:widowControl/>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日期：    年   月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日</w:t>
      </w:r>
    </w:p>
    <w:p w14:paraId="4D5D4233">
      <w:pPr>
        <w:widowControl/>
        <w:autoSpaceDE w:val="0"/>
        <w:autoSpaceDN w:val="0"/>
        <w:spacing w:line="360" w:lineRule="auto"/>
        <w:textAlignment w:val="bottom"/>
        <w:outlineLvl w:val="1"/>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71416697">
      <w:pPr>
        <w:pStyle w:val="45"/>
        <w:spacing w:after="0" w:afterAutospacing="0" w:line="360" w:lineRule="auto"/>
        <w:rPr>
          <w:rFonts w:cs="宋体"/>
          <w:b/>
          <w:color w:val="auto"/>
          <w:highlight w:val="none"/>
        </w:rPr>
      </w:pPr>
      <w:r>
        <w:rPr>
          <w:rFonts w:hint="eastAsia" w:cs="宋体"/>
          <w:b/>
          <w:color w:val="auto"/>
          <w:highlight w:val="none"/>
        </w:rPr>
        <w:t>附件8</w:t>
      </w:r>
    </w:p>
    <w:p w14:paraId="7509A910">
      <w:pPr>
        <w:pStyle w:val="45"/>
        <w:spacing w:after="0" w:afterAutospacing="0" w:line="360" w:lineRule="auto"/>
        <w:jc w:val="center"/>
        <w:rPr>
          <w:rFonts w:cs="宋体"/>
          <w:b/>
          <w:color w:val="auto"/>
          <w:highlight w:val="none"/>
        </w:rPr>
      </w:pPr>
      <w:r>
        <w:rPr>
          <w:rFonts w:hint="eastAsia" w:cs="宋体"/>
          <w:b/>
          <w:color w:val="auto"/>
          <w:highlight w:val="none"/>
        </w:rPr>
        <w:t>供应商书面声明</w:t>
      </w:r>
    </w:p>
    <w:p w14:paraId="0EA7AE8C">
      <w:pPr>
        <w:pStyle w:val="81"/>
        <w:spacing w:before="0" w:beforeAutospacing="0" w:after="0" w:afterAutospacing="0" w:line="360" w:lineRule="auto"/>
        <w:rPr>
          <w:rFonts w:cs="宋体"/>
          <w:color w:val="auto"/>
          <w:kern w:val="2"/>
          <w:highlight w:val="none"/>
        </w:rPr>
      </w:pPr>
      <w:r>
        <w:rPr>
          <w:rFonts w:hint="eastAsia" w:cs="宋体"/>
          <w:color w:val="auto"/>
          <w:highlight w:val="none"/>
        </w:rPr>
        <w:t>致：</w:t>
      </w:r>
      <w:r>
        <w:rPr>
          <w:rFonts w:hint="eastAsia" w:cs="宋体"/>
          <w:color w:val="auto"/>
          <w:highlight w:val="none"/>
          <w:u w:val="single"/>
        </w:rPr>
        <w:t xml:space="preserve">    （采购人）             </w:t>
      </w:r>
    </w:p>
    <w:p w14:paraId="51DFDB58">
      <w:pPr>
        <w:spacing w:line="500" w:lineRule="exact"/>
        <w:ind w:firstLine="480" w:firstLineChars="200"/>
        <w:rPr>
          <w:rFonts w:ascii="宋体" w:hAnsi="宋体" w:cs="宋体"/>
          <w:sz w:val="24"/>
          <w:highlight w:val="none"/>
        </w:rPr>
      </w:pPr>
      <w:r>
        <w:rPr>
          <w:rFonts w:hint="eastAsia" w:ascii="宋体" w:hAnsi="宋体" w:cs="宋体"/>
          <w:sz w:val="24"/>
          <w:highlight w:val="none"/>
        </w:rPr>
        <w:t>我公司承诺已自查，在参加本项目政府采购活动中未违反 “单位负责人为同一人或者存在直接控股、管理关系的不同供应商，不得参加同一合同项下的政府采购活动。</w:t>
      </w:r>
    </w:p>
    <w:p w14:paraId="13EE9870">
      <w:pPr>
        <w:spacing w:line="500" w:lineRule="exact"/>
        <w:ind w:firstLine="480" w:firstLineChars="200"/>
        <w:rPr>
          <w:rFonts w:ascii="宋体" w:hAnsi="宋体"/>
          <w:sz w:val="24"/>
          <w:highlight w:val="none"/>
        </w:rPr>
      </w:pPr>
      <w:r>
        <w:rPr>
          <w:rFonts w:hint="eastAsia" w:ascii="宋体" w:hAnsi="宋体" w:cs="宋体"/>
          <w:sz w:val="24"/>
          <w:highlight w:val="none"/>
        </w:rPr>
        <w:t>为采购项目提供设计、规范编制或者项目管理、监理、检测等服务的供应商，不得再参加该采购项目的其他采购活动。”</w:t>
      </w:r>
      <w:r>
        <w:rPr>
          <w:rFonts w:hint="eastAsia" w:ascii="宋体" w:hAnsi="宋体"/>
          <w:sz w:val="24"/>
          <w:highlight w:val="none"/>
        </w:rPr>
        <w:t>特此声明。</w:t>
      </w:r>
    </w:p>
    <w:p w14:paraId="435AAF85">
      <w:pPr>
        <w:spacing w:line="500" w:lineRule="exact"/>
        <w:rPr>
          <w:rFonts w:ascii="宋体" w:hAnsi="宋体"/>
          <w:szCs w:val="21"/>
          <w:highlight w:val="none"/>
        </w:rPr>
      </w:pPr>
    </w:p>
    <w:p w14:paraId="36663EF2">
      <w:pPr>
        <w:autoSpaceDE w:val="0"/>
        <w:autoSpaceDN w:val="0"/>
        <w:adjustRightInd w:val="0"/>
        <w:spacing w:line="560" w:lineRule="exact"/>
        <w:ind w:firstLine="523" w:firstLineChars="218"/>
        <w:rPr>
          <w:rFonts w:ascii="宋体" w:hAnsi="宋体"/>
          <w:color w:val="000000" w:themeColor="text1"/>
          <w:sz w:val="24"/>
          <w:szCs w:val="24"/>
          <w:highlight w:val="none"/>
          <w14:textFill>
            <w14:solidFill>
              <w14:schemeClr w14:val="tx1"/>
            </w14:solidFill>
          </w14:textFill>
        </w:rPr>
      </w:pPr>
    </w:p>
    <w:p w14:paraId="1C38A2E7">
      <w:pPr>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单位名称（盖章）：</w:t>
      </w:r>
      <w:r>
        <w:rPr>
          <w:rFonts w:ascii="宋体" w:hAnsi="宋体"/>
          <w:color w:val="000000" w:themeColor="text1"/>
          <w:sz w:val="24"/>
          <w:szCs w:val="24"/>
          <w:highlight w:val="none"/>
          <w:u w:val="single"/>
          <w14:textFill>
            <w14:solidFill>
              <w14:schemeClr w14:val="tx1"/>
            </w14:solidFill>
          </w14:textFill>
        </w:rPr>
        <w:t xml:space="preserve">                             </w:t>
      </w:r>
    </w:p>
    <w:p w14:paraId="43CE3223">
      <w:pPr>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法定代表人或授权委托人（签字或盖章）：</w:t>
      </w:r>
      <w:r>
        <w:rPr>
          <w:rFonts w:ascii="宋体" w:hAnsi="宋体"/>
          <w:color w:val="000000" w:themeColor="text1"/>
          <w:sz w:val="24"/>
          <w:szCs w:val="24"/>
          <w:highlight w:val="none"/>
          <w:u w:val="single"/>
          <w14:textFill>
            <w14:solidFill>
              <w14:schemeClr w14:val="tx1"/>
            </w14:solidFill>
          </w14:textFill>
        </w:rPr>
        <w:t xml:space="preserve">                      </w:t>
      </w:r>
    </w:p>
    <w:p w14:paraId="586647B9">
      <w:pPr>
        <w:spacing w:line="5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0B89A209">
      <w:pPr>
        <w:autoSpaceDE w:val="0"/>
        <w:autoSpaceDN w:val="0"/>
        <w:adjustRightInd w:val="0"/>
        <w:spacing w:line="560" w:lineRule="exact"/>
        <w:ind w:firstLine="523" w:firstLineChars="218"/>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tbl>
      <w:tblPr>
        <w:tblStyle w:val="8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76"/>
        <w:gridCol w:w="2456"/>
        <w:gridCol w:w="840"/>
        <w:gridCol w:w="1510"/>
        <w:gridCol w:w="1345"/>
        <w:gridCol w:w="1057"/>
        <w:gridCol w:w="624"/>
      </w:tblGrid>
      <w:tr w14:paraId="0069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0" w:type="pct"/>
            <w:gridSpan w:val="8"/>
            <w:tcBorders>
              <w:top w:val="single" w:color="auto" w:sz="4" w:space="0"/>
              <w:left w:val="single" w:color="auto" w:sz="4" w:space="0"/>
              <w:bottom w:val="single" w:color="auto" w:sz="4" w:space="0"/>
              <w:right w:val="single" w:color="auto" w:sz="4" w:space="0"/>
            </w:tcBorders>
          </w:tcPr>
          <w:p w14:paraId="6E8BB344">
            <w:pPr>
              <w:jc w:val="center"/>
              <w:rPr>
                <w:rFonts w:ascii="宋体" w:hAnsi="宋体"/>
                <w:szCs w:val="21"/>
                <w:highlight w:val="none"/>
              </w:rPr>
            </w:pPr>
            <w:r>
              <w:rPr>
                <w:rFonts w:hint="eastAsia" w:ascii="宋体" w:hAnsi="宋体"/>
                <w:b/>
                <w:sz w:val="28"/>
                <w:szCs w:val="28"/>
                <w:highlight w:val="none"/>
              </w:rPr>
              <w:t>主要股东或者出资人信息</w:t>
            </w:r>
          </w:p>
        </w:tc>
      </w:tr>
      <w:tr w14:paraId="0650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77" w:type="pct"/>
            <w:tcBorders>
              <w:top w:val="single" w:color="auto" w:sz="4" w:space="0"/>
              <w:left w:val="single" w:color="auto" w:sz="4" w:space="0"/>
              <w:bottom w:val="single" w:color="auto" w:sz="4" w:space="0"/>
              <w:right w:val="single" w:color="auto" w:sz="4" w:space="0"/>
            </w:tcBorders>
          </w:tcPr>
          <w:p w14:paraId="5F61B34D">
            <w:pPr>
              <w:jc w:val="center"/>
              <w:rPr>
                <w:rFonts w:ascii="宋体" w:hAnsi="宋体"/>
                <w:szCs w:val="21"/>
                <w:highlight w:val="none"/>
              </w:rPr>
            </w:pPr>
            <w:r>
              <w:rPr>
                <w:rFonts w:hint="eastAsia" w:ascii="宋体" w:hAnsi="宋体"/>
                <w:szCs w:val="21"/>
                <w:highlight w:val="none"/>
              </w:rPr>
              <w:t>序号</w:t>
            </w:r>
          </w:p>
        </w:tc>
        <w:tc>
          <w:tcPr>
            <w:tcW w:w="733" w:type="pct"/>
            <w:tcBorders>
              <w:top w:val="single" w:color="auto" w:sz="4" w:space="0"/>
              <w:left w:val="single" w:color="auto" w:sz="4" w:space="0"/>
              <w:bottom w:val="single" w:color="auto" w:sz="4" w:space="0"/>
              <w:right w:val="single" w:color="auto" w:sz="4" w:space="0"/>
            </w:tcBorders>
          </w:tcPr>
          <w:p w14:paraId="422871A2">
            <w:pPr>
              <w:jc w:val="center"/>
              <w:rPr>
                <w:rFonts w:ascii="宋体" w:hAnsi="宋体"/>
                <w:szCs w:val="21"/>
                <w:highlight w:val="none"/>
              </w:rPr>
            </w:pPr>
            <w:r>
              <w:rPr>
                <w:rFonts w:hint="eastAsia" w:ascii="宋体" w:hAnsi="宋体"/>
                <w:szCs w:val="21"/>
                <w:highlight w:val="none"/>
              </w:rPr>
              <w:t>名称</w:t>
            </w:r>
          </w:p>
          <w:p w14:paraId="249C21DB">
            <w:pPr>
              <w:jc w:val="center"/>
              <w:rPr>
                <w:rFonts w:ascii="宋体" w:hAnsi="宋体"/>
                <w:szCs w:val="21"/>
                <w:highlight w:val="none"/>
              </w:rPr>
            </w:pPr>
            <w:r>
              <w:rPr>
                <w:rFonts w:hint="eastAsia" w:ascii="宋体" w:hAnsi="宋体"/>
                <w:szCs w:val="21"/>
                <w:highlight w:val="none"/>
              </w:rPr>
              <w:t>（姓名）</w:t>
            </w:r>
          </w:p>
        </w:tc>
        <w:tc>
          <w:tcPr>
            <w:tcW w:w="1220" w:type="pct"/>
            <w:tcBorders>
              <w:top w:val="single" w:color="auto" w:sz="4" w:space="0"/>
              <w:left w:val="single" w:color="auto" w:sz="4" w:space="0"/>
              <w:bottom w:val="single" w:color="auto" w:sz="4" w:space="0"/>
              <w:right w:val="single" w:color="auto" w:sz="4" w:space="0"/>
            </w:tcBorders>
          </w:tcPr>
          <w:p w14:paraId="14CB8569">
            <w:pPr>
              <w:jc w:val="center"/>
              <w:rPr>
                <w:rFonts w:ascii="宋体" w:hAnsi="宋体"/>
                <w:szCs w:val="21"/>
                <w:highlight w:val="none"/>
              </w:rPr>
            </w:pPr>
            <w:r>
              <w:rPr>
                <w:rFonts w:hint="eastAsia" w:ascii="宋体" w:hAnsi="宋体"/>
                <w:szCs w:val="21"/>
                <w:highlight w:val="none"/>
              </w:rPr>
              <w:t>统一社会信用代码</w:t>
            </w:r>
          </w:p>
          <w:p w14:paraId="5EC9BF1F">
            <w:pPr>
              <w:jc w:val="center"/>
              <w:rPr>
                <w:rFonts w:ascii="宋体" w:hAnsi="宋体"/>
                <w:szCs w:val="21"/>
                <w:highlight w:val="none"/>
              </w:rPr>
            </w:pPr>
            <w:r>
              <w:rPr>
                <w:rFonts w:hint="eastAsia" w:ascii="宋体" w:hAnsi="宋体"/>
                <w:szCs w:val="21"/>
                <w:highlight w:val="none"/>
              </w:rPr>
              <w:t>（身份证号）</w:t>
            </w:r>
          </w:p>
        </w:tc>
        <w:tc>
          <w:tcPr>
            <w:tcW w:w="417" w:type="pct"/>
            <w:tcBorders>
              <w:top w:val="single" w:color="auto" w:sz="4" w:space="0"/>
              <w:left w:val="single" w:color="auto" w:sz="4" w:space="0"/>
              <w:bottom w:val="single" w:color="auto" w:sz="4" w:space="0"/>
              <w:right w:val="single" w:color="auto" w:sz="4" w:space="0"/>
            </w:tcBorders>
          </w:tcPr>
          <w:p w14:paraId="7CB5E804">
            <w:pPr>
              <w:jc w:val="center"/>
              <w:rPr>
                <w:rFonts w:ascii="宋体" w:hAnsi="宋体"/>
                <w:szCs w:val="21"/>
                <w:highlight w:val="none"/>
              </w:rPr>
            </w:pPr>
            <w:r>
              <w:rPr>
                <w:rFonts w:hint="eastAsia" w:ascii="宋体" w:hAnsi="宋体"/>
                <w:szCs w:val="21"/>
                <w:highlight w:val="none"/>
              </w:rPr>
              <w:t>出资方式</w:t>
            </w:r>
          </w:p>
        </w:tc>
        <w:tc>
          <w:tcPr>
            <w:tcW w:w="750" w:type="pct"/>
            <w:tcBorders>
              <w:top w:val="single" w:color="auto" w:sz="4" w:space="0"/>
              <w:left w:val="single" w:color="auto" w:sz="4" w:space="0"/>
              <w:bottom w:val="single" w:color="auto" w:sz="4" w:space="0"/>
              <w:right w:val="single" w:color="auto" w:sz="4" w:space="0"/>
            </w:tcBorders>
          </w:tcPr>
          <w:p w14:paraId="6992E6E6">
            <w:pPr>
              <w:jc w:val="center"/>
              <w:rPr>
                <w:rFonts w:ascii="宋体" w:hAnsi="宋体"/>
                <w:szCs w:val="21"/>
                <w:highlight w:val="none"/>
              </w:rPr>
            </w:pPr>
            <w:r>
              <w:rPr>
                <w:rFonts w:hint="eastAsia" w:ascii="宋体" w:hAnsi="宋体"/>
                <w:szCs w:val="21"/>
                <w:highlight w:val="none"/>
              </w:rPr>
              <w:t>出资金额（万元）</w:t>
            </w:r>
          </w:p>
        </w:tc>
        <w:tc>
          <w:tcPr>
            <w:tcW w:w="668" w:type="pct"/>
            <w:tcBorders>
              <w:top w:val="single" w:color="auto" w:sz="4" w:space="0"/>
              <w:left w:val="single" w:color="auto" w:sz="4" w:space="0"/>
              <w:bottom w:val="single" w:color="auto" w:sz="4" w:space="0"/>
              <w:right w:val="single" w:color="auto" w:sz="4" w:space="0"/>
            </w:tcBorders>
          </w:tcPr>
          <w:p w14:paraId="43B0F2BA">
            <w:pPr>
              <w:jc w:val="center"/>
              <w:rPr>
                <w:rFonts w:ascii="宋体" w:hAnsi="宋体"/>
                <w:szCs w:val="21"/>
                <w:highlight w:val="none"/>
              </w:rPr>
            </w:pPr>
            <w:r>
              <w:rPr>
                <w:rFonts w:hint="eastAsia" w:ascii="宋体" w:hAnsi="宋体"/>
                <w:szCs w:val="21"/>
                <w:highlight w:val="none"/>
              </w:rPr>
              <w:t>占全部股份比例</w:t>
            </w:r>
          </w:p>
        </w:tc>
        <w:tc>
          <w:tcPr>
            <w:tcW w:w="525" w:type="pct"/>
            <w:tcBorders>
              <w:top w:val="single" w:color="auto" w:sz="4" w:space="0"/>
              <w:left w:val="single" w:color="auto" w:sz="4" w:space="0"/>
              <w:bottom w:val="single" w:color="auto" w:sz="4" w:space="0"/>
              <w:right w:val="single" w:color="auto" w:sz="4" w:space="0"/>
            </w:tcBorders>
          </w:tcPr>
          <w:p w14:paraId="765C95FF">
            <w:pPr>
              <w:jc w:val="center"/>
              <w:rPr>
                <w:rFonts w:ascii="宋体" w:hAnsi="宋体"/>
                <w:szCs w:val="21"/>
                <w:highlight w:val="none"/>
              </w:rPr>
            </w:pPr>
            <w:r>
              <w:rPr>
                <w:rFonts w:hint="eastAsia" w:ascii="宋体" w:hAnsi="宋体"/>
                <w:szCs w:val="21"/>
                <w:highlight w:val="none"/>
              </w:rPr>
              <w:t>表决权</w:t>
            </w:r>
          </w:p>
        </w:tc>
        <w:tc>
          <w:tcPr>
            <w:tcW w:w="308" w:type="pct"/>
            <w:tcBorders>
              <w:top w:val="single" w:color="auto" w:sz="4" w:space="0"/>
              <w:left w:val="single" w:color="auto" w:sz="4" w:space="0"/>
              <w:bottom w:val="single" w:color="auto" w:sz="4" w:space="0"/>
              <w:right w:val="single" w:color="auto" w:sz="4" w:space="0"/>
            </w:tcBorders>
          </w:tcPr>
          <w:p w14:paraId="58F33BF7">
            <w:pPr>
              <w:jc w:val="center"/>
              <w:rPr>
                <w:rFonts w:ascii="宋体" w:hAnsi="宋体"/>
                <w:szCs w:val="21"/>
                <w:highlight w:val="none"/>
              </w:rPr>
            </w:pPr>
            <w:r>
              <w:rPr>
                <w:rFonts w:hint="eastAsia" w:ascii="宋体" w:hAnsi="宋体"/>
                <w:szCs w:val="21"/>
                <w:highlight w:val="none"/>
              </w:rPr>
              <w:t>备注</w:t>
            </w:r>
          </w:p>
        </w:tc>
      </w:tr>
      <w:tr w14:paraId="4900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52D8403A">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4D24C943">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1749E12A">
            <w:pPr>
              <w:jc w:val="center"/>
              <w:rPr>
                <w:rFonts w:ascii="宋体" w:hAnsi="宋体"/>
                <w:szCs w:val="21"/>
                <w:highlight w:val="none"/>
              </w:rPr>
            </w:pPr>
          </w:p>
        </w:tc>
        <w:tc>
          <w:tcPr>
            <w:tcW w:w="417" w:type="pct"/>
            <w:tcBorders>
              <w:top w:val="single" w:color="auto" w:sz="4" w:space="0"/>
              <w:left w:val="single" w:color="auto" w:sz="4" w:space="0"/>
              <w:bottom w:val="single" w:color="auto" w:sz="4" w:space="0"/>
              <w:right w:val="single" w:color="auto" w:sz="4" w:space="0"/>
            </w:tcBorders>
          </w:tcPr>
          <w:p w14:paraId="084FC939">
            <w:pPr>
              <w:jc w:val="center"/>
              <w:rPr>
                <w:rFonts w:ascii="宋体" w:hAnsi="宋体"/>
                <w:szCs w:val="21"/>
                <w:highlight w:val="none"/>
              </w:rPr>
            </w:pPr>
          </w:p>
        </w:tc>
        <w:tc>
          <w:tcPr>
            <w:tcW w:w="750" w:type="pct"/>
            <w:tcBorders>
              <w:top w:val="single" w:color="auto" w:sz="4" w:space="0"/>
              <w:left w:val="single" w:color="auto" w:sz="4" w:space="0"/>
              <w:bottom w:val="single" w:color="auto" w:sz="4" w:space="0"/>
              <w:right w:val="single" w:color="auto" w:sz="4" w:space="0"/>
            </w:tcBorders>
          </w:tcPr>
          <w:p w14:paraId="77E755B0">
            <w:pPr>
              <w:jc w:val="center"/>
              <w:rPr>
                <w:rFonts w:ascii="宋体" w:hAnsi="宋体"/>
                <w:szCs w:val="21"/>
                <w:highlight w:val="none"/>
              </w:rPr>
            </w:pPr>
          </w:p>
        </w:tc>
        <w:tc>
          <w:tcPr>
            <w:tcW w:w="668" w:type="pct"/>
            <w:tcBorders>
              <w:top w:val="single" w:color="auto" w:sz="4" w:space="0"/>
              <w:left w:val="single" w:color="auto" w:sz="4" w:space="0"/>
              <w:bottom w:val="single" w:color="auto" w:sz="4" w:space="0"/>
              <w:right w:val="single" w:color="auto" w:sz="4" w:space="0"/>
            </w:tcBorders>
          </w:tcPr>
          <w:p w14:paraId="00CF33CF">
            <w:pPr>
              <w:jc w:val="center"/>
              <w:rPr>
                <w:rFonts w:ascii="宋体" w:hAnsi="宋体"/>
                <w:szCs w:val="21"/>
                <w:highlight w:val="none"/>
              </w:rPr>
            </w:pPr>
          </w:p>
        </w:tc>
        <w:tc>
          <w:tcPr>
            <w:tcW w:w="525" w:type="pct"/>
            <w:tcBorders>
              <w:top w:val="single" w:color="auto" w:sz="4" w:space="0"/>
              <w:left w:val="single" w:color="auto" w:sz="4" w:space="0"/>
              <w:bottom w:val="single" w:color="auto" w:sz="4" w:space="0"/>
              <w:right w:val="single" w:color="auto" w:sz="4" w:space="0"/>
            </w:tcBorders>
          </w:tcPr>
          <w:p w14:paraId="28032AD9">
            <w:pPr>
              <w:jc w:val="center"/>
              <w:rPr>
                <w:rFonts w:ascii="宋体" w:hAnsi="宋体"/>
                <w:szCs w:val="21"/>
                <w:highlight w:val="none"/>
              </w:rPr>
            </w:pPr>
          </w:p>
        </w:tc>
        <w:tc>
          <w:tcPr>
            <w:tcW w:w="308" w:type="pct"/>
            <w:tcBorders>
              <w:top w:val="single" w:color="auto" w:sz="4" w:space="0"/>
              <w:left w:val="single" w:color="auto" w:sz="4" w:space="0"/>
              <w:bottom w:val="single" w:color="auto" w:sz="4" w:space="0"/>
              <w:right w:val="single" w:color="auto" w:sz="4" w:space="0"/>
            </w:tcBorders>
          </w:tcPr>
          <w:p w14:paraId="1C8F857A">
            <w:pPr>
              <w:jc w:val="center"/>
              <w:rPr>
                <w:rFonts w:ascii="宋体" w:hAnsi="宋体"/>
                <w:szCs w:val="21"/>
                <w:highlight w:val="none"/>
              </w:rPr>
            </w:pPr>
          </w:p>
        </w:tc>
      </w:tr>
      <w:tr w14:paraId="0823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2C6DC5C3">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0A48838A">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1AEAF35E">
            <w:pPr>
              <w:jc w:val="center"/>
              <w:rPr>
                <w:rFonts w:ascii="宋体" w:hAnsi="宋体"/>
                <w:szCs w:val="21"/>
                <w:highlight w:val="none"/>
              </w:rPr>
            </w:pPr>
          </w:p>
        </w:tc>
        <w:tc>
          <w:tcPr>
            <w:tcW w:w="417" w:type="pct"/>
            <w:tcBorders>
              <w:top w:val="single" w:color="auto" w:sz="4" w:space="0"/>
              <w:left w:val="single" w:color="auto" w:sz="4" w:space="0"/>
              <w:bottom w:val="single" w:color="auto" w:sz="4" w:space="0"/>
              <w:right w:val="single" w:color="auto" w:sz="4" w:space="0"/>
            </w:tcBorders>
          </w:tcPr>
          <w:p w14:paraId="42871366">
            <w:pPr>
              <w:jc w:val="center"/>
              <w:rPr>
                <w:rFonts w:ascii="宋体" w:hAnsi="宋体"/>
                <w:szCs w:val="21"/>
                <w:highlight w:val="none"/>
              </w:rPr>
            </w:pPr>
          </w:p>
        </w:tc>
        <w:tc>
          <w:tcPr>
            <w:tcW w:w="750" w:type="pct"/>
            <w:tcBorders>
              <w:top w:val="single" w:color="auto" w:sz="4" w:space="0"/>
              <w:left w:val="single" w:color="auto" w:sz="4" w:space="0"/>
              <w:bottom w:val="single" w:color="auto" w:sz="4" w:space="0"/>
              <w:right w:val="single" w:color="auto" w:sz="4" w:space="0"/>
            </w:tcBorders>
          </w:tcPr>
          <w:p w14:paraId="52FFF703">
            <w:pPr>
              <w:jc w:val="center"/>
              <w:rPr>
                <w:rFonts w:ascii="宋体" w:hAnsi="宋体"/>
                <w:szCs w:val="21"/>
                <w:highlight w:val="none"/>
              </w:rPr>
            </w:pPr>
          </w:p>
        </w:tc>
        <w:tc>
          <w:tcPr>
            <w:tcW w:w="668" w:type="pct"/>
            <w:tcBorders>
              <w:top w:val="single" w:color="auto" w:sz="4" w:space="0"/>
              <w:left w:val="single" w:color="auto" w:sz="4" w:space="0"/>
              <w:bottom w:val="single" w:color="auto" w:sz="4" w:space="0"/>
              <w:right w:val="single" w:color="auto" w:sz="4" w:space="0"/>
            </w:tcBorders>
          </w:tcPr>
          <w:p w14:paraId="40B40874">
            <w:pPr>
              <w:jc w:val="center"/>
              <w:rPr>
                <w:rFonts w:ascii="宋体" w:hAnsi="宋体"/>
                <w:szCs w:val="21"/>
                <w:highlight w:val="none"/>
              </w:rPr>
            </w:pPr>
          </w:p>
        </w:tc>
        <w:tc>
          <w:tcPr>
            <w:tcW w:w="525" w:type="pct"/>
            <w:tcBorders>
              <w:top w:val="single" w:color="auto" w:sz="4" w:space="0"/>
              <w:left w:val="single" w:color="auto" w:sz="4" w:space="0"/>
              <w:bottom w:val="single" w:color="auto" w:sz="4" w:space="0"/>
              <w:right w:val="single" w:color="auto" w:sz="4" w:space="0"/>
            </w:tcBorders>
          </w:tcPr>
          <w:p w14:paraId="55B5263A">
            <w:pPr>
              <w:jc w:val="center"/>
              <w:rPr>
                <w:rFonts w:ascii="宋体" w:hAnsi="宋体"/>
                <w:szCs w:val="21"/>
                <w:highlight w:val="none"/>
              </w:rPr>
            </w:pPr>
          </w:p>
        </w:tc>
        <w:tc>
          <w:tcPr>
            <w:tcW w:w="308" w:type="pct"/>
            <w:tcBorders>
              <w:top w:val="single" w:color="auto" w:sz="4" w:space="0"/>
              <w:left w:val="single" w:color="auto" w:sz="4" w:space="0"/>
              <w:bottom w:val="single" w:color="auto" w:sz="4" w:space="0"/>
              <w:right w:val="single" w:color="auto" w:sz="4" w:space="0"/>
            </w:tcBorders>
          </w:tcPr>
          <w:p w14:paraId="218861FA">
            <w:pPr>
              <w:jc w:val="center"/>
              <w:rPr>
                <w:rFonts w:ascii="宋体" w:hAnsi="宋体"/>
                <w:szCs w:val="21"/>
                <w:highlight w:val="none"/>
              </w:rPr>
            </w:pPr>
          </w:p>
        </w:tc>
      </w:tr>
      <w:tr w14:paraId="6A91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55A56D96">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4669E8B0">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68106F91">
            <w:pPr>
              <w:jc w:val="center"/>
              <w:rPr>
                <w:rFonts w:ascii="宋体" w:hAnsi="宋体"/>
                <w:szCs w:val="21"/>
                <w:highlight w:val="none"/>
              </w:rPr>
            </w:pPr>
          </w:p>
        </w:tc>
        <w:tc>
          <w:tcPr>
            <w:tcW w:w="417" w:type="pct"/>
            <w:tcBorders>
              <w:top w:val="single" w:color="auto" w:sz="4" w:space="0"/>
              <w:left w:val="single" w:color="auto" w:sz="4" w:space="0"/>
              <w:bottom w:val="single" w:color="auto" w:sz="4" w:space="0"/>
              <w:right w:val="single" w:color="auto" w:sz="4" w:space="0"/>
            </w:tcBorders>
          </w:tcPr>
          <w:p w14:paraId="59950064">
            <w:pPr>
              <w:jc w:val="center"/>
              <w:rPr>
                <w:rFonts w:ascii="宋体" w:hAnsi="宋体"/>
                <w:szCs w:val="21"/>
                <w:highlight w:val="none"/>
              </w:rPr>
            </w:pPr>
          </w:p>
        </w:tc>
        <w:tc>
          <w:tcPr>
            <w:tcW w:w="750" w:type="pct"/>
            <w:tcBorders>
              <w:top w:val="single" w:color="auto" w:sz="4" w:space="0"/>
              <w:left w:val="single" w:color="auto" w:sz="4" w:space="0"/>
              <w:bottom w:val="single" w:color="auto" w:sz="4" w:space="0"/>
              <w:right w:val="single" w:color="auto" w:sz="4" w:space="0"/>
            </w:tcBorders>
          </w:tcPr>
          <w:p w14:paraId="443CD9B0">
            <w:pPr>
              <w:jc w:val="center"/>
              <w:rPr>
                <w:rFonts w:ascii="宋体" w:hAnsi="宋体"/>
                <w:szCs w:val="21"/>
                <w:highlight w:val="none"/>
              </w:rPr>
            </w:pPr>
          </w:p>
        </w:tc>
        <w:tc>
          <w:tcPr>
            <w:tcW w:w="668" w:type="pct"/>
            <w:tcBorders>
              <w:top w:val="single" w:color="auto" w:sz="4" w:space="0"/>
              <w:left w:val="single" w:color="auto" w:sz="4" w:space="0"/>
              <w:bottom w:val="single" w:color="auto" w:sz="4" w:space="0"/>
              <w:right w:val="single" w:color="auto" w:sz="4" w:space="0"/>
            </w:tcBorders>
          </w:tcPr>
          <w:p w14:paraId="6D781B36">
            <w:pPr>
              <w:jc w:val="center"/>
              <w:rPr>
                <w:rFonts w:ascii="宋体" w:hAnsi="宋体"/>
                <w:szCs w:val="21"/>
                <w:highlight w:val="none"/>
              </w:rPr>
            </w:pPr>
          </w:p>
        </w:tc>
        <w:tc>
          <w:tcPr>
            <w:tcW w:w="525" w:type="pct"/>
            <w:tcBorders>
              <w:top w:val="single" w:color="auto" w:sz="4" w:space="0"/>
              <w:left w:val="single" w:color="auto" w:sz="4" w:space="0"/>
              <w:bottom w:val="single" w:color="auto" w:sz="4" w:space="0"/>
              <w:right w:val="single" w:color="auto" w:sz="4" w:space="0"/>
            </w:tcBorders>
          </w:tcPr>
          <w:p w14:paraId="33B8E47F">
            <w:pPr>
              <w:jc w:val="center"/>
              <w:rPr>
                <w:rFonts w:ascii="宋体" w:hAnsi="宋体"/>
                <w:szCs w:val="21"/>
                <w:highlight w:val="none"/>
              </w:rPr>
            </w:pPr>
          </w:p>
        </w:tc>
        <w:tc>
          <w:tcPr>
            <w:tcW w:w="308" w:type="pct"/>
            <w:tcBorders>
              <w:top w:val="single" w:color="auto" w:sz="4" w:space="0"/>
              <w:left w:val="single" w:color="auto" w:sz="4" w:space="0"/>
              <w:bottom w:val="single" w:color="auto" w:sz="4" w:space="0"/>
              <w:right w:val="single" w:color="auto" w:sz="4" w:space="0"/>
            </w:tcBorders>
          </w:tcPr>
          <w:p w14:paraId="5722BBF8">
            <w:pPr>
              <w:jc w:val="center"/>
              <w:rPr>
                <w:rFonts w:ascii="宋体" w:hAnsi="宋体"/>
                <w:szCs w:val="21"/>
                <w:highlight w:val="none"/>
              </w:rPr>
            </w:pPr>
          </w:p>
        </w:tc>
      </w:tr>
      <w:tr w14:paraId="1C59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7DF6176A">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64ED29B4">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7965C351">
            <w:pPr>
              <w:jc w:val="center"/>
              <w:rPr>
                <w:rFonts w:ascii="宋体" w:hAnsi="宋体"/>
                <w:szCs w:val="21"/>
                <w:highlight w:val="none"/>
              </w:rPr>
            </w:pPr>
          </w:p>
        </w:tc>
        <w:tc>
          <w:tcPr>
            <w:tcW w:w="417" w:type="pct"/>
            <w:tcBorders>
              <w:top w:val="single" w:color="auto" w:sz="4" w:space="0"/>
              <w:left w:val="single" w:color="auto" w:sz="4" w:space="0"/>
              <w:bottom w:val="single" w:color="auto" w:sz="4" w:space="0"/>
              <w:right w:val="single" w:color="auto" w:sz="4" w:space="0"/>
            </w:tcBorders>
          </w:tcPr>
          <w:p w14:paraId="5002EDF7">
            <w:pPr>
              <w:jc w:val="center"/>
              <w:rPr>
                <w:rFonts w:ascii="宋体" w:hAnsi="宋体"/>
                <w:szCs w:val="21"/>
                <w:highlight w:val="none"/>
              </w:rPr>
            </w:pPr>
          </w:p>
        </w:tc>
        <w:tc>
          <w:tcPr>
            <w:tcW w:w="750" w:type="pct"/>
            <w:tcBorders>
              <w:top w:val="single" w:color="auto" w:sz="4" w:space="0"/>
              <w:left w:val="single" w:color="auto" w:sz="4" w:space="0"/>
              <w:bottom w:val="single" w:color="auto" w:sz="4" w:space="0"/>
              <w:right w:val="single" w:color="auto" w:sz="4" w:space="0"/>
            </w:tcBorders>
          </w:tcPr>
          <w:p w14:paraId="1B6FFA2B">
            <w:pPr>
              <w:jc w:val="center"/>
              <w:rPr>
                <w:rFonts w:ascii="宋体" w:hAnsi="宋体"/>
                <w:szCs w:val="21"/>
                <w:highlight w:val="none"/>
              </w:rPr>
            </w:pPr>
          </w:p>
        </w:tc>
        <w:tc>
          <w:tcPr>
            <w:tcW w:w="668" w:type="pct"/>
            <w:tcBorders>
              <w:top w:val="single" w:color="auto" w:sz="4" w:space="0"/>
              <w:left w:val="single" w:color="auto" w:sz="4" w:space="0"/>
              <w:bottom w:val="single" w:color="auto" w:sz="4" w:space="0"/>
              <w:right w:val="single" w:color="auto" w:sz="4" w:space="0"/>
            </w:tcBorders>
          </w:tcPr>
          <w:p w14:paraId="31DD0A81">
            <w:pPr>
              <w:jc w:val="center"/>
              <w:rPr>
                <w:rFonts w:ascii="宋体" w:hAnsi="宋体"/>
                <w:szCs w:val="21"/>
                <w:highlight w:val="none"/>
              </w:rPr>
            </w:pPr>
          </w:p>
        </w:tc>
        <w:tc>
          <w:tcPr>
            <w:tcW w:w="525" w:type="pct"/>
            <w:tcBorders>
              <w:top w:val="single" w:color="auto" w:sz="4" w:space="0"/>
              <w:left w:val="single" w:color="auto" w:sz="4" w:space="0"/>
              <w:bottom w:val="single" w:color="auto" w:sz="4" w:space="0"/>
              <w:right w:val="single" w:color="auto" w:sz="4" w:space="0"/>
            </w:tcBorders>
          </w:tcPr>
          <w:p w14:paraId="07E8CA43">
            <w:pPr>
              <w:jc w:val="center"/>
              <w:rPr>
                <w:rFonts w:ascii="宋体" w:hAnsi="宋体"/>
                <w:szCs w:val="21"/>
                <w:highlight w:val="none"/>
              </w:rPr>
            </w:pPr>
          </w:p>
        </w:tc>
        <w:tc>
          <w:tcPr>
            <w:tcW w:w="308" w:type="pct"/>
            <w:tcBorders>
              <w:top w:val="single" w:color="auto" w:sz="4" w:space="0"/>
              <w:left w:val="single" w:color="auto" w:sz="4" w:space="0"/>
              <w:bottom w:val="single" w:color="auto" w:sz="4" w:space="0"/>
              <w:right w:val="single" w:color="auto" w:sz="4" w:space="0"/>
            </w:tcBorders>
          </w:tcPr>
          <w:p w14:paraId="08A42630">
            <w:pPr>
              <w:jc w:val="center"/>
              <w:rPr>
                <w:rFonts w:ascii="宋体" w:hAnsi="宋体"/>
                <w:szCs w:val="21"/>
                <w:highlight w:val="none"/>
              </w:rPr>
            </w:pPr>
          </w:p>
        </w:tc>
      </w:tr>
      <w:tr w14:paraId="014C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397EFDAE">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57D6C3EB">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6526E1B0">
            <w:pPr>
              <w:jc w:val="center"/>
              <w:rPr>
                <w:rFonts w:ascii="宋体" w:hAnsi="宋体"/>
                <w:szCs w:val="21"/>
                <w:highlight w:val="none"/>
              </w:rPr>
            </w:pPr>
          </w:p>
        </w:tc>
        <w:tc>
          <w:tcPr>
            <w:tcW w:w="417" w:type="pct"/>
            <w:tcBorders>
              <w:top w:val="single" w:color="auto" w:sz="4" w:space="0"/>
              <w:left w:val="single" w:color="auto" w:sz="4" w:space="0"/>
              <w:bottom w:val="single" w:color="auto" w:sz="4" w:space="0"/>
              <w:right w:val="single" w:color="auto" w:sz="4" w:space="0"/>
            </w:tcBorders>
          </w:tcPr>
          <w:p w14:paraId="1FAD1C8B">
            <w:pPr>
              <w:jc w:val="center"/>
              <w:rPr>
                <w:rFonts w:ascii="宋体" w:hAnsi="宋体"/>
                <w:szCs w:val="21"/>
                <w:highlight w:val="none"/>
              </w:rPr>
            </w:pPr>
          </w:p>
        </w:tc>
        <w:tc>
          <w:tcPr>
            <w:tcW w:w="750" w:type="pct"/>
            <w:tcBorders>
              <w:top w:val="single" w:color="auto" w:sz="4" w:space="0"/>
              <w:left w:val="single" w:color="auto" w:sz="4" w:space="0"/>
              <w:bottom w:val="single" w:color="auto" w:sz="4" w:space="0"/>
              <w:right w:val="single" w:color="auto" w:sz="4" w:space="0"/>
            </w:tcBorders>
          </w:tcPr>
          <w:p w14:paraId="4F2CC0C9">
            <w:pPr>
              <w:jc w:val="center"/>
              <w:rPr>
                <w:rFonts w:ascii="宋体" w:hAnsi="宋体"/>
                <w:szCs w:val="21"/>
                <w:highlight w:val="none"/>
              </w:rPr>
            </w:pPr>
          </w:p>
        </w:tc>
        <w:tc>
          <w:tcPr>
            <w:tcW w:w="668" w:type="pct"/>
            <w:tcBorders>
              <w:top w:val="single" w:color="auto" w:sz="4" w:space="0"/>
              <w:left w:val="single" w:color="auto" w:sz="4" w:space="0"/>
              <w:bottom w:val="single" w:color="auto" w:sz="4" w:space="0"/>
              <w:right w:val="single" w:color="auto" w:sz="4" w:space="0"/>
            </w:tcBorders>
          </w:tcPr>
          <w:p w14:paraId="02ECB305">
            <w:pPr>
              <w:jc w:val="center"/>
              <w:rPr>
                <w:rFonts w:ascii="宋体" w:hAnsi="宋体"/>
                <w:szCs w:val="21"/>
                <w:highlight w:val="none"/>
              </w:rPr>
            </w:pPr>
          </w:p>
        </w:tc>
        <w:tc>
          <w:tcPr>
            <w:tcW w:w="525" w:type="pct"/>
            <w:tcBorders>
              <w:top w:val="single" w:color="auto" w:sz="4" w:space="0"/>
              <w:left w:val="single" w:color="auto" w:sz="4" w:space="0"/>
              <w:bottom w:val="single" w:color="auto" w:sz="4" w:space="0"/>
              <w:right w:val="single" w:color="auto" w:sz="4" w:space="0"/>
            </w:tcBorders>
          </w:tcPr>
          <w:p w14:paraId="4D9C6BAE">
            <w:pPr>
              <w:jc w:val="center"/>
              <w:rPr>
                <w:rFonts w:ascii="宋体" w:hAnsi="宋体"/>
                <w:szCs w:val="21"/>
                <w:highlight w:val="none"/>
              </w:rPr>
            </w:pPr>
          </w:p>
        </w:tc>
        <w:tc>
          <w:tcPr>
            <w:tcW w:w="308" w:type="pct"/>
            <w:tcBorders>
              <w:top w:val="single" w:color="auto" w:sz="4" w:space="0"/>
              <w:left w:val="single" w:color="auto" w:sz="4" w:space="0"/>
              <w:bottom w:val="single" w:color="auto" w:sz="4" w:space="0"/>
              <w:right w:val="single" w:color="auto" w:sz="4" w:space="0"/>
            </w:tcBorders>
          </w:tcPr>
          <w:p w14:paraId="04DBDA25">
            <w:pPr>
              <w:jc w:val="center"/>
              <w:rPr>
                <w:rFonts w:ascii="宋体" w:hAnsi="宋体"/>
                <w:szCs w:val="21"/>
                <w:highlight w:val="none"/>
              </w:rPr>
            </w:pPr>
          </w:p>
        </w:tc>
      </w:tr>
      <w:tr w14:paraId="49E4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7" w:type="pct"/>
            <w:tcBorders>
              <w:top w:val="single" w:color="auto" w:sz="4" w:space="0"/>
              <w:left w:val="single" w:color="auto" w:sz="4" w:space="0"/>
              <w:bottom w:val="single" w:color="auto" w:sz="4" w:space="0"/>
              <w:right w:val="single" w:color="auto" w:sz="4" w:space="0"/>
            </w:tcBorders>
          </w:tcPr>
          <w:p w14:paraId="69E897D2">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1B154269">
            <w:pPr>
              <w:jc w:val="center"/>
              <w:rPr>
                <w:rFonts w:ascii="宋体" w:hAnsi="宋体"/>
                <w:szCs w:val="21"/>
                <w:highlight w:val="none"/>
              </w:rPr>
            </w:pPr>
            <w:r>
              <w:rPr>
                <w:rFonts w:hint="eastAsia" w:ascii="宋体" w:hAnsi="宋体"/>
                <w:szCs w:val="21"/>
                <w:highlight w:val="none"/>
              </w:rPr>
              <w:t>……</w:t>
            </w:r>
          </w:p>
        </w:tc>
        <w:tc>
          <w:tcPr>
            <w:tcW w:w="1220" w:type="pct"/>
            <w:tcBorders>
              <w:top w:val="single" w:color="auto" w:sz="4" w:space="0"/>
              <w:left w:val="single" w:color="auto" w:sz="4" w:space="0"/>
              <w:bottom w:val="single" w:color="auto" w:sz="4" w:space="0"/>
              <w:right w:val="single" w:color="auto" w:sz="4" w:space="0"/>
            </w:tcBorders>
          </w:tcPr>
          <w:p w14:paraId="19A18366">
            <w:pPr>
              <w:jc w:val="center"/>
              <w:rPr>
                <w:rFonts w:ascii="宋体" w:hAnsi="宋体"/>
                <w:szCs w:val="21"/>
                <w:highlight w:val="none"/>
              </w:rPr>
            </w:pPr>
          </w:p>
        </w:tc>
        <w:tc>
          <w:tcPr>
            <w:tcW w:w="417" w:type="pct"/>
            <w:tcBorders>
              <w:top w:val="single" w:color="auto" w:sz="4" w:space="0"/>
              <w:left w:val="single" w:color="auto" w:sz="4" w:space="0"/>
              <w:bottom w:val="single" w:color="auto" w:sz="4" w:space="0"/>
              <w:right w:val="single" w:color="auto" w:sz="4" w:space="0"/>
            </w:tcBorders>
          </w:tcPr>
          <w:p w14:paraId="643A9DF2">
            <w:pPr>
              <w:jc w:val="center"/>
              <w:rPr>
                <w:rFonts w:ascii="宋体" w:hAnsi="宋体"/>
                <w:szCs w:val="21"/>
                <w:highlight w:val="none"/>
              </w:rPr>
            </w:pPr>
          </w:p>
        </w:tc>
        <w:tc>
          <w:tcPr>
            <w:tcW w:w="750" w:type="pct"/>
            <w:tcBorders>
              <w:top w:val="single" w:color="auto" w:sz="4" w:space="0"/>
              <w:left w:val="single" w:color="auto" w:sz="4" w:space="0"/>
              <w:bottom w:val="single" w:color="auto" w:sz="4" w:space="0"/>
              <w:right w:val="single" w:color="auto" w:sz="4" w:space="0"/>
            </w:tcBorders>
          </w:tcPr>
          <w:p w14:paraId="37CA281A">
            <w:pPr>
              <w:jc w:val="center"/>
              <w:rPr>
                <w:rFonts w:ascii="宋体" w:hAnsi="宋体"/>
                <w:szCs w:val="21"/>
                <w:highlight w:val="none"/>
              </w:rPr>
            </w:pPr>
          </w:p>
        </w:tc>
        <w:tc>
          <w:tcPr>
            <w:tcW w:w="668" w:type="pct"/>
            <w:tcBorders>
              <w:top w:val="single" w:color="auto" w:sz="4" w:space="0"/>
              <w:left w:val="single" w:color="auto" w:sz="4" w:space="0"/>
              <w:bottom w:val="single" w:color="auto" w:sz="4" w:space="0"/>
              <w:right w:val="single" w:color="auto" w:sz="4" w:space="0"/>
            </w:tcBorders>
          </w:tcPr>
          <w:p w14:paraId="61714975">
            <w:pPr>
              <w:jc w:val="center"/>
              <w:rPr>
                <w:rFonts w:ascii="宋体" w:hAnsi="宋体"/>
                <w:szCs w:val="21"/>
                <w:highlight w:val="none"/>
              </w:rPr>
            </w:pPr>
          </w:p>
        </w:tc>
        <w:tc>
          <w:tcPr>
            <w:tcW w:w="525" w:type="pct"/>
            <w:tcBorders>
              <w:top w:val="single" w:color="auto" w:sz="4" w:space="0"/>
              <w:left w:val="single" w:color="auto" w:sz="4" w:space="0"/>
              <w:bottom w:val="single" w:color="auto" w:sz="4" w:space="0"/>
              <w:right w:val="single" w:color="auto" w:sz="4" w:space="0"/>
            </w:tcBorders>
          </w:tcPr>
          <w:p w14:paraId="521BE971">
            <w:pPr>
              <w:jc w:val="center"/>
              <w:rPr>
                <w:rFonts w:ascii="宋体" w:hAnsi="宋体"/>
                <w:szCs w:val="21"/>
                <w:highlight w:val="none"/>
              </w:rPr>
            </w:pPr>
          </w:p>
        </w:tc>
        <w:tc>
          <w:tcPr>
            <w:tcW w:w="308" w:type="pct"/>
            <w:tcBorders>
              <w:top w:val="single" w:color="auto" w:sz="4" w:space="0"/>
              <w:left w:val="single" w:color="auto" w:sz="4" w:space="0"/>
              <w:bottom w:val="single" w:color="auto" w:sz="4" w:space="0"/>
              <w:right w:val="single" w:color="auto" w:sz="4" w:space="0"/>
            </w:tcBorders>
          </w:tcPr>
          <w:p w14:paraId="13D76906">
            <w:pPr>
              <w:jc w:val="center"/>
              <w:rPr>
                <w:rFonts w:ascii="宋体" w:hAnsi="宋体"/>
                <w:szCs w:val="21"/>
                <w:highlight w:val="none"/>
              </w:rPr>
            </w:pPr>
          </w:p>
        </w:tc>
      </w:tr>
      <w:tr w14:paraId="73C8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0" w:type="pct"/>
            <w:gridSpan w:val="8"/>
            <w:tcBorders>
              <w:top w:val="single" w:color="auto" w:sz="4" w:space="0"/>
              <w:left w:val="single" w:color="auto" w:sz="4" w:space="0"/>
              <w:bottom w:val="single" w:color="auto" w:sz="4" w:space="0"/>
              <w:right w:val="single" w:color="auto" w:sz="4" w:space="0"/>
            </w:tcBorders>
          </w:tcPr>
          <w:p w14:paraId="675645FF">
            <w:pPr>
              <w:jc w:val="center"/>
              <w:rPr>
                <w:rFonts w:ascii="宋体" w:hAnsi="宋体"/>
                <w:b/>
                <w:sz w:val="28"/>
                <w:szCs w:val="28"/>
                <w:highlight w:val="none"/>
              </w:rPr>
            </w:pPr>
            <w:r>
              <w:rPr>
                <w:rFonts w:hint="eastAsia" w:ascii="宋体" w:hAnsi="宋体"/>
                <w:b/>
                <w:sz w:val="28"/>
                <w:szCs w:val="28"/>
                <w:highlight w:val="none"/>
              </w:rPr>
              <w:t>管理关系</w:t>
            </w:r>
          </w:p>
        </w:tc>
      </w:tr>
      <w:tr w14:paraId="0656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7" w:type="pct"/>
            <w:tcBorders>
              <w:top w:val="single" w:color="auto" w:sz="4" w:space="0"/>
              <w:left w:val="single" w:color="auto" w:sz="4" w:space="0"/>
              <w:bottom w:val="single" w:color="auto" w:sz="4" w:space="0"/>
              <w:right w:val="single" w:color="auto" w:sz="4" w:space="0"/>
            </w:tcBorders>
          </w:tcPr>
          <w:p w14:paraId="601512DA">
            <w:pPr>
              <w:jc w:val="center"/>
              <w:rPr>
                <w:rFonts w:ascii="宋体" w:hAnsi="宋体"/>
                <w:szCs w:val="21"/>
                <w:highlight w:val="none"/>
              </w:rPr>
            </w:pPr>
            <w:r>
              <w:rPr>
                <w:rFonts w:hint="eastAsia" w:ascii="宋体" w:hAnsi="宋体"/>
                <w:szCs w:val="21"/>
                <w:highlight w:val="none"/>
              </w:rPr>
              <w:t>序号</w:t>
            </w:r>
          </w:p>
        </w:tc>
        <w:tc>
          <w:tcPr>
            <w:tcW w:w="733" w:type="pct"/>
            <w:tcBorders>
              <w:top w:val="single" w:color="auto" w:sz="4" w:space="0"/>
              <w:left w:val="single" w:color="auto" w:sz="4" w:space="0"/>
              <w:bottom w:val="single" w:color="auto" w:sz="4" w:space="0"/>
              <w:right w:val="single" w:color="auto" w:sz="4" w:space="0"/>
            </w:tcBorders>
          </w:tcPr>
          <w:p w14:paraId="23812451">
            <w:pPr>
              <w:jc w:val="center"/>
              <w:rPr>
                <w:rFonts w:ascii="宋体" w:hAnsi="宋体"/>
                <w:szCs w:val="21"/>
                <w:highlight w:val="none"/>
              </w:rPr>
            </w:pPr>
            <w:r>
              <w:rPr>
                <w:rFonts w:hint="eastAsia" w:ascii="宋体" w:hAnsi="宋体"/>
                <w:szCs w:val="21"/>
                <w:highlight w:val="none"/>
              </w:rPr>
              <w:t>名称</w:t>
            </w:r>
          </w:p>
          <w:p w14:paraId="2C5AF937">
            <w:pPr>
              <w:jc w:val="center"/>
              <w:rPr>
                <w:rFonts w:ascii="宋体" w:hAnsi="宋体"/>
                <w:szCs w:val="21"/>
                <w:highlight w:val="none"/>
              </w:rPr>
            </w:pPr>
            <w:r>
              <w:rPr>
                <w:rFonts w:hint="eastAsia" w:ascii="宋体" w:hAnsi="宋体"/>
                <w:szCs w:val="21"/>
                <w:highlight w:val="none"/>
              </w:rPr>
              <w:t>（姓名）</w:t>
            </w:r>
          </w:p>
        </w:tc>
        <w:tc>
          <w:tcPr>
            <w:tcW w:w="1220" w:type="pct"/>
            <w:tcBorders>
              <w:top w:val="single" w:color="auto" w:sz="4" w:space="0"/>
              <w:left w:val="single" w:color="auto" w:sz="4" w:space="0"/>
              <w:bottom w:val="single" w:color="auto" w:sz="4" w:space="0"/>
              <w:right w:val="single" w:color="auto" w:sz="4" w:space="0"/>
            </w:tcBorders>
          </w:tcPr>
          <w:p w14:paraId="391778E4">
            <w:pPr>
              <w:jc w:val="center"/>
              <w:rPr>
                <w:rFonts w:ascii="宋体" w:hAnsi="宋体"/>
                <w:szCs w:val="21"/>
                <w:highlight w:val="none"/>
              </w:rPr>
            </w:pPr>
            <w:r>
              <w:rPr>
                <w:rFonts w:hint="eastAsia" w:ascii="宋体" w:hAnsi="宋体"/>
                <w:szCs w:val="21"/>
                <w:highlight w:val="none"/>
              </w:rPr>
              <w:t>统一社会信用代码</w:t>
            </w:r>
          </w:p>
          <w:p w14:paraId="5485885C">
            <w:pPr>
              <w:jc w:val="center"/>
              <w:rPr>
                <w:rFonts w:ascii="宋体" w:hAnsi="宋体"/>
                <w:szCs w:val="21"/>
                <w:highlight w:val="none"/>
              </w:rPr>
            </w:pPr>
            <w:r>
              <w:rPr>
                <w:rFonts w:hint="eastAsia" w:ascii="宋体" w:hAnsi="宋体"/>
                <w:szCs w:val="21"/>
                <w:highlight w:val="none"/>
              </w:rPr>
              <w:t>（身份证号）</w:t>
            </w:r>
          </w:p>
        </w:tc>
        <w:tc>
          <w:tcPr>
            <w:tcW w:w="1835" w:type="pct"/>
            <w:gridSpan w:val="3"/>
            <w:tcBorders>
              <w:top w:val="single" w:color="auto" w:sz="4" w:space="0"/>
              <w:left w:val="single" w:color="auto" w:sz="4" w:space="0"/>
              <w:bottom w:val="single" w:color="auto" w:sz="4" w:space="0"/>
              <w:right w:val="single" w:color="auto" w:sz="4" w:space="0"/>
            </w:tcBorders>
          </w:tcPr>
          <w:p w14:paraId="21CD20D8">
            <w:pPr>
              <w:jc w:val="center"/>
              <w:rPr>
                <w:rFonts w:ascii="宋体" w:hAnsi="宋体"/>
                <w:szCs w:val="21"/>
                <w:highlight w:val="none"/>
              </w:rPr>
            </w:pPr>
            <w:r>
              <w:rPr>
                <w:rFonts w:hint="eastAsia" w:ascii="宋体" w:hAnsi="宋体"/>
                <w:szCs w:val="21"/>
                <w:highlight w:val="none"/>
              </w:rPr>
              <w:t>与供应商的管理或关联关系</w:t>
            </w:r>
          </w:p>
        </w:tc>
        <w:tc>
          <w:tcPr>
            <w:tcW w:w="834" w:type="pct"/>
            <w:gridSpan w:val="2"/>
            <w:tcBorders>
              <w:top w:val="single" w:color="auto" w:sz="4" w:space="0"/>
              <w:left w:val="single" w:color="auto" w:sz="4" w:space="0"/>
              <w:bottom w:val="single" w:color="auto" w:sz="4" w:space="0"/>
              <w:right w:val="single" w:color="auto" w:sz="4" w:space="0"/>
            </w:tcBorders>
          </w:tcPr>
          <w:p w14:paraId="5571B5C4">
            <w:pPr>
              <w:jc w:val="center"/>
              <w:rPr>
                <w:rFonts w:ascii="宋体" w:hAnsi="宋体"/>
                <w:szCs w:val="21"/>
                <w:highlight w:val="none"/>
              </w:rPr>
            </w:pPr>
            <w:r>
              <w:rPr>
                <w:rFonts w:hint="eastAsia" w:ascii="宋体" w:hAnsi="宋体"/>
                <w:szCs w:val="21"/>
                <w:highlight w:val="none"/>
              </w:rPr>
              <w:t>备注</w:t>
            </w:r>
          </w:p>
        </w:tc>
      </w:tr>
      <w:tr w14:paraId="7DD9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520E064E">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7F14BFAA">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5A09DB16">
            <w:pPr>
              <w:jc w:val="center"/>
              <w:rPr>
                <w:rFonts w:ascii="宋体" w:hAnsi="宋体"/>
                <w:szCs w:val="21"/>
                <w:highlight w:val="none"/>
              </w:rPr>
            </w:pPr>
          </w:p>
        </w:tc>
        <w:tc>
          <w:tcPr>
            <w:tcW w:w="1835" w:type="pct"/>
            <w:gridSpan w:val="3"/>
            <w:tcBorders>
              <w:top w:val="single" w:color="auto" w:sz="4" w:space="0"/>
              <w:left w:val="single" w:color="auto" w:sz="4" w:space="0"/>
              <w:bottom w:val="single" w:color="auto" w:sz="4" w:space="0"/>
              <w:right w:val="single" w:color="auto" w:sz="4" w:space="0"/>
            </w:tcBorders>
          </w:tcPr>
          <w:p w14:paraId="4726BE6C">
            <w:pPr>
              <w:jc w:val="center"/>
              <w:rPr>
                <w:rFonts w:ascii="宋体" w:hAnsi="宋体"/>
                <w:szCs w:val="21"/>
                <w:highlight w:val="none"/>
              </w:rPr>
            </w:pPr>
          </w:p>
        </w:tc>
        <w:tc>
          <w:tcPr>
            <w:tcW w:w="834" w:type="pct"/>
            <w:gridSpan w:val="2"/>
            <w:tcBorders>
              <w:top w:val="single" w:color="auto" w:sz="4" w:space="0"/>
              <w:left w:val="single" w:color="auto" w:sz="4" w:space="0"/>
              <w:bottom w:val="single" w:color="auto" w:sz="4" w:space="0"/>
              <w:right w:val="single" w:color="auto" w:sz="4" w:space="0"/>
            </w:tcBorders>
          </w:tcPr>
          <w:p w14:paraId="34641080">
            <w:pPr>
              <w:jc w:val="center"/>
              <w:rPr>
                <w:rFonts w:ascii="宋体" w:hAnsi="宋体"/>
                <w:szCs w:val="21"/>
                <w:highlight w:val="none"/>
              </w:rPr>
            </w:pPr>
          </w:p>
        </w:tc>
      </w:tr>
      <w:tr w14:paraId="2D76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77" w:type="pct"/>
            <w:tcBorders>
              <w:top w:val="single" w:color="auto" w:sz="4" w:space="0"/>
              <w:left w:val="single" w:color="auto" w:sz="4" w:space="0"/>
              <w:bottom w:val="single" w:color="auto" w:sz="4" w:space="0"/>
              <w:right w:val="single" w:color="auto" w:sz="4" w:space="0"/>
            </w:tcBorders>
          </w:tcPr>
          <w:p w14:paraId="24EC45B7">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173B52D4">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59E53E38">
            <w:pPr>
              <w:jc w:val="center"/>
              <w:rPr>
                <w:rFonts w:ascii="宋体" w:hAnsi="宋体"/>
                <w:szCs w:val="21"/>
                <w:highlight w:val="none"/>
              </w:rPr>
            </w:pPr>
          </w:p>
        </w:tc>
        <w:tc>
          <w:tcPr>
            <w:tcW w:w="1835" w:type="pct"/>
            <w:gridSpan w:val="3"/>
            <w:tcBorders>
              <w:top w:val="single" w:color="auto" w:sz="4" w:space="0"/>
              <w:left w:val="single" w:color="auto" w:sz="4" w:space="0"/>
              <w:bottom w:val="single" w:color="auto" w:sz="4" w:space="0"/>
              <w:right w:val="single" w:color="auto" w:sz="4" w:space="0"/>
            </w:tcBorders>
          </w:tcPr>
          <w:p w14:paraId="4A90D4D1">
            <w:pPr>
              <w:jc w:val="center"/>
              <w:rPr>
                <w:rFonts w:ascii="宋体" w:hAnsi="宋体"/>
                <w:szCs w:val="21"/>
                <w:highlight w:val="none"/>
              </w:rPr>
            </w:pPr>
          </w:p>
        </w:tc>
        <w:tc>
          <w:tcPr>
            <w:tcW w:w="834" w:type="pct"/>
            <w:gridSpan w:val="2"/>
            <w:tcBorders>
              <w:top w:val="single" w:color="auto" w:sz="4" w:space="0"/>
              <w:left w:val="single" w:color="auto" w:sz="4" w:space="0"/>
              <w:bottom w:val="single" w:color="auto" w:sz="4" w:space="0"/>
              <w:right w:val="single" w:color="auto" w:sz="4" w:space="0"/>
            </w:tcBorders>
          </w:tcPr>
          <w:p w14:paraId="31413409">
            <w:pPr>
              <w:jc w:val="center"/>
              <w:rPr>
                <w:rFonts w:ascii="宋体" w:hAnsi="宋体"/>
                <w:szCs w:val="21"/>
                <w:highlight w:val="none"/>
              </w:rPr>
            </w:pPr>
          </w:p>
        </w:tc>
      </w:tr>
      <w:tr w14:paraId="7E84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27305589">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044E25FD">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45141DBF">
            <w:pPr>
              <w:jc w:val="center"/>
              <w:rPr>
                <w:rFonts w:ascii="宋体" w:hAnsi="宋体"/>
                <w:szCs w:val="21"/>
                <w:highlight w:val="none"/>
              </w:rPr>
            </w:pPr>
          </w:p>
        </w:tc>
        <w:tc>
          <w:tcPr>
            <w:tcW w:w="1835" w:type="pct"/>
            <w:gridSpan w:val="3"/>
            <w:tcBorders>
              <w:top w:val="single" w:color="auto" w:sz="4" w:space="0"/>
              <w:left w:val="single" w:color="auto" w:sz="4" w:space="0"/>
              <w:bottom w:val="single" w:color="auto" w:sz="4" w:space="0"/>
              <w:right w:val="single" w:color="auto" w:sz="4" w:space="0"/>
            </w:tcBorders>
          </w:tcPr>
          <w:p w14:paraId="2FC60320">
            <w:pPr>
              <w:jc w:val="center"/>
              <w:rPr>
                <w:rFonts w:ascii="宋体" w:hAnsi="宋体"/>
                <w:szCs w:val="21"/>
                <w:highlight w:val="none"/>
              </w:rPr>
            </w:pPr>
          </w:p>
        </w:tc>
        <w:tc>
          <w:tcPr>
            <w:tcW w:w="834" w:type="pct"/>
            <w:gridSpan w:val="2"/>
            <w:tcBorders>
              <w:top w:val="single" w:color="auto" w:sz="4" w:space="0"/>
              <w:left w:val="single" w:color="auto" w:sz="4" w:space="0"/>
              <w:bottom w:val="single" w:color="auto" w:sz="4" w:space="0"/>
              <w:right w:val="single" w:color="auto" w:sz="4" w:space="0"/>
            </w:tcBorders>
          </w:tcPr>
          <w:p w14:paraId="5A72BB30">
            <w:pPr>
              <w:jc w:val="center"/>
              <w:rPr>
                <w:rFonts w:ascii="宋体" w:hAnsi="宋体"/>
                <w:szCs w:val="21"/>
                <w:highlight w:val="none"/>
              </w:rPr>
            </w:pPr>
          </w:p>
        </w:tc>
      </w:tr>
      <w:tr w14:paraId="5884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2C2A592B">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6FAB8E7A">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2385BF94">
            <w:pPr>
              <w:jc w:val="center"/>
              <w:rPr>
                <w:rFonts w:ascii="宋体" w:hAnsi="宋体"/>
                <w:szCs w:val="21"/>
                <w:highlight w:val="none"/>
              </w:rPr>
            </w:pPr>
          </w:p>
        </w:tc>
        <w:tc>
          <w:tcPr>
            <w:tcW w:w="1835" w:type="pct"/>
            <w:gridSpan w:val="3"/>
            <w:tcBorders>
              <w:top w:val="single" w:color="auto" w:sz="4" w:space="0"/>
              <w:left w:val="single" w:color="auto" w:sz="4" w:space="0"/>
              <w:bottom w:val="single" w:color="auto" w:sz="4" w:space="0"/>
              <w:right w:val="single" w:color="auto" w:sz="4" w:space="0"/>
            </w:tcBorders>
          </w:tcPr>
          <w:p w14:paraId="5D1361E9">
            <w:pPr>
              <w:jc w:val="center"/>
              <w:rPr>
                <w:rFonts w:ascii="宋体" w:hAnsi="宋体"/>
                <w:szCs w:val="21"/>
                <w:highlight w:val="none"/>
              </w:rPr>
            </w:pPr>
          </w:p>
        </w:tc>
        <w:tc>
          <w:tcPr>
            <w:tcW w:w="834" w:type="pct"/>
            <w:gridSpan w:val="2"/>
            <w:tcBorders>
              <w:top w:val="single" w:color="auto" w:sz="4" w:space="0"/>
              <w:left w:val="single" w:color="auto" w:sz="4" w:space="0"/>
              <w:bottom w:val="single" w:color="auto" w:sz="4" w:space="0"/>
              <w:right w:val="single" w:color="auto" w:sz="4" w:space="0"/>
            </w:tcBorders>
          </w:tcPr>
          <w:p w14:paraId="4BA01CFB">
            <w:pPr>
              <w:jc w:val="center"/>
              <w:rPr>
                <w:rFonts w:ascii="宋体" w:hAnsi="宋体"/>
                <w:szCs w:val="21"/>
                <w:highlight w:val="none"/>
              </w:rPr>
            </w:pPr>
          </w:p>
        </w:tc>
      </w:tr>
      <w:tr w14:paraId="274A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77" w:type="pct"/>
            <w:tcBorders>
              <w:top w:val="single" w:color="auto" w:sz="4" w:space="0"/>
              <w:left w:val="single" w:color="auto" w:sz="4" w:space="0"/>
              <w:bottom w:val="single" w:color="auto" w:sz="4" w:space="0"/>
              <w:right w:val="single" w:color="auto" w:sz="4" w:space="0"/>
            </w:tcBorders>
          </w:tcPr>
          <w:p w14:paraId="7604111B">
            <w:pPr>
              <w:jc w:val="center"/>
              <w:rPr>
                <w:rFonts w:ascii="宋体" w:hAnsi="宋体"/>
                <w:szCs w:val="21"/>
                <w:highlight w:val="none"/>
              </w:rPr>
            </w:pPr>
          </w:p>
        </w:tc>
        <w:tc>
          <w:tcPr>
            <w:tcW w:w="733" w:type="pct"/>
            <w:tcBorders>
              <w:top w:val="single" w:color="auto" w:sz="4" w:space="0"/>
              <w:left w:val="single" w:color="auto" w:sz="4" w:space="0"/>
              <w:bottom w:val="single" w:color="auto" w:sz="4" w:space="0"/>
              <w:right w:val="single" w:color="auto" w:sz="4" w:space="0"/>
            </w:tcBorders>
          </w:tcPr>
          <w:p w14:paraId="15111D71">
            <w:pPr>
              <w:jc w:val="center"/>
              <w:rPr>
                <w:rFonts w:ascii="宋体" w:hAnsi="宋体"/>
                <w:szCs w:val="21"/>
                <w:highlight w:val="none"/>
              </w:rPr>
            </w:pPr>
          </w:p>
        </w:tc>
        <w:tc>
          <w:tcPr>
            <w:tcW w:w="1220" w:type="pct"/>
            <w:tcBorders>
              <w:top w:val="single" w:color="auto" w:sz="4" w:space="0"/>
              <w:left w:val="single" w:color="auto" w:sz="4" w:space="0"/>
              <w:bottom w:val="single" w:color="auto" w:sz="4" w:space="0"/>
              <w:right w:val="single" w:color="auto" w:sz="4" w:space="0"/>
            </w:tcBorders>
          </w:tcPr>
          <w:p w14:paraId="4CA3296E">
            <w:pPr>
              <w:jc w:val="center"/>
              <w:rPr>
                <w:rFonts w:ascii="宋体" w:hAnsi="宋体"/>
                <w:szCs w:val="21"/>
                <w:highlight w:val="none"/>
              </w:rPr>
            </w:pPr>
          </w:p>
        </w:tc>
        <w:tc>
          <w:tcPr>
            <w:tcW w:w="1835" w:type="pct"/>
            <w:gridSpan w:val="3"/>
            <w:tcBorders>
              <w:top w:val="single" w:color="auto" w:sz="4" w:space="0"/>
              <w:left w:val="single" w:color="auto" w:sz="4" w:space="0"/>
              <w:bottom w:val="single" w:color="auto" w:sz="4" w:space="0"/>
              <w:right w:val="single" w:color="auto" w:sz="4" w:space="0"/>
            </w:tcBorders>
          </w:tcPr>
          <w:p w14:paraId="2A792F56">
            <w:pPr>
              <w:jc w:val="center"/>
              <w:rPr>
                <w:rFonts w:ascii="宋体" w:hAnsi="宋体"/>
                <w:szCs w:val="21"/>
                <w:highlight w:val="none"/>
              </w:rPr>
            </w:pPr>
          </w:p>
        </w:tc>
        <w:tc>
          <w:tcPr>
            <w:tcW w:w="834" w:type="pct"/>
            <w:gridSpan w:val="2"/>
            <w:tcBorders>
              <w:top w:val="single" w:color="auto" w:sz="4" w:space="0"/>
              <w:left w:val="single" w:color="auto" w:sz="4" w:space="0"/>
              <w:bottom w:val="single" w:color="auto" w:sz="4" w:space="0"/>
              <w:right w:val="single" w:color="auto" w:sz="4" w:space="0"/>
            </w:tcBorders>
          </w:tcPr>
          <w:p w14:paraId="0619CFEF">
            <w:pPr>
              <w:jc w:val="center"/>
              <w:rPr>
                <w:rFonts w:ascii="宋体" w:hAnsi="宋体"/>
                <w:szCs w:val="21"/>
                <w:highlight w:val="none"/>
              </w:rPr>
            </w:pPr>
          </w:p>
        </w:tc>
      </w:tr>
    </w:tbl>
    <w:p w14:paraId="7AD69A94">
      <w:pPr>
        <w:rPr>
          <w:rFonts w:ascii="宋体" w:hAnsi="宋体"/>
          <w:b/>
          <w:highlight w:val="none"/>
        </w:rPr>
      </w:pPr>
    </w:p>
    <w:p w14:paraId="15F5139C">
      <w:pPr>
        <w:rPr>
          <w:rFonts w:ascii="宋体" w:hAnsi="宋体"/>
          <w:highlight w:val="none"/>
        </w:rPr>
      </w:pPr>
      <w:r>
        <w:rPr>
          <w:rFonts w:hint="eastAsia" w:ascii="宋体" w:hAnsi="宋体"/>
          <w:b/>
          <w:highlight w:val="none"/>
        </w:rPr>
        <w:t>我方承诺，以上信息真实可靠，上述填报的信息若与实际不符，则视为我方自行放弃本项目中标/成交推荐资格</w:t>
      </w:r>
      <w:r>
        <w:rPr>
          <w:rFonts w:hint="eastAsia" w:ascii="宋体" w:hAnsi="宋体"/>
          <w:highlight w:val="none"/>
        </w:rPr>
        <w:t>。</w:t>
      </w:r>
    </w:p>
    <w:p w14:paraId="75FDF440">
      <w:pPr>
        <w:rPr>
          <w:rFonts w:ascii="宋体" w:hAnsi="宋体"/>
          <w:highlight w:val="none"/>
        </w:rPr>
      </w:pPr>
    </w:p>
    <w:p w14:paraId="2A903E60">
      <w:pPr>
        <w:rPr>
          <w:rFonts w:ascii="宋体" w:hAnsi="宋体"/>
          <w:highlight w:val="none"/>
        </w:rPr>
      </w:pPr>
    </w:p>
    <w:p w14:paraId="7AB5BDEA">
      <w:pPr>
        <w:rPr>
          <w:rFonts w:ascii="宋体" w:hAnsi="宋体"/>
          <w:highlight w:val="none"/>
        </w:rPr>
      </w:pPr>
      <w:r>
        <w:rPr>
          <w:rFonts w:hint="eastAsia" w:ascii="宋体" w:hAnsi="宋体"/>
          <w:highlight w:val="none"/>
        </w:rPr>
        <w:t>注：1、主要股东或出资人为法人的，填写法人全称及统一社会信用代码，为自然人的，填写自然人姓名和身份证号。</w:t>
      </w:r>
    </w:p>
    <w:p w14:paraId="2943C06E">
      <w:pPr>
        <w:rPr>
          <w:rFonts w:ascii="宋体" w:hAnsi="宋体"/>
          <w:highlight w:val="none"/>
        </w:rPr>
      </w:pPr>
      <w:r>
        <w:rPr>
          <w:rFonts w:hint="eastAsia" w:ascii="宋体" w:hAnsi="宋体"/>
          <w:highlight w:val="none"/>
        </w:rPr>
        <w:t>2、出资方式填写货币、实物、工艺产权和非专利技术、土地使用权等。</w:t>
      </w:r>
    </w:p>
    <w:p w14:paraId="273A10B5">
      <w:pPr>
        <w:rPr>
          <w:rFonts w:ascii="宋体" w:hAnsi="宋体"/>
          <w:highlight w:val="none"/>
        </w:rPr>
      </w:pPr>
      <w:r>
        <w:rPr>
          <w:rFonts w:hint="eastAsia" w:ascii="宋体" w:hAnsi="宋体"/>
          <w:highlight w:val="none"/>
        </w:rPr>
        <w:t>3、供应商应按照占全部股份比例、表决权从高到低依次逐个填写股东，持股比例最高的前10名或表决权最高的前10名必须罗列。</w:t>
      </w:r>
    </w:p>
    <w:p w14:paraId="799FB3EF">
      <w:pPr>
        <w:rPr>
          <w:rFonts w:ascii="宋体" w:hAnsi="宋体"/>
          <w:highlight w:val="none"/>
        </w:rPr>
      </w:pPr>
      <w:r>
        <w:rPr>
          <w:rFonts w:hint="eastAsia" w:ascii="宋体" w:hAnsi="宋体"/>
          <w:highlight w:val="none"/>
        </w:rPr>
        <w:t>4、管理关系指：不具有出资持股关系的其他单位之间存在的管理与被管理关系，如一些上下级关系的事业单位和团体组织。</w:t>
      </w:r>
    </w:p>
    <w:p w14:paraId="7EC6E343">
      <w:pPr>
        <w:rPr>
          <w:rFonts w:ascii="宋体" w:hAnsi="宋体"/>
          <w:highlight w:val="none"/>
        </w:rPr>
      </w:pPr>
    </w:p>
    <w:p w14:paraId="2F0982E4">
      <w:pPr>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单位名称（盖章）：</w:t>
      </w:r>
      <w:r>
        <w:rPr>
          <w:rFonts w:ascii="宋体" w:hAnsi="宋体"/>
          <w:color w:val="000000" w:themeColor="text1"/>
          <w:sz w:val="24"/>
          <w:szCs w:val="24"/>
          <w:highlight w:val="none"/>
          <w:u w:val="single"/>
          <w14:textFill>
            <w14:solidFill>
              <w14:schemeClr w14:val="tx1"/>
            </w14:solidFill>
          </w14:textFill>
        </w:rPr>
        <w:t xml:space="preserve">                             </w:t>
      </w:r>
    </w:p>
    <w:p w14:paraId="1AEF40EB">
      <w:pPr>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法定代表人或授权委托人（签字或盖章）：</w:t>
      </w:r>
      <w:r>
        <w:rPr>
          <w:rFonts w:ascii="宋体" w:hAnsi="宋体"/>
          <w:color w:val="000000" w:themeColor="text1"/>
          <w:sz w:val="24"/>
          <w:szCs w:val="24"/>
          <w:highlight w:val="none"/>
          <w:u w:val="single"/>
          <w14:textFill>
            <w14:solidFill>
              <w14:schemeClr w14:val="tx1"/>
            </w14:solidFill>
          </w14:textFill>
        </w:rPr>
        <w:t xml:space="preserve">                      </w:t>
      </w:r>
    </w:p>
    <w:p w14:paraId="679A33E9">
      <w:pPr>
        <w:spacing w:line="5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21C668DC">
      <w:pPr>
        <w:rPr>
          <w:rFonts w:ascii="宋体" w:hAnsi="宋体"/>
          <w:b/>
          <w:color w:val="000000" w:themeColor="text1"/>
          <w:sz w:val="32"/>
          <w:szCs w:val="32"/>
          <w:highlight w:val="none"/>
          <w14:textFill>
            <w14:solidFill>
              <w14:schemeClr w14:val="tx1"/>
            </w14:solidFill>
          </w14:textFill>
        </w:rPr>
      </w:pPr>
    </w:p>
    <w:p w14:paraId="53B17306">
      <w:pPr>
        <w:widowControl/>
        <w:jc w:val="left"/>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14:paraId="5996825F">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附件9</w:t>
      </w:r>
    </w:p>
    <w:p w14:paraId="7E146481">
      <w:pPr>
        <w:spacing w:line="520" w:lineRule="atLeas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项目管理机构</w:t>
      </w:r>
    </w:p>
    <w:p w14:paraId="6F609B93">
      <w:pPr>
        <w:spacing w:line="400" w:lineRule="exact"/>
        <w:ind w:firstLine="480" w:firstLineChars="200"/>
        <w:jc w:val="left"/>
        <w:rPr>
          <w:rFonts w:ascii="宋体" w:hAnsi="宋体"/>
          <w:color w:val="000000" w:themeColor="text1"/>
          <w:sz w:val="24"/>
          <w:highlight w:val="none"/>
          <w14:textFill>
            <w14:solidFill>
              <w14:schemeClr w14:val="tx1"/>
            </w14:solidFill>
          </w14:textFill>
        </w:rPr>
      </w:pPr>
    </w:p>
    <w:p w14:paraId="683D5A33">
      <w:pPr>
        <w:keepNext/>
        <w:keepLines/>
        <w:numPr>
          <w:ilvl w:val="0"/>
          <w:numId w:val="23"/>
        </w:numPr>
        <w:spacing w:line="400" w:lineRule="exact"/>
        <w:jc w:val="left"/>
        <w:rPr>
          <w:rFonts w:ascii="宋体" w:hAnsi="宋体" w:cs="宋体"/>
          <w:color w:val="000000" w:themeColor="text1"/>
          <w:sz w:val="24"/>
          <w:szCs w:val="23"/>
          <w:highlight w:val="none"/>
          <w14:textFill>
            <w14:solidFill>
              <w14:schemeClr w14:val="tx1"/>
            </w14:solidFill>
          </w14:textFill>
        </w:rPr>
      </w:pPr>
      <w:bookmarkStart w:id="1033" w:name="_Toc152045804"/>
      <w:bookmarkStart w:id="1034" w:name="_Toc144974872"/>
      <w:bookmarkStart w:id="1035" w:name="_Toc152042593"/>
      <w:bookmarkStart w:id="1036" w:name="_Toc368430064"/>
      <w:r>
        <w:rPr>
          <w:rFonts w:ascii="宋体" w:hAnsi="宋体" w:cs="宋体"/>
          <w:color w:val="000000" w:themeColor="text1"/>
          <w:sz w:val="24"/>
          <w:szCs w:val="23"/>
          <w:highlight w:val="none"/>
          <w14:textFill>
            <w14:solidFill>
              <w14:schemeClr w14:val="tx1"/>
            </w14:solidFill>
          </w14:textFill>
        </w:rPr>
        <w:t>项目管理机构组成表</w:t>
      </w:r>
      <w:bookmarkEnd w:id="1033"/>
      <w:bookmarkEnd w:id="1034"/>
      <w:bookmarkEnd w:id="1035"/>
      <w:bookmarkEnd w:id="1036"/>
    </w:p>
    <w:p w14:paraId="14BA43DA">
      <w:pPr>
        <w:spacing w:line="360" w:lineRule="auto"/>
        <w:jc w:val="left"/>
        <w:rPr>
          <w:rFonts w:ascii="宋体" w:hAnsi="宋体"/>
          <w:color w:val="000000" w:themeColor="text1"/>
          <w:sz w:val="24"/>
          <w:highlight w:val="none"/>
          <w14:textFill>
            <w14:solidFill>
              <w14:schemeClr w14:val="tx1"/>
            </w14:solidFill>
          </w14:textFill>
        </w:rPr>
      </w:pP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220"/>
        <w:gridCol w:w="1355"/>
        <w:gridCol w:w="1889"/>
        <w:gridCol w:w="1782"/>
        <w:gridCol w:w="1637"/>
        <w:gridCol w:w="1043"/>
      </w:tblGrid>
      <w:tr w14:paraId="0337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Merge w:val="restart"/>
            <w:vAlign w:val="center"/>
          </w:tcPr>
          <w:p w14:paraId="48C9B632">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职务</w:t>
            </w:r>
          </w:p>
        </w:tc>
        <w:tc>
          <w:tcPr>
            <w:tcW w:w="605" w:type="pct"/>
            <w:vMerge w:val="restart"/>
            <w:vAlign w:val="center"/>
          </w:tcPr>
          <w:p w14:paraId="7D5F783F">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姓名</w:t>
            </w:r>
          </w:p>
        </w:tc>
        <w:tc>
          <w:tcPr>
            <w:tcW w:w="672" w:type="pct"/>
            <w:vMerge w:val="restart"/>
            <w:vAlign w:val="center"/>
          </w:tcPr>
          <w:p w14:paraId="52951228">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职称</w:t>
            </w:r>
          </w:p>
        </w:tc>
        <w:tc>
          <w:tcPr>
            <w:tcW w:w="2633" w:type="pct"/>
            <w:gridSpan w:val="3"/>
            <w:vAlign w:val="center"/>
          </w:tcPr>
          <w:p w14:paraId="3BE65961">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执业或职业资格证明</w:t>
            </w:r>
          </w:p>
        </w:tc>
        <w:tc>
          <w:tcPr>
            <w:tcW w:w="517" w:type="pct"/>
            <w:vAlign w:val="center"/>
          </w:tcPr>
          <w:p w14:paraId="0EFFB7B5">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备注</w:t>
            </w:r>
          </w:p>
        </w:tc>
      </w:tr>
      <w:tr w14:paraId="52DF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Merge w:val="continue"/>
            <w:vAlign w:val="center"/>
          </w:tcPr>
          <w:p w14:paraId="7B0EC71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vMerge w:val="continue"/>
            <w:vAlign w:val="center"/>
          </w:tcPr>
          <w:p w14:paraId="00F9E2F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vMerge w:val="continue"/>
            <w:vAlign w:val="center"/>
          </w:tcPr>
          <w:p w14:paraId="0D85853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vAlign w:val="center"/>
          </w:tcPr>
          <w:p w14:paraId="56533949">
            <w:pPr>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证书名称</w:t>
            </w:r>
          </w:p>
        </w:tc>
        <w:tc>
          <w:tcPr>
            <w:tcW w:w="884" w:type="pct"/>
            <w:vAlign w:val="center"/>
          </w:tcPr>
          <w:p w14:paraId="51C9895C">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证号</w:t>
            </w:r>
          </w:p>
        </w:tc>
        <w:tc>
          <w:tcPr>
            <w:tcW w:w="811" w:type="pct"/>
            <w:vAlign w:val="center"/>
          </w:tcPr>
          <w:p w14:paraId="3BA77CDE">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专业</w:t>
            </w:r>
          </w:p>
        </w:tc>
        <w:tc>
          <w:tcPr>
            <w:tcW w:w="517" w:type="pct"/>
            <w:vAlign w:val="center"/>
          </w:tcPr>
          <w:p w14:paraId="236E2073">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535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6819C4A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vAlign w:val="center"/>
          </w:tcPr>
          <w:p w14:paraId="3F9ABCD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vAlign w:val="center"/>
          </w:tcPr>
          <w:p w14:paraId="2E4C8E4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vAlign w:val="center"/>
          </w:tcPr>
          <w:p w14:paraId="49FC114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vAlign w:val="center"/>
          </w:tcPr>
          <w:p w14:paraId="662F29C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vAlign w:val="center"/>
          </w:tcPr>
          <w:p w14:paraId="3A61B8F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vAlign w:val="center"/>
          </w:tcPr>
          <w:p w14:paraId="5201AC2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35A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77EC84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25D65DE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2BDD486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632F56F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2A27D00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5465041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425A0AB8">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67D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01A8AF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1551417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6949BDC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4D03AA4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20A7A64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5AA1E44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0FBE66E3">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3E8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7070539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2044D88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0C3262F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040B8DF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4A52670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5647E5D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1F484E15">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AAB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6E75043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1A2EC3B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0F16026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5A668C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2B34391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0D7FE08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7DD68B50">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698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E6F3E2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5CB1053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0E22B42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6466F2F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5C83FF0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4EDB1E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471B1F9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4EE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416487F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48C056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15B077A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2DEBDF5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4CE509D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09B75E2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5AA3472B">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76F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0C311C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568E6BB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30C6421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40E1402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1C67A2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4EC2187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0732158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A8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577B57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5C79A6F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4208356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4FF606D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2C72209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3158B4D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331F801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68D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405E0D8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7339698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7C9335F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368931C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4848317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149E20E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11604D9B">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66C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7B40712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7242FF5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0F49F8A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23D609D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65448D1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11E6961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561889D4">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1F2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B9AE80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50C5206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3578D58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77A55CA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1DE0A27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4DC4F4B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17ECC94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BB6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7DB8A77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2FFDB5C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333397F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5D5AB90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7C79F00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6CFA213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52DA4C85">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3A4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418E88C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1422691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0726DB5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78BA859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26A3763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67FA710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0DCFB02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26E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0DFAF16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6F0BBB4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301CA23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5587983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4DE6F1A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2FD0BF8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7650523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5A3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52C8786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6FBF6CE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1DC1727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21523B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6ACCA36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47A66DC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56CE5BC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B29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1C41D98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5" w:type="pct"/>
          </w:tcPr>
          <w:p w14:paraId="2543C28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72" w:type="pct"/>
          </w:tcPr>
          <w:p w14:paraId="33897EE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37" w:type="pct"/>
          </w:tcPr>
          <w:p w14:paraId="3CD5DB3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84" w:type="pct"/>
          </w:tcPr>
          <w:p w14:paraId="7348173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811" w:type="pct"/>
          </w:tcPr>
          <w:p w14:paraId="2FAF55F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17" w:type="pct"/>
          </w:tcPr>
          <w:p w14:paraId="748205E6">
            <w:pPr>
              <w:spacing w:line="440" w:lineRule="exact"/>
              <w:jc w:val="center"/>
              <w:rPr>
                <w:rFonts w:ascii="宋体" w:hAnsi="宋体"/>
                <w:color w:val="000000" w:themeColor="text1"/>
                <w:sz w:val="24"/>
                <w:szCs w:val="21"/>
                <w:highlight w:val="none"/>
                <w14:textFill>
                  <w14:solidFill>
                    <w14:schemeClr w14:val="tx1"/>
                  </w14:solidFill>
                </w14:textFill>
              </w:rPr>
            </w:pPr>
          </w:p>
        </w:tc>
      </w:tr>
    </w:tbl>
    <w:p w14:paraId="382CBF92">
      <w:pPr>
        <w:topLinePunct/>
        <w:spacing w:line="440" w:lineRule="exact"/>
        <w:jc w:val="left"/>
        <w:rPr>
          <w:rFonts w:ascii="宋体" w:hAnsi="宋体"/>
          <w:color w:val="000000" w:themeColor="text1"/>
          <w:sz w:val="24"/>
          <w:highlight w:val="none"/>
          <w14:textFill>
            <w14:solidFill>
              <w14:schemeClr w14:val="tx1"/>
            </w14:solidFill>
          </w14:textFill>
        </w:rPr>
      </w:pPr>
    </w:p>
    <w:p w14:paraId="27BE053A">
      <w:pPr>
        <w:topLinePunct/>
        <w:spacing w:line="440" w:lineRule="exact"/>
        <w:jc w:val="left"/>
        <w:rPr>
          <w:rFonts w:ascii="宋体" w:hAnsi="宋体" w:cs="宋体"/>
          <w:color w:val="000000" w:themeColor="text1"/>
          <w:sz w:val="24"/>
          <w:szCs w:val="23"/>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注：应附相关证明</w:t>
      </w:r>
      <w:r>
        <w:rPr>
          <w:rFonts w:ascii="宋体" w:hAnsi="宋体"/>
          <w:color w:val="000000" w:themeColor="text1"/>
          <w:sz w:val="24"/>
          <w:highlight w:val="none"/>
          <w14:textFill>
            <w14:solidFill>
              <w14:schemeClr w14:val="tx1"/>
            </w14:solidFill>
          </w14:textFill>
        </w:rPr>
        <w:br w:type="page"/>
      </w:r>
      <w:bookmarkStart w:id="1037" w:name="_Toc368430065"/>
      <w:bookmarkStart w:id="1038" w:name="_Toc152045805"/>
      <w:bookmarkStart w:id="1039" w:name="_Toc152042594"/>
      <w:bookmarkStart w:id="1040" w:name="_Toc144974873"/>
      <w:r>
        <w:rPr>
          <w:rFonts w:ascii="宋体" w:hAnsi="宋体" w:cs="宋体"/>
          <w:color w:val="000000" w:themeColor="text1"/>
          <w:sz w:val="24"/>
          <w:szCs w:val="23"/>
          <w:highlight w:val="none"/>
          <w14:textFill>
            <w14:solidFill>
              <w14:schemeClr w14:val="tx1"/>
            </w14:solidFill>
          </w14:textFill>
        </w:rPr>
        <w:t>（二）主要</w:t>
      </w:r>
      <w:r>
        <w:rPr>
          <w:rFonts w:hint="eastAsia" w:ascii="宋体" w:hAnsi="宋体" w:cs="宋体"/>
          <w:color w:val="000000" w:themeColor="text1"/>
          <w:sz w:val="24"/>
          <w:szCs w:val="23"/>
          <w:highlight w:val="none"/>
          <w14:textFill>
            <w14:solidFill>
              <w14:schemeClr w14:val="tx1"/>
            </w14:solidFill>
          </w14:textFill>
        </w:rPr>
        <w:t>管理</w:t>
      </w:r>
      <w:r>
        <w:rPr>
          <w:rFonts w:ascii="宋体" w:hAnsi="宋体" w:cs="宋体"/>
          <w:color w:val="000000" w:themeColor="text1"/>
          <w:sz w:val="24"/>
          <w:szCs w:val="23"/>
          <w:highlight w:val="none"/>
          <w14:textFill>
            <w14:solidFill>
              <w14:schemeClr w14:val="tx1"/>
            </w14:solidFill>
          </w14:textFill>
        </w:rPr>
        <w:t>人员简历表</w:t>
      </w:r>
      <w:bookmarkEnd w:id="1037"/>
      <w:bookmarkEnd w:id="1038"/>
      <w:bookmarkEnd w:id="1039"/>
      <w:bookmarkEnd w:id="1040"/>
    </w:p>
    <w:p w14:paraId="5D8A0981">
      <w:pPr>
        <w:topLinePunct/>
        <w:spacing w:line="440" w:lineRule="exact"/>
        <w:jc w:val="center"/>
        <w:rPr>
          <w:rFonts w:ascii="宋体" w:hAnsi="宋体"/>
          <w:color w:val="000000" w:themeColor="text1"/>
          <w:sz w:val="23"/>
          <w:szCs w:val="23"/>
          <w:highlight w:val="none"/>
          <w14:textFill>
            <w14:solidFill>
              <w14:schemeClr w14:val="tx1"/>
            </w14:solidFill>
          </w14:textFill>
        </w:rPr>
      </w:pP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76"/>
        <w:gridCol w:w="2465"/>
        <w:gridCol w:w="2469"/>
        <w:gridCol w:w="2465"/>
      </w:tblGrid>
      <w:tr w14:paraId="2AD0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54" w:type="pct"/>
            <w:vAlign w:val="center"/>
          </w:tcPr>
          <w:p w14:paraId="139B864A">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岗位名称</w:t>
            </w:r>
          </w:p>
        </w:tc>
        <w:tc>
          <w:tcPr>
            <w:tcW w:w="3746" w:type="pct"/>
            <w:gridSpan w:val="3"/>
          </w:tcPr>
          <w:p w14:paraId="507B71F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394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54" w:type="pct"/>
          </w:tcPr>
          <w:p w14:paraId="29E4D067">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姓    名</w:t>
            </w:r>
          </w:p>
        </w:tc>
        <w:tc>
          <w:tcPr>
            <w:tcW w:w="1248" w:type="pct"/>
          </w:tcPr>
          <w:p w14:paraId="4A1BD42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1250" w:type="pct"/>
          </w:tcPr>
          <w:p w14:paraId="28A71372">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年    龄</w:t>
            </w:r>
          </w:p>
        </w:tc>
        <w:tc>
          <w:tcPr>
            <w:tcW w:w="1248" w:type="pct"/>
          </w:tcPr>
          <w:p w14:paraId="2CA1BB2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623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54" w:type="pct"/>
          </w:tcPr>
          <w:p w14:paraId="0C01067E">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性    别</w:t>
            </w:r>
          </w:p>
        </w:tc>
        <w:tc>
          <w:tcPr>
            <w:tcW w:w="1248" w:type="pct"/>
          </w:tcPr>
          <w:p w14:paraId="1E62C97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1250" w:type="pct"/>
          </w:tcPr>
          <w:p w14:paraId="4ED7D530">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毕业学校</w:t>
            </w:r>
          </w:p>
        </w:tc>
        <w:tc>
          <w:tcPr>
            <w:tcW w:w="1248" w:type="pct"/>
          </w:tcPr>
          <w:p w14:paraId="491A6F0C">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644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54" w:type="pct"/>
          </w:tcPr>
          <w:p w14:paraId="59AA4993">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学历和专业</w:t>
            </w:r>
          </w:p>
        </w:tc>
        <w:tc>
          <w:tcPr>
            <w:tcW w:w="1248" w:type="pct"/>
          </w:tcPr>
          <w:p w14:paraId="74D5687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1250" w:type="pct"/>
          </w:tcPr>
          <w:p w14:paraId="3A166651">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毕业时间</w:t>
            </w:r>
          </w:p>
        </w:tc>
        <w:tc>
          <w:tcPr>
            <w:tcW w:w="1248" w:type="pct"/>
          </w:tcPr>
          <w:p w14:paraId="0860024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EF8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54" w:type="pct"/>
          </w:tcPr>
          <w:p w14:paraId="5C48F662">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拥有的执业资格</w:t>
            </w:r>
          </w:p>
        </w:tc>
        <w:tc>
          <w:tcPr>
            <w:tcW w:w="1248" w:type="pct"/>
          </w:tcPr>
          <w:p w14:paraId="7620FB9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1250" w:type="pct"/>
          </w:tcPr>
          <w:p w14:paraId="6A60E8EF">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专业职称</w:t>
            </w:r>
          </w:p>
        </w:tc>
        <w:tc>
          <w:tcPr>
            <w:tcW w:w="1248" w:type="pct"/>
          </w:tcPr>
          <w:p w14:paraId="22D4F643">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601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54" w:type="pct"/>
          </w:tcPr>
          <w:p w14:paraId="72387119">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执业资格证书编号</w:t>
            </w:r>
          </w:p>
        </w:tc>
        <w:tc>
          <w:tcPr>
            <w:tcW w:w="1248" w:type="pct"/>
          </w:tcPr>
          <w:p w14:paraId="7A57D2A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1250" w:type="pct"/>
          </w:tcPr>
          <w:p w14:paraId="16393334">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工作年限</w:t>
            </w:r>
          </w:p>
        </w:tc>
        <w:tc>
          <w:tcPr>
            <w:tcW w:w="1248" w:type="pct"/>
          </w:tcPr>
          <w:p w14:paraId="2B6DFFF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DDF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trPr>
        <w:tc>
          <w:tcPr>
            <w:tcW w:w="1254" w:type="pct"/>
          </w:tcPr>
          <w:p w14:paraId="7C81618C">
            <w:pPr>
              <w:spacing w:line="440" w:lineRule="exact"/>
              <w:jc w:val="center"/>
              <w:rPr>
                <w:rFonts w:ascii="宋体" w:hAnsi="宋体"/>
                <w:color w:val="000000" w:themeColor="text1"/>
                <w:sz w:val="24"/>
                <w:szCs w:val="21"/>
                <w:highlight w:val="none"/>
                <w14:textFill>
                  <w14:solidFill>
                    <w14:schemeClr w14:val="tx1"/>
                  </w14:solidFill>
                </w14:textFill>
              </w:rPr>
            </w:pPr>
          </w:p>
          <w:p w14:paraId="0A8837D7">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主</w:t>
            </w:r>
          </w:p>
          <w:p w14:paraId="26D2EFE0">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要</w:t>
            </w:r>
          </w:p>
          <w:p w14:paraId="054923C5">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工</w:t>
            </w:r>
          </w:p>
          <w:p w14:paraId="61EDE34D">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作</w:t>
            </w:r>
          </w:p>
          <w:p w14:paraId="7E35FDA6">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业</w:t>
            </w:r>
          </w:p>
          <w:p w14:paraId="7850D318">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绩</w:t>
            </w:r>
          </w:p>
          <w:p w14:paraId="4FBF416B">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及</w:t>
            </w:r>
          </w:p>
          <w:p w14:paraId="773D8FE4">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担</w:t>
            </w:r>
          </w:p>
          <w:p w14:paraId="0FC61EDC">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任</w:t>
            </w:r>
          </w:p>
          <w:p w14:paraId="3E9A894E">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的</w:t>
            </w:r>
          </w:p>
          <w:p w14:paraId="499255B2">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主</w:t>
            </w:r>
          </w:p>
          <w:p w14:paraId="0DEE57C6">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要</w:t>
            </w:r>
          </w:p>
          <w:p w14:paraId="0BA9ECB2">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工</w:t>
            </w:r>
          </w:p>
          <w:p w14:paraId="10EA311F">
            <w:pPr>
              <w:spacing w:line="44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作</w:t>
            </w:r>
          </w:p>
          <w:p w14:paraId="036B3E8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746" w:type="pct"/>
            <w:gridSpan w:val="3"/>
          </w:tcPr>
          <w:p w14:paraId="444B0A86">
            <w:pPr>
              <w:spacing w:line="440" w:lineRule="exact"/>
              <w:jc w:val="center"/>
              <w:rPr>
                <w:rFonts w:ascii="宋体" w:hAnsi="宋体"/>
                <w:color w:val="000000" w:themeColor="text1"/>
                <w:sz w:val="24"/>
                <w:szCs w:val="21"/>
                <w:highlight w:val="none"/>
                <w14:textFill>
                  <w14:solidFill>
                    <w14:schemeClr w14:val="tx1"/>
                  </w14:solidFill>
                </w14:textFill>
              </w:rPr>
            </w:pPr>
          </w:p>
        </w:tc>
      </w:tr>
    </w:tbl>
    <w:p w14:paraId="6713A022">
      <w:pPr>
        <w:topLinePunct/>
        <w:spacing w:line="44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注：应附相关证明</w:t>
      </w:r>
    </w:p>
    <w:p w14:paraId="68D0E40D">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（三）供应商项目人员承诺函</w:t>
      </w:r>
    </w:p>
    <w:p w14:paraId="39EC664B">
      <w:pPr>
        <w:widowControl/>
        <w:jc w:val="left"/>
        <w:rPr>
          <w:rFonts w:ascii="宋体" w:hAnsi="宋体"/>
          <w:color w:val="000000" w:themeColor="text1"/>
          <w:highlight w:val="none"/>
          <w14:textFill>
            <w14:solidFill>
              <w14:schemeClr w14:val="tx1"/>
            </w14:solidFill>
          </w14:textFill>
        </w:rPr>
      </w:pPr>
    </w:p>
    <w:p w14:paraId="2FABFAED">
      <w:pPr>
        <w:pStyle w:val="45"/>
        <w:spacing w:after="0" w:afterAutospacing="0" w:line="360" w:lineRule="auto"/>
        <w:jc w:val="center"/>
        <w:rPr>
          <w:rFonts w:cs="宋体"/>
          <w:b/>
          <w:color w:val="auto"/>
          <w:highlight w:val="none"/>
        </w:rPr>
      </w:pPr>
      <w:r>
        <w:rPr>
          <w:rFonts w:hint="eastAsia" w:cs="宋体"/>
          <w:b/>
          <w:color w:val="auto"/>
          <w:highlight w:val="none"/>
        </w:rPr>
        <w:t>供应商项目人员承诺函</w:t>
      </w:r>
    </w:p>
    <w:p w14:paraId="2BE95835">
      <w:pPr>
        <w:pStyle w:val="81"/>
        <w:spacing w:before="0" w:beforeAutospacing="0" w:after="0" w:afterAutospacing="0" w:line="360" w:lineRule="auto"/>
        <w:rPr>
          <w:rFonts w:cs="宋体"/>
          <w:color w:val="auto"/>
          <w:kern w:val="2"/>
          <w:highlight w:val="none"/>
        </w:rPr>
      </w:pPr>
      <w:r>
        <w:rPr>
          <w:rFonts w:hint="eastAsia" w:cs="宋体"/>
          <w:color w:val="auto"/>
          <w:highlight w:val="none"/>
        </w:rPr>
        <w:t>致：</w:t>
      </w:r>
      <w:r>
        <w:rPr>
          <w:rFonts w:hint="eastAsia" w:cs="宋体"/>
          <w:color w:val="auto"/>
          <w:highlight w:val="none"/>
          <w:u w:val="single"/>
        </w:rPr>
        <w:t xml:space="preserve">    （采购人）             </w:t>
      </w:r>
    </w:p>
    <w:p w14:paraId="639BF543">
      <w:pPr>
        <w:spacing w:line="500" w:lineRule="exact"/>
        <w:ind w:firstLine="480" w:firstLineChars="200"/>
        <w:rPr>
          <w:rFonts w:ascii="宋体" w:hAnsi="宋体" w:cs="宋体"/>
          <w:sz w:val="24"/>
          <w:highlight w:val="none"/>
        </w:rPr>
      </w:pPr>
      <w:r>
        <w:rPr>
          <w:rFonts w:hint="eastAsia" w:ascii="宋体" w:hAnsi="宋体" w:cs="宋体"/>
          <w:sz w:val="24"/>
          <w:highlight w:val="none"/>
        </w:rPr>
        <w:t>我公司承诺拟投入本项目的主要施工人员如项目经理、各工程的专业工程师、质检员、安全员等均不在其他工程或本工程中兼职。</w:t>
      </w:r>
    </w:p>
    <w:p w14:paraId="18555645">
      <w:pPr>
        <w:spacing w:line="500" w:lineRule="exact"/>
        <w:ind w:firstLine="480" w:firstLineChars="200"/>
        <w:rPr>
          <w:rFonts w:ascii="宋体" w:hAnsi="宋体"/>
          <w:sz w:val="24"/>
          <w:highlight w:val="none"/>
        </w:rPr>
      </w:pPr>
      <w:r>
        <w:rPr>
          <w:rFonts w:hint="eastAsia" w:ascii="宋体" w:hAnsi="宋体"/>
          <w:sz w:val="24"/>
          <w:highlight w:val="none"/>
        </w:rPr>
        <w:t>特此声明。</w:t>
      </w:r>
    </w:p>
    <w:p w14:paraId="4828C8DD">
      <w:pPr>
        <w:spacing w:line="500" w:lineRule="exact"/>
        <w:rPr>
          <w:rFonts w:ascii="宋体" w:hAnsi="宋体"/>
          <w:szCs w:val="21"/>
          <w:highlight w:val="none"/>
        </w:rPr>
      </w:pPr>
    </w:p>
    <w:p w14:paraId="19AC10F5">
      <w:pPr>
        <w:autoSpaceDE w:val="0"/>
        <w:autoSpaceDN w:val="0"/>
        <w:adjustRightInd w:val="0"/>
        <w:spacing w:line="560" w:lineRule="exact"/>
        <w:ind w:firstLine="523" w:firstLineChars="218"/>
        <w:rPr>
          <w:rFonts w:ascii="宋体" w:hAnsi="宋体"/>
          <w:color w:val="000000" w:themeColor="text1"/>
          <w:sz w:val="24"/>
          <w:szCs w:val="24"/>
          <w:highlight w:val="none"/>
          <w14:textFill>
            <w14:solidFill>
              <w14:schemeClr w14:val="tx1"/>
            </w14:solidFill>
          </w14:textFill>
        </w:rPr>
      </w:pPr>
    </w:p>
    <w:p w14:paraId="7023120C">
      <w:pPr>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单位名称（盖章）：</w:t>
      </w:r>
      <w:r>
        <w:rPr>
          <w:rFonts w:ascii="宋体" w:hAnsi="宋体"/>
          <w:color w:val="000000" w:themeColor="text1"/>
          <w:sz w:val="24"/>
          <w:szCs w:val="24"/>
          <w:highlight w:val="none"/>
          <w:u w:val="single"/>
          <w14:textFill>
            <w14:solidFill>
              <w14:schemeClr w14:val="tx1"/>
            </w14:solidFill>
          </w14:textFill>
        </w:rPr>
        <w:t xml:space="preserve">                             </w:t>
      </w:r>
    </w:p>
    <w:p w14:paraId="579451F9">
      <w:pPr>
        <w:spacing w:line="50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法定代表人或授权委托人（签字或盖章）：</w:t>
      </w:r>
      <w:r>
        <w:rPr>
          <w:rFonts w:ascii="宋体" w:hAnsi="宋体"/>
          <w:color w:val="000000" w:themeColor="text1"/>
          <w:sz w:val="24"/>
          <w:szCs w:val="24"/>
          <w:highlight w:val="none"/>
          <w:u w:val="single"/>
          <w14:textFill>
            <w14:solidFill>
              <w14:schemeClr w14:val="tx1"/>
            </w14:solidFill>
          </w14:textFill>
        </w:rPr>
        <w:t xml:space="preserve">                      </w:t>
      </w:r>
    </w:p>
    <w:p w14:paraId="1DDA860D">
      <w:pPr>
        <w:spacing w:line="5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76F33302">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9239EE3">
      <w:pPr>
        <w:widowControl/>
        <w:jc w:val="left"/>
        <w:rPr>
          <w:rFonts w:ascii="宋体" w:hAnsi="宋体"/>
          <w:color w:val="000000" w:themeColor="text1"/>
          <w:highlight w:val="none"/>
          <w14:textFill>
            <w14:solidFill>
              <w14:schemeClr w14:val="tx1"/>
            </w14:solidFill>
          </w14:textFill>
        </w:rPr>
      </w:pPr>
    </w:p>
    <w:p w14:paraId="6AF8BAD3">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附件10</w:t>
      </w:r>
    </w:p>
    <w:p w14:paraId="63242E75">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企业基本情况</w:t>
      </w:r>
    </w:p>
    <w:p w14:paraId="7E171771">
      <w:pPr>
        <w:ind w:firstLine="420" w:firstLineChars="200"/>
        <w:rPr>
          <w:rFonts w:ascii="宋体" w:hAnsi="宋体"/>
          <w:color w:val="000000" w:themeColor="text1"/>
          <w:highlight w:val="none"/>
          <w14:textFill>
            <w14:solidFill>
              <w14:schemeClr w14:val="tx1"/>
            </w14:solidFill>
          </w14:textFill>
        </w:rPr>
      </w:pPr>
    </w:p>
    <w:tbl>
      <w:tblPr>
        <w:tblStyle w:val="88"/>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041"/>
        <w:gridCol w:w="1190"/>
        <w:gridCol w:w="1451"/>
        <w:gridCol w:w="16"/>
        <w:gridCol w:w="206"/>
        <w:gridCol w:w="1457"/>
        <w:gridCol w:w="287"/>
        <w:gridCol w:w="816"/>
        <w:gridCol w:w="1660"/>
      </w:tblGrid>
      <w:tr w14:paraId="609F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56EB3B3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w:t>
            </w:r>
          </w:p>
        </w:tc>
        <w:tc>
          <w:tcPr>
            <w:tcW w:w="4020" w:type="pct"/>
            <w:gridSpan w:val="9"/>
            <w:vAlign w:val="center"/>
          </w:tcPr>
          <w:p w14:paraId="194AAB6F">
            <w:pPr>
              <w:jc w:val="center"/>
              <w:rPr>
                <w:rFonts w:ascii="宋体" w:hAnsi="宋体"/>
                <w:color w:val="000000" w:themeColor="text1"/>
                <w:szCs w:val="21"/>
                <w:highlight w:val="none"/>
                <w14:textFill>
                  <w14:solidFill>
                    <w14:schemeClr w14:val="tx1"/>
                  </w14:solidFill>
                </w14:textFill>
              </w:rPr>
            </w:pPr>
          </w:p>
        </w:tc>
      </w:tr>
      <w:tr w14:paraId="2782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5FFD51E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1932" w:type="pct"/>
            <w:gridSpan w:val="5"/>
            <w:vAlign w:val="center"/>
          </w:tcPr>
          <w:p w14:paraId="143B9C01">
            <w:pPr>
              <w:jc w:val="center"/>
              <w:rPr>
                <w:rFonts w:ascii="宋体" w:hAnsi="宋体"/>
                <w:color w:val="000000" w:themeColor="text1"/>
                <w:szCs w:val="21"/>
                <w:highlight w:val="none"/>
                <w14:textFill>
                  <w14:solidFill>
                    <w14:schemeClr w14:val="tx1"/>
                  </w14:solidFill>
                </w14:textFill>
              </w:rPr>
            </w:pPr>
          </w:p>
        </w:tc>
        <w:tc>
          <w:tcPr>
            <w:tcW w:w="721" w:type="pct"/>
            <w:vAlign w:val="center"/>
          </w:tcPr>
          <w:p w14:paraId="4DDC95B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1367" w:type="pct"/>
            <w:gridSpan w:val="3"/>
            <w:vAlign w:val="center"/>
          </w:tcPr>
          <w:p w14:paraId="2268BF5D">
            <w:pPr>
              <w:jc w:val="center"/>
              <w:rPr>
                <w:rFonts w:ascii="宋体" w:hAnsi="宋体"/>
                <w:color w:val="000000" w:themeColor="text1"/>
                <w:szCs w:val="21"/>
                <w:highlight w:val="none"/>
                <w14:textFill>
                  <w14:solidFill>
                    <w14:schemeClr w14:val="tx1"/>
                  </w14:solidFill>
                </w14:textFill>
              </w:rPr>
            </w:pPr>
          </w:p>
        </w:tc>
      </w:tr>
      <w:tr w14:paraId="3455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restart"/>
            <w:vAlign w:val="center"/>
          </w:tcPr>
          <w:p w14:paraId="43733BC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515" w:type="pct"/>
            <w:vAlign w:val="center"/>
          </w:tcPr>
          <w:p w14:paraId="36C96E7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1417" w:type="pct"/>
            <w:gridSpan w:val="4"/>
            <w:vAlign w:val="center"/>
          </w:tcPr>
          <w:p w14:paraId="689F2936">
            <w:pPr>
              <w:jc w:val="center"/>
              <w:rPr>
                <w:rFonts w:ascii="宋体" w:hAnsi="宋体"/>
                <w:color w:val="000000" w:themeColor="text1"/>
                <w:szCs w:val="21"/>
                <w:highlight w:val="none"/>
                <w14:textFill>
                  <w14:solidFill>
                    <w14:schemeClr w14:val="tx1"/>
                  </w14:solidFill>
                </w14:textFill>
              </w:rPr>
            </w:pPr>
          </w:p>
        </w:tc>
        <w:tc>
          <w:tcPr>
            <w:tcW w:w="721" w:type="pct"/>
            <w:vAlign w:val="center"/>
          </w:tcPr>
          <w:p w14:paraId="3CFCEAF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p>
        </w:tc>
        <w:tc>
          <w:tcPr>
            <w:tcW w:w="1367" w:type="pct"/>
            <w:gridSpan w:val="3"/>
            <w:vAlign w:val="center"/>
          </w:tcPr>
          <w:p w14:paraId="4DCFB4BD">
            <w:pPr>
              <w:jc w:val="center"/>
              <w:rPr>
                <w:rFonts w:ascii="宋体" w:hAnsi="宋体"/>
                <w:color w:val="000000" w:themeColor="text1"/>
                <w:szCs w:val="21"/>
                <w:highlight w:val="none"/>
                <w14:textFill>
                  <w14:solidFill>
                    <w14:schemeClr w14:val="tx1"/>
                  </w14:solidFill>
                </w14:textFill>
              </w:rPr>
            </w:pPr>
          </w:p>
        </w:tc>
      </w:tr>
      <w:tr w14:paraId="6B1E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continue"/>
            <w:vAlign w:val="center"/>
          </w:tcPr>
          <w:p w14:paraId="54C5AB71">
            <w:pPr>
              <w:jc w:val="center"/>
              <w:rPr>
                <w:rFonts w:ascii="宋体" w:hAnsi="宋体"/>
                <w:color w:val="000000" w:themeColor="text1"/>
                <w:szCs w:val="21"/>
                <w:highlight w:val="none"/>
                <w14:textFill>
                  <w14:solidFill>
                    <w14:schemeClr w14:val="tx1"/>
                  </w14:solidFill>
                </w14:textFill>
              </w:rPr>
            </w:pPr>
          </w:p>
        </w:tc>
        <w:tc>
          <w:tcPr>
            <w:tcW w:w="515" w:type="pct"/>
            <w:vAlign w:val="center"/>
          </w:tcPr>
          <w:p w14:paraId="3E4EFA5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p>
        </w:tc>
        <w:tc>
          <w:tcPr>
            <w:tcW w:w="1417" w:type="pct"/>
            <w:gridSpan w:val="4"/>
            <w:vAlign w:val="center"/>
          </w:tcPr>
          <w:p w14:paraId="76E607AF">
            <w:pPr>
              <w:jc w:val="center"/>
              <w:rPr>
                <w:rFonts w:ascii="宋体" w:hAnsi="宋体"/>
                <w:color w:val="000000" w:themeColor="text1"/>
                <w:szCs w:val="21"/>
                <w:highlight w:val="none"/>
                <w14:textFill>
                  <w14:solidFill>
                    <w14:schemeClr w14:val="tx1"/>
                  </w14:solidFill>
                </w14:textFill>
              </w:rPr>
            </w:pPr>
          </w:p>
        </w:tc>
        <w:tc>
          <w:tcPr>
            <w:tcW w:w="721" w:type="pct"/>
            <w:vAlign w:val="center"/>
          </w:tcPr>
          <w:p w14:paraId="71C1B3F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  址</w:t>
            </w:r>
          </w:p>
        </w:tc>
        <w:tc>
          <w:tcPr>
            <w:tcW w:w="1367" w:type="pct"/>
            <w:gridSpan w:val="3"/>
            <w:vAlign w:val="center"/>
          </w:tcPr>
          <w:p w14:paraId="2F22F503">
            <w:pPr>
              <w:jc w:val="center"/>
              <w:rPr>
                <w:rFonts w:ascii="宋体" w:hAnsi="宋体"/>
                <w:color w:val="000000" w:themeColor="text1"/>
                <w:szCs w:val="21"/>
                <w:highlight w:val="none"/>
                <w14:textFill>
                  <w14:solidFill>
                    <w14:schemeClr w14:val="tx1"/>
                  </w14:solidFill>
                </w14:textFill>
              </w:rPr>
            </w:pPr>
          </w:p>
        </w:tc>
      </w:tr>
      <w:tr w14:paraId="70FB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0039A7D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4020" w:type="pct"/>
            <w:gridSpan w:val="9"/>
            <w:vAlign w:val="center"/>
          </w:tcPr>
          <w:p w14:paraId="3EE84DC0">
            <w:pPr>
              <w:jc w:val="center"/>
              <w:rPr>
                <w:rFonts w:ascii="宋体" w:hAnsi="宋体"/>
                <w:color w:val="000000" w:themeColor="text1"/>
                <w:szCs w:val="21"/>
                <w:highlight w:val="none"/>
                <w14:textFill>
                  <w14:solidFill>
                    <w14:schemeClr w14:val="tx1"/>
                  </w14:solidFill>
                </w14:textFill>
              </w:rPr>
            </w:pPr>
          </w:p>
        </w:tc>
      </w:tr>
      <w:tr w14:paraId="2AAF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006FC98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515" w:type="pct"/>
            <w:vAlign w:val="center"/>
          </w:tcPr>
          <w:p w14:paraId="5B92F6A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589" w:type="pct"/>
            <w:vAlign w:val="center"/>
          </w:tcPr>
          <w:p w14:paraId="300DC18F">
            <w:pPr>
              <w:jc w:val="center"/>
              <w:rPr>
                <w:rFonts w:ascii="宋体" w:hAnsi="宋体"/>
                <w:color w:val="000000" w:themeColor="text1"/>
                <w:szCs w:val="21"/>
                <w:highlight w:val="none"/>
                <w14:textFill>
                  <w14:solidFill>
                    <w14:schemeClr w14:val="tx1"/>
                  </w14:solidFill>
                </w14:textFill>
              </w:rPr>
            </w:pPr>
          </w:p>
        </w:tc>
        <w:tc>
          <w:tcPr>
            <w:tcW w:w="726" w:type="pct"/>
            <w:gridSpan w:val="2"/>
            <w:vAlign w:val="center"/>
          </w:tcPr>
          <w:p w14:paraId="1AC75C2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965" w:type="pct"/>
            <w:gridSpan w:val="3"/>
            <w:vAlign w:val="center"/>
          </w:tcPr>
          <w:p w14:paraId="6D27D9ED">
            <w:pPr>
              <w:jc w:val="center"/>
              <w:rPr>
                <w:rFonts w:ascii="宋体" w:hAnsi="宋体"/>
                <w:color w:val="000000" w:themeColor="text1"/>
                <w:szCs w:val="21"/>
                <w:highlight w:val="none"/>
                <w14:textFill>
                  <w14:solidFill>
                    <w14:schemeClr w14:val="tx1"/>
                  </w14:solidFill>
                </w14:textFill>
              </w:rPr>
            </w:pPr>
          </w:p>
        </w:tc>
        <w:tc>
          <w:tcPr>
            <w:tcW w:w="404" w:type="pct"/>
            <w:vAlign w:val="center"/>
          </w:tcPr>
          <w:p w14:paraId="2CE0400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819" w:type="pct"/>
            <w:vAlign w:val="center"/>
          </w:tcPr>
          <w:p w14:paraId="3205FC61">
            <w:pPr>
              <w:jc w:val="center"/>
              <w:rPr>
                <w:rFonts w:ascii="宋体" w:hAnsi="宋体"/>
                <w:color w:val="000000" w:themeColor="text1"/>
                <w:szCs w:val="21"/>
                <w:highlight w:val="none"/>
                <w14:textFill>
                  <w14:solidFill>
                    <w14:schemeClr w14:val="tx1"/>
                  </w14:solidFill>
                </w14:textFill>
              </w:rPr>
            </w:pPr>
          </w:p>
        </w:tc>
      </w:tr>
      <w:tr w14:paraId="774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37E1618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515" w:type="pct"/>
            <w:vAlign w:val="center"/>
          </w:tcPr>
          <w:p w14:paraId="5C684E9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589" w:type="pct"/>
            <w:vAlign w:val="center"/>
          </w:tcPr>
          <w:p w14:paraId="289CC88F">
            <w:pPr>
              <w:jc w:val="center"/>
              <w:rPr>
                <w:rFonts w:ascii="宋体" w:hAnsi="宋体"/>
                <w:color w:val="000000" w:themeColor="text1"/>
                <w:szCs w:val="21"/>
                <w:highlight w:val="none"/>
                <w14:textFill>
                  <w14:solidFill>
                    <w14:schemeClr w14:val="tx1"/>
                  </w14:solidFill>
                </w14:textFill>
              </w:rPr>
            </w:pPr>
          </w:p>
        </w:tc>
        <w:tc>
          <w:tcPr>
            <w:tcW w:w="726" w:type="pct"/>
            <w:gridSpan w:val="2"/>
            <w:vAlign w:val="center"/>
          </w:tcPr>
          <w:p w14:paraId="21C6E28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965" w:type="pct"/>
            <w:gridSpan w:val="3"/>
            <w:vAlign w:val="center"/>
          </w:tcPr>
          <w:p w14:paraId="65ED20F1">
            <w:pPr>
              <w:jc w:val="center"/>
              <w:rPr>
                <w:rFonts w:ascii="宋体" w:hAnsi="宋体"/>
                <w:color w:val="000000" w:themeColor="text1"/>
                <w:szCs w:val="21"/>
                <w:highlight w:val="none"/>
                <w14:textFill>
                  <w14:solidFill>
                    <w14:schemeClr w14:val="tx1"/>
                  </w14:solidFill>
                </w14:textFill>
              </w:rPr>
            </w:pPr>
          </w:p>
        </w:tc>
        <w:tc>
          <w:tcPr>
            <w:tcW w:w="404" w:type="pct"/>
            <w:vAlign w:val="center"/>
          </w:tcPr>
          <w:p w14:paraId="5515BDD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819" w:type="pct"/>
            <w:vAlign w:val="center"/>
          </w:tcPr>
          <w:p w14:paraId="3E2046A8">
            <w:pPr>
              <w:jc w:val="center"/>
              <w:rPr>
                <w:rFonts w:ascii="宋体" w:hAnsi="宋体"/>
                <w:color w:val="000000" w:themeColor="text1"/>
                <w:szCs w:val="21"/>
                <w:highlight w:val="none"/>
                <w14:textFill>
                  <w14:solidFill>
                    <w14:schemeClr w14:val="tx1"/>
                  </w14:solidFill>
                </w14:textFill>
              </w:rPr>
            </w:pPr>
          </w:p>
        </w:tc>
      </w:tr>
      <w:tr w14:paraId="591E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50E914F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1830" w:type="pct"/>
            <w:gridSpan w:val="4"/>
            <w:vAlign w:val="center"/>
          </w:tcPr>
          <w:p w14:paraId="61282460">
            <w:pPr>
              <w:jc w:val="center"/>
              <w:rPr>
                <w:rFonts w:ascii="宋体" w:hAnsi="宋体"/>
                <w:color w:val="000000" w:themeColor="text1"/>
                <w:szCs w:val="21"/>
                <w:highlight w:val="none"/>
                <w14:textFill>
                  <w14:solidFill>
                    <w14:schemeClr w14:val="tx1"/>
                  </w14:solidFill>
                </w14:textFill>
              </w:rPr>
            </w:pPr>
          </w:p>
        </w:tc>
        <w:tc>
          <w:tcPr>
            <w:tcW w:w="965" w:type="pct"/>
            <w:gridSpan w:val="3"/>
            <w:vAlign w:val="center"/>
          </w:tcPr>
          <w:p w14:paraId="5C085D0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c>
          <w:tcPr>
            <w:tcW w:w="1224" w:type="pct"/>
            <w:gridSpan w:val="2"/>
            <w:vAlign w:val="center"/>
          </w:tcPr>
          <w:p w14:paraId="2C97DDA1">
            <w:pPr>
              <w:jc w:val="center"/>
              <w:rPr>
                <w:rFonts w:ascii="宋体" w:hAnsi="宋体"/>
                <w:color w:val="000000" w:themeColor="text1"/>
                <w:szCs w:val="21"/>
                <w:highlight w:val="none"/>
                <w14:textFill>
                  <w14:solidFill>
                    <w14:schemeClr w14:val="tx1"/>
                  </w14:solidFill>
                </w14:textFill>
              </w:rPr>
            </w:pPr>
          </w:p>
        </w:tc>
      </w:tr>
      <w:tr w14:paraId="077A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1069B44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企业资质等级</w:t>
            </w:r>
          </w:p>
        </w:tc>
        <w:tc>
          <w:tcPr>
            <w:tcW w:w="515" w:type="pct"/>
            <w:vAlign w:val="center"/>
          </w:tcPr>
          <w:p w14:paraId="4235003F">
            <w:pPr>
              <w:jc w:val="center"/>
              <w:rPr>
                <w:rFonts w:ascii="宋体" w:hAnsi="宋体"/>
                <w:color w:val="000000" w:themeColor="text1"/>
                <w:szCs w:val="21"/>
                <w:highlight w:val="none"/>
                <w14:textFill>
                  <w14:solidFill>
                    <w14:schemeClr w14:val="tx1"/>
                  </w14:solidFill>
                </w14:textFill>
              </w:rPr>
            </w:pPr>
          </w:p>
        </w:tc>
        <w:tc>
          <w:tcPr>
            <w:tcW w:w="589" w:type="pct"/>
            <w:vAlign w:val="center"/>
          </w:tcPr>
          <w:p w14:paraId="06575A8A">
            <w:pPr>
              <w:jc w:val="center"/>
              <w:rPr>
                <w:rFonts w:ascii="宋体" w:hAnsi="宋体"/>
                <w:color w:val="000000" w:themeColor="text1"/>
                <w:szCs w:val="21"/>
                <w:highlight w:val="none"/>
                <w14:textFill>
                  <w14:solidFill>
                    <w14:schemeClr w14:val="tx1"/>
                  </w14:solidFill>
                </w14:textFill>
              </w:rPr>
            </w:pPr>
          </w:p>
        </w:tc>
        <w:tc>
          <w:tcPr>
            <w:tcW w:w="718" w:type="pct"/>
            <w:vMerge w:val="restart"/>
            <w:vAlign w:val="center"/>
          </w:tcPr>
          <w:p w14:paraId="603917F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973" w:type="pct"/>
            <w:gridSpan w:val="4"/>
            <w:vAlign w:val="center"/>
          </w:tcPr>
          <w:p w14:paraId="0958D1D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1224" w:type="pct"/>
            <w:gridSpan w:val="2"/>
            <w:vAlign w:val="center"/>
          </w:tcPr>
          <w:p w14:paraId="2F771C05">
            <w:pPr>
              <w:jc w:val="center"/>
              <w:rPr>
                <w:rFonts w:ascii="宋体" w:hAnsi="宋体"/>
                <w:color w:val="000000" w:themeColor="text1"/>
                <w:szCs w:val="21"/>
                <w:highlight w:val="none"/>
                <w14:textFill>
                  <w14:solidFill>
                    <w14:schemeClr w14:val="tx1"/>
                  </w14:solidFill>
                </w14:textFill>
              </w:rPr>
            </w:pPr>
          </w:p>
        </w:tc>
      </w:tr>
      <w:tr w14:paraId="0BEB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07C1E07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515" w:type="pct"/>
            <w:vAlign w:val="center"/>
          </w:tcPr>
          <w:p w14:paraId="33CCD500">
            <w:pPr>
              <w:jc w:val="center"/>
              <w:rPr>
                <w:rFonts w:ascii="宋体" w:hAnsi="宋体"/>
                <w:color w:val="000000" w:themeColor="text1"/>
                <w:szCs w:val="21"/>
                <w:highlight w:val="none"/>
                <w14:textFill>
                  <w14:solidFill>
                    <w14:schemeClr w14:val="tx1"/>
                  </w14:solidFill>
                </w14:textFill>
              </w:rPr>
            </w:pPr>
          </w:p>
        </w:tc>
        <w:tc>
          <w:tcPr>
            <w:tcW w:w="589" w:type="pct"/>
            <w:vAlign w:val="center"/>
          </w:tcPr>
          <w:p w14:paraId="54143B70">
            <w:pPr>
              <w:jc w:val="center"/>
              <w:rPr>
                <w:rFonts w:ascii="宋体" w:hAnsi="宋体"/>
                <w:color w:val="000000" w:themeColor="text1"/>
                <w:szCs w:val="21"/>
                <w:highlight w:val="none"/>
                <w14:textFill>
                  <w14:solidFill>
                    <w14:schemeClr w14:val="tx1"/>
                  </w14:solidFill>
                </w14:textFill>
              </w:rPr>
            </w:pPr>
          </w:p>
        </w:tc>
        <w:tc>
          <w:tcPr>
            <w:tcW w:w="718" w:type="pct"/>
            <w:vMerge w:val="continue"/>
            <w:vAlign w:val="center"/>
          </w:tcPr>
          <w:p w14:paraId="27391ABF">
            <w:pPr>
              <w:jc w:val="center"/>
              <w:rPr>
                <w:rFonts w:ascii="宋体" w:hAnsi="宋体"/>
                <w:color w:val="000000" w:themeColor="text1"/>
                <w:szCs w:val="21"/>
                <w:highlight w:val="none"/>
                <w14:textFill>
                  <w14:solidFill>
                    <w14:schemeClr w14:val="tx1"/>
                  </w14:solidFill>
                </w14:textFill>
              </w:rPr>
            </w:pPr>
          </w:p>
        </w:tc>
        <w:tc>
          <w:tcPr>
            <w:tcW w:w="973" w:type="pct"/>
            <w:gridSpan w:val="4"/>
            <w:vAlign w:val="center"/>
          </w:tcPr>
          <w:p w14:paraId="54C3C9C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1224" w:type="pct"/>
            <w:gridSpan w:val="2"/>
            <w:vAlign w:val="center"/>
          </w:tcPr>
          <w:p w14:paraId="7621DB6B">
            <w:pPr>
              <w:jc w:val="center"/>
              <w:rPr>
                <w:rFonts w:ascii="宋体" w:hAnsi="宋体"/>
                <w:color w:val="000000" w:themeColor="text1"/>
                <w:szCs w:val="21"/>
                <w:highlight w:val="none"/>
                <w14:textFill>
                  <w14:solidFill>
                    <w14:schemeClr w14:val="tx1"/>
                  </w14:solidFill>
                </w14:textFill>
              </w:rPr>
            </w:pPr>
          </w:p>
        </w:tc>
      </w:tr>
      <w:tr w14:paraId="5897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67A0695F">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515" w:type="pct"/>
            <w:vAlign w:val="center"/>
          </w:tcPr>
          <w:p w14:paraId="0FF7585A">
            <w:pPr>
              <w:jc w:val="center"/>
              <w:rPr>
                <w:rFonts w:ascii="宋体" w:hAnsi="宋体"/>
                <w:color w:val="000000" w:themeColor="text1"/>
                <w:szCs w:val="21"/>
                <w:highlight w:val="none"/>
                <w14:textFill>
                  <w14:solidFill>
                    <w14:schemeClr w14:val="tx1"/>
                  </w14:solidFill>
                </w14:textFill>
              </w:rPr>
            </w:pPr>
          </w:p>
        </w:tc>
        <w:tc>
          <w:tcPr>
            <w:tcW w:w="589" w:type="pct"/>
            <w:vAlign w:val="center"/>
          </w:tcPr>
          <w:p w14:paraId="1F052B52">
            <w:pPr>
              <w:jc w:val="center"/>
              <w:rPr>
                <w:rFonts w:ascii="宋体" w:hAnsi="宋体"/>
                <w:color w:val="000000" w:themeColor="text1"/>
                <w:szCs w:val="21"/>
                <w:highlight w:val="none"/>
                <w14:textFill>
                  <w14:solidFill>
                    <w14:schemeClr w14:val="tx1"/>
                  </w14:solidFill>
                </w14:textFill>
              </w:rPr>
            </w:pPr>
          </w:p>
        </w:tc>
        <w:tc>
          <w:tcPr>
            <w:tcW w:w="718" w:type="pct"/>
            <w:vMerge w:val="continue"/>
            <w:vAlign w:val="center"/>
          </w:tcPr>
          <w:p w14:paraId="245BAC3A">
            <w:pPr>
              <w:jc w:val="center"/>
              <w:rPr>
                <w:rFonts w:ascii="宋体" w:hAnsi="宋体"/>
                <w:color w:val="000000" w:themeColor="text1"/>
                <w:szCs w:val="21"/>
                <w:highlight w:val="none"/>
                <w14:textFill>
                  <w14:solidFill>
                    <w14:schemeClr w14:val="tx1"/>
                  </w14:solidFill>
                </w14:textFill>
              </w:rPr>
            </w:pPr>
          </w:p>
        </w:tc>
        <w:tc>
          <w:tcPr>
            <w:tcW w:w="973" w:type="pct"/>
            <w:gridSpan w:val="4"/>
            <w:vAlign w:val="center"/>
          </w:tcPr>
          <w:p w14:paraId="6BEAF2D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1224" w:type="pct"/>
            <w:gridSpan w:val="2"/>
            <w:vAlign w:val="center"/>
          </w:tcPr>
          <w:p w14:paraId="2F728CFA">
            <w:pPr>
              <w:jc w:val="center"/>
              <w:rPr>
                <w:rFonts w:ascii="宋体" w:hAnsi="宋体"/>
                <w:color w:val="000000" w:themeColor="text1"/>
                <w:szCs w:val="21"/>
                <w:highlight w:val="none"/>
                <w14:textFill>
                  <w14:solidFill>
                    <w14:schemeClr w14:val="tx1"/>
                  </w14:solidFill>
                </w14:textFill>
              </w:rPr>
            </w:pPr>
          </w:p>
        </w:tc>
      </w:tr>
      <w:tr w14:paraId="4209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39572F8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515" w:type="pct"/>
            <w:vAlign w:val="center"/>
          </w:tcPr>
          <w:p w14:paraId="60C80ECF">
            <w:pPr>
              <w:jc w:val="center"/>
              <w:rPr>
                <w:rFonts w:ascii="宋体" w:hAnsi="宋体"/>
                <w:color w:val="000000" w:themeColor="text1"/>
                <w:szCs w:val="21"/>
                <w:highlight w:val="none"/>
                <w14:textFill>
                  <w14:solidFill>
                    <w14:schemeClr w14:val="tx1"/>
                  </w14:solidFill>
                </w14:textFill>
              </w:rPr>
            </w:pPr>
          </w:p>
        </w:tc>
        <w:tc>
          <w:tcPr>
            <w:tcW w:w="589" w:type="pct"/>
            <w:vAlign w:val="center"/>
          </w:tcPr>
          <w:p w14:paraId="75ED0C30">
            <w:pPr>
              <w:jc w:val="center"/>
              <w:rPr>
                <w:rFonts w:ascii="宋体" w:hAnsi="宋体"/>
                <w:color w:val="000000" w:themeColor="text1"/>
                <w:szCs w:val="21"/>
                <w:highlight w:val="none"/>
                <w14:textFill>
                  <w14:solidFill>
                    <w14:schemeClr w14:val="tx1"/>
                  </w14:solidFill>
                </w14:textFill>
              </w:rPr>
            </w:pPr>
          </w:p>
        </w:tc>
        <w:tc>
          <w:tcPr>
            <w:tcW w:w="718" w:type="pct"/>
            <w:vMerge w:val="continue"/>
            <w:vAlign w:val="center"/>
          </w:tcPr>
          <w:p w14:paraId="21F98A58">
            <w:pPr>
              <w:jc w:val="center"/>
              <w:rPr>
                <w:rFonts w:ascii="宋体" w:hAnsi="宋体"/>
                <w:color w:val="000000" w:themeColor="text1"/>
                <w:szCs w:val="21"/>
                <w:highlight w:val="none"/>
                <w14:textFill>
                  <w14:solidFill>
                    <w14:schemeClr w14:val="tx1"/>
                  </w14:solidFill>
                </w14:textFill>
              </w:rPr>
            </w:pPr>
          </w:p>
        </w:tc>
        <w:tc>
          <w:tcPr>
            <w:tcW w:w="973" w:type="pct"/>
            <w:gridSpan w:val="4"/>
            <w:vAlign w:val="center"/>
          </w:tcPr>
          <w:p w14:paraId="7D3D240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1224" w:type="pct"/>
            <w:gridSpan w:val="2"/>
            <w:vAlign w:val="center"/>
          </w:tcPr>
          <w:p w14:paraId="2D9B8353">
            <w:pPr>
              <w:jc w:val="center"/>
              <w:rPr>
                <w:rFonts w:ascii="宋体" w:hAnsi="宋体"/>
                <w:color w:val="000000" w:themeColor="text1"/>
                <w:szCs w:val="21"/>
                <w:highlight w:val="none"/>
                <w14:textFill>
                  <w14:solidFill>
                    <w14:schemeClr w14:val="tx1"/>
                  </w14:solidFill>
                </w14:textFill>
              </w:rPr>
            </w:pPr>
          </w:p>
        </w:tc>
      </w:tr>
      <w:tr w14:paraId="7FF8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0B3AF94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515" w:type="pct"/>
            <w:vAlign w:val="center"/>
          </w:tcPr>
          <w:p w14:paraId="707AB119">
            <w:pPr>
              <w:jc w:val="center"/>
              <w:rPr>
                <w:rFonts w:ascii="宋体" w:hAnsi="宋体"/>
                <w:color w:val="000000" w:themeColor="text1"/>
                <w:szCs w:val="21"/>
                <w:highlight w:val="none"/>
                <w14:textFill>
                  <w14:solidFill>
                    <w14:schemeClr w14:val="tx1"/>
                  </w14:solidFill>
                </w14:textFill>
              </w:rPr>
            </w:pPr>
          </w:p>
        </w:tc>
        <w:tc>
          <w:tcPr>
            <w:tcW w:w="589" w:type="pct"/>
            <w:vAlign w:val="center"/>
          </w:tcPr>
          <w:p w14:paraId="2DE8F9C7">
            <w:pPr>
              <w:jc w:val="center"/>
              <w:rPr>
                <w:rFonts w:ascii="宋体" w:hAnsi="宋体"/>
                <w:color w:val="000000" w:themeColor="text1"/>
                <w:szCs w:val="21"/>
                <w:highlight w:val="none"/>
                <w14:textFill>
                  <w14:solidFill>
                    <w14:schemeClr w14:val="tx1"/>
                  </w14:solidFill>
                </w14:textFill>
              </w:rPr>
            </w:pPr>
          </w:p>
        </w:tc>
        <w:tc>
          <w:tcPr>
            <w:tcW w:w="718" w:type="pct"/>
            <w:vMerge w:val="continue"/>
            <w:vAlign w:val="center"/>
          </w:tcPr>
          <w:p w14:paraId="5DC31E22">
            <w:pPr>
              <w:jc w:val="center"/>
              <w:rPr>
                <w:rFonts w:ascii="宋体" w:hAnsi="宋体"/>
                <w:color w:val="000000" w:themeColor="text1"/>
                <w:szCs w:val="21"/>
                <w:highlight w:val="none"/>
                <w14:textFill>
                  <w14:solidFill>
                    <w14:schemeClr w14:val="tx1"/>
                  </w14:solidFill>
                </w14:textFill>
              </w:rPr>
            </w:pPr>
          </w:p>
        </w:tc>
        <w:tc>
          <w:tcPr>
            <w:tcW w:w="973" w:type="pct"/>
            <w:gridSpan w:val="4"/>
            <w:vAlign w:val="center"/>
          </w:tcPr>
          <w:p w14:paraId="2167EC3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  工</w:t>
            </w:r>
          </w:p>
        </w:tc>
        <w:tc>
          <w:tcPr>
            <w:tcW w:w="1224" w:type="pct"/>
            <w:gridSpan w:val="2"/>
            <w:vAlign w:val="center"/>
          </w:tcPr>
          <w:p w14:paraId="2ADD1EF2">
            <w:pPr>
              <w:jc w:val="center"/>
              <w:rPr>
                <w:rFonts w:ascii="宋体" w:hAnsi="宋体"/>
                <w:color w:val="000000" w:themeColor="text1"/>
                <w:szCs w:val="21"/>
                <w:highlight w:val="none"/>
                <w14:textFill>
                  <w14:solidFill>
                    <w14:schemeClr w14:val="tx1"/>
                  </w14:solidFill>
                </w14:textFill>
              </w:rPr>
            </w:pPr>
          </w:p>
        </w:tc>
      </w:tr>
      <w:tr w14:paraId="751C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restart"/>
            <w:vAlign w:val="center"/>
          </w:tcPr>
          <w:p w14:paraId="4933EBA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类似工程项目</w:t>
            </w:r>
          </w:p>
        </w:tc>
        <w:tc>
          <w:tcPr>
            <w:tcW w:w="1104" w:type="pct"/>
            <w:gridSpan w:val="2"/>
            <w:vAlign w:val="center"/>
          </w:tcPr>
          <w:p w14:paraId="28CFBA6D">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项目名称</w:t>
            </w:r>
          </w:p>
        </w:tc>
        <w:tc>
          <w:tcPr>
            <w:tcW w:w="718" w:type="pct"/>
            <w:vAlign w:val="center"/>
          </w:tcPr>
          <w:p w14:paraId="442FA32A">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规模/工程总价</w:t>
            </w:r>
          </w:p>
        </w:tc>
        <w:tc>
          <w:tcPr>
            <w:tcW w:w="973" w:type="pct"/>
            <w:gridSpan w:val="4"/>
            <w:vAlign w:val="center"/>
          </w:tcPr>
          <w:p w14:paraId="72936B9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工程地点</w:t>
            </w:r>
          </w:p>
        </w:tc>
        <w:tc>
          <w:tcPr>
            <w:tcW w:w="1224" w:type="pct"/>
            <w:gridSpan w:val="2"/>
            <w:vAlign w:val="center"/>
          </w:tcPr>
          <w:p w14:paraId="1C9401FC">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工期及质量情况</w:t>
            </w:r>
          </w:p>
        </w:tc>
      </w:tr>
      <w:tr w14:paraId="141B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continue"/>
            <w:vAlign w:val="center"/>
          </w:tcPr>
          <w:p w14:paraId="5C506A9A">
            <w:pPr>
              <w:jc w:val="center"/>
              <w:rPr>
                <w:rFonts w:ascii="宋体" w:hAnsi="宋体"/>
                <w:color w:val="000000" w:themeColor="text1"/>
                <w:kern w:val="0"/>
                <w:sz w:val="24"/>
                <w:highlight w:val="none"/>
                <w14:textFill>
                  <w14:solidFill>
                    <w14:schemeClr w14:val="tx1"/>
                  </w14:solidFill>
                </w14:textFill>
              </w:rPr>
            </w:pPr>
          </w:p>
        </w:tc>
        <w:tc>
          <w:tcPr>
            <w:tcW w:w="1104" w:type="pct"/>
            <w:gridSpan w:val="2"/>
            <w:vAlign w:val="center"/>
          </w:tcPr>
          <w:p w14:paraId="14167DB9">
            <w:pPr>
              <w:jc w:val="center"/>
              <w:rPr>
                <w:rFonts w:ascii="宋体" w:hAnsi="宋体"/>
                <w:color w:val="000000" w:themeColor="text1"/>
                <w:kern w:val="0"/>
                <w:sz w:val="24"/>
                <w:highlight w:val="none"/>
                <w14:textFill>
                  <w14:solidFill>
                    <w14:schemeClr w14:val="tx1"/>
                  </w14:solidFill>
                </w14:textFill>
              </w:rPr>
            </w:pPr>
          </w:p>
        </w:tc>
        <w:tc>
          <w:tcPr>
            <w:tcW w:w="718" w:type="pct"/>
            <w:vAlign w:val="center"/>
          </w:tcPr>
          <w:p w14:paraId="3DE1EBA3">
            <w:pPr>
              <w:jc w:val="center"/>
              <w:rPr>
                <w:rFonts w:ascii="宋体" w:hAnsi="宋体"/>
                <w:color w:val="000000" w:themeColor="text1"/>
                <w:kern w:val="0"/>
                <w:sz w:val="24"/>
                <w:highlight w:val="none"/>
                <w14:textFill>
                  <w14:solidFill>
                    <w14:schemeClr w14:val="tx1"/>
                  </w14:solidFill>
                </w14:textFill>
              </w:rPr>
            </w:pPr>
          </w:p>
        </w:tc>
        <w:tc>
          <w:tcPr>
            <w:tcW w:w="973" w:type="pct"/>
            <w:gridSpan w:val="4"/>
            <w:vAlign w:val="center"/>
          </w:tcPr>
          <w:p w14:paraId="1F19A65B">
            <w:pPr>
              <w:jc w:val="center"/>
              <w:rPr>
                <w:rFonts w:ascii="宋体" w:hAnsi="宋体"/>
                <w:color w:val="000000" w:themeColor="text1"/>
                <w:kern w:val="0"/>
                <w:sz w:val="24"/>
                <w:highlight w:val="none"/>
                <w14:textFill>
                  <w14:solidFill>
                    <w14:schemeClr w14:val="tx1"/>
                  </w14:solidFill>
                </w14:textFill>
              </w:rPr>
            </w:pPr>
          </w:p>
        </w:tc>
        <w:tc>
          <w:tcPr>
            <w:tcW w:w="1224" w:type="pct"/>
            <w:gridSpan w:val="2"/>
            <w:vAlign w:val="center"/>
          </w:tcPr>
          <w:p w14:paraId="360FB83E">
            <w:pPr>
              <w:jc w:val="center"/>
              <w:rPr>
                <w:rFonts w:ascii="宋体" w:hAnsi="宋体"/>
                <w:color w:val="000000" w:themeColor="text1"/>
                <w:kern w:val="0"/>
                <w:sz w:val="24"/>
                <w:highlight w:val="none"/>
                <w14:textFill>
                  <w14:solidFill>
                    <w14:schemeClr w14:val="tx1"/>
                  </w14:solidFill>
                </w14:textFill>
              </w:rPr>
            </w:pPr>
          </w:p>
        </w:tc>
      </w:tr>
      <w:tr w14:paraId="69BB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continue"/>
            <w:vAlign w:val="center"/>
          </w:tcPr>
          <w:p w14:paraId="7A199EB8">
            <w:pPr>
              <w:jc w:val="center"/>
              <w:rPr>
                <w:rFonts w:ascii="宋体" w:hAnsi="宋体"/>
                <w:color w:val="000000" w:themeColor="text1"/>
                <w:kern w:val="0"/>
                <w:sz w:val="24"/>
                <w:highlight w:val="none"/>
                <w14:textFill>
                  <w14:solidFill>
                    <w14:schemeClr w14:val="tx1"/>
                  </w14:solidFill>
                </w14:textFill>
              </w:rPr>
            </w:pPr>
          </w:p>
        </w:tc>
        <w:tc>
          <w:tcPr>
            <w:tcW w:w="1104" w:type="pct"/>
            <w:gridSpan w:val="2"/>
            <w:vAlign w:val="center"/>
          </w:tcPr>
          <w:p w14:paraId="43EAE7BD">
            <w:pPr>
              <w:jc w:val="center"/>
              <w:rPr>
                <w:rFonts w:ascii="宋体" w:hAnsi="宋体"/>
                <w:color w:val="000000" w:themeColor="text1"/>
                <w:kern w:val="0"/>
                <w:sz w:val="24"/>
                <w:highlight w:val="none"/>
                <w14:textFill>
                  <w14:solidFill>
                    <w14:schemeClr w14:val="tx1"/>
                  </w14:solidFill>
                </w14:textFill>
              </w:rPr>
            </w:pPr>
          </w:p>
        </w:tc>
        <w:tc>
          <w:tcPr>
            <w:tcW w:w="718" w:type="pct"/>
            <w:vAlign w:val="center"/>
          </w:tcPr>
          <w:p w14:paraId="25C910E8">
            <w:pPr>
              <w:jc w:val="center"/>
              <w:rPr>
                <w:rFonts w:ascii="宋体" w:hAnsi="宋体"/>
                <w:color w:val="000000" w:themeColor="text1"/>
                <w:kern w:val="0"/>
                <w:sz w:val="24"/>
                <w:highlight w:val="none"/>
                <w14:textFill>
                  <w14:solidFill>
                    <w14:schemeClr w14:val="tx1"/>
                  </w14:solidFill>
                </w14:textFill>
              </w:rPr>
            </w:pPr>
          </w:p>
        </w:tc>
        <w:tc>
          <w:tcPr>
            <w:tcW w:w="973" w:type="pct"/>
            <w:gridSpan w:val="4"/>
            <w:vAlign w:val="center"/>
          </w:tcPr>
          <w:p w14:paraId="2D9A668E">
            <w:pPr>
              <w:jc w:val="center"/>
              <w:rPr>
                <w:rFonts w:ascii="宋体" w:hAnsi="宋体"/>
                <w:color w:val="000000" w:themeColor="text1"/>
                <w:kern w:val="0"/>
                <w:sz w:val="24"/>
                <w:highlight w:val="none"/>
                <w14:textFill>
                  <w14:solidFill>
                    <w14:schemeClr w14:val="tx1"/>
                  </w14:solidFill>
                </w14:textFill>
              </w:rPr>
            </w:pPr>
          </w:p>
        </w:tc>
        <w:tc>
          <w:tcPr>
            <w:tcW w:w="1224" w:type="pct"/>
            <w:gridSpan w:val="2"/>
            <w:vAlign w:val="center"/>
          </w:tcPr>
          <w:p w14:paraId="175D1A00">
            <w:pPr>
              <w:jc w:val="center"/>
              <w:rPr>
                <w:rFonts w:ascii="宋体" w:hAnsi="宋体"/>
                <w:color w:val="000000" w:themeColor="text1"/>
                <w:kern w:val="0"/>
                <w:sz w:val="24"/>
                <w:highlight w:val="none"/>
                <w14:textFill>
                  <w14:solidFill>
                    <w14:schemeClr w14:val="tx1"/>
                  </w14:solidFill>
                </w14:textFill>
              </w:rPr>
            </w:pPr>
          </w:p>
        </w:tc>
      </w:tr>
      <w:tr w14:paraId="7721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continue"/>
            <w:vAlign w:val="center"/>
          </w:tcPr>
          <w:p w14:paraId="6EB007EC">
            <w:pPr>
              <w:jc w:val="center"/>
              <w:rPr>
                <w:rFonts w:ascii="宋体" w:hAnsi="宋体"/>
                <w:color w:val="000000" w:themeColor="text1"/>
                <w:kern w:val="0"/>
                <w:sz w:val="24"/>
                <w:highlight w:val="none"/>
                <w14:textFill>
                  <w14:solidFill>
                    <w14:schemeClr w14:val="tx1"/>
                  </w14:solidFill>
                </w14:textFill>
              </w:rPr>
            </w:pPr>
          </w:p>
        </w:tc>
        <w:tc>
          <w:tcPr>
            <w:tcW w:w="1104" w:type="pct"/>
            <w:gridSpan w:val="2"/>
            <w:vAlign w:val="center"/>
          </w:tcPr>
          <w:p w14:paraId="722CCA97">
            <w:pPr>
              <w:jc w:val="center"/>
              <w:rPr>
                <w:rFonts w:ascii="宋体" w:hAnsi="宋体"/>
                <w:color w:val="000000" w:themeColor="text1"/>
                <w:kern w:val="0"/>
                <w:sz w:val="24"/>
                <w:highlight w:val="none"/>
                <w14:textFill>
                  <w14:solidFill>
                    <w14:schemeClr w14:val="tx1"/>
                  </w14:solidFill>
                </w14:textFill>
              </w:rPr>
            </w:pPr>
          </w:p>
        </w:tc>
        <w:tc>
          <w:tcPr>
            <w:tcW w:w="718" w:type="pct"/>
            <w:vAlign w:val="center"/>
          </w:tcPr>
          <w:p w14:paraId="3B64E563">
            <w:pPr>
              <w:jc w:val="center"/>
              <w:rPr>
                <w:rFonts w:ascii="宋体" w:hAnsi="宋体"/>
                <w:color w:val="000000" w:themeColor="text1"/>
                <w:kern w:val="0"/>
                <w:sz w:val="24"/>
                <w:highlight w:val="none"/>
                <w14:textFill>
                  <w14:solidFill>
                    <w14:schemeClr w14:val="tx1"/>
                  </w14:solidFill>
                </w14:textFill>
              </w:rPr>
            </w:pPr>
          </w:p>
        </w:tc>
        <w:tc>
          <w:tcPr>
            <w:tcW w:w="973" w:type="pct"/>
            <w:gridSpan w:val="4"/>
            <w:vAlign w:val="center"/>
          </w:tcPr>
          <w:p w14:paraId="28C0DB69">
            <w:pPr>
              <w:jc w:val="center"/>
              <w:rPr>
                <w:rFonts w:ascii="宋体" w:hAnsi="宋体"/>
                <w:color w:val="000000" w:themeColor="text1"/>
                <w:kern w:val="0"/>
                <w:sz w:val="24"/>
                <w:highlight w:val="none"/>
                <w14:textFill>
                  <w14:solidFill>
                    <w14:schemeClr w14:val="tx1"/>
                  </w14:solidFill>
                </w14:textFill>
              </w:rPr>
            </w:pPr>
          </w:p>
        </w:tc>
        <w:tc>
          <w:tcPr>
            <w:tcW w:w="1224" w:type="pct"/>
            <w:gridSpan w:val="2"/>
            <w:vAlign w:val="center"/>
          </w:tcPr>
          <w:p w14:paraId="09AE19D3">
            <w:pPr>
              <w:jc w:val="center"/>
              <w:rPr>
                <w:rFonts w:ascii="宋体" w:hAnsi="宋体"/>
                <w:color w:val="000000" w:themeColor="text1"/>
                <w:kern w:val="0"/>
                <w:sz w:val="24"/>
                <w:highlight w:val="none"/>
                <w14:textFill>
                  <w14:solidFill>
                    <w14:schemeClr w14:val="tx1"/>
                  </w14:solidFill>
                </w14:textFill>
              </w:rPr>
            </w:pPr>
          </w:p>
        </w:tc>
      </w:tr>
      <w:tr w14:paraId="0702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Merge w:val="continue"/>
            <w:vAlign w:val="center"/>
          </w:tcPr>
          <w:p w14:paraId="491FA826">
            <w:pPr>
              <w:jc w:val="center"/>
              <w:rPr>
                <w:rFonts w:ascii="宋体" w:hAnsi="宋体"/>
                <w:color w:val="000000" w:themeColor="text1"/>
                <w:kern w:val="0"/>
                <w:sz w:val="24"/>
                <w:highlight w:val="none"/>
                <w14:textFill>
                  <w14:solidFill>
                    <w14:schemeClr w14:val="tx1"/>
                  </w14:solidFill>
                </w14:textFill>
              </w:rPr>
            </w:pPr>
          </w:p>
        </w:tc>
        <w:tc>
          <w:tcPr>
            <w:tcW w:w="1104" w:type="pct"/>
            <w:gridSpan w:val="2"/>
            <w:vAlign w:val="center"/>
          </w:tcPr>
          <w:p w14:paraId="5E82839C">
            <w:pPr>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p>
        </w:tc>
        <w:tc>
          <w:tcPr>
            <w:tcW w:w="718" w:type="pct"/>
            <w:vAlign w:val="center"/>
          </w:tcPr>
          <w:p w14:paraId="4FFFCE4A">
            <w:pPr>
              <w:jc w:val="center"/>
              <w:rPr>
                <w:rFonts w:ascii="宋体" w:hAnsi="宋体"/>
                <w:color w:val="000000" w:themeColor="text1"/>
                <w:kern w:val="0"/>
                <w:sz w:val="24"/>
                <w:highlight w:val="none"/>
                <w14:textFill>
                  <w14:solidFill>
                    <w14:schemeClr w14:val="tx1"/>
                  </w14:solidFill>
                </w14:textFill>
              </w:rPr>
            </w:pPr>
          </w:p>
        </w:tc>
        <w:tc>
          <w:tcPr>
            <w:tcW w:w="973" w:type="pct"/>
            <w:gridSpan w:val="4"/>
            <w:vAlign w:val="center"/>
          </w:tcPr>
          <w:p w14:paraId="2399C5D3">
            <w:pPr>
              <w:jc w:val="center"/>
              <w:rPr>
                <w:rFonts w:ascii="宋体" w:hAnsi="宋体"/>
                <w:color w:val="000000" w:themeColor="text1"/>
                <w:kern w:val="0"/>
                <w:sz w:val="24"/>
                <w:highlight w:val="none"/>
                <w14:textFill>
                  <w14:solidFill>
                    <w14:schemeClr w14:val="tx1"/>
                  </w14:solidFill>
                </w14:textFill>
              </w:rPr>
            </w:pPr>
          </w:p>
        </w:tc>
        <w:tc>
          <w:tcPr>
            <w:tcW w:w="1224" w:type="pct"/>
            <w:gridSpan w:val="2"/>
            <w:vAlign w:val="center"/>
          </w:tcPr>
          <w:p w14:paraId="5D46FA6E">
            <w:pPr>
              <w:jc w:val="center"/>
              <w:rPr>
                <w:rFonts w:ascii="宋体" w:hAnsi="宋体"/>
                <w:color w:val="000000" w:themeColor="text1"/>
                <w:kern w:val="0"/>
                <w:sz w:val="24"/>
                <w:highlight w:val="none"/>
                <w14:textFill>
                  <w14:solidFill>
                    <w14:schemeClr w14:val="tx1"/>
                  </w14:solidFill>
                </w14:textFill>
              </w:rPr>
            </w:pPr>
          </w:p>
        </w:tc>
      </w:tr>
      <w:tr w14:paraId="723B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80" w:type="pct"/>
            <w:vAlign w:val="center"/>
          </w:tcPr>
          <w:p w14:paraId="0B1562B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荣誉</w:t>
            </w:r>
          </w:p>
        </w:tc>
        <w:tc>
          <w:tcPr>
            <w:tcW w:w="4020" w:type="pct"/>
            <w:gridSpan w:val="9"/>
            <w:vAlign w:val="center"/>
          </w:tcPr>
          <w:p w14:paraId="4E78254C">
            <w:pPr>
              <w:jc w:val="center"/>
              <w:rPr>
                <w:rFonts w:ascii="宋体" w:hAnsi="宋体"/>
                <w:color w:val="000000" w:themeColor="text1"/>
                <w:szCs w:val="21"/>
                <w:highlight w:val="none"/>
                <w14:textFill>
                  <w14:solidFill>
                    <w14:schemeClr w14:val="tx1"/>
                  </w14:solidFill>
                </w14:textFill>
              </w:rPr>
            </w:pPr>
          </w:p>
        </w:tc>
      </w:tr>
      <w:tr w14:paraId="1653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0" w:type="pct"/>
            <w:vAlign w:val="center"/>
          </w:tcPr>
          <w:p w14:paraId="78FEC82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4020" w:type="pct"/>
            <w:gridSpan w:val="9"/>
            <w:vAlign w:val="center"/>
          </w:tcPr>
          <w:p w14:paraId="6151B32C">
            <w:pPr>
              <w:jc w:val="center"/>
              <w:rPr>
                <w:rFonts w:ascii="宋体" w:hAnsi="宋体"/>
                <w:color w:val="000000" w:themeColor="text1"/>
                <w:szCs w:val="21"/>
                <w:highlight w:val="none"/>
                <w14:textFill>
                  <w14:solidFill>
                    <w14:schemeClr w14:val="tx1"/>
                  </w14:solidFill>
                </w14:textFill>
              </w:rPr>
            </w:pPr>
          </w:p>
        </w:tc>
      </w:tr>
    </w:tbl>
    <w:p w14:paraId="132B09A4">
      <w:pPr>
        <w:topLinePunct/>
        <w:spacing w:line="44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注：应附资格证明文件及荣誉证明材料</w:t>
      </w:r>
    </w:p>
    <w:p w14:paraId="19F3DB31">
      <w:pPr>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br w:type="page"/>
      </w:r>
    </w:p>
    <w:p w14:paraId="63FCF3A1">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w:t>
      </w:r>
      <w:r>
        <w:rPr>
          <w:rFonts w:ascii="宋体" w:hAnsi="宋体"/>
          <w:b/>
          <w:bCs/>
          <w:color w:val="000000" w:themeColor="text1"/>
          <w:spacing w:val="20"/>
          <w:sz w:val="24"/>
          <w:szCs w:val="32"/>
          <w:highlight w:val="none"/>
          <w14:textFill>
            <w14:solidFill>
              <w14:schemeClr w14:val="tx1"/>
            </w14:solidFill>
          </w14:textFill>
        </w:rPr>
        <w:t>1</w:t>
      </w:r>
      <w:r>
        <w:rPr>
          <w:rFonts w:hint="eastAsia" w:ascii="宋体" w:hAnsi="宋体"/>
          <w:b/>
          <w:bCs/>
          <w:color w:val="000000" w:themeColor="text1"/>
          <w:spacing w:val="20"/>
          <w:sz w:val="24"/>
          <w:szCs w:val="32"/>
          <w:highlight w:val="none"/>
          <w14:textFill>
            <w14:solidFill>
              <w14:schemeClr w14:val="tx1"/>
            </w14:solidFill>
          </w14:textFill>
        </w:rPr>
        <w:t>1</w:t>
      </w:r>
    </w:p>
    <w:p w14:paraId="7A1B5DA6">
      <w:pPr>
        <w:ind w:firstLine="420" w:firstLineChars="200"/>
        <w:rPr>
          <w:rFonts w:ascii="宋体" w:hAnsi="宋体"/>
          <w:color w:val="000000" w:themeColor="text1"/>
          <w:highlight w:val="none"/>
          <w14:textFill>
            <w14:solidFill>
              <w14:schemeClr w14:val="tx1"/>
            </w14:solidFill>
          </w14:textFill>
        </w:rPr>
      </w:pPr>
    </w:p>
    <w:p w14:paraId="06E4944E">
      <w:pPr>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企业近年完成的类似项目情况表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7224"/>
      </w:tblGrid>
      <w:tr w14:paraId="0EA7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2AA98EE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3583" w:type="pct"/>
            <w:vAlign w:val="center"/>
          </w:tcPr>
          <w:p w14:paraId="45DB71C2">
            <w:pPr>
              <w:jc w:val="center"/>
              <w:rPr>
                <w:rFonts w:ascii="宋体" w:hAnsi="宋体"/>
                <w:color w:val="000000" w:themeColor="text1"/>
                <w:szCs w:val="21"/>
                <w:highlight w:val="none"/>
                <w14:textFill>
                  <w14:solidFill>
                    <w14:schemeClr w14:val="tx1"/>
                  </w14:solidFill>
                </w14:textFill>
              </w:rPr>
            </w:pPr>
          </w:p>
        </w:tc>
      </w:tr>
      <w:tr w14:paraId="13AD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5AD863D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项目所在地</w:t>
            </w:r>
          </w:p>
        </w:tc>
        <w:tc>
          <w:tcPr>
            <w:tcW w:w="3583" w:type="pct"/>
            <w:vAlign w:val="center"/>
          </w:tcPr>
          <w:p w14:paraId="3A7ACA3B">
            <w:pPr>
              <w:jc w:val="center"/>
              <w:rPr>
                <w:rFonts w:ascii="宋体" w:hAnsi="宋体"/>
                <w:color w:val="000000" w:themeColor="text1"/>
                <w:szCs w:val="21"/>
                <w:highlight w:val="none"/>
                <w14:textFill>
                  <w14:solidFill>
                    <w14:schemeClr w14:val="tx1"/>
                  </w14:solidFill>
                </w14:textFill>
              </w:rPr>
            </w:pPr>
          </w:p>
        </w:tc>
      </w:tr>
      <w:tr w14:paraId="7ABF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705F066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发包人名称</w:t>
            </w:r>
          </w:p>
        </w:tc>
        <w:tc>
          <w:tcPr>
            <w:tcW w:w="3583" w:type="pct"/>
            <w:vAlign w:val="center"/>
          </w:tcPr>
          <w:p w14:paraId="08853E9D">
            <w:pPr>
              <w:jc w:val="center"/>
              <w:rPr>
                <w:rFonts w:ascii="宋体" w:hAnsi="宋体"/>
                <w:color w:val="000000" w:themeColor="text1"/>
                <w:szCs w:val="21"/>
                <w:highlight w:val="none"/>
                <w14:textFill>
                  <w14:solidFill>
                    <w14:schemeClr w14:val="tx1"/>
                  </w14:solidFill>
                </w14:textFill>
              </w:rPr>
            </w:pPr>
          </w:p>
        </w:tc>
      </w:tr>
      <w:tr w14:paraId="05BD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3258726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合同价格</w:t>
            </w:r>
          </w:p>
        </w:tc>
        <w:tc>
          <w:tcPr>
            <w:tcW w:w="3583" w:type="pct"/>
            <w:vAlign w:val="center"/>
          </w:tcPr>
          <w:p w14:paraId="06299ECE">
            <w:pPr>
              <w:jc w:val="center"/>
              <w:rPr>
                <w:rFonts w:ascii="宋体" w:hAnsi="宋体"/>
                <w:color w:val="000000" w:themeColor="text1"/>
                <w:szCs w:val="21"/>
                <w:highlight w:val="none"/>
                <w14:textFill>
                  <w14:solidFill>
                    <w14:schemeClr w14:val="tx1"/>
                  </w14:solidFill>
                </w14:textFill>
              </w:rPr>
            </w:pPr>
          </w:p>
        </w:tc>
      </w:tr>
      <w:tr w14:paraId="1739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6511198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开工日期</w:t>
            </w:r>
          </w:p>
        </w:tc>
        <w:tc>
          <w:tcPr>
            <w:tcW w:w="3583" w:type="pct"/>
            <w:vAlign w:val="center"/>
          </w:tcPr>
          <w:p w14:paraId="5C0DC488">
            <w:pPr>
              <w:jc w:val="center"/>
              <w:rPr>
                <w:rFonts w:ascii="宋体" w:hAnsi="宋体"/>
                <w:color w:val="000000" w:themeColor="text1"/>
                <w:szCs w:val="21"/>
                <w:highlight w:val="none"/>
                <w14:textFill>
                  <w14:solidFill>
                    <w14:schemeClr w14:val="tx1"/>
                  </w14:solidFill>
                </w14:textFill>
              </w:rPr>
            </w:pPr>
          </w:p>
        </w:tc>
      </w:tr>
      <w:tr w14:paraId="60F5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156A07A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竣工日期</w:t>
            </w:r>
          </w:p>
        </w:tc>
        <w:tc>
          <w:tcPr>
            <w:tcW w:w="3583" w:type="pct"/>
            <w:vAlign w:val="center"/>
          </w:tcPr>
          <w:p w14:paraId="1FB43F87">
            <w:pPr>
              <w:jc w:val="center"/>
              <w:rPr>
                <w:rFonts w:ascii="宋体" w:hAnsi="宋体"/>
                <w:color w:val="000000" w:themeColor="text1"/>
                <w:szCs w:val="21"/>
                <w:highlight w:val="none"/>
                <w14:textFill>
                  <w14:solidFill>
                    <w14:schemeClr w14:val="tx1"/>
                  </w14:solidFill>
                </w14:textFill>
              </w:rPr>
            </w:pPr>
          </w:p>
        </w:tc>
      </w:tr>
      <w:tr w14:paraId="4853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5265222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承担的工作</w:t>
            </w:r>
          </w:p>
        </w:tc>
        <w:tc>
          <w:tcPr>
            <w:tcW w:w="3583" w:type="pct"/>
            <w:vAlign w:val="center"/>
          </w:tcPr>
          <w:p w14:paraId="0CDAFE1E">
            <w:pPr>
              <w:jc w:val="center"/>
              <w:rPr>
                <w:rFonts w:ascii="宋体" w:hAnsi="宋体"/>
                <w:color w:val="000000" w:themeColor="text1"/>
                <w:szCs w:val="21"/>
                <w:highlight w:val="none"/>
                <w14:textFill>
                  <w14:solidFill>
                    <w14:schemeClr w14:val="tx1"/>
                  </w14:solidFill>
                </w14:textFill>
              </w:rPr>
            </w:pPr>
          </w:p>
        </w:tc>
      </w:tr>
      <w:tr w14:paraId="16F8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48378A4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w:t>
            </w:r>
          </w:p>
        </w:tc>
        <w:tc>
          <w:tcPr>
            <w:tcW w:w="3583" w:type="pct"/>
            <w:vAlign w:val="center"/>
          </w:tcPr>
          <w:p w14:paraId="15C08D47">
            <w:pPr>
              <w:jc w:val="center"/>
              <w:rPr>
                <w:rFonts w:ascii="宋体" w:hAnsi="宋体"/>
                <w:color w:val="000000" w:themeColor="text1"/>
                <w:szCs w:val="21"/>
                <w:highlight w:val="none"/>
                <w14:textFill>
                  <w14:solidFill>
                    <w14:schemeClr w14:val="tx1"/>
                  </w14:solidFill>
                </w14:textFill>
              </w:rPr>
            </w:pPr>
          </w:p>
        </w:tc>
      </w:tr>
      <w:tr w14:paraId="0022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5A6725D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项目经理</w:t>
            </w:r>
          </w:p>
        </w:tc>
        <w:tc>
          <w:tcPr>
            <w:tcW w:w="3583" w:type="pct"/>
            <w:vAlign w:val="center"/>
          </w:tcPr>
          <w:p w14:paraId="42242816">
            <w:pPr>
              <w:jc w:val="center"/>
              <w:rPr>
                <w:rFonts w:ascii="宋体" w:hAnsi="宋体"/>
                <w:color w:val="000000" w:themeColor="text1"/>
                <w:szCs w:val="21"/>
                <w:highlight w:val="none"/>
                <w14:textFill>
                  <w14:solidFill>
                    <w14:schemeClr w14:val="tx1"/>
                  </w14:solidFill>
                </w14:textFill>
              </w:rPr>
            </w:pPr>
          </w:p>
        </w:tc>
      </w:tr>
      <w:tr w14:paraId="00F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7" w:type="pct"/>
            <w:vAlign w:val="center"/>
          </w:tcPr>
          <w:p w14:paraId="4E28ADE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3583" w:type="pct"/>
            <w:vAlign w:val="center"/>
          </w:tcPr>
          <w:p w14:paraId="09A4593B">
            <w:pPr>
              <w:jc w:val="center"/>
              <w:rPr>
                <w:rFonts w:ascii="宋体" w:hAnsi="宋体"/>
                <w:color w:val="000000" w:themeColor="text1"/>
                <w:szCs w:val="21"/>
                <w:highlight w:val="none"/>
                <w14:textFill>
                  <w14:solidFill>
                    <w14:schemeClr w14:val="tx1"/>
                  </w14:solidFill>
                </w14:textFill>
              </w:rPr>
            </w:pPr>
          </w:p>
        </w:tc>
      </w:tr>
    </w:tbl>
    <w:p w14:paraId="36DF3150">
      <w:pPr>
        <w:topLinePunct/>
        <w:spacing w:line="44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注：应附相关证明</w:t>
      </w:r>
    </w:p>
    <w:p w14:paraId="2B738E53">
      <w:pPr>
        <w:widowControl/>
        <w:jc w:val="left"/>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p>
    <w:p w14:paraId="0B27CBD7">
      <w:pPr>
        <w:widowControl/>
        <w:autoSpaceDE w:val="0"/>
        <w:autoSpaceDN w:val="0"/>
        <w:spacing w:line="360" w:lineRule="auto"/>
        <w:textAlignment w:val="bottom"/>
        <w:outlineLvl w:val="1"/>
        <w:rPr>
          <w:rFonts w:ascii="宋体" w:hAnsi="宋体"/>
          <w:b/>
          <w:bCs/>
          <w:color w:val="000000" w:themeColor="text1"/>
          <w:spacing w:val="20"/>
          <w:sz w:val="24"/>
          <w:szCs w:val="32"/>
          <w:highlight w:val="none"/>
          <w14:textFill>
            <w14:solidFill>
              <w14:schemeClr w14:val="tx1"/>
            </w14:solidFill>
          </w14:textFill>
        </w:rPr>
      </w:pPr>
      <w:r>
        <w:rPr>
          <w:rFonts w:hint="eastAsia" w:ascii="宋体" w:hAnsi="宋体"/>
          <w:b/>
          <w:bCs/>
          <w:color w:val="000000" w:themeColor="text1"/>
          <w:spacing w:val="20"/>
          <w:sz w:val="24"/>
          <w:szCs w:val="32"/>
          <w:highlight w:val="none"/>
          <w14:textFill>
            <w14:solidFill>
              <w14:schemeClr w14:val="tx1"/>
            </w14:solidFill>
          </w14:textFill>
        </w:rPr>
        <w:t>附件</w:t>
      </w:r>
      <w:r>
        <w:rPr>
          <w:rFonts w:ascii="宋体" w:hAnsi="宋体"/>
          <w:b/>
          <w:bCs/>
          <w:color w:val="000000" w:themeColor="text1"/>
          <w:spacing w:val="20"/>
          <w:sz w:val="24"/>
          <w:szCs w:val="32"/>
          <w:highlight w:val="none"/>
          <w14:textFill>
            <w14:solidFill>
              <w14:schemeClr w14:val="tx1"/>
            </w14:solidFill>
          </w14:textFill>
        </w:rPr>
        <w:t>1</w:t>
      </w:r>
      <w:r>
        <w:rPr>
          <w:rFonts w:hint="eastAsia" w:ascii="宋体" w:hAnsi="宋体"/>
          <w:b/>
          <w:bCs/>
          <w:color w:val="000000" w:themeColor="text1"/>
          <w:spacing w:val="20"/>
          <w:sz w:val="24"/>
          <w:szCs w:val="32"/>
          <w:highlight w:val="none"/>
          <w14:textFill>
            <w14:solidFill>
              <w14:schemeClr w14:val="tx1"/>
            </w14:solidFill>
          </w14:textFill>
        </w:rPr>
        <w:t>2</w:t>
      </w:r>
    </w:p>
    <w:p w14:paraId="10C3A7BD">
      <w:pPr>
        <w:widowControl/>
        <w:jc w:val="center"/>
        <w:rPr>
          <w:rFonts w:ascii="宋体" w:hAnsi="宋体"/>
          <w:bCs/>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施工组织设计</w:t>
      </w:r>
    </w:p>
    <w:p w14:paraId="3D06ACB7">
      <w:pPr>
        <w:spacing w:line="440" w:lineRule="exact"/>
        <w:jc w:val="left"/>
        <w:rPr>
          <w:rFonts w:ascii="宋体" w:hAnsi="宋体"/>
          <w:color w:val="000000" w:themeColor="text1"/>
          <w:sz w:val="24"/>
          <w:szCs w:val="21"/>
          <w:highlight w:val="none"/>
          <w14:textFill>
            <w14:solidFill>
              <w14:schemeClr w14:val="tx1"/>
            </w14:solidFill>
          </w14:textFill>
        </w:rPr>
      </w:pPr>
    </w:p>
    <w:p w14:paraId="441CC504">
      <w:pPr>
        <w:tabs>
          <w:tab w:val="left" w:pos="720"/>
        </w:tabs>
        <w:spacing w:line="440" w:lineRule="exact"/>
        <w:ind w:firstLine="480" w:firstLineChars="20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1.</w:t>
      </w: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ab/>
      </w:r>
      <w:r>
        <w:rPr>
          <w:rFonts w:hint="eastAsia" w:ascii="宋体" w:hAnsi="宋体"/>
          <w:color w:val="000000" w:themeColor="text1"/>
          <w:sz w:val="24"/>
          <w:szCs w:val="21"/>
          <w:highlight w:val="none"/>
          <w14:textFill>
            <w14:solidFill>
              <w14:schemeClr w14:val="tx1"/>
            </w14:solidFill>
          </w14:textFill>
        </w:rPr>
        <w:t>供应商</w:t>
      </w:r>
      <w:r>
        <w:rPr>
          <w:rFonts w:ascii="宋体" w:hAnsi="宋体"/>
          <w:color w:val="000000" w:themeColor="text1"/>
          <w:sz w:val="24"/>
          <w:szCs w:val="21"/>
          <w:highlight w:val="none"/>
          <w14:textFill>
            <w14:solidFill>
              <w14:schemeClr w14:val="tx1"/>
            </w14:solidFill>
          </w14:textFill>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EBF10CF">
      <w:pPr>
        <w:tabs>
          <w:tab w:val="left" w:pos="720"/>
        </w:tabs>
        <w:spacing w:line="440" w:lineRule="exact"/>
        <w:ind w:firstLine="480" w:firstLineChars="20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2.</w:t>
      </w: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ab/>
      </w:r>
      <w:r>
        <w:rPr>
          <w:rFonts w:ascii="宋体" w:hAnsi="宋体"/>
          <w:color w:val="000000" w:themeColor="text1"/>
          <w:sz w:val="24"/>
          <w:szCs w:val="21"/>
          <w:highlight w:val="none"/>
          <w14:textFill>
            <w14:solidFill>
              <w14:schemeClr w14:val="tx1"/>
            </w14:solidFill>
          </w14:textFill>
        </w:rPr>
        <w:t>施工组织设计除采用文字表述外可附下列图表，图表及格式要求附后。</w:t>
      </w:r>
    </w:p>
    <w:p w14:paraId="22F48D53">
      <w:pPr>
        <w:tabs>
          <w:tab w:val="left" w:pos="720"/>
        </w:tabs>
        <w:spacing w:line="440" w:lineRule="exact"/>
        <w:ind w:firstLine="864" w:firstLineChars="36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附表一  拟投入本标段的主要施工设备表</w:t>
      </w:r>
    </w:p>
    <w:p w14:paraId="1ADE5E81">
      <w:pPr>
        <w:tabs>
          <w:tab w:val="left" w:pos="720"/>
        </w:tabs>
        <w:spacing w:line="440" w:lineRule="exact"/>
        <w:ind w:firstLine="864" w:firstLineChars="36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附表二  拟配备本标段的试验和检测仪器设备表</w:t>
      </w:r>
    </w:p>
    <w:p w14:paraId="5FDC3AED">
      <w:pPr>
        <w:tabs>
          <w:tab w:val="left" w:pos="720"/>
        </w:tabs>
        <w:spacing w:line="440" w:lineRule="exact"/>
        <w:ind w:firstLine="864" w:firstLineChars="36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附表三  劳动力计划表</w:t>
      </w:r>
    </w:p>
    <w:p w14:paraId="1ECD7B8E">
      <w:pPr>
        <w:tabs>
          <w:tab w:val="left" w:pos="720"/>
        </w:tabs>
        <w:spacing w:line="440" w:lineRule="exact"/>
        <w:ind w:firstLine="864" w:firstLineChars="36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附表四  计划开、</w:t>
      </w:r>
      <w:r>
        <w:rPr>
          <w:rFonts w:hint="eastAsia" w:ascii="宋体" w:hAnsi="宋体"/>
          <w:color w:val="000000" w:themeColor="text1"/>
          <w:sz w:val="24"/>
          <w:highlight w:val="none"/>
          <w14:textFill>
            <w14:solidFill>
              <w14:schemeClr w14:val="tx1"/>
            </w14:solidFill>
          </w14:textFill>
        </w:rPr>
        <w:t>竣工</w:t>
      </w:r>
      <w:r>
        <w:rPr>
          <w:rFonts w:ascii="宋体" w:hAnsi="宋体"/>
          <w:color w:val="000000" w:themeColor="text1"/>
          <w:sz w:val="24"/>
          <w:szCs w:val="21"/>
          <w:highlight w:val="none"/>
          <w14:textFill>
            <w14:solidFill>
              <w14:schemeClr w14:val="tx1"/>
            </w14:solidFill>
          </w14:textFill>
        </w:rPr>
        <w:t>日期和施工进度图</w:t>
      </w:r>
    </w:p>
    <w:p w14:paraId="4C09A7D0">
      <w:pPr>
        <w:tabs>
          <w:tab w:val="left" w:pos="720"/>
        </w:tabs>
        <w:spacing w:line="440" w:lineRule="exact"/>
        <w:ind w:firstLine="864" w:firstLineChars="36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附表五  施工总平面图</w:t>
      </w:r>
    </w:p>
    <w:p w14:paraId="2977BD5E">
      <w:pPr>
        <w:tabs>
          <w:tab w:val="left" w:pos="720"/>
        </w:tabs>
        <w:spacing w:line="440" w:lineRule="exact"/>
        <w:jc w:val="lef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3.供应商分析本工程的特点、难点和重点，对于关键工序、施工重点和难点提出针对性的施工方案和措施。</w:t>
      </w:r>
    </w:p>
    <w:p w14:paraId="71A87AB7">
      <w:pPr>
        <w:tabs>
          <w:tab w:val="left" w:pos="720"/>
        </w:tabs>
        <w:spacing w:line="440" w:lineRule="exact"/>
        <w:jc w:val="left"/>
        <w:rPr>
          <w:rFonts w:ascii="宋体" w:hAnsi="宋体" w:cs="宋体"/>
          <w:color w:val="000000" w:themeColor="text1"/>
          <w:sz w:val="24"/>
          <w:szCs w:val="23"/>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bookmarkStart w:id="1041" w:name="_Toc152042586"/>
      <w:bookmarkStart w:id="1042" w:name="_Toc144974865"/>
      <w:bookmarkStart w:id="1043" w:name="_Toc368430057"/>
      <w:bookmarkStart w:id="1044" w:name="_Toc152045797"/>
      <w:r>
        <w:rPr>
          <w:rFonts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szCs w:val="23"/>
          <w:highlight w:val="none"/>
          <w14:textFill>
            <w14:solidFill>
              <w14:schemeClr w14:val="tx1"/>
            </w14:solidFill>
          </w14:textFill>
        </w:rPr>
        <w:t>拟投入本标段的主要施工设备表</w:t>
      </w:r>
      <w:bookmarkEnd w:id="1041"/>
      <w:bookmarkEnd w:id="1042"/>
      <w:bookmarkEnd w:id="1043"/>
      <w:bookmarkEnd w:id="1044"/>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252"/>
        <w:gridCol w:w="877"/>
        <w:gridCol w:w="1141"/>
        <w:gridCol w:w="774"/>
        <w:gridCol w:w="851"/>
        <w:gridCol w:w="1398"/>
        <w:gridCol w:w="1008"/>
        <w:gridCol w:w="1216"/>
        <w:gridCol w:w="798"/>
      </w:tblGrid>
      <w:tr w14:paraId="620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1ACB58D8">
            <w:pPr>
              <w:spacing w:line="440" w:lineRule="exact"/>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序号</w:t>
            </w:r>
          </w:p>
        </w:tc>
        <w:tc>
          <w:tcPr>
            <w:tcW w:w="621" w:type="pct"/>
            <w:vAlign w:val="center"/>
          </w:tcPr>
          <w:p w14:paraId="061C0E5E">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设备名称</w:t>
            </w:r>
          </w:p>
        </w:tc>
        <w:tc>
          <w:tcPr>
            <w:tcW w:w="435" w:type="pct"/>
            <w:vAlign w:val="center"/>
          </w:tcPr>
          <w:p w14:paraId="7D5FF2F4">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型号</w:t>
            </w:r>
          </w:p>
          <w:p w14:paraId="64F86D6E">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规格</w:t>
            </w:r>
          </w:p>
        </w:tc>
        <w:tc>
          <w:tcPr>
            <w:tcW w:w="566" w:type="pct"/>
            <w:vAlign w:val="center"/>
          </w:tcPr>
          <w:p w14:paraId="298AF94B">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数量</w:t>
            </w:r>
          </w:p>
        </w:tc>
        <w:tc>
          <w:tcPr>
            <w:tcW w:w="384" w:type="pct"/>
            <w:vAlign w:val="center"/>
          </w:tcPr>
          <w:p w14:paraId="538A6E0A">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国别</w:t>
            </w:r>
          </w:p>
          <w:p w14:paraId="00AC4D87">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产地</w:t>
            </w:r>
          </w:p>
        </w:tc>
        <w:tc>
          <w:tcPr>
            <w:tcW w:w="422" w:type="pct"/>
            <w:vAlign w:val="center"/>
          </w:tcPr>
          <w:p w14:paraId="6D26E9FD">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制造</w:t>
            </w:r>
          </w:p>
          <w:p w14:paraId="08EB86BA">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年份</w:t>
            </w:r>
          </w:p>
        </w:tc>
        <w:tc>
          <w:tcPr>
            <w:tcW w:w="693" w:type="pct"/>
            <w:vAlign w:val="center"/>
          </w:tcPr>
          <w:p w14:paraId="4E9C374E">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额定功率（</w:t>
            </w:r>
            <w:r>
              <w:rPr>
                <w:rFonts w:hint="eastAsia" w:ascii="宋体" w:hAnsi="宋体"/>
                <w:color w:val="000000" w:themeColor="text1"/>
                <w:sz w:val="24"/>
                <w:szCs w:val="21"/>
                <w:highlight w:val="none"/>
                <w14:textFill>
                  <w14:solidFill>
                    <w14:schemeClr w14:val="tx1"/>
                  </w14:solidFill>
                </w14:textFill>
              </w:rPr>
              <w:t>K</w:t>
            </w:r>
            <w:r>
              <w:rPr>
                <w:rFonts w:ascii="宋体" w:hAnsi="宋体"/>
                <w:color w:val="000000" w:themeColor="text1"/>
                <w:sz w:val="24"/>
                <w:szCs w:val="21"/>
                <w:highlight w:val="none"/>
                <w14:textFill>
                  <w14:solidFill>
                    <w14:schemeClr w14:val="tx1"/>
                  </w14:solidFill>
                </w14:textFill>
              </w:rPr>
              <w:t>W）</w:t>
            </w:r>
          </w:p>
        </w:tc>
        <w:tc>
          <w:tcPr>
            <w:tcW w:w="500" w:type="pct"/>
            <w:vAlign w:val="center"/>
          </w:tcPr>
          <w:p w14:paraId="5A028BD8">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生产</w:t>
            </w:r>
          </w:p>
          <w:p w14:paraId="2EBBB583">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能力</w:t>
            </w:r>
          </w:p>
        </w:tc>
        <w:tc>
          <w:tcPr>
            <w:tcW w:w="603" w:type="pct"/>
            <w:vAlign w:val="center"/>
          </w:tcPr>
          <w:p w14:paraId="722F2679">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用于施工部位</w:t>
            </w:r>
          </w:p>
        </w:tc>
        <w:tc>
          <w:tcPr>
            <w:tcW w:w="395" w:type="pct"/>
            <w:vAlign w:val="center"/>
          </w:tcPr>
          <w:p w14:paraId="15E3DF87">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备注</w:t>
            </w:r>
          </w:p>
        </w:tc>
      </w:tr>
      <w:tr w14:paraId="7BD4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28A46E3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vAlign w:val="center"/>
          </w:tcPr>
          <w:p w14:paraId="4724D14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vAlign w:val="center"/>
          </w:tcPr>
          <w:p w14:paraId="6A7D6B7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vAlign w:val="center"/>
          </w:tcPr>
          <w:p w14:paraId="6890391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vAlign w:val="center"/>
          </w:tcPr>
          <w:p w14:paraId="7FEB6CD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vAlign w:val="center"/>
          </w:tcPr>
          <w:p w14:paraId="05BC530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vAlign w:val="center"/>
          </w:tcPr>
          <w:p w14:paraId="24C8CC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vAlign w:val="center"/>
          </w:tcPr>
          <w:p w14:paraId="464A64D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vAlign w:val="center"/>
          </w:tcPr>
          <w:p w14:paraId="2F0ABDA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vAlign w:val="center"/>
          </w:tcPr>
          <w:p w14:paraId="4A1AA90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872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14:paraId="17F9A1E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vAlign w:val="center"/>
          </w:tcPr>
          <w:p w14:paraId="5EC560A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vAlign w:val="center"/>
          </w:tcPr>
          <w:p w14:paraId="5519CDE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vAlign w:val="center"/>
          </w:tcPr>
          <w:p w14:paraId="59FD95B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vAlign w:val="center"/>
          </w:tcPr>
          <w:p w14:paraId="7066B75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vAlign w:val="center"/>
          </w:tcPr>
          <w:p w14:paraId="2F95A27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vAlign w:val="center"/>
          </w:tcPr>
          <w:p w14:paraId="1A855DF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vAlign w:val="center"/>
          </w:tcPr>
          <w:p w14:paraId="09724D7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vAlign w:val="center"/>
          </w:tcPr>
          <w:p w14:paraId="01133A7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vAlign w:val="center"/>
          </w:tcPr>
          <w:p w14:paraId="59B74F8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45F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7A2ACB9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56D26E9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61EABE4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05926E9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5DA8F3D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35A045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60A254C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4E9B8D4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4087594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237897AA">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917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319A001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7C03592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27815B8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28A23D9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7322808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DA8D83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217B797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18F0A38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62BD3F5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1133BE48">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27F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6610704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1FB105B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65357C8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4FF7E7B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7482388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42C0022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5B1EEA3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4C0CBA6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1F5769D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7783487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8F6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6443C0F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164F08C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711139A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3CDD705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162BAE1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24C3A00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7FDFBC7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454DB50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51260C2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3BAC383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D9C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7ACFEC6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15AC3F2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0BFF5C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5E92A0A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3A29F7A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770F1C2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19B81DD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475DD64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75F2A12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781D784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78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15F4587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59F266B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435AFE4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14DAB3E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253570C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E34486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06CB580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41FD345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29CD32F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4027F26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227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1D243EF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128F936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291750F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7E8A703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2000EA2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5E243FF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2FB710D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1D0D083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18008A6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67CA979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7AD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18055CF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20CC5BE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5AEF780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2FDC71B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37037D2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1BE43A4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1D9D514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3742BD5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1666C28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7F4225B6">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239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4B173C4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55711E0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6F9ACEE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20FF9F1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09876A9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2B11A50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5EF607B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1F93CEF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047732B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6BE09826">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66D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2168F0C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51E984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067D4DF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1025780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087AFA0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70D631E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6444A16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37F1322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3B1DE96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0590934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26F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0DA62BF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3AF0516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306EE31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290B80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393DC0C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111A7F7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4099EAC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6BCFA9C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18B0416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3CCAFD9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8D0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15FD19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29B83EC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1C4E283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7D68EB5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3D18648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6BD4A03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5713921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24D9092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353FD9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6D74E708">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F6B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2339C8A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7AD495D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488683F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6B81B9F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6AC79EF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729E44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6D26AE4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7FF91F7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1338859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7A69298C">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106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56DECA6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3C070F0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75D8824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0E0B4F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62FBED1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75C4993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12370D2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65015FB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00C2170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30F9FA5A">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AF5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61F527F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150B4E7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6DCD1D9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70F604B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291F19D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292E828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78533F5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2CB146C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27F4B18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714B908F">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A86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4041F34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3D1EC34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60368ED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2813180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7F8DFF1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580E05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3C2A42B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3C4F392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46508DF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1B63462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DC3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37E1B81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695FAD3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1684B13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7B8F07C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39297E9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7EA038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379727D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3CE13BD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27C1E99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552C40EB">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8E2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68997B9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632738C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72B9295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4473D7A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2B2514F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48A2CFE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290FA2C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57E43A1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6994FB4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1379208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ED5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116796E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4E15D47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3683E4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7CED0F3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2D6EB30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AD64CB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5A4AAF8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7E3D733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167ABBC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7D82D293">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050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79D08BC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5090690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4F1B047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5A86526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6E13C36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073B668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0CD8764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673D33B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31F6C63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631FA6D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CD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Pr>
          <w:p w14:paraId="37410F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1" w:type="pct"/>
          </w:tcPr>
          <w:p w14:paraId="5607AC7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5" w:type="pct"/>
          </w:tcPr>
          <w:p w14:paraId="7F6F791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66" w:type="pct"/>
          </w:tcPr>
          <w:p w14:paraId="7286365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84" w:type="pct"/>
          </w:tcPr>
          <w:p w14:paraId="21E045C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22" w:type="pct"/>
          </w:tcPr>
          <w:p w14:paraId="33E0F15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93" w:type="pct"/>
          </w:tcPr>
          <w:p w14:paraId="5796F2C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00" w:type="pct"/>
          </w:tcPr>
          <w:p w14:paraId="54ED0FF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03" w:type="pct"/>
          </w:tcPr>
          <w:p w14:paraId="258A55B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5" w:type="pct"/>
          </w:tcPr>
          <w:p w14:paraId="470819CA">
            <w:pPr>
              <w:spacing w:line="440" w:lineRule="exact"/>
              <w:jc w:val="center"/>
              <w:rPr>
                <w:rFonts w:ascii="宋体" w:hAnsi="宋体"/>
                <w:color w:val="000000" w:themeColor="text1"/>
                <w:sz w:val="24"/>
                <w:szCs w:val="21"/>
                <w:highlight w:val="none"/>
                <w14:textFill>
                  <w14:solidFill>
                    <w14:schemeClr w14:val="tx1"/>
                  </w14:solidFill>
                </w14:textFill>
              </w:rPr>
            </w:pPr>
          </w:p>
        </w:tc>
      </w:tr>
    </w:tbl>
    <w:p w14:paraId="44BA7C71">
      <w:pPr>
        <w:spacing w:line="440" w:lineRule="exact"/>
        <w:jc w:val="left"/>
        <w:rPr>
          <w:rFonts w:ascii="宋体" w:hAnsi="宋体"/>
          <w:color w:val="000000" w:themeColor="text1"/>
          <w:sz w:val="20"/>
          <w:highlight w:val="none"/>
          <w14:textFill>
            <w14:solidFill>
              <w14:schemeClr w14:val="tx1"/>
            </w14:solidFill>
          </w14:textFill>
        </w:rPr>
      </w:pPr>
    </w:p>
    <w:p w14:paraId="4144E05B">
      <w:pPr>
        <w:spacing w:line="440" w:lineRule="exact"/>
        <w:jc w:val="left"/>
        <w:rPr>
          <w:rFonts w:ascii="宋体" w:hAnsi="宋体" w:cs="宋体"/>
          <w:color w:val="000000" w:themeColor="text1"/>
          <w:sz w:val="24"/>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bookmarkStart w:id="1045" w:name="_Toc152045798"/>
      <w:bookmarkStart w:id="1046" w:name="_Toc152042587"/>
      <w:bookmarkStart w:id="1047" w:name="_Toc144974866"/>
      <w:bookmarkStart w:id="1048" w:name="_Toc368430058"/>
      <w:r>
        <w:rPr>
          <w:rFonts w:ascii="宋体" w:hAnsi="宋体" w:cs="宋体"/>
          <w:color w:val="000000" w:themeColor="text1"/>
          <w:sz w:val="24"/>
          <w:highlight w:val="none"/>
          <w14:textFill>
            <w14:solidFill>
              <w14:schemeClr w14:val="tx1"/>
            </w14:solidFill>
          </w14:textFill>
        </w:rPr>
        <w:t>附表二：拟配备本标段的试验和检测仪器设备表</w:t>
      </w:r>
      <w:bookmarkEnd w:id="1045"/>
      <w:bookmarkEnd w:id="1046"/>
      <w:bookmarkEnd w:id="1047"/>
      <w:bookmarkEnd w:id="1048"/>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294"/>
        <w:gridCol w:w="905"/>
        <w:gridCol w:w="1179"/>
        <w:gridCol w:w="800"/>
        <w:gridCol w:w="879"/>
        <w:gridCol w:w="1444"/>
        <w:gridCol w:w="1968"/>
        <w:gridCol w:w="820"/>
      </w:tblGrid>
      <w:tr w14:paraId="13BB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83D512A">
            <w:pPr>
              <w:spacing w:line="440" w:lineRule="exact"/>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序号</w:t>
            </w:r>
          </w:p>
        </w:tc>
        <w:tc>
          <w:tcPr>
            <w:tcW w:w="642" w:type="pct"/>
            <w:vAlign w:val="center"/>
          </w:tcPr>
          <w:p w14:paraId="035F7315">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仪器设备名称</w:t>
            </w:r>
          </w:p>
        </w:tc>
        <w:tc>
          <w:tcPr>
            <w:tcW w:w="449" w:type="pct"/>
            <w:vAlign w:val="center"/>
          </w:tcPr>
          <w:p w14:paraId="7FCE904B">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型号</w:t>
            </w:r>
          </w:p>
          <w:p w14:paraId="328278C5">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规格</w:t>
            </w:r>
          </w:p>
        </w:tc>
        <w:tc>
          <w:tcPr>
            <w:tcW w:w="585" w:type="pct"/>
            <w:vAlign w:val="center"/>
          </w:tcPr>
          <w:p w14:paraId="525FEA38">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数量</w:t>
            </w:r>
          </w:p>
        </w:tc>
        <w:tc>
          <w:tcPr>
            <w:tcW w:w="397" w:type="pct"/>
            <w:vAlign w:val="center"/>
          </w:tcPr>
          <w:p w14:paraId="44A93937">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国别</w:t>
            </w:r>
          </w:p>
          <w:p w14:paraId="2B04C8C6">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产地</w:t>
            </w:r>
          </w:p>
        </w:tc>
        <w:tc>
          <w:tcPr>
            <w:tcW w:w="436" w:type="pct"/>
            <w:vAlign w:val="center"/>
          </w:tcPr>
          <w:p w14:paraId="71972CF1">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制造</w:t>
            </w:r>
          </w:p>
          <w:p w14:paraId="4FA411A9">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年份</w:t>
            </w:r>
          </w:p>
        </w:tc>
        <w:tc>
          <w:tcPr>
            <w:tcW w:w="716" w:type="pct"/>
            <w:vAlign w:val="center"/>
          </w:tcPr>
          <w:p w14:paraId="644660D3">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已使用台时数</w:t>
            </w:r>
          </w:p>
        </w:tc>
        <w:tc>
          <w:tcPr>
            <w:tcW w:w="976" w:type="pct"/>
            <w:vAlign w:val="center"/>
          </w:tcPr>
          <w:p w14:paraId="7AFD7616">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用途</w:t>
            </w:r>
          </w:p>
        </w:tc>
        <w:tc>
          <w:tcPr>
            <w:tcW w:w="406" w:type="pct"/>
            <w:vAlign w:val="center"/>
          </w:tcPr>
          <w:p w14:paraId="68A8185C">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备注</w:t>
            </w:r>
          </w:p>
        </w:tc>
      </w:tr>
      <w:tr w14:paraId="2C41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8DF060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vAlign w:val="center"/>
          </w:tcPr>
          <w:p w14:paraId="3EF6F83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vAlign w:val="center"/>
          </w:tcPr>
          <w:p w14:paraId="239CF5E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vAlign w:val="center"/>
          </w:tcPr>
          <w:p w14:paraId="579260E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vAlign w:val="center"/>
          </w:tcPr>
          <w:p w14:paraId="259D654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vAlign w:val="center"/>
          </w:tcPr>
          <w:p w14:paraId="22430DF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vAlign w:val="center"/>
          </w:tcPr>
          <w:p w14:paraId="017B86E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vAlign w:val="center"/>
          </w:tcPr>
          <w:p w14:paraId="7AF36BB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vAlign w:val="center"/>
          </w:tcPr>
          <w:p w14:paraId="67791C5B">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36C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379D1D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vAlign w:val="center"/>
          </w:tcPr>
          <w:p w14:paraId="2374A5E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vAlign w:val="center"/>
          </w:tcPr>
          <w:p w14:paraId="4D0CBB8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vAlign w:val="center"/>
          </w:tcPr>
          <w:p w14:paraId="7C82D72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vAlign w:val="center"/>
          </w:tcPr>
          <w:p w14:paraId="4284B3F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vAlign w:val="center"/>
          </w:tcPr>
          <w:p w14:paraId="77F982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vAlign w:val="center"/>
          </w:tcPr>
          <w:p w14:paraId="3A16B5D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vAlign w:val="center"/>
          </w:tcPr>
          <w:p w14:paraId="144A92C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vAlign w:val="center"/>
          </w:tcPr>
          <w:p w14:paraId="0BEECE4B">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B6D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5EBA3CC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29B9C06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56173F2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54DDBD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59C1F31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00973BA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44D94DE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5F8DE8D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622A4A35">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72A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0D47F8D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1D2242C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46676FC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9380FB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46BED07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214F626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7D7F041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0CCC34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10F3E1CF">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F3A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32CBE13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528B4A3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44AA7D3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5B92760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1CC6DC9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14092B8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3ED6B28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4D8AD3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61CDCCE4">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FF6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64E447B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249FB59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1E06E6C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9CF66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748C2A0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4034B4F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4110508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29ED7C1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16BD8726">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469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2C4CAB2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144FEEF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598E1DE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3C1D903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5532666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098F176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51823ED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0CB15ED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0B909323">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FA3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7A988D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5DF2AA1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4174315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2195892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00BC9AD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5E8D81A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75B4939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2B8E6FE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1266DFC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C8B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C30D01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17AB458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20969FE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4D8188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7D4B90C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56FF5E7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1DD7F27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007CB28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4AD94725">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2A3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55CD548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412FAE3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5D3AFCD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3B01EEC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54318CF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0BF9258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7020E74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3954B28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0152DAD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5DC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2401F3F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79F7F1F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380A57E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7FDB750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2126C47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674C31E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7122F32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64D744F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317E505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D09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41BC02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07A6C7B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2447CE5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71C458F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1495E8C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560EF2A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1680CA6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65E1154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06F91790">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EE6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5FBEDF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7CE46CD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6230BE6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305AC7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0BB647C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6AEC11A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7D6F2B1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2CD63CF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31EDE7E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36D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42659F8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4FA6442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38916FE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3E7E9B5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1A19B80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67B5246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2B42710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2EF75C8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62A4B2D4">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563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742618F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7499C26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49C3EC9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7C59455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07C5C93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49C4F5D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2418B93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6386209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2B9DF244">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4BE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4305F41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5671286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4E29189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19A24DA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0288C00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533AA7C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0C4346B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0BFD185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079BF2D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63A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29890FE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0A33A14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79BE050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9D3527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0B0F0A7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5B11B81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51D05F6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41E83DA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0592A7C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005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6D6A970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2D30A76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3E922B2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88E34C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528ADC2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342CB0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3182443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6D7F153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3F5DE42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F37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4189A86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590F66C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3EE743A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491A2EB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0C7ED0F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7822525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57BDB49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23C4D3F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5103F0BC">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492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2680533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2405C26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0BFF6CD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610041C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61E7A9C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0F68621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3288452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30D0D9F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5747479A">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539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6C2F440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6C51EBC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1DCE26E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8B7330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772D557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2135238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0EA0D5C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4B35DDB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6C8714E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F0F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4BD1BCE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48492CE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3A4BA5B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320CEC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1CAA2AD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473B80C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50C86C5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33F1573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4CAAC9DE">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A92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14:paraId="1332FFB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42" w:type="pct"/>
          </w:tcPr>
          <w:p w14:paraId="2687C34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49" w:type="pct"/>
          </w:tcPr>
          <w:p w14:paraId="415C3BF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585" w:type="pct"/>
          </w:tcPr>
          <w:p w14:paraId="0A742D4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397" w:type="pct"/>
          </w:tcPr>
          <w:p w14:paraId="25FA7E8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36" w:type="pct"/>
          </w:tcPr>
          <w:p w14:paraId="15D594B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16" w:type="pct"/>
          </w:tcPr>
          <w:p w14:paraId="3DB6A10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976" w:type="pct"/>
          </w:tcPr>
          <w:p w14:paraId="224D132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406" w:type="pct"/>
          </w:tcPr>
          <w:p w14:paraId="01E508E1">
            <w:pPr>
              <w:spacing w:line="440" w:lineRule="exact"/>
              <w:jc w:val="center"/>
              <w:rPr>
                <w:rFonts w:ascii="宋体" w:hAnsi="宋体"/>
                <w:color w:val="000000" w:themeColor="text1"/>
                <w:sz w:val="24"/>
                <w:szCs w:val="21"/>
                <w:highlight w:val="none"/>
                <w14:textFill>
                  <w14:solidFill>
                    <w14:schemeClr w14:val="tx1"/>
                  </w14:solidFill>
                </w14:textFill>
              </w:rPr>
            </w:pPr>
          </w:p>
        </w:tc>
      </w:tr>
    </w:tbl>
    <w:p w14:paraId="6A6CB834">
      <w:pPr>
        <w:spacing w:line="440" w:lineRule="exact"/>
        <w:jc w:val="left"/>
        <w:rPr>
          <w:rFonts w:ascii="宋体" w:hAnsi="宋体" w:cs="宋体"/>
          <w:color w:val="000000" w:themeColor="text1"/>
          <w:sz w:val="24"/>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bookmarkStart w:id="1049" w:name="_Toc144974867"/>
      <w:bookmarkStart w:id="1050" w:name="_Toc152042588"/>
      <w:bookmarkStart w:id="1051" w:name="_Toc368430059"/>
      <w:bookmarkStart w:id="1052" w:name="_Toc152045799"/>
      <w:r>
        <w:rPr>
          <w:rFonts w:ascii="宋体" w:hAnsi="宋体" w:cs="宋体"/>
          <w:color w:val="000000" w:themeColor="text1"/>
          <w:sz w:val="24"/>
          <w:highlight w:val="none"/>
          <w14:textFill>
            <w14:solidFill>
              <w14:schemeClr w14:val="tx1"/>
            </w14:solidFill>
          </w14:textFill>
        </w:rPr>
        <w:t>附表三：劳动力计划表</w:t>
      </w:r>
      <w:bookmarkEnd w:id="1049"/>
      <w:bookmarkEnd w:id="1050"/>
      <w:bookmarkEnd w:id="1051"/>
      <w:bookmarkEnd w:id="1052"/>
    </w:p>
    <w:p w14:paraId="67E39E5F">
      <w:pPr>
        <w:spacing w:line="440" w:lineRule="exact"/>
        <w:ind w:right="680"/>
        <w:jc w:val="right"/>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ascii="宋体" w:hAnsi="宋体"/>
          <w:color w:val="000000" w:themeColor="text1"/>
          <w:sz w:val="24"/>
          <w:szCs w:val="21"/>
          <w:highlight w:val="none"/>
          <w14:textFill>
            <w14:solidFill>
              <w14:schemeClr w14:val="tx1"/>
            </w14:solidFill>
          </w14:textFill>
        </w:rPr>
        <w:t>单位：人</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542"/>
        <w:gridCol w:w="1260"/>
        <w:gridCol w:w="1260"/>
        <w:gridCol w:w="1260"/>
        <w:gridCol w:w="1260"/>
        <w:gridCol w:w="1260"/>
        <w:gridCol w:w="1259"/>
      </w:tblGrid>
      <w:tr w14:paraId="720A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14:paraId="223F898A">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工种</w:t>
            </w:r>
          </w:p>
        </w:tc>
        <w:tc>
          <w:tcPr>
            <w:tcW w:w="4514" w:type="pct"/>
            <w:gridSpan w:val="7"/>
            <w:vAlign w:val="center"/>
          </w:tcPr>
          <w:p w14:paraId="7A8C439A">
            <w:pPr>
              <w:spacing w:line="440" w:lineRule="exact"/>
              <w:jc w:val="center"/>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按工程施工阶段投入劳动力情况</w:t>
            </w:r>
          </w:p>
        </w:tc>
      </w:tr>
      <w:tr w14:paraId="3450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14:paraId="15361D1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vAlign w:val="center"/>
          </w:tcPr>
          <w:p w14:paraId="5807FB1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4537759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7BA8224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7C3930D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3912FFD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28EED32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vAlign w:val="center"/>
          </w:tcPr>
          <w:p w14:paraId="6D280B8F">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1CA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14:paraId="0A619AF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vAlign w:val="center"/>
          </w:tcPr>
          <w:p w14:paraId="5D82FBB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04FEF98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44B7F21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5FCFE0E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44F3073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vAlign w:val="center"/>
          </w:tcPr>
          <w:p w14:paraId="3A69471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vAlign w:val="center"/>
          </w:tcPr>
          <w:p w14:paraId="73D8087A">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0B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1F1363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1DBAB2D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E6C363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869488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A104DB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E833EA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C0845B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546779A3">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A05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097182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6F877D1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BD5E5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7DD76E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626A9A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4470E3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4F8FD5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7F1BD6A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46C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10E7D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23F7A52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E8753B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8A429B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CE19F4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6A9724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D9169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1E761E16">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DD3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3B9DB1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1C16D25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290AE1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373C20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AE79BA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24B1B2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65C831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561D51AF">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3F5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631715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61D5BBB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F8E723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6C02D3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593D8F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3F7864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9E6FFA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0DEA6371">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10E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3051BEB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4B0F466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40DC7C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FB5BA4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9B88E0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82DD15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0C53A9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79669FD4">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61B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43C4D4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286E337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6B8B0A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65CA88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BBA9BB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0F560D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0905D4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5D57A32B">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861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690F730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10BD172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12F23A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878166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2018CD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0842EB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A01789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257D70E9">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550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2C76D97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668166B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D4DAAE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7A263D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BDE107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12A96C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9E5FE5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675B5175">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19C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14:paraId="78A7EF3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5D90B06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2CB30E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82032E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64DED7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69A9E8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4C08DC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2A0B612F">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7FC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2D55251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367D903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A118CA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E4DCF3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A14389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4CAF19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8A3CCD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5EF5D514">
            <w:pPr>
              <w:spacing w:line="440" w:lineRule="exact"/>
              <w:jc w:val="center"/>
              <w:rPr>
                <w:rFonts w:ascii="宋体" w:hAnsi="宋体"/>
                <w:color w:val="000000" w:themeColor="text1"/>
                <w:sz w:val="24"/>
                <w:szCs w:val="21"/>
                <w:highlight w:val="none"/>
                <w14:textFill>
                  <w14:solidFill>
                    <w14:schemeClr w14:val="tx1"/>
                  </w14:solidFill>
                </w14:textFill>
              </w:rPr>
            </w:pPr>
          </w:p>
        </w:tc>
      </w:tr>
      <w:tr w14:paraId="5DB3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4461B78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73CBA0D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5E66BA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3BC3F1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7CCCD8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6F6EB5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9AF8DA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6EDADF3D">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30F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3DC3237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0234F21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439008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9D510A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DECEBE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523B65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617203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603CAEEE">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ACE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623C162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362B1F6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F616E1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7C94BD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070192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781CC0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97D00B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1B91FE1F">
            <w:pPr>
              <w:spacing w:line="440" w:lineRule="exact"/>
              <w:jc w:val="center"/>
              <w:rPr>
                <w:rFonts w:ascii="宋体" w:hAnsi="宋体"/>
                <w:color w:val="000000" w:themeColor="text1"/>
                <w:sz w:val="24"/>
                <w:szCs w:val="21"/>
                <w:highlight w:val="none"/>
                <w14:textFill>
                  <w14:solidFill>
                    <w14:schemeClr w14:val="tx1"/>
                  </w14:solidFill>
                </w14:textFill>
              </w:rPr>
            </w:pPr>
          </w:p>
        </w:tc>
      </w:tr>
      <w:tr w14:paraId="0D13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5B1F30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46C62C9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BA961D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C1C404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2DB2B0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D0E84C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108D34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3A9F51D8">
            <w:pPr>
              <w:spacing w:line="440" w:lineRule="exact"/>
              <w:jc w:val="center"/>
              <w:rPr>
                <w:rFonts w:ascii="宋体" w:hAnsi="宋体"/>
                <w:color w:val="000000" w:themeColor="text1"/>
                <w:sz w:val="24"/>
                <w:szCs w:val="21"/>
                <w:highlight w:val="none"/>
                <w14:textFill>
                  <w14:solidFill>
                    <w14:schemeClr w14:val="tx1"/>
                  </w14:solidFill>
                </w14:textFill>
              </w:rPr>
            </w:pPr>
          </w:p>
        </w:tc>
      </w:tr>
      <w:tr w14:paraId="24CA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459FBA89">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1BC3F1E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7235C5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2997AE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50BA8F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B5E9B9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2783099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69134F00">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6BA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CFC5E14">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48B1D91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9E3220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99E118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012785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F9EE8A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E50737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2F6953A6">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6C5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8E94AC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28E7481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BC5FF1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5D8C41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7E6936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3B2688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E6007A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0511CBD7">
            <w:pPr>
              <w:spacing w:line="440" w:lineRule="exact"/>
              <w:jc w:val="center"/>
              <w:rPr>
                <w:rFonts w:ascii="宋体" w:hAnsi="宋体"/>
                <w:color w:val="000000" w:themeColor="text1"/>
                <w:sz w:val="24"/>
                <w:szCs w:val="21"/>
                <w:highlight w:val="none"/>
                <w14:textFill>
                  <w14:solidFill>
                    <w14:schemeClr w14:val="tx1"/>
                  </w14:solidFill>
                </w14:textFill>
              </w:rPr>
            </w:pPr>
          </w:p>
        </w:tc>
      </w:tr>
      <w:tr w14:paraId="6698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36847AF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136D450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1FE9A8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F7A02B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6C79EC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323AA1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A40EDB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27EDBDD6">
            <w:pPr>
              <w:spacing w:line="440" w:lineRule="exact"/>
              <w:jc w:val="center"/>
              <w:rPr>
                <w:rFonts w:ascii="宋体" w:hAnsi="宋体"/>
                <w:color w:val="000000" w:themeColor="text1"/>
                <w:sz w:val="24"/>
                <w:szCs w:val="21"/>
                <w:highlight w:val="none"/>
                <w14:textFill>
                  <w14:solidFill>
                    <w14:schemeClr w14:val="tx1"/>
                  </w14:solidFill>
                </w14:textFill>
              </w:rPr>
            </w:pPr>
          </w:p>
        </w:tc>
      </w:tr>
      <w:tr w14:paraId="49EF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3AECAA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63A126A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853F70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837DF9F">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28A8CB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844F390">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840C62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37FEEDA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1C3D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9542F2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2DA27DB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DBD509C">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2CA51E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6B5E87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BA3B7FB">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2D5EC1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13CF8C12">
            <w:pPr>
              <w:spacing w:line="440" w:lineRule="exact"/>
              <w:jc w:val="center"/>
              <w:rPr>
                <w:rFonts w:ascii="宋体" w:hAnsi="宋体"/>
                <w:color w:val="000000" w:themeColor="text1"/>
                <w:sz w:val="24"/>
                <w:szCs w:val="21"/>
                <w:highlight w:val="none"/>
                <w14:textFill>
                  <w14:solidFill>
                    <w14:schemeClr w14:val="tx1"/>
                  </w14:solidFill>
                </w14:textFill>
              </w:rPr>
            </w:pPr>
          </w:p>
        </w:tc>
      </w:tr>
      <w:tr w14:paraId="3CF9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7D7C591">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2BC3435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CFB173A">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7B6F5DE">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510331C5">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0299308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9E77C5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5099F285">
            <w:pPr>
              <w:spacing w:line="440" w:lineRule="exact"/>
              <w:jc w:val="center"/>
              <w:rPr>
                <w:rFonts w:ascii="宋体" w:hAnsi="宋体"/>
                <w:color w:val="000000" w:themeColor="text1"/>
                <w:sz w:val="24"/>
                <w:szCs w:val="21"/>
                <w:highlight w:val="none"/>
                <w14:textFill>
                  <w14:solidFill>
                    <w14:schemeClr w14:val="tx1"/>
                  </w14:solidFill>
                </w14:textFill>
              </w:rPr>
            </w:pPr>
          </w:p>
        </w:tc>
      </w:tr>
      <w:tr w14:paraId="7B8F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1402532">
            <w:pPr>
              <w:spacing w:line="440" w:lineRule="exact"/>
              <w:jc w:val="center"/>
              <w:rPr>
                <w:rFonts w:ascii="宋体" w:hAnsi="宋体"/>
                <w:color w:val="000000" w:themeColor="text1"/>
                <w:sz w:val="24"/>
                <w:szCs w:val="21"/>
                <w:highlight w:val="none"/>
                <w14:textFill>
                  <w14:solidFill>
                    <w14:schemeClr w14:val="tx1"/>
                  </w14:solidFill>
                </w14:textFill>
              </w:rPr>
            </w:pPr>
          </w:p>
        </w:tc>
        <w:tc>
          <w:tcPr>
            <w:tcW w:w="765" w:type="pct"/>
          </w:tcPr>
          <w:p w14:paraId="24DFCD93">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38DE5526">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447556F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64970CFD">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11DA2107">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5" w:type="pct"/>
          </w:tcPr>
          <w:p w14:paraId="7831B838">
            <w:pPr>
              <w:spacing w:line="440" w:lineRule="exact"/>
              <w:jc w:val="center"/>
              <w:rPr>
                <w:rFonts w:ascii="宋体" w:hAnsi="宋体"/>
                <w:color w:val="000000" w:themeColor="text1"/>
                <w:sz w:val="24"/>
                <w:szCs w:val="21"/>
                <w:highlight w:val="none"/>
                <w14:textFill>
                  <w14:solidFill>
                    <w14:schemeClr w14:val="tx1"/>
                  </w14:solidFill>
                </w14:textFill>
              </w:rPr>
            </w:pPr>
          </w:p>
        </w:tc>
        <w:tc>
          <w:tcPr>
            <w:tcW w:w="624" w:type="pct"/>
          </w:tcPr>
          <w:p w14:paraId="267542C4">
            <w:pPr>
              <w:spacing w:line="440" w:lineRule="exact"/>
              <w:jc w:val="center"/>
              <w:rPr>
                <w:rFonts w:ascii="宋体" w:hAnsi="宋体"/>
                <w:color w:val="000000" w:themeColor="text1"/>
                <w:sz w:val="24"/>
                <w:szCs w:val="21"/>
                <w:highlight w:val="none"/>
                <w14:textFill>
                  <w14:solidFill>
                    <w14:schemeClr w14:val="tx1"/>
                  </w14:solidFill>
                </w14:textFill>
              </w:rPr>
            </w:pPr>
          </w:p>
        </w:tc>
      </w:tr>
    </w:tbl>
    <w:p w14:paraId="3EE28776">
      <w:pPr>
        <w:spacing w:line="440" w:lineRule="exact"/>
        <w:jc w:val="left"/>
        <w:rPr>
          <w:rFonts w:ascii="宋体" w:hAnsi="宋体"/>
          <w:color w:val="000000" w:themeColor="text1"/>
          <w:sz w:val="20"/>
          <w:highlight w:val="none"/>
          <w14:textFill>
            <w14:solidFill>
              <w14:schemeClr w14:val="tx1"/>
            </w14:solidFill>
          </w14:textFill>
        </w:rPr>
      </w:pPr>
    </w:p>
    <w:p w14:paraId="13739F19">
      <w:pPr>
        <w:spacing w:line="440" w:lineRule="exact"/>
        <w:jc w:val="left"/>
        <w:rPr>
          <w:rFonts w:ascii="宋体" w:hAnsi="宋体"/>
          <w:color w:val="000000" w:themeColor="text1"/>
          <w:sz w:val="20"/>
          <w:highlight w:val="none"/>
          <w14:textFill>
            <w14:solidFill>
              <w14:schemeClr w14:val="tx1"/>
            </w14:solidFill>
          </w14:textFill>
        </w:rPr>
      </w:pPr>
    </w:p>
    <w:p w14:paraId="55AB44C4">
      <w:pPr>
        <w:topLinePunct/>
        <w:spacing w:line="440" w:lineRule="exact"/>
        <w:jc w:val="center"/>
        <w:rPr>
          <w:rFonts w:ascii="宋体" w:hAnsi="宋体"/>
          <w:color w:val="000000" w:themeColor="text1"/>
          <w:sz w:val="24"/>
          <w:highlight w:val="none"/>
          <w14:textFill>
            <w14:solidFill>
              <w14:schemeClr w14:val="tx1"/>
            </w14:solidFill>
          </w14:textFill>
        </w:rPr>
      </w:pPr>
    </w:p>
    <w:p w14:paraId="267A065F">
      <w:pPr>
        <w:keepNext/>
        <w:keepLines/>
        <w:spacing w:line="400" w:lineRule="exact"/>
        <w:rPr>
          <w:rFonts w:ascii="宋体" w:hAnsi="宋体" w:cs="宋体"/>
          <w:color w:val="000000" w:themeColor="text1"/>
          <w:sz w:val="24"/>
          <w:highlight w:val="none"/>
          <w14:textFill>
            <w14:solidFill>
              <w14:schemeClr w14:val="tx1"/>
            </w14:solidFill>
          </w14:textFill>
        </w:rPr>
      </w:pPr>
      <w:bookmarkStart w:id="1053" w:name="_Toc152045800"/>
      <w:bookmarkStart w:id="1054" w:name="_Toc144974868"/>
      <w:bookmarkStart w:id="1055" w:name="_Toc152042589"/>
      <w:bookmarkStart w:id="1056" w:name="_Toc368430060"/>
      <w:r>
        <w:rPr>
          <w:rFonts w:ascii="宋体" w:hAnsi="宋体" w:cs="宋体"/>
          <w:color w:val="000000" w:themeColor="text1"/>
          <w:sz w:val="24"/>
          <w:highlight w:val="none"/>
          <w14:textFill>
            <w14:solidFill>
              <w14:schemeClr w14:val="tx1"/>
            </w14:solidFill>
          </w14:textFill>
        </w:rPr>
        <w:t>附表四：计划开、</w:t>
      </w:r>
      <w:r>
        <w:rPr>
          <w:rFonts w:hint="eastAsia" w:ascii="宋体" w:hAnsi="宋体" w:cs="宋体"/>
          <w:color w:val="000000" w:themeColor="text1"/>
          <w:sz w:val="24"/>
          <w:highlight w:val="none"/>
          <w14:textFill>
            <w14:solidFill>
              <w14:schemeClr w14:val="tx1"/>
            </w14:solidFill>
          </w14:textFill>
        </w:rPr>
        <w:t>竣工</w:t>
      </w:r>
      <w:r>
        <w:rPr>
          <w:rFonts w:ascii="宋体" w:hAnsi="宋体" w:cs="宋体"/>
          <w:color w:val="000000" w:themeColor="text1"/>
          <w:sz w:val="24"/>
          <w:highlight w:val="none"/>
          <w14:textFill>
            <w14:solidFill>
              <w14:schemeClr w14:val="tx1"/>
            </w14:solidFill>
          </w14:textFill>
        </w:rPr>
        <w:t>日期和施工进度图</w:t>
      </w:r>
      <w:bookmarkEnd w:id="1053"/>
      <w:bookmarkEnd w:id="1054"/>
      <w:bookmarkEnd w:id="1055"/>
      <w:bookmarkEnd w:id="1056"/>
    </w:p>
    <w:p w14:paraId="325324F5">
      <w:pPr>
        <w:spacing w:line="440" w:lineRule="exact"/>
        <w:jc w:val="left"/>
        <w:rPr>
          <w:rFonts w:ascii="宋体" w:hAnsi="宋体"/>
          <w:color w:val="000000" w:themeColor="text1"/>
          <w:sz w:val="20"/>
          <w:highlight w:val="none"/>
          <w14:textFill>
            <w14:solidFill>
              <w14:schemeClr w14:val="tx1"/>
            </w14:solidFill>
          </w14:textFill>
        </w:rPr>
      </w:pPr>
    </w:p>
    <w:p w14:paraId="3ABD988E">
      <w:pPr>
        <w:spacing w:line="440" w:lineRule="exact"/>
        <w:ind w:firstLine="480" w:firstLineChars="20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 xml:space="preserve">1. </w:t>
      </w:r>
      <w:r>
        <w:rPr>
          <w:rFonts w:hint="eastAsia" w:ascii="宋体" w:hAnsi="宋体"/>
          <w:color w:val="000000" w:themeColor="text1"/>
          <w:sz w:val="24"/>
          <w:szCs w:val="21"/>
          <w:highlight w:val="none"/>
          <w14:textFill>
            <w14:solidFill>
              <w14:schemeClr w14:val="tx1"/>
            </w14:solidFill>
          </w14:textFill>
        </w:rPr>
        <w:t>供应商</w:t>
      </w:r>
      <w:r>
        <w:rPr>
          <w:rFonts w:ascii="宋体" w:hAnsi="宋体"/>
          <w:color w:val="000000" w:themeColor="text1"/>
          <w:sz w:val="24"/>
          <w:szCs w:val="21"/>
          <w:highlight w:val="none"/>
          <w14:textFill>
            <w14:solidFill>
              <w14:schemeClr w14:val="tx1"/>
            </w14:solidFill>
          </w14:textFill>
        </w:rPr>
        <w:t>应递交施工进度图或施工进度表，说明按谈判文件要求的计划工期进行施工的各个关键日期。</w:t>
      </w:r>
    </w:p>
    <w:p w14:paraId="1692595A">
      <w:pPr>
        <w:spacing w:line="440" w:lineRule="exact"/>
        <w:jc w:val="left"/>
        <w:rPr>
          <w:rFonts w:ascii="宋体" w:hAnsi="宋体"/>
          <w:color w:val="000000" w:themeColor="text1"/>
          <w:sz w:val="20"/>
          <w:highlight w:val="none"/>
          <w14:textFill>
            <w14:solidFill>
              <w14:schemeClr w14:val="tx1"/>
            </w14:solidFill>
          </w14:textFill>
        </w:rPr>
      </w:pPr>
    </w:p>
    <w:p w14:paraId="077A9C67">
      <w:pPr>
        <w:keepNext/>
        <w:keepLine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05CED292">
      <w:pPr>
        <w:spacing w:line="440" w:lineRule="exact"/>
        <w:ind w:firstLine="480" w:firstLineChars="200"/>
        <w:jc w:val="left"/>
        <w:rPr>
          <w:rFonts w:ascii="宋体" w:hAnsi="宋体"/>
          <w:color w:val="000000" w:themeColor="text1"/>
          <w:sz w:val="24"/>
          <w:szCs w:val="21"/>
          <w:highlight w:val="none"/>
          <w14:textFill>
            <w14:solidFill>
              <w14:schemeClr w14:val="tx1"/>
            </w14:solidFill>
          </w14:textFill>
        </w:rPr>
      </w:pPr>
      <w:r>
        <w:rPr>
          <w:rFonts w:ascii="宋体" w:hAnsi="宋体"/>
          <w:color w:val="000000" w:themeColor="text1"/>
          <w:sz w:val="24"/>
          <w:szCs w:val="21"/>
          <w:highlight w:val="none"/>
          <w14:textFill>
            <w14:solidFill>
              <w14:schemeClr w14:val="tx1"/>
            </w14:solidFill>
          </w14:textFill>
        </w:rPr>
        <w:t xml:space="preserve">1. </w:t>
      </w:r>
      <w:r>
        <w:rPr>
          <w:rFonts w:hint="eastAsia" w:ascii="宋体" w:hAnsi="宋体"/>
          <w:color w:val="000000" w:themeColor="text1"/>
          <w:sz w:val="24"/>
          <w:szCs w:val="21"/>
          <w:highlight w:val="none"/>
          <w14:textFill>
            <w14:solidFill>
              <w14:schemeClr w14:val="tx1"/>
            </w14:solidFill>
          </w14:textFill>
        </w:rPr>
        <w:t>供应商应提交一份施工总平面图，绘出现场临时设施布置图表并附文字说明，说明临时设施、加工车间、现场办公、设备及仓储、供电、供水、卫生、生活、道路、消防等设施的情况和布置。</w:t>
      </w:r>
    </w:p>
    <w:p w14:paraId="6A70D286">
      <w:pPr>
        <w:spacing w:line="440" w:lineRule="exact"/>
        <w:jc w:val="left"/>
        <w:rPr>
          <w:rFonts w:ascii="宋体" w:hAnsi="宋体"/>
          <w:color w:val="000000" w:themeColor="text1"/>
          <w:sz w:val="20"/>
          <w:highlight w:val="none"/>
          <w14:textFill>
            <w14:solidFill>
              <w14:schemeClr w14:val="tx1"/>
            </w14:solidFill>
          </w14:textFill>
        </w:rPr>
      </w:pPr>
    </w:p>
    <w:bookmarkEnd w:id="1031"/>
    <w:bookmarkEnd w:id="1032"/>
    <w:p w14:paraId="05495452">
      <w:pPr>
        <w:widowControl/>
        <w:jc w:val="left"/>
        <w:rPr>
          <w:rFonts w:ascii="宋体" w:hAnsi="宋体"/>
          <w:b/>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br w:type="page"/>
      </w:r>
    </w:p>
    <w:p w14:paraId="3C409A7C">
      <w:pPr>
        <w:ind w:right="84" w:rightChars="40"/>
        <w:jc w:val="center"/>
        <w:outlineLvl w:val="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第七部分  工程量清单</w:t>
      </w:r>
    </w:p>
    <w:p w14:paraId="1573592C">
      <w:pPr>
        <w:spacing w:line="360" w:lineRule="auto"/>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一、编制依据</w:t>
      </w:r>
    </w:p>
    <w:p w14:paraId="0530A376">
      <w:pPr>
        <w:spacing w:line="360" w:lineRule="auto"/>
        <w:ind w:firstLine="420" w:firstLineChars="200"/>
        <w:rPr>
          <w:highlight w:val="none"/>
        </w:rPr>
      </w:pPr>
      <w:r>
        <w:rPr>
          <w:rFonts w:hint="eastAsia"/>
          <w:highlight w:val="none"/>
        </w:rPr>
        <w:t>本工程量清单是依据中华人民共和国国家标准《建设工程工程量清单计价规范》及其上海市建设工程工程量计价应用规则（两者以下简称“计价规范”）和谈判文件中包括的图纸等编制。</w:t>
      </w:r>
    </w:p>
    <w:p w14:paraId="35FB9B5E">
      <w:pPr>
        <w:spacing w:line="360" w:lineRule="auto"/>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二、工程承包方式与响应文件报价</w:t>
      </w:r>
    </w:p>
    <w:p w14:paraId="10843327">
      <w:pPr>
        <w:spacing w:line="360" w:lineRule="auto"/>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1、供应商应认真参加现场踏勘活动，了解施工现场的一切情况。对谈判文件（含施工图纸，如有）中任何文字或数字有疑问时，供应商必须在前附表规定的时间前书面提出。</w:t>
      </w:r>
    </w:p>
    <w:p w14:paraId="3AAB1604">
      <w:pPr>
        <w:spacing w:line="360" w:lineRule="auto"/>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2、供应商应根据谈判文件（包括施工图纸、技术规范等），结合各自深化设计施工经验，并根据谈判文件提供的工程量清单进行报价。</w:t>
      </w:r>
    </w:p>
    <w:p w14:paraId="50786FCB">
      <w:pPr>
        <w:spacing w:line="360" w:lineRule="auto"/>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报价原则</w:t>
      </w:r>
    </w:p>
    <w:p w14:paraId="37659E81">
      <w:pPr>
        <w:spacing w:line="360" w:lineRule="auto"/>
        <w:ind w:right="32"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供应商在报价时应与供应商须知及清单等文件结合起来理解或解释。</w:t>
      </w:r>
    </w:p>
    <w:p w14:paraId="507E99F2">
      <w:pPr>
        <w:spacing w:line="360" w:lineRule="auto"/>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除非合同另有规定，供应商所列工程量清单所报的单价及总价均已包括了实施和完成合同工程所需的劳务、材料、机械、质检（自检）、安装、缺陷修复、管理、利润、增值税等费用，以及合同所示的所有责任、义务和一般风险。</w:t>
      </w:r>
    </w:p>
    <w:p w14:paraId="23E4C603">
      <w:pPr>
        <w:spacing w:line="360" w:lineRule="auto"/>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 工程量清单中的每一个细目，不论数量是否标出，都须填入综合单价及总价。提交响应文件时虽没有开列的细目但工程应包含的项目，其费用应视为已分配在工程量清单的其他单价或总价之中，承包人必须按采购方指令完成工程量清单中未填入单价或总价的工程项目，但不能得到结算与支付。</w:t>
      </w:r>
    </w:p>
    <w:p w14:paraId="1A8D268D">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4、 符合合同条件规定的全部费用应认为已被计入有标价的工程量清单所列各细目之中，未列细目未予计量的工作，其费用应视为已分摊在本合同工程的有关细目的单价或总价之中。</w:t>
      </w:r>
    </w:p>
    <w:p w14:paraId="340CB14F">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5、 对于符合要求的响应文件，在签订合同协议前，如发现报价中有计算和汇总方面的算术差错，按谈判文件中有关规定修正。</w:t>
      </w:r>
    </w:p>
    <w:p w14:paraId="65FB057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6、承包人用于本合同工程的各类装备的提供、运输、拆卸、拼装等支付的费用，已包括在工程量清单的单价与支付总价之中。</w:t>
      </w:r>
    </w:p>
    <w:p w14:paraId="6A0E1B18">
      <w:pPr>
        <w:spacing w:line="360" w:lineRule="auto"/>
        <w:ind w:firstLine="480"/>
        <w:rPr>
          <w:rFonts w:ascii="宋体" w:hAnsi="宋体" w:cs="宋体"/>
          <w:color w:val="000000" w:themeColor="text1"/>
          <w:szCs w:val="24"/>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hint="eastAsia" w:ascii="宋体" w:hAnsi="宋体" w:cs="宋体"/>
          <w:color w:val="000000" w:themeColor="text1"/>
          <w:szCs w:val="24"/>
          <w:highlight w:val="none"/>
          <w:lang w:val="zh-CN"/>
          <w14:textFill>
            <w14:solidFill>
              <w14:schemeClr w14:val="tx1"/>
            </w14:solidFill>
          </w14:textFill>
        </w:rPr>
        <w:t>本工程措施项目费不按综合单价报价，供应商须视工程具体情况计算费用并列入措施项目清单中。措施项目费合理与否不仅作为评审依据，一旦成交承包商将包干使用，采购方将不会因供应商报价不准而允许调整，各供应商应充分估计风险因素。</w:t>
      </w:r>
    </w:p>
    <w:p w14:paraId="3A3258A3">
      <w:pPr>
        <w:spacing w:line="360" w:lineRule="auto"/>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8、供应商应提供完整的响应文件报价书，若提供不完整，无法说明价格来源，作为不响应。</w:t>
      </w:r>
    </w:p>
    <w:p w14:paraId="1AE10BFE">
      <w:pPr>
        <w:widowControl/>
        <w:jc w:val="left"/>
        <w:rPr>
          <w:rFonts w:ascii="宋体" w:hAnsi="宋体" w:cstheme="minorBidi"/>
          <w:kern w:val="0"/>
          <w:sz w:val="20"/>
          <w:highlight w:val="none"/>
        </w:rPr>
        <w:sectPr>
          <w:headerReference r:id="rId12" w:type="default"/>
          <w:pgSz w:w="11907" w:h="16840"/>
          <w:pgMar w:top="1247" w:right="1021" w:bottom="1247" w:left="1021" w:header="510" w:footer="397" w:gutter="0"/>
          <w:cols w:space="425" w:num="1"/>
          <w:docGrid w:linePitch="312" w:charSpace="0"/>
        </w:sectPr>
      </w:pPr>
    </w:p>
    <w:p w14:paraId="22E3BADC">
      <w:pPr>
        <w:widowControl/>
        <w:jc w:val="left"/>
        <w:rPr>
          <w:rFonts w:ascii="宋体" w:hAnsi="宋体" w:cstheme="minorBidi"/>
          <w:kern w:val="0"/>
          <w:sz w:val="20"/>
          <w:highlight w:val="none"/>
        </w:rPr>
      </w:pPr>
    </w:p>
    <w:p w14:paraId="341FA29C">
      <w:pPr>
        <w:widowControl/>
        <w:jc w:val="left"/>
        <w:rPr>
          <w:rFonts w:ascii="宋体" w:hAnsi="宋体" w:cstheme="minorBidi"/>
          <w:kern w:val="0"/>
          <w:sz w:val="20"/>
          <w:highlight w:val="none"/>
        </w:rPr>
        <w:sectPr>
          <w:pgSz w:w="16840" w:h="11907" w:orient="landscape"/>
          <w:pgMar w:top="1021" w:right="1247" w:bottom="454" w:left="1276" w:header="510" w:footer="397" w:gutter="0"/>
          <w:cols w:space="425" w:num="1"/>
          <w:docGrid w:linePitch="312" w:charSpace="0"/>
        </w:sectPr>
      </w:pPr>
    </w:p>
    <w:p w14:paraId="51A8C846">
      <w:pPr>
        <w:ind w:right="84" w:rightChars="40"/>
        <w:jc w:val="center"/>
        <w:outlineLvl w:val="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第八部分  图纸</w:t>
      </w:r>
    </w:p>
    <w:p w14:paraId="60D951A1">
      <w:pPr>
        <w:widowControl/>
        <w:jc w:val="left"/>
        <w:rPr>
          <w:rFonts w:ascii="宋体" w:hAnsi="宋体" w:cstheme="minorBidi"/>
          <w:kern w:val="0"/>
          <w:sz w:val="20"/>
          <w:highlight w:val="none"/>
        </w:rPr>
      </w:pPr>
      <w:r>
        <w:rPr>
          <w:rFonts w:hint="eastAsia" w:ascii="宋体" w:hAnsi="宋体" w:cstheme="minorBidi"/>
          <w:kern w:val="0"/>
          <w:sz w:val="20"/>
          <w:highlight w:val="none"/>
        </w:rPr>
        <w:t>另附</w:t>
      </w:r>
    </w:p>
    <w:sectPr>
      <w:pgSz w:w="11907" w:h="16840"/>
      <w:pgMar w:top="1247" w:right="454" w:bottom="1276" w:left="1021" w:header="510" w:footer="39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ˎ̥">
    <w:altName w:val="宋体"/>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emb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imes-Roman">
    <w:altName w:val="Times New Roman"/>
    <w:panose1 w:val="00000000000000000000"/>
    <w:charset w:val="00"/>
    <w:family w:val="auto"/>
    <w:pitch w:val="default"/>
    <w:sig w:usb0="00000000" w:usb1="00000000" w:usb2="00000000" w:usb3="00000000" w:csb0="00000001" w:csb1="00000000"/>
  </w:font>
  <w:font w:name="StarSymbol">
    <w:altName w:val="Yu Gothic"/>
    <w:panose1 w:val="00000000000000000000"/>
    <w:charset w:val="80"/>
    <w:family w:val="auto"/>
    <w:pitch w:val="default"/>
    <w:sig w:usb0="00000000" w:usb1="00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DINEngschrif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宋体">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ingLiU">
    <w:altName w:val="PMingLiU-ExtB"/>
    <w:panose1 w:val="02010609000101010101"/>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宋体"/>
    <w:panose1 w:val="00000000000000000000"/>
    <w:charset w:val="86"/>
    <w:family w:val="roman"/>
    <w:pitch w:val="default"/>
    <w:sig w:usb0="00000000" w:usb1="00000000" w:usb2="00000000" w:usb3="00000000" w:csb0="00040001" w:csb1="00000000"/>
  </w:font>
  <w:font w:name="Palatino">
    <w:altName w:val="Palatino Linotype"/>
    <w:panose1 w:val="02040602050305020304"/>
    <w:charset w:val="00"/>
    <w:family w:val="roman"/>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uturaA Bk BT">
    <w:altName w:val="Lucida Sans Unicode"/>
    <w:panose1 w:val="00000000000000000000"/>
    <w:charset w:val="00"/>
    <w:family w:val="swiss"/>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BCBB">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055A">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31DE">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C7C3">
    <w:pPr>
      <w:pStyle w:val="45"/>
      <w:adjustRightInd w:val="0"/>
      <w:snapToGrid w:val="0"/>
      <w:spacing w:before="0" w:beforeAutospacing="0" w:after="0" w:afterAutospacing="0" w:line="360" w:lineRule="auto"/>
      <w:jc w:val="center"/>
    </w:pPr>
    <w:r>
      <w:rPr>
        <w:sz w:val="18"/>
        <w:szCs w:val="18"/>
      </w:rPr>
      <w:fldChar w:fldCharType="begin"/>
    </w:r>
    <w:r>
      <w:rPr>
        <w:rStyle w:val="101"/>
        <w:sz w:val="18"/>
        <w:szCs w:val="18"/>
      </w:rPr>
      <w:instrText xml:space="preserve"> PAGE </w:instrText>
    </w:r>
    <w:r>
      <w:rPr>
        <w:sz w:val="18"/>
        <w:szCs w:val="18"/>
      </w:rPr>
      <w:fldChar w:fldCharType="separate"/>
    </w:r>
    <w:r>
      <w:rPr>
        <w:rStyle w:val="101"/>
        <w:sz w:val="18"/>
        <w:szCs w:val="18"/>
      </w:rPr>
      <w:t>166</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C418B">
    <w:pPr>
      <w:jc w:val="center"/>
    </w:pPr>
    <w:r>
      <w:rPr>
        <w:rFonts w:hint="eastAsia"/>
      </w:rPr>
      <w:fldChar w:fldCharType="begin"/>
    </w:r>
    <w:r>
      <w:rPr>
        <w:rFonts w:hint="eastAsia"/>
      </w:rPr>
      <w:instrText xml:space="preserve"> PAGE  \* MERGEFORMAT </w:instrText>
    </w:r>
    <w:r>
      <w:rPr>
        <w:rFonts w:hint="eastAsia"/>
      </w:rPr>
      <w:fldChar w:fldCharType="separate"/>
    </w:r>
    <w:r>
      <w:t>123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49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5624">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9625">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6F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47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610"/>
      <w:lvlText w:val="%1."/>
      <w:lvlJc w:val="left"/>
      <w:pPr>
        <w:tabs>
          <w:tab w:val="left" w:pos="1620"/>
        </w:tabs>
        <w:ind w:left="1620" w:hanging="360"/>
      </w:pPr>
    </w:lvl>
  </w:abstractNum>
  <w:abstractNum w:abstractNumId="1">
    <w:nsid w:val="FFFFFF80"/>
    <w:multiLevelType w:val="singleLevel"/>
    <w:tmpl w:val="FFFFFF80"/>
    <w:lvl w:ilvl="0" w:tentative="0">
      <w:start w:val="1"/>
      <w:numFmt w:val="bullet"/>
      <w:pStyle w:val="261"/>
      <w:lvlText w:val=""/>
      <w:lvlJc w:val="left"/>
      <w:pPr>
        <w:tabs>
          <w:tab w:val="left" w:pos="2040"/>
        </w:tabs>
        <w:ind w:left="2040" w:hanging="360"/>
      </w:pPr>
      <w:rPr>
        <w:rFonts w:hint="default" w:ascii="Wingdings" w:hAnsi="Wingdings"/>
      </w:rPr>
    </w:lvl>
  </w:abstractNum>
  <w:abstractNum w:abstractNumId="2">
    <w:nsid w:val="FFFFFF82"/>
    <w:multiLevelType w:val="singleLevel"/>
    <w:tmpl w:val="FFFFFF82"/>
    <w:lvl w:ilvl="0" w:tentative="0">
      <w:start w:val="1"/>
      <w:numFmt w:val="bullet"/>
      <w:pStyle w:val="661"/>
      <w:lvlText w:val=""/>
      <w:lvlJc w:val="left"/>
      <w:pPr>
        <w:tabs>
          <w:tab w:val="left" w:pos="1200"/>
        </w:tabs>
        <w:ind w:left="1200" w:hanging="360"/>
      </w:pPr>
      <w:rPr>
        <w:rFonts w:hint="default" w:ascii="Wingdings" w:hAnsi="Wingdings"/>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20B188F"/>
    <w:multiLevelType w:val="multilevel"/>
    <w:tmpl w:val="020B188F"/>
    <w:lvl w:ilvl="0" w:tentative="0">
      <w:start w:val="1"/>
      <w:numFmt w:val="decimal"/>
      <w:pStyle w:val="62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4818AE"/>
    <w:multiLevelType w:val="multilevel"/>
    <w:tmpl w:val="074818AE"/>
    <w:lvl w:ilvl="0" w:tentative="0">
      <w:start w:val="1"/>
      <w:numFmt w:val="bullet"/>
      <w:lvlText w:val=""/>
      <w:lvlJc w:val="left"/>
      <w:pPr>
        <w:tabs>
          <w:tab w:val="left" w:pos="-119"/>
        </w:tabs>
        <w:ind w:left="-119" w:hanging="420"/>
      </w:pPr>
      <w:rPr>
        <w:rFonts w:hint="default" w:ascii="Wingdings" w:hAnsi="Wingdings"/>
      </w:rPr>
    </w:lvl>
    <w:lvl w:ilvl="1" w:tentative="0">
      <w:start w:val="1"/>
      <w:numFmt w:val="decimal"/>
      <w:lvlText w:val="%2."/>
      <w:lvlJc w:val="left"/>
      <w:pPr>
        <w:tabs>
          <w:tab w:val="left" w:pos="301"/>
        </w:tabs>
        <w:ind w:left="301" w:hanging="420"/>
      </w:pPr>
      <w:rPr>
        <w:rFonts w:hint="default"/>
      </w:rPr>
    </w:lvl>
    <w:lvl w:ilvl="2" w:tentative="0">
      <w:start w:val="1"/>
      <w:numFmt w:val="bullet"/>
      <w:lvlText w:val=""/>
      <w:lvlJc w:val="left"/>
      <w:pPr>
        <w:tabs>
          <w:tab w:val="left" w:pos="721"/>
        </w:tabs>
        <w:ind w:left="721" w:hanging="420"/>
      </w:pPr>
      <w:rPr>
        <w:rFonts w:hint="default" w:ascii="Wingdings" w:hAnsi="Wingdings"/>
      </w:rPr>
    </w:lvl>
    <w:lvl w:ilvl="3" w:tentative="0">
      <w:start w:val="1"/>
      <w:numFmt w:val="bullet"/>
      <w:lvlText w:val=""/>
      <w:lvlJc w:val="left"/>
      <w:pPr>
        <w:tabs>
          <w:tab w:val="left" w:pos="1141"/>
        </w:tabs>
        <w:ind w:left="1141" w:hanging="420"/>
      </w:pPr>
      <w:rPr>
        <w:rFonts w:hint="default" w:ascii="Wingdings" w:hAnsi="Wingdings"/>
      </w:rPr>
    </w:lvl>
    <w:lvl w:ilvl="4" w:tentative="0">
      <w:start w:val="1"/>
      <w:numFmt w:val="bullet"/>
      <w:lvlText w:val=""/>
      <w:lvlJc w:val="left"/>
      <w:pPr>
        <w:tabs>
          <w:tab w:val="left" w:pos="1561"/>
        </w:tabs>
        <w:ind w:left="1561" w:hanging="420"/>
      </w:pPr>
      <w:rPr>
        <w:rFonts w:hint="default" w:ascii="Wingdings" w:hAnsi="Wingdings"/>
      </w:rPr>
    </w:lvl>
    <w:lvl w:ilvl="5" w:tentative="0">
      <w:start w:val="1"/>
      <w:numFmt w:val="bullet"/>
      <w:lvlText w:val=""/>
      <w:lvlJc w:val="left"/>
      <w:pPr>
        <w:tabs>
          <w:tab w:val="left" w:pos="1981"/>
        </w:tabs>
        <w:ind w:left="1981" w:hanging="420"/>
      </w:pPr>
      <w:rPr>
        <w:rFonts w:hint="default" w:ascii="Wingdings" w:hAnsi="Wingdings"/>
      </w:rPr>
    </w:lvl>
    <w:lvl w:ilvl="6" w:tentative="0">
      <w:start w:val="1"/>
      <w:numFmt w:val="bullet"/>
      <w:lvlText w:val=""/>
      <w:lvlJc w:val="left"/>
      <w:pPr>
        <w:tabs>
          <w:tab w:val="left" w:pos="2401"/>
        </w:tabs>
        <w:ind w:left="2401" w:hanging="420"/>
      </w:pPr>
      <w:rPr>
        <w:rFonts w:hint="default" w:ascii="Wingdings" w:hAnsi="Wingdings"/>
      </w:rPr>
    </w:lvl>
    <w:lvl w:ilvl="7" w:tentative="0">
      <w:start w:val="1"/>
      <w:numFmt w:val="bullet"/>
      <w:lvlText w:val=""/>
      <w:lvlJc w:val="left"/>
      <w:pPr>
        <w:tabs>
          <w:tab w:val="left" w:pos="2821"/>
        </w:tabs>
        <w:ind w:left="2821" w:hanging="420"/>
      </w:pPr>
      <w:rPr>
        <w:rFonts w:hint="default" w:ascii="Wingdings" w:hAnsi="Wingdings"/>
      </w:rPr>
    </w:lvl>
    <w:lvl w:ilvl="8" w:tentative="0">
      <w:start w:val="1"/>
      <w:numFmt w:val="bullet"/>
      <w:lvlText w:val=""/>
      <w:lvlJc w:val="left"/>
      <w:pPr>
        <w:tabs>
          <w:tab w:val="left" w:pos="3241"/>
        </w:tabs>
        <w:ind w:left="3241" w:hanging="420"/>
      </w:pPr>
      <w:rPr>
        <w:rFonts w:hint="default" w:ascii="Wingdings" w:hAnsi="Wingdings"/>
      </w:rPr>
    </w:lvl>
  </w:abstractNum>
  <w:abstractNum w:abstractNumId="6">
    <w:nsid w:val="1FCB794F"/>
    <w:multiLevelType w:val="multilevel"/>
    <w:tmpl w:val="1FCB794F"/>
    <w:lvl w:ilvl="0" w:tentative="0">
      <w:start w:val="1"/>
      <w:numFmt w:val="lowerRoman"/>
      <w:pStyle w:val="391"/>
      <w:lvlText w:val="（%1）"/>
      <w:lvlJc w:val="left"/>
      <w:pPr>
        <w:tabs>
          <w:tab w:val="left" w:pos="2778"/>
        </w:tabs>
        <w:ind w:left="2778" w:hanging="1098"/>
      </w:pPr>
      <w:rPr>
        <w:rFonts w:hint="default"/>
      </w:rPr>
    </w:lvl>
    <w:lvl w:ilvl="1" w:tentative="0">
      <w:start w:val="2"/>
      <w:numFmt w:val="decimal"/>
      <w:lvlText w:val="（%2）"/>
      <w:lvlJc w:val="left"/>
      <w:pPr>
        <w:tabs>
          <w:tab w:val="left" w:pos="2820"/>
        </w:tabs>
        <w:ind w:left="2820" w:hanging="720"/>
      </w:pPr>
      <w:rPr>
        <w:rFonts w:hint="eastAsia"/>
      </w:rPr>
    </w:lvl>
    <w:lvl w:ilvl="2" w:tentative="0">
      <w:start w:val="1"/>
      <w:numFmt w:val="decimal"/>
      <w:lvlText w:val="%3、"/>
      <w:lvlJc w:val="left"/>
      <w:pPr>
        <w:tabs>
          <w:tab w:val="left" w:pos="2880"/>
        </w:tabs>
        <w:ind w:left="2880" w:hanging="360"/>
      </w:pPr>
      <w:rPr>
        <w:rFonts w:hint="default"/>
      </w:r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7">
    <w:nsid w:val="235E0F6E"/>
    <w:multiLevelType w:val="multilevel"/>
    <w:tmpl w:val="235E0F6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235A60"/>
    <w:multiLevelType w:val="multilevel"/>
    <w:tmpl w:val="25235A60"/>
    <w:lvl w:ilvl="0" w:tentative="0">
      <w:start w:val="1"/>
      <w:numFmt w:val="decimal"/>
      <w:pStyle w:val="658"/>
      <w:suff w:val="nothing"/>
      <w:lvlText w:val="第%1章"/>
      <w:lvlJc w:val="left"/>
      <w:pPr>
        <w:ind w:left="425" w:hanging="425"/>
      </w:pPr>
      <w:rPr>
        <w:rFonts w:hint="eastAsia"/>
      </w:rPr>
    </w:lvl>
    <w:lvl w:ilvl="1" w:tentative="0">
      <w:start w:val="1"/>
      <w:numFmt w:val="decimal"/>
      <w:suff w:val="nothing"/>
      <w:lvlText w:val="1.%2."/>
      <w:lvlJc w:val="left"/>
      <w:pPr>
        <w:ind w:left="369" w:hanging="369"/>
      </w:pPr>
      <w:rPr>
        <w:rFonts w:hint="eastAsia"/>
      </w:rPr>
    </w:lvl>
    <w:lvl w:ilvl="2" w:tentative="0">
      <w:start w:val="1"/>
      <w:numFmt w:val="decimal"/>
      <w:suff w:val="nothing"/>
      <w:lvlText w:val="1.%2.%3."/>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abstractNum w:abstractNumId="9">
    <w:nsid w:val="28B60BB9"/>
    <w:multiLevelType w:val="multilevel"/>
    <w:tmpl w:val="28B60BB9"/>
    <w:lvl w:ilvl="0" w:tentative="0">
      <w:start w:val="1"/>
      <w:numFmt w:val="decimal"/>
      <w:pStyle w:val="4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8E737E"/>
    <w:multiLevelType w:val="multilevel"/>
    <w:tmpl w:val="298E737E"/>
    <w:lvl w:ilvl="0" w:tentative="0">
      <w:start w:val="1"/>
      <w:numFmt w:val="decimal"/>
      <w:pStyle w:val="57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073B1C"/>
    <w:multiLevelType w:val="multilevel"/>
    <w:tmpl w:val="30073B1C"/>
    <w:lvl w:ilvl="0" w:tentative="0">
      <w:start w:val="2"/>
      <w:numFmt w:val="japaneseCounting"/>
      <w:pStyle w:val="33"/>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6C4052"/>
    <w:multiLevelType w:val="multilevel"/>
    <w:tmpl w:val="346C4052"/>
    <w:lvl w:ilvl="0" w:tentative="0">
      <w:start w:val="2"/>
      <w:numFmt w:val="decimal"/>
      <w:pStyle w:val="584"/>
      <w:lvlText w:val="%1"/>
      <w:lvlJc w:val="left"/>
      <w:pPr>
        <w:tabs>
          <w:tab w:val="left" w:pos="480"/>
        </w:tabs>
        <w:ind w:left="480" w:hanging="480"/>
      </w:pPr>
      <w:rPr>
        <w:rFonts w:hint="eastAsia"/>
      </w:rPr>
    </w:lvl>
    <w:lvl w:ilvl="1" w:tentative="0">
      <w:start w:val="1"/>
      <w:numFmt w:val="decimal"/>
      <w:pStyle w:val="461"/>
      <w:lvlText w:val="%1.%2"/>
      <w:lvlJc w:val="left"/>
      <w:pPr>
        <w:tabs>
          <w:tab w:val="left" w:pos="1320"/>
        </w:tabs>
        <w:ind w:left="1320" w:hanging="480"/>
      </w:pPr>
      <w:rPr>
        <w:rFonts w:hint="eastAsia"/>
      </w:rPr>
    </w:lvl>
    <w:lvl w:ilvl="2" w:tentative="0">
      <w:start w:val="1"/>
      <w:numFmt w:val="decimal"/>
      <w:lvlText w:val="%1.%2.%3"/>
      <w:lvlJc w:val="left"/>
      <w:pPr>
        <w:tabs>
          <w:tab w:val="left" w:pos="2160"/>
        </w:tabs>
        <w:ind w:left="2160" w:hanging="480"/>
      </w:pPr>
      <w:rPr>
        <w:rFonts w:hint="eastAsia"/>
      </w:rPr>
    </w:lvl>
    <w:lvl w:ilvl="3" w:tentative="0">
      <w:start w:val="1"/>
      <w:numFmt w:val="decimal"/>
      <w:lvlText w:val="%1.%2.%3.%4"/>
      <w:lvlJc w:val="left"/>
      <w:pPr>
        <w:tabs>
          <w:tab w:val="left" w:pos="3000"/>
        </w:tabs>
        <w:ind w:left="3000" w:hanging="480"/>
      </w:pPr>
      <w:rPr>
        <w:rFonts w:hint="eastAsia"/>
      </w:rPr>
    </w:lvl>
    <w:lvl w:ilvl="4" w:tentative="0">
      <w:start w:val="1"/>
      <w:numFmt w:val="decimal"/>
      <w:lvlText w:val="%1.%2.%3.%4.%5"/>
      <w:lvlJc w:val="left"/>
      <w:pPr>
        <w:tabs>
          <w:tab w:val="left" w:pos="3840"/>
        </w:tabs>
        <w:ind w:left="3840" w:hanging="480"/>
      </w:pPr>
      <w:rPr>
        <w:rFonts w:hint="eastAsia"/>
      </w:rPr>
    </w:lvl>
    <w:lvl w:ilvl="5" w:tentative="0">
      <w:start w:val="1"/>
      <w:numFmt w:val="decimal"/>
      <w:lvlText w:val="%1.%2.%3.%4.%5.%6"/>
      <w:lvlJc w:val="left"/>
      <w:pPr>
        <w:tabs>
          <w:tab w:val="left" w:pos="4680"/>
        </w:tabs>
        <w:ind w:left="4680" w:hanging="480"/>
      </w:pPr>
      <w:rPr>
        <w:rFonts w:hint="eastAsia"/>
      </w:rPr>
    </w:lvl>
    <w:lvl w:ilvl="6" w:tentative="0">
      <w:start w:val="1"/>
      <w:numFmt w:val="decimal"/>
      <w:lvlText w:val="%1.%2.%3.%4.%5.%6.%7"/>
      <w:lvlJc w:val="left"/>
      <w:pPr>
        <w:tabs>
          <w:tab w:val="left" w:pos="5520"/>
        </w:tabs>
        <w:ind w:left="5520" w:hanging="480"/>
      </w:pPr>
      <w:rPr>
        <w:rFonts w:hint="eastAsia"/>
      </w:rPr>
    </w:lvl>
    <w:lvl w:ilvl="7" w:tentative="0">
      <w:start w:val="1"/>
      <w:numFmt w:val="decimal"/>
      <w:lvlText w:val="%1.%2.%3.%4.%5.%6.%7.%8"/>
      <w:lvlJc w:val="left"/>
      <w:pPr>
        <w:tabs>
          <w:tab w:val="left" w:pos="6360"/>
        </w:tabs>
        <w:ind w:left="6360" w:hanging="480"/>
      </w:pPr>
      <w:rPr>
        <w:rFonts w:hint="eastAsia"/>
      </w:rPr>
    </w:lvl>
    <w:lvl w:ilvl="8" w:tentative="0">
      <w:start w:val="1"/>
      <w:numFmt w:val="decimal"/>
      <w:lvlText w:val="%1.%2.%3.%4.%5.%6.%7.%8.%9"/>
      <w:lvlJc w:val="left"/>
      <w:pPr>
        <w:tabs>
          <w:tab w:val="left" w:pos="7200"/>
        </w:tabs>
        <w:ind w:left="7200" w:hanging="480"/>
      </w:pPr>
      <w:rPr>
        <w:rFonts w:hint="eastAsia"/>
      </w:rPr>
    </w:lvl>
  </w:abstractNum>
  <w:abstractNum w:abstractNumId="13">
    <w:nsid w:val="48AE02C9"/>
    <w:multiLevelType w:val="multilevel"/>
    <w:tmpl w:val="48AE02C9"/>
    <w:lvl w:ilvl="0" w:tentative="0">
      <w:start w:val="1"/>
      <w:numFmt w:val="decimal"/>
      <w:pStyle w:val="27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0F6B0B"/>
    <w:multiLevelType w:val="multilevel"/>
    <w:tmpl w:val="550F6B0B"/>
    <w:lvl w:ilvl="0" w:tentative="0">
      <w:start w:val="1"/>
      <w:numFmt w:val="decimal"/>
      <w:pStyle w:val="581"/>
      <w:lvlText w:val="（%1）"/>
      <w:lvlJc w:val="left"/>
      <w:pPr>
        <w:tabs>
          <w:tab w:val="left" w:pos="1920"/>
        </w:tabs>
        <w:ind w:left="1920" w:hanging="720"/>
      </w:pPr>
      <w:rPr>
        <w:rFonts w:hint="default"/>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15">
    <w:nsid w:val="594B61CE"/>
    <w:multiLevelType w:val="multilevel"/>
    <w:tmpl w:val="594B61CE"/>
    <w:lvl w:ilvl="0" w:tentative="0">
      <w:start w:val="2"/>
      <w:numFmt w:val="decimal"/>
      <w:pStyle w:val="47"/>
      <w:lvlText w:val="%1."/>
      <w:lvlJc w:val="left"/>
      <w:pPr>
        <w:tabs>
          <w:tab w:val="left" w:pos="855"/>
        </w:tabs>
        <w:ind w:left="855" w:hanging="435"/>
      </w:pPr>
      <w:rPr>
        <w:rFonts w:hint="default"/>
        <w:u w:val="none"/>
      </w:rPr>
    </w:lvl>
    <w:lvl w:ilvl="1" w:tentative="0">
      <w:start w:val="9"/>
      <w:numFmt w:val="lowerRoman"/>
      <w:lvlText w:val="（%2）"/>
      <w:lvlJc w:val="left"/>
      <w:pPr>
        <w:tabs>
          <w:tab w:val="left" w:pos="1920"/>
        </w:tabs>
        <w:ind w:left="1920" w:hanging="1080"/>
      </w:pPr>
      <w:rPr>
        <w:rFonts w:hint="default"/>
      </w:rPr>
    </w:lvl>
    <w:lvl w:ilvl="2" w:tentative="0">
      <w:start w:val="7"/>
      <w:numFmt w:val="decimal"/>
      <w:lvlText w:val="%3."/>
      <w:lvlJc w:val="left"/>
      <w:pPr>
        <w:tabs>
          <w:tab w:val="left" w:pos="1800"/>
        </w:tabs>
        <w:ind w:left="1800" w:hanging="540"/>
      </w:pPr>
      <w:rPr>
        <w:rFonts w:hint="eastAsia"/>
        <w:u w:val="none"/>
      </w:rPr>
    </w:lvl>
    <w:lvl w:ilvl="3" w:tentative="0">
      <w:start w:val="1"/>
      <w:numFmt w:val="decimal"/>
      <w:lvlText w:val="（%4）"/>
      <w:lvlJc w:val="left"/>
      <w:pPr>
        <w:tabs>
          <w:tab w:val="left" w:pos="2535"/>
        </w:tabs>
        <w:ind w:left="2535" w:hanging="9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5A7635E8"/>
    <w:multiLevelType w:val="multilevel"/>
    <w:tmpl w:val="5A7635E8"/>
    <w:lvl w:ilvl="0" w:tentative="0">
      <w:start w:val="1"/>
      <w:numFmt w:val="lowerRoman"/>
      <w:lvlText w:val="（%1）"/>
      <w:lvlJc w:val="left"/>
      <w:pPr>
        <w:tabs>
          <w:tab w:val="left" w:pos="1620"/>
        </w:tabs>
        <w:ind w:left="1620" w:hanging="420"/>
      </w:pPr>
      <w:rPr>
        <w:rFonts w:hint="eastAsia"/>
      </w:rPr>
    </w:lvl>
    <w:lvl w:ilvl="1" w:tentative="0">
      <w:start w:val="1"/>
      <w:numFmt w:val="lowerLetter"/>
      <w:pStyle w:val="649"/>
      <w:lvlText w:val="%2)"/>
      <w:lvlJc w:val="left"/>
      <w:pPr>
        <w:tabs>
          <w:tab w:val="left" w:pos="838"/>
        </w:tabs>
        <w:ind w:left="838" w:hanging="420"/>
      </w:pPr>
    </w:lvl>
    <w:lvl w:ilvl="2" w:tentative="0">
      <w:start w:val="1"/>
      <w:numFmt w:val="lowerRoman"/>
      <w:pStyle w:val="689"/>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7">
    <w:nsid w:val="5BE52C74"/>
    <w:multiLevelType w:val="multilevel"/>
    <w:tmpl w:val="5BE52C74"/>
    <w:lvl w:ilvl="0" w:tentative="0">
      <w:start w:val="1"/>
      <w:numFmt w:val="lowerRoman"/>
      <w:pStyle w:val="510"/>
      <w:lvlText w:val="（%1）"/>
      <w:lvlJc w:val="left"/>
      <w:pPr>
        <w:tabs>
          <w:tab w:val="left" w:pos="1666"/>
        </w:tabs>
        <w:ind w:left="1666" w:hanging="1098"/>
      </w:pPr>
      <w:rPr>
        <w:rFonts w:hint="default"/>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18">
    <w:nsid w:val="703903FB"/>
    <w:multiLevelType w:val="multilevel"/>
    <w:tmpl w:val="703903FB"/>
    <w:lvl w:ilvl="0" w:tentative="0">
      <w:start w:val="1"/>
      <w:numFmt w:val="decimal"/>
      <w:pStyle w:val="309"/>
      <w:lvlText w:val="(%1)"/>
      <w:lvlJc w:val="left"/>
      <w:pPr>
        <w:tabs>
          <w:tab w:val="left" w:pos="1107"/>
        </w:tabs>
        <w:ind w:left="1107" w:hanging="567"/>
      </w:pPr>
      <w:rPr>
        <w:rFonts w:hint="default" w:ascii="Arial Narrow" w:hAnsi="Arial Narrow"/>
        <w:sz w:val="24"/>
      </w:rPr>
    </w:lvl>
    <w:lvl w:ilvl="1" w:tentative="0">
      <w:start w:val="1"/>
      <w:numFmt w:val="lowerLetter"/>
      <w:lvlText w:val="%2."/>
      <w:lvlJc w:val="left"/>
      <w:pPr>
        <w:tabs>
          <w:tab w:val="left" w:pos="1500"/>
        </w:tabs>
        <w:ind w:left="150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4344862"/>
    <w:multiLevelType w:val="multilevel"/>
    <w:tmpl w:val="74344862"/>
    <w:lvl w:ilvl="0" w:tentative="0">
      <w:start w:val="1"/>
      <w:numFmt w:val="decimal"/>
      <w:pStyle w:val="3"/>
      <w:isLgl/>
      <w:lvlText w:val="%1."/>
      <w:lvlJc w:val="left"/>
      <w:pPr>
        <w:tabs>
          <w:tab w:val="left" w:pos="360"/>
        </w:tabs>
        <w:ind w:left="0" w:firstLine="0"/>
      </w:pPr>
      <w:rPr>
        <w:rFonts w:hint="default" w:ascii="Arial" w:hAnsi="Arial"/>
        <w:b/>
        <w:i w:val="0"/>
        <w:sz w:val="28"/>
        <w:szCs w:val="28"/>
      </w:rPr>
    </w:lvl>
    <w:lvl w:ilvl="1" w:tentative="0">
      <w:start w:val="1"/>
      <w:numFmt w:val="decimal"/>
      <w:pStyle w:val="4"/>
      <w:lvlText w:val="%1.%2."/>
      <w:lvlJc w:val="left"/>
      <w:pPr>
        <w:tabs>
          <w:tab w:val="left" w:pos="1440"/>
        </w:tabs>
        <w:ind w:left="1287" w:hanging="567"/>
      </w:pPr>
      <w:rPr>
        <w:rFonts w:hint="eastAsia"/>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75477D43"/>
    <w:multiLevelType w:val="multilevel"/>
    <w:tmpl w:val="75477D43"/>
    <w:lvl w:ilvl="0" w:tentative="0">
      <w:start w:val="1"/>
      <w:numFmt w:val="lowerRoman"/>
      <w:lvlText w:val="%1."/>
      <w:lvlJc w:val="right"/>
      <w:pPr>
        <w:ind w:left="1275" w:hanging="420"/>
      </w:pPr>
      <w:rPr>
        <w:rFonts w:hint="eastAsia"/>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21">
    <w:nsid w:val="78407120"/>
    <w:multiLevelType w:val="multilevel"/>
    <w:tmpl w:val="78407120"/>
    <w:lvl w:ilvl="0" w:tentative="0">
      <w:start w:val="1"/>
      <w:numFmt w:val="decimal"/>
      <w:pStyle w:val="659"/>
      <w:lvlText w:val="%1、"/>
      <w:lvlJc w:val="left"/>
      <w:pPr>
        <w:tabs>
          <w:tab w:val="left" w:pos="360"/>
        </w:tabs>
        <w:ind w:left="360" w:hanging="360"/>
      </w:pPr>
      <w:rPr>
        <w:rFonts w:hint="eastAsia"/>
      </w:rPr>
    </w:lvl>
    <w:lvl w:ilvl="1" w:tentative="0">
      <w:start w:val="1"/>
      <w:numFmt w:val="lowerLetter"/>
      <w:pStyle w:val="41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FC21237"/>
    <w:multiLevelType w:val="multilevel"/>
    <w:tmpl w:val="7FC21237"/>
    <w:lvl w:ilvl="0" w:tentative="0">
      <w:start w:val="1"/>
      <w:numFmt w:val="decimal"/>
      <w:lvlText w:val="%1．"/>
      <w:lvlJc w:val="left"/>
      <w:pPr>
        <w:tabs>
          <w:tab w:val="left" w:pos="360"/>
        </w:tabs>
        <w:ind w:left="360" w:hanging="360"/>
      </w:pPr>
      <w:rPr>
        <w:rFonts w:hint="eastAsia" w:ascii="宋体" w:hAnsi="宋体" w:eastAsia="宋体"/>
      </w:rPr>
    </w:lvl>
    <w:lvl w:ilvl="1" w:tentative="0">
      <w:start w:val="1"/>
      <w:numFmt w:val="decimal"/>
      <w:lvlText w:val="%2）"/>
      <w:lvlJc w:val="left"/>
      <w:pPr>
        <w:ind w:left="780" w:hanging="360"/>
      </w:pPr>
      <w:rPr>
        <w:rFonts w:cstheme="majorBidi"/>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11"/>
  </w:num>
  <w:num w:numId="3">
    <w:abstractNumId w:val="9"/>
  </w:num>
  <w:num w:numId="4">
    <w:abstractNumId w:val="15"/>
  </w:num>
  <w:num w:numId="5">
    <w:abstractNumId w:val="5"/>
  </w:num>
  <w:num w:numId="6">
    <w:abstractNumId w:val="1"/>
  </w:num>
  <w:num w:numId="7">
    <w:abstractNumId w:val="13"/>
  </w:num>
  <w:num w:numId="8">
    <w:abstractNumId w:val="18"/>
  </w:num>
  <w:num w:numId="9">
    <w:abstractNumId w:val="6"/>
  </w:num>
  <w:num w:numId="10">
    <w:abstractNumId w:val="21"/>
  </w:num>
  <w:num w:numId="11">
    <w:abstractNumId w:val="12"/>
  </w:num>
  <w:num w:numId="12">
    <w:abstractNumId w:val="17"/>
  </w:num>
  <w:num w:numId="13">
    <w:abstractNumId w:val="10"/>
  </w:num>
  <w:num w:numId="14">
    <w:abstractNumId w:val="14"/>
  </w:num>
  <w:num w:numId="15">
    <w:abstractNumId w:val="0"/>
    <w:lvlOverride w:ilvl="0">
      <w:startOverride w:val="1"/>
    </w:lvlOverride>
  </w:num>
  <w:num w:numId="16">
    <w:abstractNumId w:val="4"/>
  </w:num>
  <w:num w:numId="17">
    <w:abstractNumId w:val="16"/>
  </w:num>
  <w:num w:numId="18">
    <w:abstractNumId w:val="8"/>
  </w:num>
  <w:num w:numId="19">
    <w:abstractNumId w:val="2"/>
  </w:num>
  <w:num w:numId="20">
    <w:abstractNumId w:val="20"/>
  </w:num>
  <w:num w:numId="21">
    <w:abstractNumId w:val="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6A"/>
    <w:rsid w:val="0000176A"/>
    <w:rsid w:val="00006C72"/>
    <w:rsid w:val="000159DE"/>
    <w:rsid w:val="00017423"/>
    <w:rsid w:val="00021208"/>
    <w:rsid w:val="00022918"/>
    <w:rsid w:val="0002331E"/>
    <w:rsid w:val="00042422"/>
    <w:rsid w:val="00043377"/>
    <w:rsid w:val="00044F84"/>
    <w:rsid w:val="00050FEC"/>
    <w:rsid w:val="00053235"/>
    <w:rsid w:val="00057FAA"/>
    <w:rsid w:val="000601B9"/>
    <w:rsid w:val="000611CF"/>
    <w:rsid w:val="00062A3B"/>
    <w:rsid w:val="00064E9C"/>
    <w:rsid w:val="00065B86"/>
    <w:rsid w:val="0006752E"/>
    <w:rsid w:val="00075D54"/>
    <w:rsid w:val="000769E1"/>
    <w:rsid w:val="00077D50"/>
    <w:rsid w:val="000801F1"/>
    <w:rsid w:val="000819EC"/>
    <w:rsid w:val="00084247"/>
    <w:rsid w:val="0008708B"/>
    <w:rsid w:val="00092B0A"/>
    <w:rsid w:val="00096605"/>
    <w:rsid w:val="00097A74"/>
    <w:rsid w:val="000A193C"/>
    <w:rsid w:val="000A1DD1"/>
    <w:rsid w:val="000B00BF"/>
    <w:rsid w:val="000B48C3"/>
    <w:rsid w:val="000C603C"/>
    <w:rsid w:val="000D689F"/>
    <w:rsid w:val="000D6AE4"/>
    <w:rsid w:val="000D788F"/>
    <w:rsid w:val="000E2EBA"/>
    <w:rsid w:val="000F2ECD"/>
    <w:rsid w:val="000F3047"/>
    <w:rsid w:val="000F38BE"/>
    <w:rsid w:val="000F39F6"/>
    <w:rsid w:val="000F4787"/>
    <w:rsid w:val="000F65B6"/>
    <w:rsid w:val="00103476"/>
    <w:rsid w:val="00105B6E"/>
    <w:rsid w:val="001111F6"/>
    <w:rsid w:val="00114581"/>
    <w:rsid w:val="001146C7"/>
    <w:rsid w:val="001179F2"/>
    <w:rsid w:val="00127E8C"/>
    <w:rsid w:val="00131528"/>
    <w:rsid w:val="00133FFF"/>
    <w:rsid w:val="00134ACC"/>
    <w:rsid w:val="00136702"/>
    <w:rsid w:val="00136AC4"/>
    <w:rsid w:val="0014156C"/>
    <w:rsid w:val="00141E5E"/>
    <w:rsid w:val="00150ACC"/>
    <w:rsid w:val="0015527A"/>
    <w:rsid w:val="001555F7"/>
    <w:rsid w:val="0015653F"/>
    <w:rsid w:val="00161457"/>
    <w:rsid w:val="0016248D"/>
    <w:rsid w:val="00166823"/>
    <w:rsid w:val="0017317E"/>
    <w:rsid w:val="001759E4"/>
    <w:rsid w:val="00177BEA"/>
    <w:rsid w:val="0018628D"/>
    <w:rsid w:val="0019487D"/>
    <w:rsid w:val="00194D0F"/>
    <w:rsid w:val="001A3B12"/>
    <w:rsid w:val="001B27A0"/>
    <w:rsid w:val="001B477E"/>
    <w:rsid w:val="001B5C6C"/>
    <w:rsid w:val="001B6F07"/>
    <w:rsid w:val="001D4104"/>
    <w:rsid w:val="001D7A3A"/>
    <w:rsid w:val="001E575B"/>
    <w:rsid w:val="001F2D99"/>
    <w:rsid w:val="001F7C15"/>
    <w:rsid w:val="0020281B"/>
    <w:rsid w:val="00203191"/>
    <w:rsid w:val="00211013"/>
    <w:rsid w:val="002169A8"/>
    <w:rsid w:val="00217EFE"/>
    <w:rsid w:val="00222767"/>
    <w:rsid w:val="00226C13"/>
    <w:rsid w:val="00240296"/>
    <w:rsid w:val="0025033F"/>
    <w:rsid w:val="00257BF6"/>
    <w:rsid w:val="002701A2"/>
    <w:rsid w:val="00270572"/>
    <w:rsid w:val="00275746"/>
    <w:rsid w:val="0027630F"/>
    <w:rsid w:val="00277D68"/>
    <w:rsid w:val="002819B8"/>
    <w:rsid w:val="002822D6"/>
    <w:rsid w:val="00283394"/>
    <w:rsid w:val="0028452A"/>
    <w:rsid w:val="002852F5"/>
    <w:rsid w:val="0028630A"/>
    <w:rsid w:val="00290206"/>
    <w:rsid w:val="00292669"/>
    <w:rsid w:val="00293B4D"/>
    <w:rsid w:val="002945CD"/>
    <w:rsid w:val="00294833"/>
    <w:rsid w:val="002A0103"/>
    <w:rsid w:val="002A17CF"/>
    <w:rsid w:val="002A36B4"/>
    <w:rsid w:val="002A499E"/>
    <w:rsid w:val="002A7370"/>
    <w:rsid w:val="002B4D7C"/>
    <w:rsid w:val="002C26E7"/>
    <w:rsid w:val="002D271A"/>
    <w:rsid w:val="002D2741"/>
    <w:rsid w:val="002D3361"/>
    <w:rsid w:val="002D651E"/>
    <w:rsid w:val="002E0370"/>
    <w:rsid w:val="002F0315"/>
    <w:rsid w:val="002F2574"/>
    <w:rsid w:val="002F638E"/>
    <w:rsid w:val="002F678A"/>
    <w:rsid w:val="00304CC4"/>
    <w:rsid w:val="00305AED"/>
    <w:rsid w:val="003142DF"/>
    <w:rsid w:val="00314D9E"/>
    <w:rsid w:val="0032158E"/>
    <w:rsid w:val="00323826"/>
    <w:rsid w:val="0032636C"/>
    <w:rsid w:val="0032778D"/>
    <w:rsid w:val="003301DA"/>
    <w:rsid w:val="003369BD"/>
    <w:rsid w:val="003407CB"/>
    <w:rsid w:val="00340BAE"/>
    <w:rsid w:val="00355A30"/>
    <w:rsid w:val="0035790F"/>
    <w:rsid w:val="003603A0"/>
    <w:rsid w:val="00367B20"/>
    <w:rsid w:val="00371890"/>
    <w:rsid w:val="003833C1"/>
    <w:rsid w:val="003860AB"/>
    <w:rsid w:val="00396F8F"/>
    <w:rsid w:val="003A5E5A"/>
    <w:rsid w:val="003A6125"/>
    <w:rsid w:val="003A6B55"/>
    <w:rsid w:val="003A7020"/>
    <w:rsid w:val="003A7100"/>
    <w:rsid w:val="003A7280"/>
    <w:rsid w:val="003B01CB"/>
    <w:rsid w:val="003B214D"/>
    <w:rsid w:val="003B2D0E"/>
    <w:rsid w:val="003C5C66"/>
    <w:rsid w:val="003C5EAA"/>
    <w:rsid w:val="003C74C8"/>
    <w:rsid w:val="003D1616"/>
    <w:rsid w:val="003D1E4E"/>
    <w:rsid w:val="003D32DA"/>
    <w:rsid w:val="003E0002"/>
    <w:rsid w:val="003E2AFD"/>
    <w:rsid w:val="003E3784"/>
    <w:rsid w:val="003E5890"/>
    <w:rsid w:val="003F2ED9"/>
    <w:rsid w:val="003F75C3"/>
    <w:rsid w:val="00412910"/>
    <w:rsid w:val="004140A0"/>
    <w:rsid w:val="00416BA9"/>
    <w:rsid w:val="00421A8B"/>
    <w:rsid w:val="00424CBE"/>
    <w:rsid w:val="004306DB"/>
    <w:rsid w:val="0043190C"/>
    <w:rsid w:val="00433ABA"/>
    <w:rsid w:val="00436FA2"/>
    <w:rsid w:val="00442A21"/>
    <w:rsid w:val="00443A60"/>
    <w:rsid w:val="00445569"/>
    <w:rsid w:val="00447F75"/>
    <w:rsid w:val="004522D8"/>
    <w:rsid w:val="00453F4C"/>
    <w:rsid w:val="004565DD"/>
    <w:rsid w:val="00462294"/>
    <w:rsid w:val="00462635"/>
    <w:rsid w:val="004732D9"/>
    <w:rsid w:val="00476485"/>
    <w:rsid w:val="00477CA8"/>
    <w:rsid w:val="004842B6"/>
    <w:rsid w:val="00484859"/>
    <w:rsid w:val="0048593E"/>
    <w:rsid w:val="00486238"/>
    <w:rsid w:val="00486EF5"/>
    <w:rsid w:val="00494BF0"/>
    <w:rsid w:val="004977D7"/>
    <w:rsid w:val="004A01A9"/>
    <w:rsid w:val="004A1ABB"/>
    <w:rsid w:val="004A1FF9"/>
    <w:rsid w:val="004B1EAC"/>
    <w:rsid w:val="004B1F18"/>
    <w:rsid w:val="004B3014"/>
    <w:rsid w:val="004B365C"/>
    <w:rsid w:val="004B57D0"/>
    <w:rsid w:val="004C0EF9"/>
    <w:rsid w:val="004C29D7"/>
    <w:rsid w:val="004C7886"/>
    <w:rsid w:val="004D5DA9"/>
    <w:rsid w:val="004D7B56"/>
    <w:rsid w:val="004E097D"/>
    <w:rsid w:val="004E0D22"/>
    <w:rsid w:val="004E18FB"/>
    <w:rsid w:val="004E26B5"/>
    <w:rsid w:val="004E7626"/>
    <w:rsid w:val="004E7705"/>
    <w:rsid w:val="004E7E00"/>
    <w:rsid w:val="004F5BFC"/>
    <w:rsid w:val="004F60A3"/>
    <w:rsid w:val="004F6355"/>
    <w:rsid w:val="00513FD3"/>
    <w:rsid w:val="00515FD3"/>
    <w:rsid w:val="0052301A"/>
    <w:rsid w:val="00524EBD"/>
    <w:rsid w:val="00525409"/>
    <w:rsid w:val="00531200"/>
    <w:rsid w:val="00540B7F"/>
    <w:rsid w:val="00541044"/>
    <w:rsid w:val="005420AF"/>
    <w:rsid w:val="00546CA4"/>
    <w:rsid w:val="005556D3"/>
    <w:rsid w:val="00561FF7"/>
    <w:rsid w:val="00562E33"/>
    <w:rsid w:val="00562F44"/>
    <w:rsid w:val="00562F80"/>
    <w:rsid w:val="00563ADB"/>
    <w:rsid w:val="005647EE"/>
    <w:rsid w:val="00564BA9"/>
    <w:rsid w:val="0057069B"/>
    <w:rsid w:val="005727A8"/>
    <w:rsid w:val="00574283"/>
    <w:rsid w:val="00574BA6"/>
    <w:rsid w:val="0057717E"/>
    <w:rsid w:val="00585FFA"/>
    <w:rsid w:val="005864B9"/>
    <w:rsid w:val="00592031"/>
    <w:rsid w:val="005936AF"/>
    <w:rsid w:val="00593CC3"/>
    <w:rsid w:val="00595AF5"/>
    <w:rsid w:val="005970F5"/>
    <w:rsid w:val="005A03BD"/>
    <w:rsid w:val="005A154E"/>
    <w:rsid w:val="005A2523"/>
    <w:rsid w:val="005A7289"/>
    <w:rsid w:val="005B1A33"/>
    <w:rsid w:val="005B4421"/>
    <w:rsid w:val="005B4467"/>
    <w:rsid w:val="005B5394"/>
    <w:rsid w:val="005B7DAF"/>
    <w:rsid w:val="005C007A"/>
    <w:rsid w:val="005C79F2"/>
    <w:rsid w:val="005D0DE7"/>
    <w:rsid w:val="005D43EB"/>
    <w:rsid w:val="005D7395"/>
    <w:rsid w:val="005F1A27"/>
    <w:rsid w:val="005F3949"/>
    <w:rsid w:val="00607A06"/>
    <w:rsid w:val="00611B8A"/>
    <w:rsid w:val="006139A6"/>
    <w:rsid w:val="00614473"/>
    <w:rsid w:val="00620993"/>
    <w:rsid w:val="00625083"/>
    <w:rsid w:val="006265C2"/>
    <w:rsid w:val="0063005B"/>
    <w:rsid w:val="006307A9"/>
    <w:rsid w:val="00631A61"/>
    <w:rsid w:val="006325CD"/>
    <w:rsid w:val="006462D9"/>
    <w:rsid w:val="00656653"/>
    <w:rsid w:val="006608FF"/>
    <w:rsid w:val="00664B19"/>
    <w:rsid w:val="00665003"/>
    <w:rsid w:val="0066677E"/>
    <w:rsid w:val="00675726"/>
    <w:rsid w:val="006823C1"/>
    <w:rsid w:val="00682CA7"/>
    <w:rsid w:val="00682D62"/>
    <w:rsid w:val="0068331E"/>
    <w:rsid w:val="006844DE"/>
    <w:rsid w:val="0069411A"/>
    <w:rsid w:val="006967F2"/>
    <w:rsid w:val="006968C8"/>
    <w:rsid w:val="006A445A"/>
    <w:rsid w:val="006A4EC2"/>
    <w:rsid w:val="006A5730"/>
    <w:rsid w:val="006B4C16"/>
    <w:rsid w:val="006B661A"/>
    <w:rsid w:val="006B6755"/>
    <w:rsid w:val="006C1B62"/>
    <w:rsid w:val="006C415D"/>
    <w:rsid w:val="006D1724"/>
    <w:rsid w:val="006D1C59"/>
    <w:rsid w:val="006D5186"/>
    <w:rsid w:val="006D5744"/>
    <w:rsid w:val="006D5B91"/>
    <w:rsid w:val="006E0622"/>
    <w:rsid w:val="006E0CED"/>
    <w:rsid w:val="006F53E6"/>
    <w:rsid w:val="006F6865"/>
    <w:rsid w:val="0070012E"/>
    <w:rsid w:val="00705BA1"/>
    <w:rsid w:val="00713793"/>
    <w:rsid w:val="00713B4A"/>
    <w:rsid w:val="00713BEF"/>
    <w:rsid w:val="0071785C"/>
    <w:rsid w:val="007205F9"/>
    <w:rsid w:val="007212C4"/>
    <w:rsid w:val="00737343"/>
    <w:rsid w:val="00737B4F"/>
    <w:rsid w:val="007407A6"/>
    <w:rsid w:val="00741C37"/>
    <w:rsid w:val="00742157"/>
    <w:rsid w:val="0074330D"/>
    <w:rsid w:val="00746D25"/>
    <w:rsid w:val="007506E9"/>
    <w:rsid w:val="007548B4"/>
    <w:rsid w:val="00754D09"/>
    <w:rsid w:val="00757BAA"/>
    <w:rsid w:val="00762717"/>
    <w:rsid w:val="00762865"/>
    <w:rsid w:val="00762D9D"/>
    <w:rsid w:val="00762E13"/>
    <w:rsid w:val="00762FA6"/>
    <w:rsid w:val="007635D3"/>
    <w:rsid w:val="007762A7"/>
    <w:rsid w:val="00784548"/>
    <w:rsid w:val="00784E9F"/>
    <w:rsid w:val="00787D2E"/>
    <w:rsid w:val="00792F4E"/>
    <w:rsid w:val="00793458"/>
    <w:rsid w:val="007A19EB"/>
    <w:rsid w:val="007A1CC0"/>
    <w:rsid w:val="007A3282"/>
    <w:rsid w:val="007A592A"/>
    <w:rsid w:val="007A72B9"/>
    <w:rsid w:val="007B1B19"/>
    <w:rsid w:val="007B2664"/>
    <w:rsid w:val="007B3856"/>
    <w:rsid w:val="007B4586"/>
    <w:rsid w:val="007B491D"/>
    <w:rsid w:val="007B49CE"/>
    <w:rsid w:val="007B78B0"/>
    <w:rsid w:val="007D5986"/>
    <w:rsid w:val="007E032E"/>
    <w:rsid w:val="007E7BAD"/>
    <w:rsid w:val="007F0F8B"/>
    <w:rsid w:val="007F2E83"/>
    <w:rsid w:val="007F5501"/>
    <w:rsid w:val="00802AC3"/>
    <w:rsid w:val="00805E17"/>
    <w:rsid w:val="00810C96"/>
    <w:rsid w:val="008242CB"/>
    <w:rsid w:val="00825163"/>
    <w:rsid w:val="0082612D"/>
    <w:rsid w:val="00826DCF"/>
    <w:rsid w:val="008309E1"/>
    <w:rsid w:val="00830CCE"/>
    <w:rsid w:val="0084161D"/>
    <w:rsid w:val="00846C13"/>
    <w:rsid w:val="0085037C"/>
    <w:rsid w:val="00851A01"/>
    <w:rsid w:val="0085254C"/>
    <w:rsid w:val="008528A8"/>
    <w:rsid w:val="00853AFD"/>
    <w:rsid w:val="00854EE6"/>
    <w:rsid w:val="00854F4C"/>
    <w:rsid w:val="00865137"/>
    <w:rsid w:val="00866C2A"/>
    <w:rsid w:val="00870464"/>
    <w:rsid w:val="00871DED"/>
    <w:rsid w:val="00877CF7"/>
    <w:rsid w:val="008873DA"/>
    <w:rsid w:val="008950E0"/>
    <w:rsid w:val="008A3208"/>
    <w:rsid w:val="008A6BAA"/>
    <w:rsid w:val="008C4A43"/>
    <w:rsid w:val="008C4A7C"/>
    <w:rsid w:val="008C6DDA"/>
    <w:rsid w:val="008C7B0A"/>
    <w:rsid w:val="008D2E4F"/>
    <w:rsid w:val="008E336B"/>
    <w:rsid w:val="008E639F"/>
    <w:rsid w:val="008E657E"/>
    <w:rsid w:val="008F2E6B"/>
    <w:rsid w:val="00903042"/>
    <w:rsid w:val="00904064"/>
    <w:rsid w:val="00904CD4"/>
    <w:rsid w:val="00906C9A"/>
    <w:rsid w:val="00910989"/>
    <w:rsid w:val="009117DE"/>
    <w:rsid w:val="009119FF"/>
    <w:rsid w:val="0091287E"/>
    <w:rsid w:val="0091754F"/>
    <w:rsid w:val="00922405"/>
    <w:rsid w:val="0092337A"/>
    <w:rsid w:val="00923AB6"/>
    <w:rsid w:val="00924989"/>
    <w:rsid w:val="00931604"/>
    <w:rsid w:val="00933C38"/>
    <w:rsid w:val="00934978"/>
    <w:rsid w:val="00943086"/>
    <w:rsid w:val="00943A66"/>
    <w:rsid w:val="009472F6"/>
    <w:rsid w:val="0095177D"/>
    <w:rsid w:val="009574D7"/>
    <w:rsid w:val="00963E83"/>
    <w:rsid w:val="00966BD6"/>
    <w:rsid w:val="009707A4"/>
    <w:rsid w:val="0097373E"/>
    <w:rsid w:val="00973775"/>
    <w:rsid w:val="009771AA"/>
    <w:rsid w:val="009814A7"/>
    <w:rsid w:val="00983277"/>
    <w:rsid w:val="00990743"/>
    <w:rsid w:val="00995380"/>
    <w:rsid w:val="00997F64"/>
    <w:rsid w:val="009A036B"/>
    <w:rsid w:val="009A10D9"/>
    <w:rsid w:val="009A282B"/>
    <w:rsid w:val="009A47C2"/>
    <w:rsid w:val="009B2079"/>
    <w:rsid w:val="009B49D0"/>
    <w:rsid w:val="009C08E7"/>
    <w:rsid w:val="009C0D0D"/>
    <w:rsid w:val="009E1C70"/>
    <w:rsid w:val="009E1E25"/>
    <w:rsid w:val="009E3643"/>
    <w:rsid w:val="009E5064"/>
    <w:rsid w:val="009E6D5F"/>
    <w:rsid w:val="009F1AF3"/>
    <w:rsid w:val="009F1C9A"/>
    <w:rsid w:val="009F1EBE"/>
    <w:rsid w:val="009F247A"/>
    <w:rsid w:val="009F2A58"/>
    <w:rsid w:val="00A01B2E"/>
    <w:rsid w:val="00A17652"/>
    <w:rsid w:val="00A20DF9"/>
    <w:rsid w:val="00A30C8C"/>
    <w:rsid w:val="00A324CE"/>
    <w:rsid w:val="00A37974"/>
    <w:rsid w:val="00A400D4"/>
    <w:rsid w:val="00A40D68"/>
    <w:rsid w:val="00A419F9"/>
    <w:rsid w:val="00A42012"/>
    <w:rsid w:val="00A43AEE"/>
    <w:rsid w:val="00A44351"/>
    <w:rsid w:val="00A53FEC"/>
    <w:rsid w:val="00A60D55"/>
    <w:rsid w:val="00A80CFC"/>
    <w:rsid w:val="00A82D56"/>
    <w:rsid w:val="00A833D3"/>
    <w:rsid w:val="00A83FCE"/>
    <w:rsid w:val="00A905F5"/>
    <w:rsid w:val="00A90686"/>
    <w:rsid w:val="00A9096D"/>
    <w:rsid w:val="00A931A0"/>
    <w:rsid w:val="00AA075E"/>
    <w:rsid w:val="00AA3C44"/>
    <w:rsid w:val="00AA7E31"/>
    <w:rsid w:val="00AB724E"/>
    <w:rsid w:val="00AC6228"/>
    <w:rsid w:val="00AD0995"/>
    <w:rsid w:val="00AD2234"/>
    <w:rsid w:val="00AD49B1"/>
    <w:rsid w:val="00AE180C"/>
    <w:rsid w:val="00AF223B"/>
    <w:rsid w:val="00AF4C15"/>
    <w:rsid w:val="00AF6B27"/>
    <w:rsid w:val="00B02F96"/>
    <w:rsid w:val="00B048AD"/>
    <w:rsid w:val="00B0630F"/>
    <w:rsid w:val="00B14867"/>
    <w:rsid w:val="00B24881"/>
    <w:rsid w:val="00B24DE4"/>
    <w:rsid w:val="00B26C64"/>
    <w:rsid w:val="00B30094"/>
    <w:rsid w:val="00B36870"/>
    <w:rsid w:val="00B40711"/>
    <w:rsid w:val="00B4253B"/>
    <w:rsid w:val="00B4274D"/>
    <w:rsid w:val="00B4456E"/>
    <w:rsid w:val="00B46565"/>
    <w:rsid w:val="00B6371C"/>
    <w:rsid w:val="00B63B45"/>
    <w:rsid w:val="00B656C9"/>
    <w:rsid w:val="00B66484"/>
    <w:rsid w:val="00B74A05"/>
    <w:rsid w:val="00B7783A"/>
    <w:rsid w:val="00B844E0"/>
    <w:rsid w:val="00B9214C"/>
    <w:rsid w:val="00B92C5D"/>
    <w:rsid w:val="00B944AA"/>
    <w:rsid w:val="00B949A8"/>
    <w:rsid w:val="00B96873"/>
    <w:rsid w:val="00B96B46"/>
    <w:rsid w:val="00B97302"/>
    <w:rsid w:val="00BB045F"/>
    <w:rsid w:val="00BB063B"/>
    <w:rsid w:val="00BB25F1"/>
    <w:rsid w:val="00BB2946"/>
    <w:rsid w:val="00BB383A"/>
    <w:rsid w:val="00BB4AC0"/>
    <w:rsid w:val="00BB4F4F"/>
    <w:rsid w:val="00BC1149"/>
    <w:rsid w:val="00BC1C7E"/>
    <w:rsid w:val="00BC5F39"/>
    <w:rsid w:val="00BD0CCE"/>
    <w:rsid w:val="00BD0EAA"/>
    <w:rsid w:val="00BD0FC1"/>
    <w:rsid w:val="00BD0FE8"/>
    <w:rsid w:val="00BD17F2"/>
    <w:rsid w:val="00BD37A1"/>
    <w:rsid w:val="00BE28E2"/>
    <w:rsid w:val="00BE689D"/>
    <w:rsid w:val="00BF036A"/>
    <w:rsid w:val="00C022E7"/>
    <w:rsid w:val="00C0432C"/>
    <w:rsid w:val="00C10968"/>
    <w:rsid w:val="00C16907"/>
    <w:rsid w:val="00C17322"/>
    <w:rsid w:val="00C17F5E"/>
    <w:rsid w:val="00C2178B"/>
    <w:rsid w:val="00C225C0"/>
    <w:rsid w:val="00C24452"/>
    <w:rsid w:val="00C26866"/>
    <w:rsid w:val="00C330EA"/>
    <w:rsid w:val="00C35057"/>
    <w:rsid w:val="00C4799F"/>
    <w:rsid w:val="00C5072F"/>
    <w:rsid w:val="00C530E9"/>
    <w:rsid w:val="00C62603"/>
    <w:rsid w:val="00C63280"/>
    <w:rsid w:val="00C65574"/>
    <w:rsid w:val="00C65DA5"/>
    <w:rsid w:val="00C7161D"/>
    <w:rsid w:val="00C726B9"/>
    <w:rsid w:val="00C729F4"/>
    <w:rsid w:val="00C74CE3"/>
    <w:rsid w:val="00C75528"/>
    <w:rsid w:val="00C7626F"/>
    <w:rsid w:val="00C80FC2"/>
    <w:rsid w:val="00C83029"/>
    <w:rsid w:val="00C879D8"/>
    <w:rsid w:val="00C90FE7"/>
    <w:rsid w:val="00C92EC1"/>
    <w:rsid w:val="00C94741"/>
    <w:rsid w:val="00C961AE"/>
    <w:rsid w:val="00C97724"/>
    <w:rsid w:val="00C97E23"/>
    <w:rsid w:val="00CA2E80"/>
    <w:rsid w:val="00CA50FD"/>
    <w:rsid w:val="00CB06BA"/>
    <w:rsid w:val="00CB0DFC"/>
    <w:rsid w:val="00CB34BC"/>
    <w:rsid w:val="00CC21B4"/>
    <w:rsid w:val="00CD406B"/>
    <w:rsid w:val="00CD66E6"/>
    <w:rsid w:val="00CE1722"/>
    <w:rsid w:val="00CE2343"/>
    <w:rsid w:val="00CE3020"/>
    <w:rsid w:val="00CE341A"/>
    <w:rsid w:val="00CF546F"/>
    <w:rsid w:val="00CF6016"/>
    <w:rsid w:val="00CF6150"/>
    <w:rsid w:val="00CF7C9D"/>
    <w:rsid w:val="00D0150B"/>
    <w:rsid w:val="00D02409"/>
    <w:rsid w:val="00D05F88"/>
    <w:rsid w:val="00D104BB"/>
    <w:rsid w:val="00D134AE"/>
    <w:rsid w:val="00D14DB1"/>
    <w:rsid w:val="00D14FEE"/>
    <w:rsid w:val="00D15C46"/>
    <w:rsid w:val="00D15CA7"/>
    <w:rsid w:val="00D20830"/>
    <w:rsid w:val="00D259C3"/>
    <w:rsid w:val="00D25C5E"/>
    <w:rsid w:val="00D356C6"/>
    <w:rsid w:val="00D41A18"/>
    <w:rsid w:val="00D474CC"/>
    <w:rsid w:val="00D50A18"/>
    <w:rsid w:val="00D52B2B"/>
    <w:rsid w:val="00D53D41"/>
    <w:rsid w:val="00D546F3"/>
    <w:rsid w:val="00D6364C"/>
    <w:rsid w:val="00D63F49"/>
    <w:rsid w:val="00D71270"/>
    <w:rsid w:val="00D73A3B"/>
    <w:rsid w:val="00D74430"/>
    <w:rsid w:val="00D774DB"/>
    <w:rsid w:val="00D8043B"/>
    <w:rsid w:val="00D829D0"/>
    <w:rsid w:val="00D84EC8"/>
    <w:rsid w:val="00D90719"/>
    <w:rsid w:val="00DA6413"/>
    <w:rsid w:val="00DA6FCD"/>
    <w:rsid w:val="00DB04A5"/>
    <w:rsid w:val="00DB4AD0"/>
    <w:rsid w:val="00DB7895"/>
    <w:rsid w:val="00DC0D26"/>
    <w:rsid w:val="00DC1789"/>
    <w:rsid w:val="00DC34FB"/>
    <w:rsid w:val="00DC4887"/>
    <w:rsid w:val="00DF083E"/>
    <w:rsid w:val="00DF209D"/>
    <w:rsid w:val="00DF398D"/>
    <w:rsid w:val="00DF7EDC"/>
    <w:rsid w:val="00E029C1"/>
    <w:rsid w:val="00E05A0D"/>
    <w:rsid w:val="00E06CF8"/>
    <w:rsid w:val="00E10553"/>
    <w:rsid w:val="00E20089"/>
    <w:rsid w:val="00E212EF"/>
    <w:rsid w:val="00E254AE"/>
    <w:rsid w:val="00E26157"/>
    <w:rsid w:val="00E2676C"/>
    <w:rsid w:val="00E26EDB"/>
    <w:rsid w:val="00E26FAB"/>
    <w:rsid w:val="00E2711C"/>
    <w:rsid w:val="00E36199"/>
    <w:rsid w:val="00E40C87"/>
    <w:rsid w:val="00E428FD"/>
    <w:rsid w:val="00E509F5"/>
    <w:rsid w:val="00E51E9C"/>
    <w:rsid w:val="00E544D0"/>
    <w:rsid w:val="00E545E3"/>
    <w:rsid w:val="00E54A34"/>
    <w:rsid w:val="00E54BA8"/>
    <w:rsid w:val="00E55198"/>
    <w:rsid w:val="00E57AAC"/>
    <w:rsid w:val="00E70859"/>
    <w:rsid w:val="00E712C2"/>
    <w:rsid w:val="00E720B6"/>
    <w:rsid w:val="00E73080"/>
    <w:rsid w:val="00E73E35"/>
    <w:rsid w:val="00E77626"/>
    <w:rsid w:val="00E8548B"/>
    <w:rsid w:val="00E86733"/>
    <w:rsid w:val="00E93614"/>
    <w:rsid w:val="00EA1098"/>
    <w:rsid w:val="00EA13EC"/>
    <w:rsid w:val="00EA2FCC"/>
    <w:rsid w:val="00EA5D5C"/>
    <w:rsid w:val="00EA7930"/>
    <w:rsid w:val="00EB28A4"/>
    <w:rsid w:val="00EB3A50"/>
    <w:rsid w:val="00EB4112"/>
    <w:rsid w:val="00EB5CCA"/>
    <w:rsid w:val="00EB603D"/>
    <w:rsid w:val="00EB7CDC"/>
    <w:rsid w:val="00EC399C"/>
    <w:rsid w:val="00EC46BD"/>
    <w:rsid w:val="00EC7BA3"/>
    <w:rsid w:val="00ED0F3B"/>
    <w:rsid w:val="00ED2D6D"/>
    <w:rsid w:val="00ED4ED0"/>
    <w:rsid w:val="00ED7466"/>
    <w:rsid w:val="00EE08EB"/>
    <w:rsid w:val="00EF1C97"/>
    <w:rsid w:val="00EF28F3"/>
    <w:rsid w:val="00EF423B"/>
    <w:rsid w:val="00F03990"/>
    <w:rsid w:val="00F03BE5"/>
    <w:rsid w:val="00F04648"/>
    <w:rsid w:val="00F10A33"/>
    <w:rsid w:val="00F17421"/>
    <w:rsid w:val="00F17590"/>
    <w:rsid w:val="00F176C0"/>
    <w:rsid w:val="00F230A1"/>
    <w:rsid w:val="00F25263"/>
    <w:rsid w:val="00F25DFE"/>
    <w:rsid w:val="00F2672F"/>
    <w:rsid w:val="00F26E5A"/>
    <w:rsid w:val="00F33998"/>
    <w:rsid w:val="00F34A9A"/>
    <w:rsid w:val="00F40593"/>
    <w:rsid w:val="00F41DDF"/>
    <w:rsid w:val="00F51641"/>
    <w:rsid w:val="00F5375E"/>
    <w:rsid w:val="00F54E52"/>
    <w:rsid w:val="00F558F2"/>
    <w:rsid w:val="00F55B92"/>
    <w:rsid w:val="00F60DB4"/>
    <w:rsid w:val="00F628CE"/>
    <w:rsid w:val="00F66B4D"/>
    <w:rsid w:val="00F67D86"/>
    <w:rsid w:val="00F71561"/>
    <w:rsid w:val="00F8357F"/>
    <w:rsid w:val="00F92B5F"/>
    <w:rsid w:val="00F94B0E"/>
    <w:rsid w:val="00F960BD"/>
    <w:rsid w:val="00FB647F"/>
    <w:rsid w:val="00FB6CFA"/>
    <w:rsid w:val="00FC1447"/>
    <w:rsid w:val="00FC385A"/>
    <w:rsid w:val="00FD11DC"/>
    <w:rsid w:val="00FD411F"/>
    <w:rsid w:val="00FD5A79"/>
    <w:rsid w:val="00FE0932"/>
    <w:rsid w:val="00FE5EB1"/>
    <w:rsid w:val="00FE684D"/>
    <w:rsid w:val="00FF1B1E"/>
    <w:rsid w:val="01733C4D"/>
    <w:rsid w:val="01763C6F"/>
    <w:rsid w:val="01B867DE"/>
    <w:rsid w:val="06F64A2E"/>
    <w:rsid w:val="08E61E0C"/>
    <w:rsid w:val="090F2982"/>
    <w:rsid w:val="0993788B"/>
    <w:rsid w:val="09D04B63"/>
    <w:rsid w:val="0AEF3C6B"/>
    <w:rsid w:val="0B2E57C2"/>
    <w:rsid w:val="0C0E1F6A"/>
    <w:rsid w:val="0D093559"/>
    <w:rsid w:val="0DD20B35"/>
    <w:rsid w:val="0FB8338C"/>
    <w:rsid w:val="11005262"/>
    <w:rsid w:val="112F146F"/>
    <w:rsid w:val="12E45C0A"/>
    <w:rsid w:val="1343356C"/>
    <w:rsid w:val="13C6732F"/>
    <w:rsid w:val="13EE1FD8"/>
    <w:rsid w:val="154C7D66"/>
    <w:rsid w:val="15687E07"/>
    <w:rsid w:val="162D1F82"/>
    <w:rsid w:val="16900A1D"/>
    <w:rsid w:val="176522C3"/>
    <w:rsid w:val="17A3069C"/>
    <w:rsid w:val="1A631B29"/>
    <w:rsid w:val="1ACA1129"/>
    <w:rsid w:val="1CEE7733"/>
    <w:rsid w:val="1DC0634E"/>
    <w:rsid w:val="1DF72A7B"/>
    <w:rsid w:val="1E3C1D07"/>
    <w:rsid w:val="21745D5D"/>
    <w:rsid w:val="2289602C"/>
    <w:rsid w:val="22B3277A"/>
    <w:rsid w:val="23FF0286"/>
    <w:rsid w:val="26167656"/>
    <w:rsid w:val="272D353D"/>
    <w:rsid w:val="2CB273E9"/>
    <w:rsid w:val="2CBB4D10"/>
    <w:rsid w:val="2DF1294A"/>
    <w:rsid w:val="309176A8"/>
    <w:rsid w:val="328862B4"/>
    <w:rsid w:val="32AB3BE8"/>
    <w:rsid w:val="33524697"/>
    <w:rsid w:val="366527F3"/>
    <w:rsid w:val="368D0983"/>
    <w:rsid w:val="380D2546"/>
    <w:rsid w:val="3A163D3E"/>
    <w:rsid w:val="3A9462C6"/>
    <w:rsid w:val="3B36198C"/>
    <w:rsid w:val="3BD461C7"/>
    <w:rsid w:val="3ED5153D"/>
    <w:rsid w:val="402D56F1"/>
    <w:rsid w:val="413F35B6"/>
    <w:rsid w:val="42EC5ED9"/>
    <w:rsid w:val="448F70AB"/>
    <w:rsid w:val="44DE40BC"/>
    <w:rsid w:val="45A12266"/>
    <w:rsid w:val="466E57CF"/>
    <w:rsid w:val="46FD2EC5"/>
    <w:rsid w:val="47E75BA5"/>
    <w:rsid w:val="497A2348"/>
    <w:rsid w:val="4B2C18E1"/>
    <w:rsid w:val="4CA25671"/>
    <w:rsid w:val="4D17152D"/>
    <w:rsid w:val="4D882746"/>
    <w:rsid w:val="4E1E2678"/>
    <w:rsid w:val="4E881B26"/>
    <w:rsid w:val="4EE16656"/>
    <w:rsid w:val="4F652DD4"/>
    <w:rsid w:val="51732BF6"/>
    <w:rsid w:val="51FD48B5"/>
    <w:rsid w:val="539D4AF8"/>
    <w:rsid w:val="54647439"/>
    <w:rsid w:val="550D6839"/>
    <w:rsid w:val="551C289F"/>
    <w:rsid w:val="570A6AC8"/>
    <w:rsid w:val="579874AD"/>
    <w:rsid w:val="58883189"/>
    <w:rsid w:val="59627BBD"/>
    <w:rsid w:val="5A7003F0"/>
    <w:rsid w:val="5C4202EB"/>
    <w:rsid w:val="5D3A2619"/>
    <w:rsid w:val="5E115EED"/>
    <w:rsid w:val="5EBD29F4"/>
    <w:rsid w:val="5F60290F"/>
    <w:rsid w:val="62A87639"/>
    <w:rsid w:val="631B2441"/>
    <w:rsid w:val="643757AC"/>
    <w:rsid w:val="645020AC"/>
    <w:rsid w:val="6498196B"/>
    <w:rsid w:val="64FC57EF"/>
    <w:rsid w:val="671F7A50"/>
    <w:rsid w:val="68F40D3B"/>
    <w:rsid w:val="69E10747"/>
    <w:rsid w:val="6A5C76BF"/>
    <w:rsid w:val="6CEA21C3"/>
    <w:rsid w:val="701D7026"/>
    <w:rsid w:val="70D46D14"/>
    <w:rsid w:val="71226BF6"/>
    <w:rsid w:val="713B7C54"/>
    <w:rsid w:val="715B5B84"/>
    <w:rsid w:val="71CA76B3"/>
    <w:rsid w:val="726857CC"/>
    <w:rsid w:val="74D73B06"/>
    <w:rsid w:val="783B2A1D"/>
    <w:rsid w:val="79516FD2"/>
    <w:rsid w:val="79A66404"/>
    <w:rsid w:val="7A7A3D91"/>
    <w:rsid w:val="7B1D314F"/>
    <w:rsid w:val="7B4217EF"/>
    <w:rsid w:val="7D48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iPriority="0" w:semiHidden="0" w:name="E-mail Signature"/>
    <w:lsdException w:qFormat="1" w:unhideWhenUsed="0" w:uiPriority="0" w:semiHidden="0" w:name="Normal (Web)"/>
    <w:lsdException w:uiPriority="99" w:name="HTML Acronym"/>
    <w:lsdException w:qFormat="1" w:uiPriority="0" w:semiHidden="0"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qFormat="1" w:unhideWhenUsed="0" w:uiPriority="99" w:semiHidden="0"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qFormat="1" w:unhideWhenUsed="0" w:uiPriority="0" w:semiHidden="0" w:name="Table Web 1"/>
    <w:lsdException w:qFormat="1" w:unhideWhenUsed="0" w:uiPriority="0" w:semiHidden="0"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qFormat="1" w:uiPriority="66"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iPriority="61"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1"/>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12"/>
    <w:qFormat/>
    <w:uiPriority w:val="99"/>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6"/>
    <w:link w:val="114"/>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7">
    <w:name w:val="heading 4"/>
    <w:basedOn w:val="1"/>
    <w:next w:val="1"/>
    <w:link w:val="115"/>
    <w:qFormat/>
    <w:uiPriority w:val="0"/>
    <w:pPr>
      <w:keepNext/>
      <w:widowControl/>
      <w:spacing w:before="240" w:after="60"/>
      <w:jc w:val="left"/>
      <w:outlineLvl w:val="3"/>
    </w:pPr>
    <w:rPr>
      <w:rFonts w:ascii="Arial" w:hAnsi="Arial"/>
      <w:b/>
      <w:kern w:val="0"/>
      <w:sz w:val="24"/>
    </w:rPr>
  </w:style>
  <w:style w:type="paragraph" w:styleId="8">
    <w:name w:val="heading 5"/>
    <w:basedOn w:val="1"/>
    <w:next w:val="1"/>
    <w:link w:val="116"/>
    <w:qFormat/>
    <w:uiPriority w:val="0"/>
    <w:pPr>
      <w:keepNext/>
      <w:keepLines/>
      <w:spacing w:before="280" w:after="290" w:line="376" w:lineRule="auto"/>
      <w:outlineLvl w:val="4"/>
    </w:pPr>
    <w:rPr>
      <w:b/>
      <w:bCs/>
      <w:sz w:val="28"/>
      <w:szCs w:val="28"/>
    </w:rPr>
  </w:style>
  <w:style w:type="paragraph" w:styleId="9">
    <w:name w:val="heading 6"/>
    <w:basedOn w:val="1"/>
    <w:next w:val="1"/>
    <w:link w:val="117"/>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18"/>
    <w:qFormat/>
    <w:uiPriority w:val="0"/>
    <w:pPr>
      <w:keepNext/>
      <w:keepLines/>
      <w:spacing w:before="240" w:after="64" w:line="320" w:lineRule="auto"/>
      <w:outlineLvl w:val="6"/>
    </w:pPr>
    <w:rPr>
      <w:b/>
      <w:bCs/>
      <w:sz w:val="24"/>
      <w:szCs w:val="24"/>
    </w:rPr>
  </w:style>
  <w:style w:type="paragraph" w:styleId="11">
    <w:name w:val="heading 8"/>
    <w:basedOn w:val="1"/>
    <w:next w:val="1"/>
    <w:link w:val="119"/>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120"/>
    <w:qFormat/>
    <w:uiPriority w:val="0"/>
    <w:pPr>
      <w:keepNext/>
      <w:keepLines/>
      <w:tabs>
        <w:tab w:val="left" w:pos="0"/>
      </w:tabs>
      <w:adjustRightInd w:val="0"/>
      <w:spacing w:line="360" w:lineRule="atLeast"/>
      <w:ind w:left="2591"/>
      <w:textAlignment w:val="baseline"/>
      <w:outlineLvl w:val="8"/>
    </w:pPr>
    <w:rPr>
      <w:kern w:val="0"/>
      <w:sz w:val="24"/>
    </w:rPr>
  </w:style>
  <w:style w:type="character" w:default="1" w:styleId="9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67"/>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4"/>
      <w:lang w:val="en-US" w:eastAsia="zh-CN" w:bidi="ar-SA"/>
    </w:rPr>
  </w:style>
  <w:style w:type="paragraph" w:styleId="6">
    <w:name w:val="Normal Indent"/>
    <w:basedOn w:val="1"/>
    <w:link w:val="113"/>
    <w:qFormat/>
    <w:uiPriority w:val="0"/>
    <w:pPr>
      <w:adjustRightInd w:val="0"/>
      <w:spacing w:line="360" w:lineRule="atLeast"/>
      <w:ind w:firstLine="482"/>
    </w:pPr>
    <w:rPr>
      <w:kern w:val="0"/>
      <w:sz w:val="24"/>
    </w:rPr>
  </w:style>
  <w:style w:type="paragraph" w:styleId="13">
    <w:name w:val="List 3"/>
    <w:basedOn w:val="1"/>
    <w:unhideWhenUsed/>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List Number 2"/>
    <w:basedOn w:val="1"/>
    <w:qFormat/>
    <w:uiPriority w:val="0"/>
    <w:pPr>
      <w:tabs>
        <w:tab w:val="left" w:pos="780"/>
      </w:tabs>
      <w:ind w:left="780" w:leftChars="200" w:hanging="340"/>
    </w:pPr>
    <w:rPr>
      <w:szCs w:val="24"/>
    </w:rPr>
  </w:style>
  <w:style w:type="paragraph" w:styleId="16">
    <w:name w:val="table of authorities"/>
    <w:basedOn w:val="1"/>
    <w:next w:val="1"/>
    <w:unhideWhenUsed/>
    <w:qFormat/>
    <w:uiPriority w:val="0"/>
    <w:pPr>
      <w:ind w:left="420" w:leftChars="200"/>
    </w:pPr>
  </w:style>
  <w:style w:type="paragraph" w:styleId="17">
    <w:name w:val="Note Heading"/>
    <w:basedOn w:val="1"/>
    <w:next w:val="1"/>
    <w:link w:val="321"/>
    <w:qFormat/>
    <w:uiPriority w:val="0"/>
    <w:pPr>
      <w:spacing w:line="360" w:lineRule="auto"/>
      <w:jc w:val="center"/>
    </w:pPr>
    <w:rPr>
      <w:rFonts w:asciiTheme="minorHAnsi" w:hAnsiTheme="minorHAnsi" w:eastAsiaTheme="minorEastAsia" w:cstheme="minorBidi"/>
      <w:sz w:val="24"/>
      <w:szCs w:val="24"/>
    </w:rPr>
  </w:style>
  <w:style w:type="paragraph" w:styleId="18">
    <w:name w:val="List Bullet 4"/>
    <w:basedOn w:val="1"/>
    <w:qFormat/>
    <w:uiPriority w:val="0"/>
    <w:pPr>
      <w:adjustRightInd w:val="0"/>
      <w:spacing w:line="360" w:lineRule="auto"/>
      <w:textAlignment w:val="baseline"/>
    </w:pPr>
    <w:rPr>
      <w:kern w:val="0"/>
      <w:sz w:val="24"/>
      <w:szCs w:val="24"/>
    </w:rPr>
  </w:style>
  <w:style w:type="paragraph" w:styleId="19">
    <w:name w:val="index 8"/>
    <w:basedOn w:val="1"/>
    <w:next w:val="1"/>
    <w:unhideWhenUsed/>
    <w:qFormat/>
    <w:uiPriority w:val="0"/>
    <w:pPr>
      <w:ind w:left="1400" w:leftChars="1400"/>
    </w:pPr>
  </w:style>
  <w:style w:type="paragraph" w:styleId="20">
    <w:name w:val="E-mail Signature"/>
    <w:basedOn w:val="1"/>
    <w:link w:val="348"/>
    <w:unhideWhenUsed/>
    <w:qFormat/>
    <w:uiPriority w:val="0"/>
    <w:rPr>
      <w:rFonts w:asciiTheme="minorHAnsi" w:hAnsiTheme="minorHAnsi" w:eastAsiaTheme="minorEastAsia" w:cstheme="minorBidi"/>
      <w:szCs w:val="22"/>
    </w:rPr>
  </w:style>
  <w:style w:type="paragraph" w:styleId="21">
    <w:name w:val="List Number"/>
    <w:basedOn w:val="1"/>
    <w:qFormat/>
    <w:uiPriority w:val="0"/>
    <w:pPr>
      <w:tabs>
        <w:tab w:val="left" w:pos="420"/>
      </w:tabs>
      <w:ind w:left="420" w:hanging="420"/>
    </w:pPr>
    <w:rPr>
      <w:szCs w:val="24"/>
    </w:rPr>
  </w:style>
  <w:style w:type="paragraph" w:styleId="22">
    <w:name w:val="caption"/>
    <w:basedOn w:val="1"/>
    <w:next w:val="1"/>
    <w:qFormat/>
    <w:uiPriority w:val="0"/>
    <w:rPr>
      <w:rFonts w:ascii="Arial" w:hAnsi="Arial" w:eastAsia="黑体" w:cs="Arial"/>
      <w:sz w:val="20"/>
    </w:rPr>
  </w:style>
  <w:style w:type="paragraph" w:styleId="23">
    <w:name w:val="index 5"/>
    <w:basedOn w:val="1"/>
    <w:next w:val="1"/>
    <w:unhideWhenUsed/>
    <w:qFormat/>
    <w:uiPriority w:val="0"/>
    <w:pPr>
      <w:ind w:left="800" w:leftChars="800"/>
    </w:pPr>
  </w:style>
  <w:style w:type="paragraph" w:styleId="24">
    <w:name w:val="List Bullet"/>
    <w:basedOn w:val="1"/>
    <w:qFormat/>
    <w:uiPriority w:val="0"/>
    <w:pPr>
      <w:spacing w:line="500" w:lineRule="exact"/>
      <w:ind w:left="840" w:firstLine="420"/>
    </w:pPr>
    <w:rPr>
      <w:b/>
      <w:sz w:val="24"/>
      <w:szCs w:val="24"/>
    </w:rPr>
  </w:style>
  <w:style w:type="paragraph" w:styleId="25">
    <w:name w:val="envelope address"/>
    <w:basedOn w:val="1"/>
    <w:unhideWhenUsed/>
    <w:qFormat/>
    <w:uiPriority w:val="0"/>
    <w:pPr>
      <w:framePr w:w="7920" w:h="1980"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206"/>
    <w:qFormat/>
    <w:uiPriority w:val="0"/>
    <w:pPr>
      <w:shd w:val="clear" w:color="auto" w:fill="000080"/>
    </w:pPr>
    <w:rPr>
      <w:rFonts w:asciiTheme="minorHAnsi" w:hAnsiTheme="minorHAnsi" w:eastAsiaTheme="minorEastAsia" w:cstheme="minorBidi"/>
      <w:szCs w:val="22"/>
    </w:rPr>
  </w:style>
  <w:style w:type="paragraph" w:styleId="27">
    <w:name w:val="toa heading"/>
    <w:basedOn w:val="1"/>
    <w:next w:val="1"/>
    <w:unhideWhenUsed/>
    <w:qFormat/>
    <w:uiPriority w:val="0"/>
    <w:pPr>
      <w:spacing w:before="120"/>
    </w:pPr>
    <w:rPr>
      <w:rFonts w:ascii="Arial" w:hAnsi="Arial" w:cs="Arial"/>
      <w:sz w:val="24"/>
      <w:szCs w:val="24"/>
    </w:rPr>
  </w:style>
  <w:style w:type="paragraph" w:styleId="28">
    <w:name w:val="annotation text"/>
    <w:basedOn w:val="1"/>
    <w:link w:val="176"/>
    <w:unhideWhenUsed/>
    <w:qFormat/>
    <w:uiPriority w:val="99"/>
    <w:pPr>
      <w:jc w:val="left"/>
    </w:pPr>
  </w:style>
  <w:style w:type="paragraph" w:styleId="29">
    <w:name w:val="index 6"/>
    <w:basedOn w:val="1"/>
    <w:next w:val="1"/>
    <w:unhideWhenUsed/>
    <w:qFormat/>
    <w:uiPriority w:val="0"/>
    <w:pPr>
      <w:ind w:left="1000" w:leftChars="1000"/>
    </w:pPr>
  </w:style>
  <w:style w:type="paragraph" w:styleId="30">
    <w:name w:val="Salutation"/>
    <w:basedOn w:val="1"/>
    <w:next w:val="1"/>
    <w:link w:val="284"/>
    <w:unhideWhenUsed/>
    <w:qFormat/>
    <w:uiPriority w:val="0"/>
    <w:rPr>
      <w:rFonts w:asciiTheme="minorHAnsi" w:hAnsiTheme="minorHAnsi" w:eastAsiaTheme="minorEastAsia" w:cstheme="minorBidi"/>
      <w:szCs w:val="22"/>
    </w:rPr>
  </w:style>
  <w:style w:type="paragraph" w:styleId="31">
    <w:name w:val="Body Text 3"/>
    <w:basedOn w:val="1"/>
    <w:link w:val="141"/>
    <w:qFormat/>
    <w:uiPriority w:val="0"/>
    <w:pPr>
      <w:spacing w:after="120"/>
    </w:pPr>
    <w:rPr>
      <w:rFonts w:asciiTheme="minorHAnsi" w:hAnsiTheme="minorHAnsi" w:cstheme="minorBidi"/>
      <w:sz w:val="16"/>
      <w:szCs w:val="16"/>
    </w:rPr>
  </w:style>
  <w:style w:type="paragraph" w:styleId="32">
    <w:name w:val="Closing"/>
    <w:basedOn w:val="1"/>
    <w:link w:val="248"/>
    <w:unhideWhenUsed/>
    <w:qFormat/>
    <w:uiPriority w:val="0"/>
    <w:pPr>
      <w:ind w:left="100" w:leftChars="2100"/>
    </w:pPr>
    <w:rPr>
      <w:rFonts w:asciiTheme="minorHAnsi" w:hAnsiTheme="minorHAnsi" w:eastAsiaTheme="minorEastAsia" w:cstheme="minorBidi"/>
      <w:szCs w:val="22"/>
    </w:rPr>
  </w:style>
  <w:style w:type="paragraph" w:styleId="33">
    <w:name w:val="List Bullet 3"/>
    <w:basedOn w:val="1"/>
    <w:qFormat/>
    <w:uiPriority w:val="0"/>
    <w:pPr>
      <w:numPr>
        <w:ilvl w:val="0"/>
        <w:numId w:val="2"/>
      </w:numPr>
      <w:tabs>
        <w:tab w:val="left" w:pos="1200"/>
      </w:tabs>
      <w:spacing w:line="360" w:lineRule="auto"/>
    </w:pPr>
  </w:style>
  <w:style w:type="paragraph" w:styleId="34">
    <w:name w:val="Body Text"/>
    <w:basedOn w:val="1"/>
    <w:link w:val="222"/>
    <w:unhideWhenUsed/>
    <w:qFormat/>
    <w:uiPriority w:val="0"/>
    <w:pPr>
      <w:spacing w:after="120"/>
    </w:pPr>
  </w:style>
  <w:style w:type="paragraph" w:styleId="35">
    <w:name w:val="Body Text Indent"/>
    <w:basedOn w:val="1"/>
    <w:link w:val="160"/>
    <w:qFormat/>
    <w:uiPriority w:val="0"/>
    <w:pPr>
      <w:spacing w:after="120"/>
      <w:ind w:left="420" w:leftChars="200"/>
    </w:pPr>
    <w:rPr>
      <w:rFonts w:asciiTheme="minorHAnsi" w:hAnsiTheme="minorHAnsi" w:eastAsiaTheme="minorEastAsia" w:cstheme="minorBidi"/>
      <w:szCs w:val="24"/>
    </w:rPr>
  </w:style>
  <w:style w:type="paragraph" w:styleId="36">
    <w:name w:val="List Number 3"/>
    <w:basedOn w:val="21"/>
    <w:qFormat/>
    <w:uiPriority w:val="0"/>
    <w:pPr>
      <w:widowControl/>
      <w:tabs>
        <w:tab w:val="left" w:pos="644"/>
        <w:tab w:val="clear" w:pos="420"/>
      </w:tabs>
      <w:spacing w:before="120" w:after="180" w:line="240" w:lineRule="atLeast"/>
      <w:ind w:left="641" w:right="720" w:hanging="357"/>
      <w:jc w:val="left"/>
    </w:pPr>
    <w:rPr>
      <w:rFonts w:ascii="Garamond" w:hAnsi="Garamond"/>
      <w:kern w:val="0"/>
      <w:szCs w:val="20"/>
    </w:rPr>
  </w:style>
  <w:style w:type="paragraph" w:styleId="37">
    <w:name w:val="List 2"/>
    <w:basedOn w:val="1"/>
    <w:qFormat/>
    <w:uiPriority w:val="0"/>
    <w:pPr>
      <w:ind w:left="840" w:hanging="420"/>
    </w:pPr>
    <w:rPr>
      <w:rFonts w:ascii="宋体"/>
      <w:color w:val="000000"/>
      <w:sz w:val="22"/>
    </w:rPr>
  </w:style>
  <w:style w:type="paragraph" w:styleId="38">
    <w:name w:val="List Continue"/>
    <w:basedOn w:val="1"/>
    <w:unhideWhenUsed/>
    <w:qFormat/>
    <w:uiPriority w:val="0"/>
    <w:pPr>
      <w:spacing w:after="120"/>
      <w:ind w:left="420" w:leftChars="200"/>
    </w:pPr>
  </w:style>
  <w:style w:type="paragraph" w:styleId="39">
    <w:name w:val="Block Text"/>
    <w:basedOn w:val="1"/>
    <w:qFormat/>
    <w:uiPriority w:val="0"/>
    <w:pPr>
      <w:snapToGrid w:val="0"/>
      <w:spacing w:before="120" w:after="120" w:line="360" w:lineRule="auto"/>
      <w:ind w:left="900" w:leftChars="375" w:right="28" w:firstLine="454"/>
    </w:pPr>
    <w:rPr>
      <w:rFonts w:ascii="宋体" w:hAnsi="宋体" w:cs="宋体"/>
      <w:sz w:val="24"/>
      <w:szCs w:val="24"/>
    </w:rPr>
  </w:style>
  <w:style w:type="paragraph" w:styleId="40">
    <w:name w:val="List Bullet 2"/>
    <w:basedOn w:val="1"/>
    <w:qFormat/>
    <w:uiPriority w:val="0"/>
    <w:pPr>
      <w:tabs>
        <w:tab w:val="left" w:pos="720"/>
      </w:tabs>
    </w:pPr>
    <w:rPr>
      <w:szCs w:val="24"/>
    </w:rPr>
  </w:style>
  <w:style w:type="paragraph" w:styleId="41">
    <w:name w:val="HTML Address"/>
    <w:basedOn w:val="1"/>
    <w:link w:val="228"/>
    <w:unhideWhenUsed/>
    <w:qFormat/>
    <w:uiPriority w:val="0"/>
    <w:rPr>
      <w:rFonts w:asciiTheme="minorHAnsi" w:hAnsiTheme="minorHAnsi" w:eastAsiaTheme="minorEastAsia" w:cstheme="minorBidi"/>
      <w:i/>
      <w:iCs/>
      <w:szCs w:val="22"/>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0"/>
    <w:pPr>
      <w:ind w:left="1680" w:leftChars="800"/>
    </w:pPr>
    <w:rPr>
      <w:rFonts w:ascii="Calibri" w:hAnsi="Calibri"/>
      <w:szCs w:val="22"/>
    </w:rPr>
  </w:style>
  <w:style w:type="paragraph" w:styleId="44">
    <w:name w:val="toc 3"/>
    <w:basedOn w:val="1"/>
    <w:next w:val="1"/>
    <w:qFormat/>
    <w:uiPriority w:val="0"/>
    <w:pPr>
      <w:ind w:left="840" w:leftChars="400"/>
    </w:pPr>
    <w:rPr>
      <w:szCs w:val="24"/>
    </w:rPr>
  </w:style>
  <w:style w:type="paragraph" w:styleId="45">
    <w:name w:val="Plain Text"/>
    <w:basedOn w:val="1"/>
    <w:link w:val="278"/>
    <w:qFormat/>
    <w:uiPriority w:val="0"/>
    <w:pPr>
      <w:widowControl/>
      <w:spacing w:before="100" w:beforeAutospacing="1" w:after="100" w:afterAutospacing="1"/>
      <w:jc w:val="left"/>
    </w:pPr>
    <w:rPr>
      <w:rFonts w:ascii="宋体" w:hAnsi="宋体" w:cstheme="minorBidi"/>
      <w:color w:val="000000"/>
      <w:sz w:val="24"/>
      <w:szCs w:val="22"/>
    </w:rPr>
  </w:style>
  <w:style w:type="paragraph" w:styleId="46">
    <w:name w:val="List Bullet 5"/>
    <w:basedOn w:val="1"/>
    <w:unhideWhenUsed/>
    <w:qFormat/>
    <w:uiPriority w:val="0"/>
    <w:pPr>
      <w:numPr>
        <w:ilvl w:val="0"/>
        <w:numId w:val="3"/>
      </w:numPr>
      <w:tabs>
        <w:tab w:val="left" w:pos="2040"/>
      </w:tabs>
    </w:pPr>
  </w:style>
  <w:style w:type="paragraph" w:styleId="47">
    <w:name w:val="List Number 4"/>
    <w:basedOn w:val="1"/>
    <w:unhideWhenUsed/>
    <w:qFormat/>
    <w:uiPriority w:val="0"/>
    <w:pPr>
      <w:numPr>
        <w:ilvl w:val="0"/>
        <w:numId w:val="4"/>
      </w:numPr>
      <w:tabs>
        <w:tab w:val="left" w:pos="1620"/>
      </w:tabs>
    </w:pPr>
  </w:style>
  <w:style w:type="paragraph" w:styleId="48">
    <w:name w:val="toc 8"/>
    <w:basedOn w:val="1"/>
    <w:next w:val="1"/>
    <w:unhideWhenUsed/>
    <w:qFormat/>
    <w:uiPriority w:val="0"/>
    <w:pPr>
      <w:ind w:left="2940" w:leftChars="1400"/>
    </w:pPr>
    <w:rPr>
      <w:rFonts w:ascii="Calibri" w:hAnsi="Calibri"/>
      <w:szCs w:val="22"/>
    </w:rPr>
  </w:style>
  <w:style w:type="paragraph" w:styleId="49">
    <w:name w:val="index 3"/>
    <w:basedOn w:val="1"/>
    <w:next w:val="1"/>
    <w:qFormat/>
    <w:uiPriority w:val="0"/>
    <w:pPr>
      <w:ind w:left="400" w:leftChars="400"/>
    </w:pPr>
    <w:rPr>
      <w:szCs w:val="24"/>
    </w:rPr>
  </w:style>
  <w:style w:type="paragraph" w:styleId="50">
    <w:name w:val="Date"/>
    <w:basedOn w:val="1"/>
    <w:next w:val="1"/>
    <w:link w:val="208"/>
    <w:qFormat/>
    <w:uiPriority w:val="0"/>
    <w:pPr>
      <w:ind w:left="100" w:leftChars="2500"/>
    </w:pPr>
    <w:rPr>
      <w:rFonts w:asciiTheme="minorHAnsi" w:hAnsiTheme="minorHAnsi" w:eastAsiaTheme="minorEastAsia" w:cstheme="minorBidi"/>
      <w:szCs w:val="22"/>
    </w:rPr>
  </w:style>
  <w:style w:type="paragraph" w:styleId="51">
    <w:name w:val="Body Text Indent 2"/>
    <w:basedOn w:val="1"/>
    <w:link w:val="244"/>
    <w:qFormat/>
    <w:uiPriority w:val="0"/>
    <w:pPr>
      <w:widowControl/>
      <w:autoSpaceDE w:val="0"/>
      <w:autoSpaceDN w:val="0"/>
      <w:adjustRightInd w:val="0"/>
      <w:spacing w:line="360" w:lineRule="auto"/>
      <w:ind w:firstLine="560"/>
      <w:jc w:val="left"/>
    </w:pPr>
    <w:rPr>
      <w:rFonts w:ascii="楷体_GB2312" w:eastAsia="楷体_GB2312" w:hAnsiTheme="minorHAnsi" w:cstheme="minorBidi"/>
      <w:sz w:val="28"/>
      <w:szCs w:val="22"/>
    </w:rPr>
  </w:style>
  <w:style w:type="paragraph" w:styleId="52">
    <w:name w:val="endnote text"/>
    <w:basedOn w:val="1"/>
    <w:link w:val="173"/>
    <w:unhideWhenUsed/>
    <w:qFormat/>
    <w:uiPriority w:val="0"/>
    <w:pPr>
      <w:snapToGrid w:val="0"/>
      <w:jc w:val="left"/>
    </w:pPr>
    <w:rPr>
      <w:rFonts w:asciiTheme="minorHAnsi" w:hAnsiTheme="minorHAnsi" w:eastAsiaTheme="minorEastAsia" w:cstheme="minorBidi"/>
      <w:szCs w:val="22"/>
    </w:rPr>
  </w:style>
  <w:style w:type="paragraph" w:styleId="53">
    <w:name w:val="List Continue 5"/>
    <w:basedOn w:val="1"/>
    <w:unhideWhenUsed/>
    <w:qFormat/>
    <w:uiPriority w:val="0"/>
    <w:pPr>
      <w:spacing w:after="120"/>
      <w:ind w:left="2100" w:leftChars="1000"/>
    </w:pPr>
  </w:style>
  <w:style w:type="paragraph" w:styleId="54">
    <w:name w:val="Balloon Text"/>
    <w:basedOn w:val="1"/>
    <w:link w:val="168"/>
    <w:qFormat/>
    <w:uiPriority w:val="0"/>
    <w:rPr>
      <w:rFonts w:asciiTheme="minorHAnsi" w:hAnsiTheme="minorHAnsi" w:eastAsiaTheme="minorEastAsia" w:cstheme="minorBidi"/>
      <w:sz w:val="18"/>
      <w:szCs w:val="18"/>
    </w:rPr>
  </w:style>
  <w:style w:type="paragraph" w:styleId="55">
    <w:name w:val="footer"/>
    <w:basedOn w:val="1"/>
    <w:link w:val="26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6">
    <w:name w:val="envelope return"/>
    <w:basedOn w:val="1"/>
    <w:unhideWhenUsed/>
    <w:qFormat/>
    <w:uiPriority w:val="0"/>
    <w:pPr>
      <w:snapToGrid w:val="0"/>
    </w:pPr>
    <w:rPr>
      <w:rFonts w:ascii="Arial" w:hAnsi="Arial" w:cs="Arial"/>
    </w:rPr>
  </w:style>
  <w:style w:type="paragraph" w:styleId="57">
    <w:name w:val="header"/>
    <w:basedOn w:val="1"/>
    <w:link w:val="20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58">
    <w:name w:val="Signature"/>
    <w:basedOn w:val="1"/>
    <w:link w:val="153"/>
    <w:unhideWhenUsed/>
    <w:qFormat/>
    <w:uiPriority w:val="0"/>
    <w:pPr>
      <w:ind w:left="100" w:leftChars="2100"/>
    </w:pPr>
    <w:rPr>
      <w:rFonts w:asciiTheme="minorHAnsi" w:hAnsiTheme="minorHAnsi" w:eastAsiaTheme="minorEastAsia" w:cstheme="minorBidi"/>
      <w:szCs w:val="22"/>
    </w:rPr>
  </w:style>
  <w:style w:type="paragraph" w:styleId="59">
    <w:name w:val="toc 1"/>
    <w:basedOn w:val="1"/>
    <w:next w:val="1"/>
    <w:qFormat/>
    <w:uiPriority w:val="0"/>
    <w:rPr>
      <w:szCs w:val="24"/>
    </w:rPr>
  </w:style>
  <w:style w:type="paragraph" w:styleId="60">
    <w:name w:val="List Continue 4"/>
    <w:basedOn w:val="1"/>
    <w:unhideWhenUsed/>
    <w:qFormat/>
    <w:uiPriority w:val="0"/>
    <w:pPr>
      <w:spacing w:after="120"/>
      <w:ind w:left="1680" w:leftChars="800"/>
    </w:pPr>
  </w:style>
  <w:style w:type="paragraph" w:styleId="61">
    <w:name w:val="toc 4"/>
    <w:basedOn w:val="1"/>
    <w:next w:val="1"/>
    <w:unhideWhenUsed/>
    <w:qFormat/>
    <w:uiPriority w:val="0"/>
    <w:pPr>
      <w:ind w:left="1260" w:leftChars="600"/>
    </w:pPr>
    <w:rPr>
      <w:rFonts w:ascii="Calibri" w:hAnsi="Calibri"/>
      <w:szCs w:val="22"/>
    </w:rPr>
  </w:style>
  <w:style w:type="paragraph" w:styleId="62">
    <w:name w:val="index heading"/>
    <w:basedOn w:val="1"/>
    <w:next w:val="63"/>
    <w:unhideWhenUsed/>
    <w:qFormat/>
    <w:uiPriority w:val="0"/>
    <w:rPr>
      <w:rFonts w:ascii="Arial" w:hAnsi="Arial" w:cs="Arial"/>
      <w:b/>
      <w:bCs/>
    </w:rPr>
  </w:style>
  <w:style w:type="paragraph" w:styleId="63">
    <w:name w:val="index 1"/>
    <w:basedOn w:val="1"/>
    <w:next w:val="1"/>
    <w:unhideWhenUsed/>
    <w:qFormat/>
    <w:uiPriority w:val="0"/>
  </w:style>
  <w:style w:type="paragraph" w:styleId="64">
    <w:name w:val="Subtitle"/>
    <w:basedOn w:val="1"/>
    <w:next w:val="1"/>
    <w:link w:val="257"/>
    <w:qFormat/>
    <w:uiPriority w:val="0"/>
    <w:pPr>
      <w:spacing w:before="240" w:after="60" w:line="312" w:lineRule="auto"/>
      <w:jc w:val="center"/>
      <w:outlineLvl w:val="1"/>
    </w:pPr>
    <w:rPr>
      <w:rFonts w:ascii="宋体" w:hAnsi="宋体" w:cstheme="minorBidi"/>
      <w:color w:val="000000"/>
      <w:sz w:val="24"/>
      <w:szCs w:val="24"/>
    </w:rPr>
  </w:style>
  <w:style w:type="paragraph" w:styleId="65">
    <w:name w:val="List Number 5"/>
    <w:basedOn w:val="1"/>
    <w:unhideWhenUsed/>
    <w:qFormat/>
    <w:uiPriority w:val="0"/>
    <w:pPr>
      <w:tabs>
        <w:tab w:val="left" w:pos="360"/>
        <w:tab w:val="left" w:pos="2040"/>
      </w:tabs>
    </w:pPr>
  </w:style>
  <w:style w:type="paragraph" w:styleId="66">
    <w:name w:val="List"/>
    <w:basedOn w:val="1"/>
    <w:qFormat/>
    <w:uiPriority w:val="0"/>
    <w:pPr>
      <w:ind w:left="420" w:hanging="420"/>
    </w:pPr>
    <w:rPr>
      <w:szCs w:val="24"/>
    </w:rPr>
  </w:style>
  <w:style w:type="paragraph" w:styleId="67">
    <w:name w:val="footnote text"/>
    <w:basedOn w:val="1"/>
    <w:link w:val="195"/>
    <w:unhideWhenUsed/>
    <w:qFormat/>
    <w:uiPriority w:val="0"/>
    <w:pPr>
      <w:snapToGrid w:val="0"/>
      <w:jc w:val="left"/>
    </w:pPr>
    <w:rPr>
      <w:rFonts w:asciiTheme="minorHAnsi" w:hAnsiTheme="minorHAnsi" w:eastAsiaTheme="minorEastAsia" w:cstheme="minorBidi"/>
      <w:sz w:val="18"/>
      <w:szCs w:val="18"/>
    </w:rPr>
  </w:style>
  <w:style w:type="paragraph" w:styleId="68">
    <w:name w:val="toc 6"/>
    <w:basedOn w:val="1"/>
    <w:next w:val="1"/>
    <w:unhideWhenUsed/>
    <w:qFormat/>
    <w:uiPriority w:val="0"/>
    <w:pPr>
      <w:ind w:left="2100" w:leftChars="1000"/>
    </w:pPr>
    <w:rPr>
      <w:rFonts w:ascii="Calibri" w:hAnsi="Calibri"/>
      <w:szCs w:val="22"/>
    </w:rPr>
  </w:style>
  <w:style w:type="paragraph" w:styleId="69">
    <w:name w:val="List 5"/>
    <w:basedOn w:val="1"/>
    <w:qFormat/>
    <w:uiPriority w:val="0"/>
    <w:pPr>
      <w:widowControl/>
      <w:spacing w:line="360" w:lineRule="auto"/>
      <w:ind w:left="100" w:leftChars="800" w:hanging="200" w:hangingChars="200"/>
      <w:jc w:val="left"/>
    </w:pPr>
    <w:rPr>
      <w:rFonts w:ascii="宋体"/>
      <w:kern w:val="0"/>
    </w:rPr>
  </w:style>
  <w:style w:type="paragraph" w:styleId="70">
    <w:name w:val="Body Text Indent 3"/>
    <w:basedOn w:val="1"/>
    <w:link w:val="181"/>
    <w:qFormat/>
    <w:uiPriority w:val="99"/>
    <w:pPr>
      <w:spacing w:after="120"/>
      <w:ind w:left="420" w:leftChars="200"/>
    </w:pPr>
    <w:rPr>
      <w:rFonts w:asciiTheme="minorHAnsi" w:hAnsiTheme="minorHAnsi" w:eastAsiaTheme="minorEastAsia" w:cstheme="minorBidi"/>
      <w:sz w:val="16"/>
      <w:szCs w:val="16"/>
    </w:rPr>
  </w:style>
  <w:style w:type="paragraph" w:styleId="71">
    <w:name w:val="index 7"/>
    <w:basedOn w:val="1"/>
    <w:next w:val="1"/>
    <w:unhideWhenUsed/>
    <w:qFormat/>
    <w:uiPriority w:val="0"/>
    <w:pPr>
      <w:ind w:left="1200" w:leftChars="1200"/>
    </w:pPr>
  </w:style>
  <w:style w:type="paragraph" w:styleId="72">
    <w:name w:val="index 9"/>
    <w:basedOn w:val="1"/>
    <w:next w:val="1"/>
    <w:qFormat/>
    <w:uiPriority w:val="0"/>
    <w:pPr>
      <w:spacing w:line="360" w:lineRule="auto"/>
      <w:ind w:left="1600" w:leftChars="1600" w:firstLine="200" w:firstLineChars="200"/>
      <w:jc w:val="left"/>
    </w:pPr>
    <w:rPr>
      <w:sz w:val="24"/>
      <w:szCs w:val="24"/>
    </w:rPr>
  </w:style>
  <w:style w:type="paragraph" w:styleId="73">
    <w:name w:val="table of figures"/>
    <w:basedOn w:val="1"/>
    <w:next w:val="1"/>
    <w:unhideWhenUsed/>
    <w:qFormat/>
    <w:uiPriority w:val="0"/>
    <w:pPr>
      <w:ind w:left="200" w:leftChars="200" w:hanging="200" w:hangingChars="200"/>
    </w:pPr>
  </w:style>
  <w:style w:type="paragraph" w:styleId="74">
    <w:name w:val="toc 2"/>
    <w:basedOn w:val="1"/>
    <w:next w:val="1"/>
    <w:qFormat/>
    <w:uiPriority w:val="0"/>
    <w:pPr>
      <w:ind w:left="420" w:leftChars="200"/>
    </w:pPr>
    <w:rPr>
      <w:szCs w:val="24"/>
    </w:rPr>
  </w:style>
  <w:style w:type="paragraph" w:styleId="75">
    <w:name w:val="toc 9"/>
    <w:basedOn w:val="1"/>
    <w:next w:val="1"/>
    <w:unhideWhenUsed/>
    <w:qFormat/>
    <w:uiPriority w:val="0"/>
    <w:pPr>
      <w:ind w:left="3360" w:leftChars="1600"/>
    </w:pPr>
    <w:rPr>
      <w:rFonts w:ascii="Calibri" w:hAnsi="Calibri"/>
      <w:szCs w:val="22"/>
    </w:rPr>
  </w:style>
  <w:style w:type="paragraph" w:styleId="76">
    <w:name w:val="Body Text 2"/>
    <w:basedOn w:val="1"/>
    <w:link w:val="150"/>
    <w:qFormat/>
    <w:uiPriority w:val="0"/>
    <w:pPr>
      <w:spacing w:after="120" w:line="480" w:lineRule="auto"/>
    </w:pPr>
    <w:rPr>
      <w:rFonts w:asciiTheme="minorHAnsi" w:hAnsiTheme="minorHAnsi" w:eastAsiaTheme="minorEastAsia" w:cstheme="minorBidi"/>
      <w:szCs w:val="24"/>
    </w:rPr>
  </w:style>
  <w:style w:type="paragraph" w:styleId="77">
    <w:name w:val="List 4"/>
    <w:basedOn w:val="1"/>
    <w:unhideWhenUsed/>
    <w:qFormat/>
    <w:uiPriority w:val="0"/>
    <w:pPr>
      <w:ind w:left="100" w:leftChars="600" w:hanging="200" w:hangingChars="200"/>
    </w:pPr>
  </w:style>
  <w:style w:type="paragraph" w:styleId="78">
    <w:name w:val="List Continue 2"/>
    <w:basedOn w:val="1"/>
    <w:unhideWhenUsed/>
    <w:qFormat/>
    <w:uiPriority w:val="0"/>
    <w:pPr>
      <w:spacing w:after="120"/>
      <w:ind w:left="840" w:leftChars="400"/>
    </w:pPr>
  </w:style>
  <w:style w:type="paragraph" w:styleId="79">
    <w:name w:val="Message Header"/>
    <w:basedOn w:val="1"/>
    <w:link w:val="242"/>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4"/>
    </w:rPr>
  </w:style>
  <w:style w:type="paragraph" w:styleId="80">
    <w:name w:val="HTML Preformatted"/>
    <w:basedOn w:val="1"/>
    <w:link w:val="30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theme="minorBidi"/>
      <w:szCs w:val="22"/>
    </w:rPr>
  </w:style>
  <w:style w:type="paragraph" w:styleId="81">
    <w:name w:val="Normal (Web)"/>
    <w:basedOn w:val="1"/>
    <w:link w:val="397"/>
    <w:qFormat/>
    <w:uiPriority w:val="0"/>
    <w:pPr>
      <w:widowControl/>
      <w:spacing w:before="100" w:beforeAutospacing="1" w:after="100" w:afterAutospacing="1"/>
      <w:jc w:val="left"/>
    </w:pPr>
    <w:rPr>
      <w:rFonts w:ascii="宋体" w:hAnsi="宋体"/>
      <w:color w:val="000000"/>
      <w:kern w:val="0"/>
      <w:sz w:val="24"/>
    </w:rPr>
  </w:style>
  <w:style w:type="paragraph" w:styleId="82">
    <w:name w:val="List Continue 3"/>
    <w:basedOn w:val="1"/>
    <w:unhideWhenUsed/>
    <w:qFormat/>
    <w:uiPriority w:val="0"/>
    <w:pPr>
      <w:spacing w:after="120"/>
      <w:ind w:left="1260" w:leftChars="600"/>
    </w:pPr>
  </w:style>
  <w:style w:type="paragraph" w:styleId="83">
    <w:name w:val="index 2"/>
    <w:basedOn w:val="1"/>
    <w:next w:val="1"/>
    <w:qFormat/>
    <w:uiPriority w:val="0"/>
    <w:pPr>
      <w:spacing w:line="360" w:lineRule="auto"/>
      <w:ind w:left="200" w:leftChars="200" w:firstLine="200" w:firstLineChars="200"/>
      <w:jc w:val="left"/>
    </w:pPr>
    <w:rPr>
      <w:sz w:val="24"/>
      <w:szCs w:val="24"/>
    </w:rPr>
  </w:style>
  <w:style w:type="paragraph" w:styleId="84">
    <w:name w:val="Title"/>
    <w:basedOn w:val="1"/>
    <w:link w:val="340"/>
    <w:qFormat/>
    <w:uiPriority w:val="0"/>
    <w:pPr>
      <w:spacing w:before="240" w:after="60" w:line="360" w:lineRule="auto"/>
      <w:ind w:firstLine="200" w:firstLineChars="200"/>
      <w:jc w:val="center"/>
      <w:outlineLvl w:val="0"/>
    </w:pPr>
    <w:rPr>
      <w:rFonts w:ascii="Arial" w:hAnsi="Arial" w:eastAsiaTheme="minorEastAsia" w:cstheme="minorBidi"/>
      <w:b/>
      <w:bCs/>
      <w:sz w:val="32"/>
      <w:szCs w:val="32"/>
    </w:rPr>
  </w:style>
  <w:style w:type="paragraph" w:styleId="85">
    <w:name w:val="annotation subject"/>
    <w:basedOn w:val="28"/>
    <w:next w:val="28"/>
    <w:link w:val="175"/>
    <w:qFormat/>
    <w:uiPriority w:val="0"/>
    <w:rPr>
      <w:rFonts w:asciiTheme="minorHAnsi" w:hAnsiTheme="minorHAnsi" w:eastAsiaTheme="minorEastAsia" w:cstheme="minorBidi"/>
      <w:b/>
      <w:bCs/>
      <w:szCs w:val="22"/>
    </w:rPr>
  </w:style>
  <w:style w:type="paragraph" w:styleId="86">
    <w:name w:val="Body Text First Indent"/>
    <w:basedOn w:val="34"/>
    <w:link w:val="221"/>
    <w:qFormat/>
    <w:uiPriority w:val="0"/>
    <w:pPr>
      <w:ind w:firstLine="420" w:firstLineChars="100"/>
    </w:pPr>
    <w:rPr>
      <w:rFonts w:asciiTheme="minorHAnsi" w:hAnsiTheme="minorHAnsi" w:eastAsiaTheme="minorEastAsia" w:cstheme="minorBidi"/>
      <w:szCs w:val="24"/>
    </w:rPr>
  </w:style>
  <w:style w:type="paragraph" w:styleId="87">
    <w:name w:val="Body Text First Indent 2"/>
    <w:basedOn w:val="35"/>
    <w:link w:val="310"/>
    <w:unhideWhenUsed/>
    <w:qFormat/>
    <w:uiPriority w:val="0"/>
    <w:pPr>
      <w:ind w:firstLine="420" w:firstLineChars="200"/>
    </w:pPr>
  </w:style>
  <w:style w:type="table" w:styleId="89">
    <w:name w:val="Table Grid"/>
    <w:basedOn w:val="8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99"/>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Web 1"/>
    <w:basedOn w:val="88"/>
    <w:qFormat/>
    <w:uiPriority w:val="0"/>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88"/>
    <w:qFormat/>
    <w:uiPriority w:val="0"/>
    <w:pPr>
      <w:widowControl w:val="0"/>
      <w:numPr>
        <w:numId w:val="5"/>
      </w:numPr>
      <w:ind w:left="0" w:firstLine="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Professional"/>
    <w:basedOn w:val="88"/>
    <w:qFormat/>
    <w:uiPriority w:val="0"/>
    <w:pPr>
      <w:widowControl w:val="0"/>
      <w:spacing w:line="360" w:lineRule="auto"/>
      <w:ind w:firstLine="200" w:firstLineChars="200"/>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97">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98">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100">
    <w:name w:val="Strong"/>
    <w:qFormat/>
    <w:uiPriority w:val="0"/>
    <w:rPr>
      <w:b/>
      <w:bCs/>
    </w:rPr>
  </w:style>
  <w:style w:type="character" w:styleId="101">
    <w:name w:val="page number"/>
    <w:basedOn w:val="99"/>
    <w:qFormat/>
    <w:uiPriority w:val="0"/>
  </w:style>
  <w:style w:type="character" w:styleId="102">
    <w:name w:val="FollowedHyperlink"/>
    <w:unhideWhenUsed/>
    <w:qFormat/>
    <w:uiPriority w:val="99"/>
    <w:rPr>
      <w:color w:val="800080"/>
      <w:u w:val="single"/>
    </w:rPr>
  </w:style>
  <w:style w:type="character" w:styleId="103">
    <w:name w:val="Emphasis"/>
    <w:qFormat/>
    <w:uiPriority w:val="0"/>
    <w:rPr>
      <w:color w:val="CC0033"/>
    </w:rPr>
  </w:style>
  <w:style w:type="character" w:styleId="104">
    <w:name w:val="HTML Definition"/>
    <w:unhideWhenUsed/>
    <w:qFormat/>
    <w:uiPriority w:val="99"/>
    <w:rPr>
      <w:i/>
    </w:rPr>
  </w:style>
  <w:style w:type="character" w:styleId="105">
    <w:name w:val="HTML Typewriter"/>
    <w:qFormat/>
    <w:uiPriority w:val="0"/>
    <w:rPr>
      <w:rFonts w:ascii="黑体" w:hAnsi="Courier New" w:eastAsia="黑体" w:cs="Courier New"/>
      <w:sz w:val="20"/>
      <w:szCs w:val="20"/>
    </w:rPr>
  </w:style>
  <w:style w:type="character" w:styleId="106">
    <w:name w:val="Hyperlink"/>
    <w:qFormat/>
    <w:uiPriority w:val="99"/>
    <w:rPr>
      <w:color w:val="003386"/>
      <w:u w:val="none"/>
    </w:rPr>
  </w:style>
  <w:style w:type="character" w:styleId="107">
    <w:name w:val="HTML Code"/>
    <w:unhideWhenUsed/>
    <w:qFormat/>
    <w:uiPriority w:val="99"/>
    <w:rPr>
      <w:rFonts w:hint="default" w:ascii="Consolas" w:hAnsi="Consolas" w:eastAsia="Consolas" w:cs="Consolas"/>
      <w:color w:val="C7254E"/>
      <w:sz w:val="21"/>
      <w:szCs w:val="21"/>
      <w:shd w:val="clear" w:color="auto" w:fill="F9F2F4"/>
    </w:rPr>
  </w:style>
  <w:style w:type="character" w:styleId="108">
    <w:name w:val="annotation reference"/>
    <w:qFormat/>
    <w:uiPriority w:val="99"/>
    <w:rPr>
      <w:sz w:val="21"/>
      <w:szCs w:val="21"/>
    </w:rPr>
  </w:style>
  <w:style w:type="character" w:styleId="109">
    <w:name w:val="HTML Keyboard"/>
    <w:unhideWhenUsed/>
    <w:qFormat/>
    <w:uiPriority w:val="99"/>
    <w:rPr>
      <w:rFonts w:hint="default" w:ascii="Consolas" w:hAnsi="Consolas" w:eastAsia="Consolas" w:cs="Consolas"/>
      <w:color w:val="FFFFFF"/>
      <w:sz w:val="21"/>
      <w:szCs w:val="21"/>
      <w:shd w:val="clear" w:color="auto" w:fill="333333"/>
    </w:rPr>
  </w:style>
  <w:style w:type="character" w:styleId="110">
    <w:name w:val="HTML Sample"/>
    <w:unhideWhenUsed/>
    <w:qFormat/>
    <w:uiPriority w:val="99"/>
    <w:rPr>
      <w:rFonts w:ascii="Consolas" w:hAnsi="Consolas" w:eastAsia="Consolas" w:cs="Consolas"/>
      <w:sz w:val="21"/>
      <w:szCs w:val="21"/>
    </w:rPr>
  </w:style>
  <w:style w:type="character" w:customStyle="1" w:styleId="111">
    <w:name w:val="标题 1 字符1"/>
    <w:link w:val="3"/>
    <w:qFormat/>
    <w:uiPriority w:val="0"/>
    <w:rPr>
      <w:rFonts w:ascii="宋体" w:hAnsi="Arial" w:eastAsia="黑体" w:cs="Times New Roman"/>
      <w:b/>
      <w:color w:val="000000"/>
      <w:kern w:val="44"/>
      <w:sz w:val="36"/>
      <w:szCs w:val="20"/>
    </w:rPr>
  </w:style>
  <w:style w:type="character" w:customStyle="1" w:styleId="112">
    <w:name w:val="标题 2 字符1"/>
    <w:link w:val="4"/>
    <w:qFormat/>
    <w:uiPriority w:val="0"/>
    <w:rPr>
      <w:rFonts w:ascii="Arial" w:hAnsi="Arial" w:eastAsia="黑体" w:cs="Times New Roman"/>
      <w:b/>
      <w:bCs/>
      <w:sz w:val="32"/>
      <w:szCs w:val="32"/>
    </w:rPr>
  </w:style>
  <w:style w:type="character" w:customStyle="1" w:styleId="113">
    <w:name w:val="正文缩进 字符"/>
    <w:link w:val="6"/>
    <w:qFormat/>
    <w:uiPriority w:val="0"/>
    <w:rPr>
      <w:rFonts w:ascii="Times New Roman" w:hAnsi="Times New Roman" w:eastAsia="宋体" w:cs="Times New Roman"/>
      <w:kern w:val="0"/>
      <w:sz w:val="24"/>
      <w:szCs w:val="20"/>
    </w:rPr>
  </w:style>
  <w:style w:type="character" w:customStyle="1" w:styleId="114">
    <w:name w:val="标题 3 字符1"/>
    <w:link w:val="5"/>
    <w:qFormat/>
    <w:uiPriority w:val="0"/>
    <w:rPr>
      <w:rFonts w:ascii="黑体" w:hAnsi="Times New Roman" w:eastAsia="黑体" w:cs="Times New Roman"/>
      <w:b/>
      <w:color w:val="000000"/>
      <w:kern w:val="0"/>
      <w:sz w:val="28"/>
      <w:szCs w:val="20"/>
    </w:rPr>
  </w:style>
  <w:style w:type="character" w:customStyle="1" w:styleId="115">
    <w:name w:val="标题 4 字符1"/>
    <w:link w:val="7"/>
    <w:qFormat/>
    <w:uiPriority w:val="0"/>
    <w:rPr>
      <w:rFonts w:ascii="Arial" w:hAnsi="Arial" w:eastAsia="宋体" w:cs="Times New Roman"/>
      <w:b/>
      <w:kern w:val="0"/>
      <w:sz w:val="24"/>
      <w:szCs w:val="20"/>
    </w:rPr>
  </w:style>
  <w:style w:type="character" w:customStyle="1" w:styleId="116">
    <w:name w:val="标题 5 字符1"/>
    <w:link w:val="8"/>
    <w:qFormat/>
    <w:uiPriority w:val="0"/>
    <w:rPr>
      <w:rFonts w:ascii="Times New Roman" w:hAnsi="Times New Roman" w:eastAsia="宋体" w:cs="Times New Roman"/>
      <w:b/>
      <w:bCs/>
      <w:sz w:val="28"/>
      <w:szCs w:val="28"/>
    </w:rPr>
  </w:style>
  <w:style w:type="character" w:customStyle="1" w:styleId="117">
    <w:name w:val="标题 6 字符1"/>
    <w:link w:val="9"/>
    <w:qFormat/>
    <w:uiPriority w:val="0"/>
    <w:rPr>
      <w:rFonts w:ascii="Arial" w:hAnsi="Arial" w:eastAsia="黑体" w:cs="Times New Roman"/>
      <w:b/>
      <w:bCs/>
      <w:sz w:val="24"/>
      <w:szCs w:val="24"/>
    </w:rPr>
  </w:style>
  <w:style w:type="character" w:customStyle="1" w:styleId="118">
    <w:name w:val="标题 7 字符1"/>
    <w:link w:val="10"/>
    <w:qFormat/>
    <w:uiPriority w:val="0"/>
    <w:rPr>
      <w:rFonts w:ascii="Times New Roman" w:hAnsi="Times New Roman" w:eastAsia="宋体" w:cs="Times New Roman"/>
      <w:b/>
      <w:bCs/>
      <w:sz w:val="24"/>
      <w:szCs w:val="24"/>
    </w:rPr>
  </w:style>
  <w:style w:type="character" w:customStyle="1" w:styleId="119">
    <w:name w:val="标题 8 字符1"/>
    <w:link w:val="11"/>
    <w:qFormat/>
    <w:uiPriority w:val="0"/>
    <w:rPr>
      <w:rFonts w:ascii="Arial" w:hAnsi="Arial" w:eastAsia="黑体" w:cs="Times New Roman"/>
      <w:sz w:val="24"/>
      <w:szCs w:val="24"/>
    </w:rPr>
  </w:style>
  <w:style w:type="character" w:customStyle="1" w:styleId="120">
    <w:name w:val="标题 9 字符1"/>
    <w:link w:val="12"/>
    <w:qFormat/>
    <w:uiPriority w:val="0"/>
    <w:rPr>
      <w:rFonts w:ascii="Times New Roman" w:hAnsi="Times New Roman" w:eastAsia="宋体" w:cs="Times New Roman"/>
      <w:kern w:val="0"/>
      <w:sz w:val="24"/>
      <w:szCs w:val="20"/>
    </w:rPr>
  </w:style>
  <w:style w:type="character" w:customStyle="1" w:styleId="121">
    <w:name w:val="标题 1 字符"/>
    <w:basedOn w:val="99"/>
    <w:qFormat/>
    <w:uiPriority w:val="9"/>
    <w:rPr>
      <w:rFonts w:ascii="Times New Roman" w:hAnsi="Times New Roman" w:eastAsia="宋体" w:cs="Times New Roman"/>
      <w:b/>
      <w:bCs/>
      <w:kern w:val="44"/>
      <w:sz w:val="44"/>
      <w:szCs w:val="44"/>
    </w:rPr>
  </w:style>
  <w:style w:type="character" w:customStyle="1" w:styleId="122">
    <w:name w:val="标题 2 字符"/>
    <w:basedOn w:val="99"/>
    <w:qFormat/>
    <w:uiPriority w:val="0"/>
    <w:rPr>
      <w:rFonts w:asciiTheme="majorHAnsi" w:hAnsiTheme="majorHAnsi" w:eastAsiaTheme="majorEastAsia" w:cstheme="majorBidi"/>
      <w:b/>
      <w:bCs/>
      <w:sz w:val="32"/>
      <w:szCs w:val="32"/>
    </w:rPr>
  </w:style>
  <w:style w:type="character" w:customStyle="1" w:styleId="123">
    <w:name w:val="标题 3 字符"/>
    <w:basedOn w:val="99"/>
    <w:qFormat/>
    <w:uiPriority w:val="0"/>
    <w:rPr>
      <w:rFonts w:ascii="Times New Roman" w:hAnsi="Times New Roman" w:eastAsia="宋体" w:cs="Times New Roman"/>
      <w:b/>
      <w:bCs/>
      <w:sz w:val="32"/>
      <w:szCs w:val="32"/>
    </w:rPr>
  </w:style>
  <w:style w:type="character" w:customStyle="1" w:styleId="124">
    <w:name w:val="标题 4 字符"/>
    <w:basedOn w:val="99"/>
    <w:qFormat/>
    <w:uiPriority w:val="0"/>
    <w:rPr>
      <w:rFonts w:asciiTheme="majorHAnsi" w:hAnsiTheme="majorHAnsi" w:eastAsiaTheme="majorEastAsia" w:cstheme="majorBidi"/>
      <w:b/>
      <w:bCs/>
      <w:sz w:val="28"/>
      <w:szCs w:val="28"/>
    </w:rPr>
  </w:style>
  <w:style w:type="character" w:customStyle="1" w:styleId="125">
    <w:name w:val="标题 5 字符"/>
    <w:basedOn w:val="99"/>
    <w:qFormat/>
    <w:uiPriority w:val="0"/>
    <w:rPr>
      <w:rFonts w:ascii="Times New Roman" w:hAnsi="Times New Roman" w:eastAsia="宋体" w:cs="Times New Roman"/>
      <w:b/>
      <w:bCs/>
      <w:sz w:val="28"/>
      <w:szCs w:val="28"/>
    </w:rPr>
  </w:style>
  <w:style w:type="character" w:customStyle="1" w:styleId="126">
    <w:name w:val="标题 6 字符"/>
    <w:basedOn w:val="99"/>
    <w:qFormat/>
    <w:uiPriority w:val="0"/>
    <w:rPr>
      <w:rFonts w:asciiTheme="majorHAnsi" w:hAnsiTheme="majorHAnsi" w:eastAsiaTheme="majorEastAsia" w:cstheme="majorBidi"/>
      <w:b/>
      <w:bCs/>
      <w:sz w:val="24"/>
      <w:szCs w:val="24"/>
    </w:rPr>
  </w:style>
  <w:style w:type="character" w:customStyle="1" w:styleId="127">
    <w:name w:val="标题 7 字符"/>
    <w:basedOn w:val="99"/>
    <w:qFormat/>
    <w:uiPriority w:val="0"/>
    <w:rPr>
      <w:rFonts w:ascii="Times New Roman" w:hAnsi="Times New Roman" w:eastAsia="宋体" w:cs="Times New Roman"/>
      <w:b/>
      <w:bCs/>
      <w:sz w:val="24"/>
      <w:szCs w:val="24"/>
    </w:rPr>
  </w:style>
  <w:style w:type="character" w:customStyle="1" w:styleId="128">
    <w:name w:val="标题 8 字符"/>
    <w:basedOn w:val="99"/>
    <w:qFormat/>
    <w:uiPriority w:val="0"/>
    <w:rPr>
      <w:rFonts w:asciiTheme="majorHAnsi" w:hAnsiTheme="majorHAnsi" w:eastAsiaTheme="majorEastAsia" w:cstheme="majorBidi"/>
      <w:sz w:val="24"/>
      <w:szCs w:val="24"/>
    </w:rPr>
  </w:style>
  <w:style w:type="character" w:customStyle="1" w:styleId="129">
    <w:name w:val="标题 9 字符"/>
    <w:basedOn w:val="99"/>
    <w:qFormat/>
    <w:uiPriority w:val="0"/>
    <w:rPr>
      <w:rFonts w:asciiTheme="majorHAnsi" w:hAnsiTheme="majorHAnsi" w:eastAsiaTheme="majorEastAsia" w:cstheme="majorBidi"/>
      <w:szCs w:val="21"/>
    </w:rPr>
  </w:style>
  <w:style w:type="character" w:customStyle="1" w:styleId="130">
    <w:name w:val="Figure Char"/>
    <w:qFormat/>
    <w:uiPriority w:val="0"/>
    <w:rPr>
      <w:rFonts w:ascii="Arial" w:hAnsi="Arial" w:eastAsia="黑体" w:cs="Arial"/>
      <w:kern w:val="2"/>
      <w:sz w:val="24"/>
      <w:szCs w:val="24"/>
      <w:lang w:val="en-US" w:eastAsia="zh-CN" w:bidi="ar-SA"/>
    </w:rPr>
  </w:style>
  <w:style w:type="character" w:customStyle="1" w:styleId="131">
    <w:name w:val="smalltxt1"/>
    <w:qFormat/>
    <w:uiPriority w:val="0"/>
    <w:rPr>
      <w:rFonts w:hint="default" w:ascii="ˎ̥" w:hAnsi="ˎ̥"/>
      <w:sz w:val="24"/>
      <w:szCs w:val="24"/>
    </w:rPr>
  </w:style>
  <w:style w:type="character" w:customStyle="1" w:styleId="132">
    <w:name w:val="样式 仿宋_GB2312 小三 首行缩进:  0.95 厘米 Char Char"/>
    <w:link w:val="133"/>
    <w:qFormat/>
    <w:uiPriority w:val="0"/>
    <w:rPr>
      <w:rFonts w:ascii="仿宋_GB2312" w:hAnsi="宋体" w:eastAsia="仿宋_GB2312"/>
      <w:sz w:val="30"/>
      <w:szCs w:val="28"/>
    </w:rPr>
  </w:style>
  <w:style w:type="paragraph" w:customStyle="1" w:styleId="133">
    <w:name w:val="样式 仿宋_GB2312 小三 首行缩进:  0.95 厘米 Char"/>
    <w:basedOn w:val="1"/>
    <w:link w:val="132"/>
    <w:qFormat/>
    <w:uiPriority w:val="0"/>
    <w:pPr>
      <w:ind w:firstLine="540"/>
    </w:pPr>
    <w:rPr>
      <w:rFonts w:ascii="仿宋_GB2312" w:hAnsi="宋体" w:eastAsia="仿宋_GB2312" w:cstheme="minorBidi"/>
      <w:sz w:val="30"/>
      <w:szCs w:val="28"/>
    </w:rPr>
  </w:style>
  <w:style w:type="character" w:customStyle="1" w:styleId="134">
    <w:name w:val="普通文字 Char Char2"/>
    <w:qFormat/>
    <w:uiPriority w:val="0"/>
    <w:rPr>
      <w:rFonts w:ascii="宋体" w:hAnsi="宋体" w:eastAsia="宋体"/>
      <w:color w:val="000000"/>
      <w:sz w:val="24"/>
      <w:szCs w:val="24"/>
      <w:lang w:val="en-US" w:eastAsia="zh-CN" w:bidi="ar-SA"/>
    </w:rPr>
  </w:style>
  <w:style w:type="character" w:customStyle="1" w:styleId="135">
    <w:name w:val="Table Text Char1"/>
    <w:qFormat/>
    <w:uiPriority w:val="0"/>
    <w:rPr>
      <w:rFonts w:ascii="Arial" w:hAnsi="Arial"/>
      <w:sz w:val="18"/>
    </w:rPr>
  </w:style>
  <w:style w:type="character" w:customStyle="1" w:styleId="136">
    <w:name w:val="Char Char2"/>
    <w:qFormat/>
    <w:uiPriority w:val="0"/>
    <w:rPr>
      <w:rFonts w:ascii="宋体" w:hAnsi="宋体" w:eastAsia="宋体"/>
      <w:color w:val="000000"/>
      <w:sz w:val="24"/>
      <w:szCs w:val="24"/>
      <w:lang w:val="en-US" w:eastAsia="zh-CN" w:bidi="ar-SA"/>
    </w:rPr>
  </w:style>
  <w:style w:type="character" w:customStyle="1" w:styleId="137">
    <w:name w:val="正文1 Char"/>
    <w:link w:val="138"/>
    <w:qFormat/>
    <w:uiPriority w:val="0"/>
    <w:rPr>
      <w:sz w:val="28"/>
      <w:szCs w:val="24"/>
      <w:lang w:val="sq-AL"/>
    </w:rPr>
  </w:style>
  <w:style w:type="paragraph" w:customStyle="1" w:styleId="138">
    <w:name w:val="正文1"/>
    <w:basedOn w:val="1"/>
    <w:link w:val="137"/>
    <w:qFormat/>
    <w:uiPriority w:val="0"/>
    <w:pPr>
      <w:spacing w:line="480" w:lineRule="exact"/>
      <w:ind w:firstLine="567"/>
    </w:pPr>
    <w:rPr>
      <w:rFonts w:asciiTheme="minorHAnsi" w:hAnsiTheme="minorHAnsi" w:eastAsiaTheme="minorEastAsia" w:cstheme="minorBidi"/>
      <w:sz w:val="28"/>
      <w:szCs w:val="24"/>
      <w:lang w:val="sq-AL"/>
    </w:rPr>
  </w:style>
  <w:style w:type="character" w:customStyle="1" w:styleId="139">
    <w:name w:val="title_emph1"/>
    <w:qFormat/>
    <w:uiPriority w:val="0"/>
    <w:rPr>
      <w:rFonts w:hint="default" w:ascii="Arial" w:hAnsi="Arial" w:cs="Arial"/>
      <w:b/>
      <w:bCs/>
      <w:sz w:val="24"/>
      <w:szCs w:val="24"/>
    </w:rPr>
  </w:style>
  <w:style w:type="character" w:customStyle="1" w:styleId="140">
    <w:name w:val="Spec Body Copy1"/>
    <w:qFormat/>
    <w:uiPriority w:val="0"/>
    <w:rPr>
      <w:rFonts w:ascii="Bembo" w:hAnsi="Bembo"/>
      <w:color w:val="000000"/>
      <w:spacing w:val="0"/>
      <w:w w:val="100"/>
      <w:position w:val="0"/>
      <w:sz w:val="19"/>
      <w:u w:val="none"/>
      <w:vertAlign w:val="baseline"/>
    </w:rPr>
  </w:style>
  <w:style w:type="character" w:customStyle="1" w:styleId="141">
    <w:name w:val="正文文本 3 字符1"/>
    <w:link w:val="31"/>
    <w:qFormat/>
    <w:uiPriority w:val="0"/>
    <w:rPr>
      <w:rFonts w:eastAsia="宋体"/>
      <w:sz w:val="16"/>
      <w:szCs w:val="16"/>
    </w:rPr>
  </w:style>
  <w:style w:type="character" w:customStyle="1" w:styleId="142">
    <w:name w:val="正文文本 3 字符"/>
    <w:basedOn w:val="99"/>
    <w:semiHidden/>
    <w:qFormat/>
    <w:uiPriority w:val="99"/>
    <w:rPr>
      <w:rFonts w:ascii="Times New Roman" w:hAnsi="Times New Roman" w:eastAsia="宋体" w:cs="Times New Roman"/>
      <w:sz w:val="16"/>
      <w:szCs w:val="16"/>
    </w:rPr>
  </w:style>
  <w:style w:type="character" w:customStyle="1" w:styleId="143">
    <w:name w:val="wen Char1"/>
    <w:qFormat/>
    <w:uiPriority w:val="0"/>
    <w:rPr>
      <w:rFonts w:ascii="Arial" w:hAnsi="Arial" w:eastAsia="宋体"/>
      <w:bCs/>
      <w:kern w:val="2"/>
      <w:sz w:val="24"/>
      <w:szCs w:val="24"/>
      <w:lang w:val="en-US" w:eastAsia="zh-CN" w:bidi="ar-SA"/>
    </w:rPr>
  </w:style>
  <w:style w:type="character" w:customStyle="1" w:styleId="144">
    <w:name w:val="文字 Char"/>
    <w:link w:val="145"/>
    <w:qFormat/>
    <w:uiPriority w:val="0"/>
    <w:rPr>
      <w:rFonts w:ascii="宋体"/>
      <w:sz w:val="28"/>
    </w:rPr>
  </w:style>
  <w:style w:type="paragraph" w:customStyle="1" w:styleId="145">
    <w:name w:val="文字"/>
    <w:basedOn w:val="1"/>
    <w:link w:val="144"/>
    <w:qFormat/>
    <w:uiPriority w:val="0"/>
    <w:pPr>
      <w:tabs>
        <w:tab w:val="left" w:pos="8520"/>
      </w:tabs>
      <w:spacing w:line="312" w:lineRule="auto"/>
      <w:ind w:right="-210" w:firstLine="556"/>
    </w:pPr>
    <w:rPr>
      <w:rFonts w:ascii="宋体" w:hAnsiTheme="minorHAnsi" w:eastAsiaTheme="minorEastAsia" w:cstheme="minorBidi"/>
      <w:sz w:val="28"/>
      <w:szCs w:val="22"/>
    </w:rPr>
  </w:style>
  <w:style w:type="character" w:customStyle="1" w:styleId="146">
    <w:name w:val="wen Char2"/>
    <w:link w:val="147"/>
    <w:qFormat/>
    <w:uiPriority w:val="0"/>
    <w:rPr>
      <w:rFonts w:ascii="Arial" w:hAnsi="Arial"/>
      <w:sz w:val="24"/>
      <w:szCs w:val="24"/>
      <w:lang w:val="zh-CN" w:eastAsia="zh-CN"/>
    </w:rPr>
  </w:style>
  <w:style w:type="paragraph" w:customStyle="1" w:styleId="147">
    <w:name w:val="wen"/>
    <w:basedOn w:val="1"/>
    <w:link w:val="146"/>
    <w:qFormat/>
    <w:uiPriority w:val="0"/>
    <w:pPr>
      <w:spacing w:beforeLines="50" w:afterLines="50" w:line="360" w:lineRule="auto"/>
      <w:ind w:firstLine="480" w:firstLineChars="200"/>
    </w:pPr>
    <w:rPr>
      <w:rFonts w:ascii="Arial" w:hAnsi="Arial" w:eastAsiaTheme="minorEastAsia" w:cstheme="minorBidi"/>
      <w:sz w:val="24"/>
      <w:szCs w:val="24"/>
      <w:lang w:val="zh-CN"/>
    </w:rPr>
  </w:style>
  <w:style w:type="character" w:customStyle="1" w:styleId="148">
    <w:name w:val="正文文字3 Char Char"/>
    <w:qFormat/>
    <w:uiPriority w:val="0"/>
    <w:rPr>
      <w:kern w:val="2"/>
      <w:sz w:val="21"/>
      <w:szCs w:val="24"/>
    </w:rPr>
  </w:style>
  <w:style w:type="character" w:customStyle="1" w:styleId="149">
    <w:name w:val="12pixblack1"/>
    <w:qFormat/>
    <w:uiPriority w:val="0"/>
    <w:rPr>
      <w:color w:val="000000"/>
      <w:sz w:val="24"/>
      <w:szCs w:val="24"/>
      <w:u w:val="none"/>
    </w:rPr>
  </w:style>
  <w:style w:type="character" w:customStyle="1" w:styleId="150">
    <w:name w:val="正文文本 2 字符1"/>
    <w:link w:val="76"/>
    <w:qFormat/>
    <w:uiPriority w:val="0"/>
    <w:rPr>
      <w:szCs w:val="24"/>
    </w:rPr>
  </w:style>
  <w:style w:type="character" w:customStyle="1" w:styleId="151">
    <w:name w:val="正文文本 2 字符"/>
    <w:basedOn w:val="99"/>
    <w:semiHidden/>
    <w:qFormat/>
    <w:uiPriority w:val="99"/>
    <w:rPr>
      <w:rFonts w:ascii="Times New Roman" w:hAnsi="Times New Roman" w:eastAsia="宋体" w:cs="Times New Roman"/>
      <w:szCs w:val="20"/>
    </w:rPr>
  </w:style>
  <w:style w:type="character" w:customStyle="1" w:styleId="152">
    <w:name w:val="price5"/>
    <w:qFormat/>
    <w:uiPriority w:val="0"/>
    <w:rPr>
      <w:color w:val="CC0000"/>
    </w:rPr>
  </w:style>
  <w:style w:type="character" w:customStyle="1" w:styleId="153">
    <w:name w:val="签名 字符1"/>
    <w:link w:val="58"/>
    <w:qFormat/>
    <w:uiPriority w:val="0"/>
  </w:style>
  <w:style w:type="character" w:customStyle="1" w:styleId="154">
    <w:name w:val="签名 字符"/>
    <w:basedOn w:val="99"/>
    <w:semiHidden/>
    <w:qFormat/>
    <w:uiPriority w:val="99"/>
    <w:rPr>
      <w:rFonts w:ascii="Times New Roman" w:hAnsi="Times New Roman" w:eastAsia="宋体" w:cs="Times New Roman"/>
      <w:szCs w:val="20"/>
    </w:rPr>
  </w:style>
  <w:style w:type="character" w:customStyle="1" w:styleId="155">
    <w:name w:val="style2611"/>
    <w:qFormat/>
    <w:uiPriority w:val="0"/>
    <w:rPr>
      <w:sz w:val="18"/>
      <w:szCs w:val="18"/>
    </w:rPr>
  </w:style>
  <w:style w:type="character" w:customStyle="1" w:styleId="156">
    <w:name w:val="五号正文（标准） Char"/>
    <w:link w:val="157"/>
    <w:qFormat/>
    <w:uiPriority w:val="0"/>
    <w:rPr>
      <w:rFonts w:ascii="宋体" w:hAnsi="宋体"/>
      <w:sz w:val="24"/>
      <w:szCs w:val="21"/>
    </w:rPr>
  </w:style>
  <w:style w:type="paragraph" w:customStyle="1" w:styleId="157">
    <w:name w:val="五号正文（标准）"/>
    <w:basedOn w:val="1"/>
    <w:link w:val="156"/>
    <w:qFormat/>
    <w:uiPriority w:val="0"/>
    <w:pPr>
      <w:spacing w:line="360" w:lineRule="auto"/>
      <w:ind w:firstLine="360" w:firstLineChars="150"/>
    </w:pPr>
    <w:rPr>
      <w:rFonts w:ascii="宋体" w:hAnsi="宋体" w:eastAsiaTheme="minorEastAsia" w:cstheme="minorBidi"/>
      <w:sz w:val="24"/>
      <w:szCs w:val="21"/>
    </w:rPr>
  </w:style>
  <w:style w:type="character" w:customStyle="1" w:styleId="158">
    <w:name w:val="rda_null1"/>
    <w:qFormat/>
    <w:uiPriority w:val="0"/>
    <w:rPr>
      <w:i/>
      <w:iCs/>
    </w:rPr>
  </w:style>
  <w:style w:type="character" w:customStyle="1" w:styleId="159">
    <w:name w:val="font-12"/>
    <w:qFormat/>
    <w:uiPriority w:val="0"/>
  </w:style>
  <w:style w:type="character" w:customStyle="1" w:styleId="160">
    <w:name w:val="正文文本缩进 字符1"/>
    <w:link w:val="35"/>
    <w:qFormat/>
    <w:uiPriority w:val="99"/>
    <w:rPr>
      <w:szCs w:val="24"/>
    </w:rPr>
  </w:style>
  <w:style w:type="character" w:customStyle="1" w:styleId="161">
    <w:name w:val="正文文本缩进 字符"/>
    <w:basedOn w:val="99"/>
    <w:semiHidden/>
    <w:qFormat/>
    <w:uiPriority w:val="99"/>
    <w:rPr>
      <w:rFonts w:ascii="Times New Roman" w:hAnsi="Times New Roman" w:eastAsia="宋体" w:cs="Times New Roman"/>
      <w:szCs w:val="20"/>
    </w:rPr>
  </w:style>
  <w:style w:type="character" w:customStyle="1" w:styleId="162">
    <w:name w:val="style31"/>
    <w:qFormat/>
    <w:uiPriority w:val="0"/>
    <w:rPr>
      <w:sz w:val="21"/>
      <w:szCs w:val="21"/>
    </w:rPr>
  </w:style>
  <w:style w:type="character" w:customStyle="1" w:styleId="163">
    <w:name w:val="lineheight1"/>
    <w:qFormat/>
    <w:uiPriority w:val="0"/>
    <w:rPr>
      <w:u w:val="none"/>
    </w:rPr>
  </w:style>
  <w:style w:type="character" w:customStyle="1" w:styleId="164">
    <w:name w:val="gold"/>
    <w:qFormat/>
    <w:uiPriority w:val="0"/>
  </w:style>
  <w:style w:type="character" w:customStyle="1" w:styleId="165">
    <w:name w:val="fl ml15 b fs14 mt2 titlecont 60_230_10_60_-50_25_true"/>
    <w:qFormat/>
    <w:uiPriority w:val="0"/>
  </w:style>
  <w:style w:type="character" w:customStyle="1" w:styleId="166">
    <w:name w:val="百姓X Char"/>
    <w:qFormat/>
    <w:uiPriority w:val="0"/>
    <w:rPr>
      <w:rFonts w:ascii="Arial Narrow" w:hAnsi="Arial Narrow" w:eastAsia="宋体"/>
      <w:kern w:val="2"/>
      <w:sz w:val="24"/>
      <w:szCs w:val="24"/>
      <w:lang w:val="en-US" w:eastAsia="zh-CN" w:bidi="ar-SA"/>
    </w:rPr>
  </w:style>
  <w:style w:type="character" w:customStyle="1" w:styleId="167">
    <w:name w:val="style81"/>
    <w:qFormat/>
    <w:uiPriority w:val="0"/>
    <w:rPr>
      <w:sz w:val="18"/>
      <w:szCs w:val="18"/>
    </w:rPr>
  </w:style>
  <w:style w:type="character" w:customStyle="1" w:styleId="168">
    <w:name w:val="批注框文本 字符1"/>
    <w:link w:val="54"/>
    <w:qFormat/>
    <w:uiPriority w:val="0"/>
    <w:rPr>
      <w:sz w:val="18"/>
      <w:szCs w:val="18"/>
    </w:rPr>
  </w:style>
  <w:style w:type="character" w:customStyle="1" w:styleId="169">
    <w:name w:val="批注框文本 字符"/>
    <w:basedOn w:val="99"/>
    <w:qFormat/>
    <w:uiPriority w:val="0"/>
    <w:rPr>
      <w:rFonts w:ascii="Times New Roman" w:hAnsi="Times New Roman" w:eastAsia="宋体" w:cs="Times New Roman"/>
      <w:sz w:val="18"/>
      <w:szCs w:val="18"/>
    </w:rPr>
  </w:style>
  <w:style w:type="character" w:customStyle="1" w:styleId="170">
    <w:name w:val="Character UserEntry"/>
    <w:qFormat/>
    <w:uiPriority w:val="0"/>
    <w:rPr>
      <w:color w:val="FF0000"/>
    </w:rPr>
  </w:style>
  <w:style w:type="character" w:customStyle="1" w:styleId="171">
    <w:name w:val="apple-style-span"/>
    <w:basedOn w:val="99"/>
    <w:qFormat/>
    <w:uiPriority w:val="0"/>
  </w:style>
  <w:style w:type="character" w:customStyle="1" w:styleId="172">
    <w:name w:val="正文文本 2 Char1"/>
    <w:semiHidden/>
    <w:qFormat/>
    <w:uiPriority w:val="99"/>
    <w:rPr>
      <w:kern w:val="2"/>
      <w:sz w:val="21"/>
    </w:rPr>
  </w:style>
  <w:style w:type="character" w:customStyle="1" w:styleId="173">
    <w:name w:val="尾注文本 字符1"/>
    <w:link w:val="52"/>
    <w:qFormat/>
    <w:uiPriority w:val="0"/>
  </w:style>
  <w:style w:type="character" w:customStyle="1" w:styleId="174">
    <w:name w:val="尾注文本 字符"/>
    <w:basedOn w:val="99"/>
    <w:semiHidden/>
    <w:qFormat/>
    <w:uiPriority w:val="99"/>
    <w:rPr>
      <w:rFonts w:ascii="Times New Roman" w:hAnsi="Times New Roman" w:eastAsia="宋体" w:cs="Times New Roman"/>
      <w:szCs w:val="20"/>
    </w:rPr>
  </w:style>
  <w:style w:type="character" w:customStyle="1" w:styleId="175">
    <w:name w:val="批注主题 字符1"/>
    <w:link w:val="85"/>
    <w:qFormat/>
    <w:uiPriority w:val="0"/>
    <w:rPr>
      <w:b/>
      <w:bCs/>
    </w:rPr>
  </w:style>
  <w:style w:type="character" w:customStyle="1" w:styleId="176">
    <w:name w:val="批注文字 字符"/>
    <w:basedOn w:val="99"/>
    <w:link w:val="28"/>
    <w:qFormat/>
    <w:uiPriority w:val="99"/>
    <w:rPr>
      <w:rFonts w:ascii="Times New Roman" w:hAnsi="Times New Roman" w:eastAsia="宋体" w:cs="Times New Roman"/>
      <w:szCs w:val="20"/>
    </w:rPr>
  </w:style>
  <w:style w:type="character" w:customStyle="1" w:styleId="177">
    <w:name w:val="批注主题 字符"/>
    <w:basedOn w:val="176"/>
    <w:qFormat/>
    <w:uiPriority w:val="0"/>
    <w:rPr>
      <w:rFonts w:ascii="Times New Roman" w:hAnsi="Times New Roman" w:eastAsia="宋体" w:cs="Times New Roman"/>
      <w:b/>
      <w:bCs/>
      <w:szCs w:val="20"/>
    </w:rPr>
  </w:style>
  <w:style w:type="character" w:customStyle="1" w:styleId="178">
    <w:name w:val="批注文字 Char"/>
    <w:qFormat/>
    <w:uiPriority w:val="0"/>
    <w:rPr>
      <w:rFonts w:eastAsia="宋体"/>
      <w:kern w:val="2"/>
      <w:sz w:val="21"/>
      <w:lang w:val="en-US" w:eastAsia="zh-CN" w:bidi="ar-SA"/>
    </w:rPr>
  </w:style>
  <w:style w:type="character" w:customStyle="1" w:styleId="179">
    <w:name w:val="副标题 Char"/>
    <w:qFormat/>
    <w:uiPriority w:val="0"/>
    <w:rPr>
      <w:rFonts w:ascii="Cambria" w:hAnsi="Cambria"/>
      <w:b/>
      <w:bCs/>
      <w:kern w:val="28"/>
      <w:sz w:val="32"/>
      <w:szCs w:val="32"/>
    </w:rPr>
  </w:style>
  <w:style w:type="character" w:customStyle="1" w:styleId="180">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181">
    <w:name w:val="正文文本缩进 3 字符1"/>
    <w:link w:val="70"/>
    <w:qFormat/>
    <w:uiPriority w:val="0"/>
    <w:rPr>
      <w:sz w:val="16"/>
      <w:szCs w:val="16"/>
    </w:rPr>
  </w:style>
  <w:style w:type="character" w:customStyle="1" w:styleId="182">
    <w:name w:val="正文文本缩进 3 字符"/>
    <w:basedOn w:val="99"/>
    <w:semiHidden/>
    <w:qFormat/>
    <w:uiPriority w:val="99"/>
    <w:rPr>
      <w:rFonts w:ascii="Times New Roman" w:hAnsi="Times New Roman" w:eastAsia="宋体" w:cs="Times New Roman"/>
      <w:sz w:val="16"/>
      <w:szCs w:val="16"/>
    </w:rPr>
  </w:style>
  <w:style w:type="character" w:customStyle="1" w:styleId="183">
    <w:name w:val="p15"/>
    <w:qFormat/>
    <w:uiPriority w:val="0"/>
  </w:style>
  <w:style w:type="character" w:customStyle="1" w:styleId="184">
    <w:name w:val="F1 Char"/>
    <w:link w:val="185"/>
    <w:qFormat/>
    <w:uiPriority w:val="0"/>
    <w:rPr>
      <w:rFonts w:ascii="EU-F1" w:eastAsia="黑体"/>
    </w:rPr>
  </w:style>
  <w:style w:type="paragraph" w:customStyle="1" w:styleId="185">
    <w:name w:val="F1"/>
    <w:basedOn w:val="1"/>
    <w:link w:val="184"/>
    <w:qFormat/>
    <w:uiPriority w:val="0"/>
    <w:pPr>
      <w:topLinePunct/>
      <w:spacing w:line="312" w:lineRule="exact"/>
    </w:pPr>
    <w:rPr>
      <w:rFonts w:ascii="EU-F1" w:eastAsia="黑体" w:hAnsiTheme="minorHAnsi" w:cstheme="minorBidi"/>
      <w:szCs w:val="22"/>
    </w:rPr>
  </w:style>
  <w:style w:type="character" w:customStyle="1" w:styleId="186">
    <w:name w:val="方案文档 Char"/>
    <w:link w:val="187"/>
    <w:qFormat/>
    <w:uiPriority w:val="0"/>
    <w:rPr>
      <w:rFonts w:ascii="仿宋_GB2312" w:eastAsia="仿宋_GB2312"/>
      <w:bCs/>
      <w:sz w:val="24"/>
      <w:szCs w:val="24"/>
    </w:rPr>
  </w:style>
  <w:style w:type="paragraph" w:customStyle="1" w:styleId="187">
    <w:name w:val="方案文档"/>
    <w:basedOn w:val="1"/>
    <w:link w:val="186"/>
    <w:qFormat/>
    <w:uiPriority w:val="0"/>
    <w:pPr>
      <w:spacing w:before="120" w:after="120" w:line="360" w:lineRule="auto"/>
      <w:ind w:firstLine="600" w:firstLineChars="250"/>
    </w:pPr>
    <w:rPr>
      <w:rFonts w:ascii="仿宋_GB2312" w:eastAsia="仿宋_GB2312" w:hAnsiTheme="minorHAnsi" w:cstheme="minorBidi"/>
      <w:bCs/>
      <w:sz w:val="24"/>
      <w:szCs w:val="24"/>
    </w:rPr>
  </w:style>
  <w:style w:type="character" w:customStyle="1" w:styleId="188">
    <w:name w:val="style141"/>
    <w:qFormat/>
    <w:uiPriority w:val="0"/>
    <w:rPr>
      <w:color w:val="3E3E3E"/>
      <w:sz w:val="18"/>
      <w:szCs w:val="18"/>
    </w:rPr>
  </w:style>
  <w:style w:type="character" w:customStyle="1" w:styleId="189">
    <w:name w:val="标题 1 Char Char"/>
    <w:qFormat/>
    <w:uiPriority w:val="0"/>
    <w:rPr>
      <w:rFonts w:eastAsia="宋体"/>
      <w:b/>
      <w:bCs/>
      <w:kern w:val="44"/>
      <w:sz w:val="44"/>
      <w:szCs w:val="44"/>
      <w:lang w:val="en-US" w:eastAsia="zh-CN" w:bidi="ar-SA"/>
    </w:rPr>
  </w:style>
  <w:style w:type="character" w:customStyle="1" w:styleId="190">
    <w:name w:val="grayd12 h24"/>
    <w:basedOn w:val="99"/>
    <w:qFormat/>
    <w:uiPriority w:val="0"/>
  </w:style>
  <w:style w:type="character" w:customStyle="1" w:styleId="191">
    <w:name w:val="H5 Char1"/>
    <w:qFormat/>
    <w:uiPriority w:val="0"/>
    <w:rPr>
      <w:rFonts w:eastAsia="宋体"/>
      <w:b/>
      <w:bCs/>
      <w:kern w:val="2"/>
      <w:sz w:val="28"/>
      <w:szCs w:val="28"/>
      <w:lang w:val="en-US" w:eastAsia="zh-CN" w:bidi="ar-SA"/>
    </w:rPr>
  </w:style>
  <w:style w:type="character" w:customStyle="1" w:styleId="192">
    <w:name w:val="D2 Char Char"/>
    <w:link w:val="193"/>
    <w:qFormat/>
    <w:uiPriority w:val="0"/>
    <w:rPr>
      <w:rFonts w:ascii="EU-F1" w:eastAsia="黑体"/>
      <w:kern w:val="21"/>
    </w:rPr>
  </w:style>
  <w:style w:type="paragraph" w:customStyle="1" w:styleId="193">
    <w:name w:val="D2"/>
    <w:basedOn w:val="1"/>
    <w:link w:val="192"/>
    <w:qFormat/>
    <w:uiPriority w:val="0"/>
    <w:pPr>
      <w:spacing w:line="312" w:lineRule="exact"/>
    </w:pPr>
    <w:rPr>
      <w:rFonts w:ascii="EU-F1" w:eastAsia="黑体" w:hAnsiTheme="minorHAnsi" w:cstheme="minorBidi"/>
      <w:kern w:val="21"/>
      <w:szCs w:val="22"/>
    </w:rPr>
  </w:style>
  <w:style w:type="character" w:customStyle="1" w:styleId="194">
    <w:name w:val="标题 2 Char1"/>
    <w:qFormat/>
    <w:uiPriority w:val="0"/>
    <w:rPr>
      <w:rFonts w:ascii="Arial" w:hAnsi="Arial" w:eastAsia="黑体" w:cs="Times New Roman"/>
      <w:b/>
      <w:bCs/>
      <w:sz w:val="32"/>
      <w:szCs w:val="32"/>
    </w:rPr>
  </w:style>
  <w:style w:type="character" w:customStyle="1" w:styleId="195">
    <w:name w:val="脚注文本 字符1"/>
    <w:link w:val="67"/>
    <w:qFormat/>
    <w:uiPriority w:val="0"/>
    <w:rPr>
      <w:sz w:val="18"/>
      <w:szCs w:val="18"/>
    </w:rPr>
  </w:style>
  <w:style w:type="character" w:customStyle="1" w:styleId="196">
    <w:name w:val="脚注文本 字符"/>
    <w:basedOn w:val="99"/>
    <w:semiHidden/>
    <w:qFormat/>
    <w:uiPriority w:val="99"/>
    <w:rPr>
      <w:rFonts w:ascii="Times New Roman" w:hAnsi="Times New Roman" w:eastAsia="宋体" w:cs="Times New Roman"/>
      <w:sz w:val="18"/>
      <w:szCs w:val="18"/>
    </w:rPr>
  </w:style>
  <w:style w:type="character" w:customStyle="1" w:styleId="197">
    <w:name w:val="H5 Char"/>
    <w:qFormat/>
    <w:uiPriority w:val="0"/>
    <w:rPr>
      <w:b/>
      <w:bCs/>
      <w:kern w:val="2"/>
      <w:sz w:val="28"/>
      <w:szCs w:val="28"/>
    </w:rPr>
  </w:style>
  <w:style w:type="character" w:customStyle="1" w:styleId="198">
    <w:name w:val="Char Char Char Char Char Char Char Char Char1"/>
    <w:qFormat/>
    <w:uiPriority w:val="0"/>
    <w:rPr>
      <w:rFonts w:ascii="宋体" w:hAnsi="宋体" w:eastAsia="宋体"/>
      <w:color w:val="000000"/>
      <w:sz w:val="24"/>
      <w:szCs w:val="24"/>
      <w:lang w:val="en-US" w:eastAsia="zh-CN" w:bidi="ar-SA"/>
    </w:rPr>
  </w:style>
  <w:style w:type="character" w:customStyle="1" w:styleId="199">
    <w:name w:val="文档正文 Char"/>
    <w:link w:val="200"/>
    <w:qFormat/>
    <w:uiPriority w:val="0"/>
    <w:rPr>
      <w:rFonts w:eastAsia="楷体_GB2312"/>
      <w:sz w:val="28"/>
    </w:rPr>
  </w:style>
  <w:style w:type="paragraph" w:customStyle="1" w:styleId="200">
    <w:name w:val="文档正文"/>
    <w:basedOn w:val="1"/>
    <w:link w:val="199"/>
    <w:qFormat/>
    <w:uiPriority w:val="0"/>
    <w:pPr>
      <w:adjustRightInd w:val="0"/>
      <w:spacing w:line="480" w:lineRule="atLeast"/>
      <w:ind w:firstLine="567"/>
      <w:textAlignment w:val="baseline"/>
    </w:pPr>
    <w:rPr>
      <w:rFonts w:eastAsia="楷体_GB2312" w:asciiTheme="minorHAnsi" w:hAnsiTheme="minorHAnsi" w:cstheme="minorBidi"/>
      <w:sz w:val="28"/>
      <w:szCs w:val="22"/>
    </w:rPr>
  </w:style>
  <w:style w:type="character" w:customStyle="1" w:styleId="201">
    <w:name w:val="co-text3"/>
    <w:qFormat/>
    <w:uiPriority w:val="0"/>
    <w:rPr>
      <w:rFonts w:hint="default" w:ascii="ˎ̥" w:hAnsi="ˎ̥"/>
      <w:color w:val="000000"/>
      <w:sz w:val="17"/>
      <w:szCs w:val="17"/>
      <w:u w:val="none"/>
    </w:rPr>
  </w:style>
  <w:style w:type="character" w:customStyle="1" w:styleId="202">
    <w:name w:val="Char Char Char Char Char Char Char Char Char Char3"/>
    <w:qFormat/>
    <w:uiPriority w:val="0"/>
    <w:rPr>
      <w:rFonts w:ascii="宋体" w:hAnsi="宋体" w:eastAsia="宋体"/>
      <w:color w:val="000000"/>
      <w:sz w:val="24"/>
      <w:szCs w:val="24"/>
      <w:lang w:val="en-US" w:eastAsia="zh-CN" w:bidi="ar-SA"/>
    </w:rPr>
  </w:style>
  <w:style w:type="character" w:customStyle="1" w:styleId="203">
    <w:name w:val="txt1"/>
    <w:qFormat/>
    <w:uiPriority w:val="0"/>
    <w:rPr>
      <w:rFonts w:hint="default" w:ascii="ˎ̥" w:hAnsi="ˎ̥"/>
      <w:sz w:val="18"/>
      <w:szCs w:val="18"/>
    </w:rPr>
  </w:style>
  <w:style w:type="character" w:customStyle="1" w:styleId="204">
    <w:name w:val="页眉 字符1"/>
    <w:link w:val="57"/>
    <w:qFormat/>
    <w:uiPriority w:val="0"/>
    <w:rPr>
      <w:sz w:val="18"/>
    </w:rPr>
  </w:style>
  <w:style w:type="character" w:customStyle="1" w:styleId="205">
    <w:name w:val="页眉 字符"/>
    <w:basedOn w:val="99"/>
    <w:qFormat/>
    <w:uiPriority w:val="0"/>
    <w:rPr>
      <w:rFonts w:ascii="Times New Roman" w:hAnsi="Times New Roman" w:eastAsia="宋体" w:cs="Times New Roman"/>
      <w:sz w:val="18"/>
      <w:szCs w:val="18"/>
    </w:rPr>
  </w:style>
  <w:style w:type="character" w:customStyle="1" w:styleId="206">
    <w:name w:val="文档结构图 字符1"/>
    <w:link w:val="26"/>
    <w:qFormat/>
    <w:uiPriority w:val="0"/>
    <w:rPr>
      <w:shd w:val="clear" w:color="auto" w:fill="000080"/>
    </w:rPr>
  </w:style>
  <w:style w:type="character" w:customStyle="1" w:styleId="207">
    <w:name w:val="文档结构图 字符"/>
    <w:basedOn w:val="99"/>
    <w:qFormat/>
    <w:uiPriority w:val="0"/>
    <w:rPr>
      <w:rFonts w:ascii="Microsoft YaHei UI" w:hAnsi="Times New Roman" w:eastAsia="Microsoft YaHei UI" w:cs="Times New Roman"/>
      <w:sz w:val="18"/>
      <w:szCs w:val="18"/>
    </w:rPr>
  </w:style>
  <w:style w:type="character" w:customStyle="1" w:styleId="208">
    <w:name w:val="日期 字符1"/>
    <w:link w:val="50"/>
    <w:qFormat/>
    <w:uiPriority w:val="0"/>
  </w:style>
  <w:style w:type="character" w:customStyle="1" w:styleId="209">
    <w:name w:val="日期 字符"/>
    <w:basedOn w:val="99"/>
    <w:qFormat/>
    <w:uiPriority w:val="0"/>
    <w:rPr>
      <w:rFonts w:ascii="Times New Roman" w:hAnsi="Times New Roman" w:eastAsia="宋体" w:cs="Times New Roman"/>
      <w:szCs w:val="20"/>
    </w:rPr>
  </w:style>
  <w:style w:type="character" w:customStyle="1" w:styleId="210">
    <w:name w:val="项目编号B Char"/>
    <w:link w:val="211"/>
    <w:qFormat/>
    <w:uiPriority w:val="0"/>
    <w:rPr>
      <w:rFonts w:ascii="楷体_GB2312" w:hAnsi="Arial" w:eastAsia="楷体_GB2312"/>
      <w:color w:val="000000"/>
      <w:sz w:val="24"/>
      <w:szCs w:val="24"/>
      <w:lang w:val="zh-CN"/>
    </w:rPr>
  </w:style>
  <w:style w:type="paragraph" w:customStyle="1" w:styleId="211">
    <w:name w:val="项目编号B"/>
    <w:basedOn w:val="1"/>
    <w:link w:val="210"/>
    <w:qFormat/>
    <w:uiPriority w:val="0"/>
    <w:pPr>
      <w:spacing w:line="360" w:lineRule="auto"/>
      <w:ind w:left="964"/>
    </w:pPr>
    <w:rPr>
      <w:rFonts w:ascii="楷体_GB2312" w:hAnsi="Arial" w:eastAsia="楷体_GB2312" w:cstheme="minorBidi"/>
      <w:color w:val="000000"/>
      <w:sz w:val="24"/>
      <w:szCs w:val="24"/>
      <w:lang w:val="zh-CN"/>
    </w:rPr>
  </w:style>
  <w:style w:type="character" w:customStyle="1" w:styleId="212">
    <w:name w:val="f14"/>
    <w:qFormat/>
    <w:uiPriority w:val="0"/>
  </w:style>
  <w:style w:type="character" w:customStyle="1" w:styleId="213">
    <w:name w:val="city3"/>
    <w:qFormat/>
    <w:uiPriority w:val="0"/>
    <w:rPr>
      <w:color w:val="999999"/>
    </w:rPr>
  </w:style>
  <w:style w:type="character" w:customStyle="1" w:styleId="214">
    <w:name w:val="PIM 7 Char Char"/>
    <w:qFormat/>
    <w:uiPriority w:val="0"/>
    <w:rPr>
      <w:rFonts w:ascii="宋体" w:hAnsi="Times New Roman" w:eastAsia="宋体" w:cs="Times New Roman"/>
      <w:b/>
      <w:bCs/>
      <w:sz w:val="24"/>
      <w:szCs w:val="24"/>
    </w:rPr>
  </w:style>
  <w:style w:type="character" w:customStyle="1" w:styleId="215">
    <w:name w:val="正 文 1 Char Char"/>
    <w:qFormat/>
    <w:uiPriority w:val="0"/>
    <w:rPr>
      <w:rFonts w:ascii="宋体" w:hAnsi="Courier New" w:eastAsia="宋体" w:cs="宋体"/>
      <w:sz w:val="24"/>
      <w:szCs w:val="24"/>
      <w:lang w:val="en-US" w:eastAsia="zh-CN" w:bidi="ar-SA"/>
    </w:rPr>
  </w:style>
  <w:style w:type="character" w:customStyle="1" w:styleId="216">
    <w:name w:val="称呼 Char1"/>
    <w:qFormat/>
    <w:uiPriority w:val="99"/>
    <w:rPr>
      <w:kern w:val="2"/>
      <w:sz w:val="21"/>
    </w:rPr>
  </w:style>
  <w:style w:type="character" w:customStyle="1" w:styleId="217">
    <w:name w:val="HTML 预设格式 Char1"/>
    <w:semiHidden/>
    <w:qFormat/>
    <w:uiPriority w:val="99"/>
    <w:rPr>
      <w:rFonts w:ascii="Courier New" w:hAnsi="Courier New" w:cs="Courier New"/>
      <w:kern w:val="2"/>
    </w:rPr>
  </w:style>
  <w:style w:type="character" w:customStyle="1" w:styleId="218">
    <w:name w:val="text_71"/>
    <w:qFormat/>
    <w:uiPriority w:val="0"/>
    <w:rPr>
      <w:sz w:val="18"/>
      <w:szCs w:val="18"/>
    </w:rPr>
  </w:style>
  <w:style w:type="character" w:customStyle="1" w:styleId="219">
    <w:name w:val="ask-title2"/>
    <w:qFormat/>
    <w:uiPriority w:val="0"/>
  </w:style>
  <w:style w:type="character" w:customStyle="1" w:styleId="220">
    <w:name w:val="正文首行缩进 2 Char1"/>
    <w:basedOn w:val="160"/>
    <w:semiHidden/>
    <w:qFormat/>
    <w:uiPriority w:val="99"/>
    <w:rPr>
      <w:szCs w:val="24"/>
    </w:rPr>
  </w:style>
  <w:style w:type="character" w:customStyle="1" w:styleId="221">
    <w:name w:val="正文文本首行缩进 字符"/>
    <w:link w:val="86"/>
    <w:qFormat/>
    <w:uiPriority w:val="0"/>
    <w:rPr>
      <w:szCs w:val="24"/>
    </w:rPr>
  </w:style>
  <w:style w:type="character" w:customStyle="1" w:styleId="222">
    <w:name w:val="正文文本 字符"/>
    <w:basedOn w:val="99"/>
    <w:link w:val="34"/>
    <w:qFormat/>
    <w:uiPriority w:val="0"/>
    <w:rPr>
      <w:rFonts w:ascii="Times New Roman" w:hAnsi="Times New Roman" w:eastAsia="宋体" w:cs="Times New Roman"/>
      <w:szCs w:val="20"/>
    </w:rPr>
  </w:style>
  <w:style w:type="character" w:customStyle="1" w:styleId="223">
    <w:name w:val="正文首行缩进 字符"/>
    <w:basedOn w:val="222"/>
    <w:semiHidden/>
    <w:qFormat/>
    <w:uiPriority w:val="99"/>
    <w:rPr>
      <w:rFonts w:ascii="Times New Roman" w:hAnsi="Times New Roman" w:eastAsia="宋体" w:cs="Times New Roman"/>
      <w:szCs w:val="20"/>
    </w:rPr>
  </w:style>
  <w:style w:type="character" w:customStyle="1" w:styleId="224">
    <w:name w:val="正文文本 Char"/>
    <w:qFormat/>
    <w:uiPriority w:val="0"/>
    <w:rPr>
      <w:rFonts w:eastAsia="宋体"/>
      <w:kern w:val="2"/>
      <w:sz w:val="21"/>
      <w:lang w:val="en-US" w:eastAsia="zh-CN" w:bidi="ar-SA"/>
    </w:rPr>
  </w:style>
  <w:style w:type="character" w:customStyle="1" w:styleId="225">
    <w:name w:val="Table Heading Char"/>
    <w:link w:val="226"/>
    <w:qFormat/>
    <w:uiPriority w:val="0"/>
    <w:rPr>
      <w:rFonts w:ascii="Arial" w:hAnsi="Arial" w:eastAsia="黑体"/>
      <w:sz w:val="18"/>
      <w:szCs w:val="18"/>
    </w:rPr>
  </w:style>
  <w:style w:type="paragraph" w:customStyle="1" w:styleId="226">
    <w:name w:val="Table Heading"/>
    <w:link w:val="225"/>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227">
    <w:name w:val="t_tag"/>
    <w:qFormat/>
    <w:uiPriority w:val="0"/>
  </w:style>
  <w:style w:type="character" w:customStyle="1" w:styleId="228">
    <w:name w:val="HTML 地址 字符1"/>
    <w:link w:val="41"/>
    <w:qFormat/>
    <w:uiPriority w:val="0"/>
    <w:rPr>
      <w:i/>
      <w:iCs/>
    </w:rPr>
  </w:style>
  <w:style w:type="character" w:customStyle="1" w:styleId="229">
    <w:name w:val="HTML 地址 字符"/>
    <w:basedOn w:val="99"/>
    <w:semiHidden/>
    <w:qFormat/>
    <w:uiPriority w:val="99"/>
    <w:rPr>
      <w:rFonts w:ascii="Times New Roman" w:hAnsi="Times New Roman" w:eastAsia="宋体" w:cs="Times New Roman"/>
      <w:i/>
      <w:iCs/>
      <w:szCs w:val="20"/>
    </w:rPr>
  </w:style>
  <w:style w:type="character" w:customStyle="1" w:styleId="230">
    <w:name w:val="正文 1 Char Char"/>
    <w:link w:val="231"/>
    <w:qFormat/>
    <w:uiPriority w:val="0"/>
    <w:rPr>
      <w:rFonts w:ascii="宋体"/>
      <w:sz w:val="24"/>
      <w:szCs w:val="24"/>
    </w:rPr>
  </w:style>
  <w:style w:type="paragraph" w:customStyle="1" w:styleId="231">
    <w:name w:val="正文 1 Char"/>
    <w:basedOn w:val="1"/>
    <w:link w:val="230"/>
    <w:qFormat/>
    <w:uiPriority w:val="0"/>
    <w:pPr>
      <w:tabs>
        <w:tab w:val="left" w:pos="2540"/>
      </w:tabs>
      <w:snapToGrid w:val="0"/>
      <w:spacing w:before="80" w:after="80" w:line="360" w:lineRule="auto"/>
      <w:ind w:left="210" w:leftChars="100" w:right="210" w:rightChars="100"/>
    </w:pPr>
    <w:rPr>
      <w:rFonts w:ascii="宋体" w:hAnsiTheme="minorHAnsi" w:eastAsiaTheme="minorEastAsia" w:cstheme="minorBidi"/>
      <w:sz w:val="24"/>
      <w:szCs w:val="24"/>
    </w:rPr>
  </w:style>
  <w:style w:type="character" w:customStyle="1" w:styleId="232">
    <w:name w:val="td11"/>
    <w:qFormat/>
    <w:uiPriority w:val="0"/>
  </w:style>
  <w:style w:type="character" w:customStyle="1" w:styleId="233">
    <w:name w:val="正文缩进 Char1"/>
    <w:qFormat/>
    <w:uiPriority w:val="0"/>
    <w:rPr>
      <w:rFonts w:eastAsia="仿宋_GB2312"/>
      <w:sz w:val="24"/>
      <w:szCs w:val="24"/>
      <w:lang w:val="en-US" w:eastAsia="zh-CN" w:bidi="ar-SA"/>
    </w:rPr>
  </w:style>
  <w:style w:type="character" w:customStyle="1" w:styleId="234">
    <w:name w:val="black1"/>
    <w:qFormat/>
    <w:uiPriority w:val="0"/>
    <w:rPr>
      <w:rFonts w:hint="default" w:ascii="ˎ̥" w:hAnsi="ˎ̥" w:eastAsia="宋体"/>
      <w:color w:val="333333"/>
      <w:sz w:val="20"/>
      <w:szCs w:val="20"/>
      <w:u w:val="none"/>
      <w:lang w:val="en-US" w:eastAsia="zh-CN" w:bidi="ar-SA"/>
    </w:rPr>
  </w:style>
  <w:style w:type="character" w:customStyle="1" w:styleId="235">
    <w:name w:val="标题 3 Char Char"/>
    <w:qFormat/>
    <w:uiPriority w:val="0"/>
    <w:rPr>
      <w:rFonts w:eastAsia="黑体"/>
      <w:b/>
      <w:bCs/>
      <w:kern w:val="2"/>
      <w:sz w:val="24"/>
      <w:szCs w:val="32"/>
      <w:lang w:val="en-US" w:eastAsia="zh-CN" w:bidi="ar-SA"/>
    </w:rPr>
  </w:style>
  <w:style w:type="character" w:customStyle="1" w:styleId="236">
    <w:name w:val="param_td12"/>
    <w:qFormat/>
    <w:uiPriority w:val="0"/>
  </w:style>
  <w:style w:type="character" w:customStyle="1" w:styleId="237">
    <w:name w:val="tabletextchar1"/>
    <w:qFormat/>
    <w:uiPriority w:val="0"/>
  </w:style>
  <w:style w:type="character" w:customStyle="1" w:styleId="238">
    <w:name w:val="Char Char23"/>
    <w:qFormat/>
    <w:uiPriority w:val="0"/>
    <w:rPr>
      <w:rFonts w:ascii="Cambria" w:hAnsi="Cambria" w:cs="Times New Roman"/>
      <w:b/>
      <w:bCs/>
      <w:kern w:val="28"/>
      <w:sz w:val="32"/>
      <w:szCs w:val="32"/>
    </w:rPr>
  </w:style>
  <w:style w:type="character" w:customStyle="1" w:styleId="239">
    <w:name w:val="text2"/>
    <w:qFormat/>
    <w:uiPriority w:val="0"/>
    <w:rPr>
      <w:rFonts w:hint="default"/>
      <w:color w:val="000000"/>
      <w:sz w:val="21"/>
      <w:szCs w:val="21"/>
    </w:rPr>
  </w:style>
  <w:style w:type="character" w:customStyle="1" w:styleId="240">
    <w:name w:val="ww1"/>
    <w:qFormat/>
    <w:uiPriority w:val="0"/>
    <w:rPr>
      <w:rFonts w:hint="default" w:ascii="ˎ̥" w:hAnsi="ˎ̥"/>
      <w:color w:val="000000"/>
      <w:sz w:val="21"/>
      <w:szCs w:val="21"/>
    </w:rPr>
  </w:style>
  <w:style w:type="character" w:customStyle="1" w:styleId="241">
    <w:name w:val="一般文字 字元 字元 Char Char"/>
    <w:qFormat/>
    <w:uiPriority w:val="0"/>
    <w:rPr>
      <w:rFonts w:ascii="宋体" w:hAnsi="Courier New" w:eastAsia="宋体" w:cs="Courier New"/>
      <w:kern w:val="2"/>
      <w:sz w:val="21"/>
      <w:szCs w:val="21"/>
      <w:lang w:val="en-US" w:eastAsia="zh-CN" w:bidi="ar-SA"/>
    </w:rPr>
  </w:style>
  <w:style w:type="character" w:customStyle="1" w:styleId="242">
    <w:name w:val="信息标题 字符1"/>
    <w:link w:val="79"/>
    <w:qFormat/>
    <w:uiPriority w:val="0"/>
    <w:rPr>
      <w:rFonts w:ascii="Arial" w:hAnsi="Arial"/>
      <w:sz w:val="24"/>
      <w:szCs w:val="24"/>
      <w:shd w:val="pct20" w:color="auto" w:fill="auto"/>
    </w:rPr>
  </w:style>
  <w:style w:type="character" w:customStyle="1" w:styleId="243">
    <w:name w:val="信息标题 字符"/>
    <w:basedOn w:val="99"/>
    <w:semiHidden/>
    <w:qFormat/>
    <w:uiPriority w:val="99"/>
    <w:rPr>
      <w:rFonts w:asciiTheme="majorHAnsi" w:hAnsiTheme="majorHAnsi" w:eastAsiaTheme="majorEastAsia" w:cstheme="majorBidi"/>
      <w:sz w:val="24"/>
      <w:szCs w:val="24"/>
      <w:shd w:val="pct20" w:color="auto" w:fill="auto"/>
    </w:rPr>
  </w:style>
  <w:style w:type="character" w:customStyle="1" w:styleId="244">
    <w:name w:val="正文文本缩进 2 字符1"/>
    <w:link w:val="51"/>
    <w:qFormat/>
    <w:uiPriority w:val="0"/>
    <w:rPr>
      <w:rFonts w:ascii="楷体_GB2312" w:eastAsia="楷体_GB2312"/>
      <w:sz w:val="28"/>
    </w:rPr>
  </w:style>
  <w:style w:type="character" w:customStyle="1" w:styleId="245">
    <w:name w:val="正文文本缩进 2 字符"/>
    <w:basedOn w:val="99"/>
    <w:semiHidden/>
    <w:qFormat/>
    <w:uiPriority w:val="99"/>
    <w:rPr>
      <w:rFonts w:ascii="Times New Roman" w:hAnsi="Times New Roman" w:eastAsia="宋体" w:cs="Times New Roman"/>
      <w:szCs w:val="20"/>
    </w:rPr>
  </w:style>
  <w:style w:type="character" w:customStyle="1" w:styleId="246">
    <w:name w:val="proddescription1"/>
    <w:qFormat/>
    <w:uiPriority w:val="0"/>
    <w:rPr>
      <w:rFonts w:hint="default" w:ascii="Arial" w:hAnsi="Arial" w:cs="Arial"/>
      <w:b/>
      <w:bCs/>
      <w:color w:val="3F647F"/>
      <w:sz w:val="202"/>
      <w:szCs w:val="202"/>
    </w:rPr>
  </w:style>
  <w:style w:type="character" w:customStyle="1" w:styleId="247">
    <w:name w:val="A7"/>
    <w:qFormat/>
    <w:uiPriority w:val="0"/>
    <w:rPr>
      <w:rFonts w:cs="Arial"/>
      <w:color w:val="211D1E"/>
      <w:sz w:val="14"/>
      <w:szCs w:val="14"/>
    </w:rPr>
  </w:style>
  <w:style w:type="character" w:customStyle="1" w:styleId="248">
    <w:name w:val="结束语 字符1"/>
    <w:link w:val="32"/>
    <w:qFormat/>
    <w:uiPriority w:val="0"/>
  </w:style>
  <w:style w:type="character" w:customStyle="1" w:styleId="249">
    <w:name w:val="结束语 字符"/>
    <w:basedOn w:val="99"/>
    <w:semiHidden/>
    <w:qFormat/>
    <w:uiPriority w:val="99"/>
    <w:rPr>
      <w:rFonts w:ascii="Times New Roman" w:hAnsi="Times New Roman" w:eastAsia="宋体" w:cs="Times New Roman"/>
      <w:szCs w:val="20"/>
    </w:rPr>
  </w:style>
  <w:style w:type="character" w:customStyle="1" w:styleId="250">
    <w:name w:val="jianju1"/>
    <w:qFormat/>
    <w:uiPriority w:val="0"/>
    <w:rPr>
      <w:spacing w:val="0"/>
    </w:rPr>
  </w:style>
  <w:style w:type="character" w:customStyle="1" w:styleId="251">
    <w:name w:val="Body"/>
    <w:qFormat/>
    <w:uiPriority w:val="0"/>
    <w:rPr>
      <w:rFonts w:ascii="Times-Roman" w:hAnsi="Times-Roman"/>
      <w:color w:val="000000"/>
      <w:spacing w:val="0"/>
      <w:w w:val="100"/>
      <w:position w:val="0"/>
      <w:sz w:val="20"/>
      <w:u w:val="none"/>
      <w:vertAlign w:val="baseline"/>
    </w:rPr>
  </w:style>
  <w:style w:type="character" w:customStyle="1" w:styleId="252">
    <w:name w:val="css031"/>
    <w:qFormat/>
    <w:uiPriority w:val="0"/>
    <w:rPr>
      <w:rFonts w:hint="default"/>
      <w:sz w:val="20"/>
      <w:szCs w:val="20"/>
      <w:u w:val="none"/>
    </w:rPr>
  </w:style>
  <w:style w:type="character" w:customStyle="1" w:styleId="253">
    <w:name w:val="百姓(1) Char"/>
    <w:link w:val="254"/>
    <w:qFormat/>
    <w:uiPriority w:val="0"/>
    <w:rPr>
      <w:rFonts w:ascii="Arial Narrow" w:hAnsi="Arial Narrow"/>
      <w:sz w:val="24"/>
      <w:szCs w:val="24"/>
    </w:rPr>
  </w:style>
  <w:style w:type="paragraph" w:customStyle="1" w:styleId="254">
    <w:name w:val="百姓(1)"/>
    <w:basedOn w:val="1"/>
    <w:link w:val="253"/>
    <w:qFormat/>
    <w:uiPriority w:val="0"/>
    <w:pPr>
      <w:tabs>
        <w:tab w:val="left" w:pos="720"/>
      </w:tabs>
      <w:spacing w:before="120" w:after="120" w:line="360" w:lineRule="auto"/>
    </w:pPr>
    <w:rPr>
      <w:rFonts w:ascii="Arial Narrow" w:hAnsi="Arial Narrow" w:eastAsiaTheme="minorEastAsia" w:cstheme="minorBidi"/>
      <w:sz w:val="24"/>
      <w:szCs w:val="24"/>
    </w:rPr>
  </w:style>
  <w:style w:type="character" w:customStyle="1" w:styleId="255">
    <w:name w:val="Table Text Char"/>
    <w:link w:val="256"/>
    <w:qFormat/>
    <w:uiPriority w:val="0"/>
    <w:rPr>
      <w:rFonts w:ascii="Arial" w:hAnsi="Arial"/>
      <w:sz w:val="18"/>
    </w:rPr>
  </w:style>
  <w:style w:type="paragraph" w:customStyle="1" w:styleId="256">
    <w:name w:val="Table Text"/>
    <w:link w:val="255"/>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257">
    <w:name w:val="副标题 字符1"/>
    <w:link w:val="64"/>
    <w:qFormat/>
    <w:uiPriority w:val="0"/>
    <w:rPr>
      <w:rFonts w:ascii="宋体" w:hAnsi="宋体" w:eastAsia="宋体"/>
      <w:color w:val="000000"/>
      <w:sz w:val="24"/>
      <w:szCs w:val="24"/>
    </w:rPr>
  </w:style>
  <w:style w:type="character" w:customStyle="1" w:styleId="258">
    <w:name w:val="副标题 字符"/>
    <w:basedOn w:val="99"/>
    <w:qFormat/>
    <w:uiPriority w:val="0"/>
    <w:rPr>
      <w:b/>
      <w:bCs/>
      <w:kern w:val="28"/>
      <w:sz w:val="32"/>
      <w:szCs w:val="32"/>
    </w:rPr>
  </w:style>
  <w:style w:type="character" w:customStyle="1" w:styleId="259">
    <w:name w:val="正文首行缩进 Char1"/>
    <w:basedOn w:val="224"/>
    <w:qFormat/>
    <w:uiPriority w:val="99"/>
    <w:rPr>
      <w:rFonts w:eastAsia="宋体"/>
      <w:kern w:val="2"/>
      <w:sz w:val="21"/>
      <w:lang w:val="en-US" w:eastAsia="zh-CN" w:bidi="ar-SA"/>
    </w:rPr>
  </w:style>
  <w:style w:type="character" w:customStyle="1" w:styleId="260">
    <w:name w:val="Item List Char"/>
    <w:link w:val="261"/>
    <w:qFormat/>
    <w:uiPriority w:val="0"/>
    <w:rPr>
      <w:rFonts w:ascii="Arial" w:hAnsi="Arial"/>
    </w:rPr>
  </w:style>
  <w:style w:type="paragraph" w:customStyle="1" w:styleId="261">
    <w:name w:val="Item List"/>
    <w:link w:val="260"/>
    <w:qFormat/>
    <w:uiPriority w:val="0"/>
    <w:pPr>
      <w:numPr>
        <w:ilvl w:val="0"/>
        <w:numId w:val="6"/>
      </w:numPr>
      <w:tabs>
        <w:tab w:val="left" w:leader="dot" w:pos="2211"/>
      </w:tabs>
      <w:spacing w:line="300" w:lineRule="auto"/>
      <w:jc w:val="both"/>
    </w:pPr>
    <w:rPr>
      <w:rFonts w:ascii="Arial" w:hAnsi="Arial" w:eastAsiaTheme="minorEastAsia" w:cstheme="minorBidi"/>
      <w:kern w:val="2"/>
      <w:sz w:val="21"/>
      <w:szCs w:val="22"/>
      <w:lang w:val="en-US" w:eastAsia="zh-CN" w:bidi="ar-SA"/>
    </w:rPr>
  </w:style>
  <w:style w:type="character" w:customStyle="1" w:styleId="262">
    <w:name w:val="WW8Num18z0"/>
    <w:qFormat/>
    <w:uiPriority w:val="0"/>
    <w:rPr>
      <w:rFonts w:ascii="Symbol" w:hAnsi="Symbol" w:cs="StarSymbol"/>
      <w:sz w:val="18"/>
      <w:szCs w:val="18"/>
    </w:rPr>
  </w:style>
  <w:style w:type="character" w:customStyle="1" w:styleId="263">
    <w:name w:val="页脚 字符1"/>
    <w:link w:val="55"/>
    <w:qFormat/>
    <w:uiPriority w:val="99"/>
    <w:rPr>
      <w:sz w:val="18"/>
    </w:rPr>
  </w:style>
  <w:style w:type="character" w:customStyle="1" w:styleId="264">
    <w:name w:val="页脚 字符"/>
    <w:basedOn w:val="99"/>
    <w:qFormat/>
    <w:uiPriority w:val="0"/>
    <w:rPr>
      <w:rFonts w:ascii="Times New Roman" w:hAnsi="Times New Roman" w:eastAsia="宋体" w:cs="Times New Roman"/>
      <w:sz w:val="18"/>
      <w:szCs w:val="18"/>
    </w:rPr>
  </w:style>
  <w:style w:type="character" w:customStyle="1" w:styleId="265">
    <w:name w:val="签名 Char1"/>
    <w:semiHidden/>
    <w:qFormat/>
    <w:uiPriority w:val="99"/>
    <w:rPr>
      <w:kern w:val="2"/>
      <w:sz w:val="21"/>
    </w:rPr>
  </w:style>
  <w:style w:type="character" w:customStyle="1" w:styleId="266">
    <w:name w:val="lh13"/>
    <w:qFormat/>
    <w:uiPriority w:val="0"/>
  </w:style>
  <w:style w:type="character" w:customStyle="1" w:styleId="267">
    <w:name w:val="宏文本 字符1"/>
    <w:link w:val="2"/>
    <w:qFormat/>
    <w:uiPriority w:val="0"/>
    <w:rPr>
      <w:rFonts w:ascii="Courier New" w:hAnsi="Courier New"/>
      <w:sz w:val="24"/>
      <w:szCs w:val="24"/>
    </w:rPr>
  </w:style>
  <w:style w:type="character" w:customStyle="1" w:styleId="268">
    <w:name w:val="宏文本 字符"/>
    <w:basedOn w:val="99"/>
    <w:semiHidden/>
    <w:qFormat/>
    <w:uiPriority w:val="99"/>
    <w:rPr>
      <w:rFonts w:ascii="Courier New" w:hAnsi="Courier New" w:eastAsia="宋体" w:cs="Courier New"/>
      <w:sz w:val="24"/>
      <w:szCs w:val="24"/>
    </w:rPr>
  </w:style>
  <w:style w:type="character" w:customStyle="1" w:styleId="269">
    <w:name w:val="wenzhi21"/>
    <w:qFormat/>
    <w:uiPriority w:val="0"/>
    <w:rPr>
      <w:color w:val="000000"/>
      <w:sz w:val="15"/>
      <w:szCs w:val="15"/>
    </w:rPr>
  </w:style>
  <w:style w:type="character" w:customStyle="1" w:styleId="270">
    <w:name w:val="项目编号A Char"/>
    <w:link w:val="271"/>
    <w:qFormat/>
    <w:locked/>
    <w:uiPriority w:val="0"/>
    <w:rPr>
      <w:rFonts w:ascii="楷体_GB2312" w:hAnsi="Arial" w:eastAsia="楷体_GB2312"/>
      <w:sz w:val="24"/>
      <w:szCs w:val="24"/>
      <w:lang w:eastAsia="en-US"/>
    </w:rPr>
  </w:style>
  <w:style w:type="paragraph" w:customStyle="1" w:styleId="271">
    <w:name w:val="项目编号A"/>
    <w:basedOn w:val="1"/>
    <w:link w:val="270"/>
    <w:qFormat/>
    <w:uiPriority w:val="0"/>
    <w:pPr>
      <w:numPr>
        <w:ilvl w:val="0"/>
        <w:numId w:val="7"/>
      </w:numPr>
      <w:tabs>
        <w:tab w:val="left" w:pos="780"/>
      </w:tabs>
      <w:spacing w:line="360" w:lineRule="auto"/>
    </w:pPr>
    <w:rPr>
      <w:rFonts w:ascii="楷体_GB2312" w:hAnsi="Arial" w:eastAsia="楷体_GB2312" w:cstheme="minorBidi"/>
      <w:sz w:val="24"/>
      <w:szCs w:val="24"/>
      <w:lang w:eastAsia="en-US"/>
    </w:rPr>
  </w:style>
  <w:style w:type="character" w:customStyle="1" w:styleId="272">
    <w:name w:val="marklong"/>
    <w:basedOn w:val="99"/>
    <w:qFormat/>
    <w:uiPriority w:val="0"/>
  </w:style>
  <w:style w:type="character" w:customStyle="1" w:styleId="273">
    <w:name w:val="1.正文 Char"/>
    <w:link w:val="274"/>
    <w:qFormat/>
    <w:uiPriority w:val="0"/>
    <w:rPr>
      <w:rFonts w:ascii="Tahoma" w:hAnsi="Tahoma" w:cs="Tahoma"/>
      <w:color w:val="000000"/>
      <w:sz w:val="18"/>
      <w:szCs w:val="18"/>
    </w:rPr>
  </w:style>
  <w:style w:type="paragraph" w:customStyle="1" w:styleId="274">
    <w:name w:val="1.正文"/>
    <w:basedOn w:val="1"/>
    <w:next w:val="1"/>
    <w:link w:val="273"/>
    <w:qFormat/>
    <w:uiPriority w:val="0"/>
    <w:pPr>
      <w:widowControl/>
      <w:spacing w:line="360" w:lineRule="auto"/>
    </w:pPr>
    <w:rPr>
      <w:rFonts w:ascii="Tahoma" w:hAnsi="Tahoma" w:cs="Tahoma" w:eastAsiaTheme="minorEastAsia"/>
      <w:color w:val="000000"/>
      <w:sz w:val="18"/>
      <w:szCs w:val="18"/>
    </w:rPr>
  </w:style>
  <w:style w:type="character" w:customStyle="1" w:styleId="275">
    <w:name w:val="标题 2 Char2"/>
    <w:qFormat/>
    <w:uiPriority w:val="0"/>
    <w:rPr>
      <w:rFonts w:ascii="Arial" w:hAnsi="Arial" w:eastAsia="黑体"/>
      <w:b/>
      <w:bCs/>
      <w:kern w:val="2"/>
      <w:sz w:val="32"/>
      <w:szCs w:val="32"/>
    </w:rPr>
  </w:style>
  <w:style w:type="character" w:customStyle="1" w:styleId="276">
    <w:name w:val="t1"/>
    <w:qFormat/>
    <w:uiPriority w:val="0"/>
    <w:rPr>
      <w:color w:val="990000"/>
    </w:rPr>
  </w:style>
  <w:style w:type="character" w:customStyle="1" w:styleId="277">
    <w:name w:val="font161"/>
    <w:qFormat/>
    <w:uiPriority w:val="0"/>
    <w:rPr>
      <w:b/>
      <w:bCs/>
      <w:sz w:val="32"/>
      <w:szCs w:val="32"/>
    </w:rPr>
  </w:style>
  <w:style w:type="character" w:customStyle="1" w:styleId="278">
    <w:name w:val="纯文本 字符1"/>
    <w:link w:val="45"/>
    <w:qFormat/>
    <w:uiPriority w:val="0"/>
    <w:rPr>
      <w:rFonts w:ascii="宋体" w:hAnsi="宋体" w:eastAsia="宋体"/>
      <w:color w:val="000000"/>
      <w:sz w:val="24"/>
    </w:rPr>
  </w:style>
  <w:style w:type="character" w:customStyle="1" w:styleId="279">
    <w:name w:val="纯文本 字符"/>
    <w:basedOn w:val="99"/>
    <w:qFormat/>
    <w:uiPriority w:val="0"/>
    <w:rPr>
      <w:rFonts w:hAnsi="Courier New" w:cs="Courier New" w:asciiTheme="minorEastAsia"/>
      <w:szCs w:val="20"/>
    </w:rPr>
  </w:style>
  <w:style w:type="character" w:customStyle="1" w:styleId="280">
    <w:name w:val="f Char1"/>
    <w:qFormat/>
    <w:uiPriority w:val="0"/>
    <w:rPr>
      <w:kern w:val="2"/>
      <w:sz w:val="18"/>
      <w:szCs w:val="18"/>
    </w:rPr>
  </w:style>
  <w:style w:type="character" w:customStyle="1" w:styleId="281">
    <w:name w:val="书籍标题1"/>
    <w:qFormat/>
    <w:uiPriority w:val="0"/>
    <w:rPr>
      <w:b/>
      <w:bCs/>
      <w:smallCaps/>
      <w:spacing w:val="5"/>
    </w:rPr>
  </w:style>
  <w:style w:type="character" w:customStyle="1" w:styleId="282">
    <w:name w:val="proddescription"/>
    <w:qFormat/>
    <w:uiPriority w:val="0"/>
  </w:style>
  <w:style w:type="character" w:customStyle="1" w:styleId="283">
    <w:name w:val="Sidebar front"/>
    <w:qFormat/>
    <w:uiPriority w:val="0"/>
    <w:rPr>
      <w:rFonts w:ascii="DINEngschrift" w:hAnsi="DINEngschrift"/>
      <w:color w:val="000000"/>
      <w:spacing w:val="0"/>
      <w:w w:val="100"/>
      <w:position w:val="0"/>
      <w:sz w:val="22"/>
      <w:u w:val="none"/>
      <w:vertAlign w:val="baseline"/>
    </w:rPr>
  </w:style>
  <w:style w:type="character" w:customStyle="1" w:styleId="284">
    <w:name w:val="称呼 字符1"/>
    <w:link w:val="30"/>
    <w:qFormat/>
    <w:uiPriority w:val="0"/>
  </w:style>
  <w:style w:type="character" w:customStyle="1" w:styleId="285">
    <w:name w:val="称呼 字符"/>
    <w:basedOn w:val="99"/>
    <w:semiHidden/>
    <w:qFormat/>
    <w:uiPriority w:val="99"/>
    <w:rPr>
      <w:rFonts w:ascii="Times New Roman" w:hAnsi="Times New Roman" w:eastAsia="宋体" w:cs="Times New Roman"/>
      <w:szCs w:val="20"/>
    </w:rPr>
  </w:style>
  <w:style w:type="character" w:customStyle="1" w:styleId="286">
    <w:name w:val="unnamed41"/>
    <w:qFormat/>
    <w:uiPriority w:val="0"/>
    <w:rPr>
      <w:rFonts w:hint="default" w:ascii="ˎ̥" w:hAnsi="ˎ̥"/>
      <w:color w:val="333333"/>
      <w:sz w:val="18"/>
      <w:szCs w:val="18"/>
      <w:u w:val="none"/>
    </w:rPr>
  </w:style>
  <w:style w:type="character" w:customStyle="1" w:styleId="287">
    <w:name w:val="标题 Char1"/>
    <w:qFormat/>
    <w:uiPriority w:val="10"/>
    <w:rPr>
      <w:rFonts w:ascii="Cambria" w:hAnsi="Cambria" w:cs="Times New Roman"/>
      <w:b/>
      <w:bCs/>
      <w:kern w:val="2"/>
      <w:sz w:val="32"/>
      <w:szCs w:val="32"/>
    </w:rPr>
  </w:style>
  <w:style w:type="character" w:customStyle="1" w:styleId="288">
    <w:name w:val="ww21"/>
    <w:qFormat/>
    <w:uiPriority w:val="0"/>
    <w:rPr>
      <w:sz w:val="21"/>
      <w:szCs w:val="21"/>
    </w:rPr>
  </w:style>
  <w:style w:type="character" w:customStyle="1" w:styleId="289">
    <w:name w:val="Char Char Char Char Char Char Char Char Char2"/>
    <w:qFormat/>
    <w:uiPriority w:val="0"/>
    <w:rPr>
      <w:rFonts w:ascii="宋体" w:hAnsi="宋体"/>
      <w:color w:val="000000"/>
      <w:sz w:val="24"/>
      <w:szCs w:val="24"/>
    </w:rPr>
  </w:style>
  <w:style w:type="character" w:customStyle="1" w:styleId="290">
    <w:name w:val="标题1"/>
    <w:qFormat/>
    <w:uiPriority w:val="0"/>
  </w:style>
  <w:style w:type="character" w:customStyle="1" w:styleId="291">
    <w:name w:val="paragraph1 Char"/>
    <w:link w:val="292"/>
    <w:qFormat/>
    <w:locked/>
    <w:uiPriority w:val="0"/>
    <w:rPr>
      <w:sz w:val="24"/>
      <w:szCs w:val="24"/>
    </w:rPr>
  </w:style>
  <w:style w:type="paragraph" w:customStyle="1" w:styleId="292">
    <w:name w:val="paragraph1"/>
    <w:basedOn w:val="1"/>
    <w:link w:val="291"/>
    <w:qFormat/>
    <w:uiPriority w:val="0"/>
    <w:pPr>
      <w:spacing w:afterLines="30" w:line="360" w:lineRule="auto"/>
      <w:ind w:firstLine="480" w:firstLineChars="200"/>
    </w:pPr>
    <w:rPr>
      <w:rFonts w:asciiTheme="minorHAnsi" w:hAnsiTheme="minorHAnsi" w:eastAsiaTheme="minorEastAsia" w:cstheme="minorBidi"/>
      <w:sz w:val="24"/>
      <w:szCs w:val="24"/>
    </w:rPr>
  </w:style>
  <w:style w:type="character" w:customStyle="1" w:styleId="293">
    <w:name w:val="正文文字 Char"/>
    <w:qFormat/>
    <w:uiPriority w:val="0"/>
    <w:rPr>
      <w:rFonts w:eastAsia="宋体"/>
      <w:kern w:val="2"/>
      <w:sz w:val="24"/>
      <w:szCs w:val="24"/>
      <w:lang w:val="en-US" w:eastAsia="zh-CN" w:bidi="ar-SA"/>
    </w:rPr>
  </w:style>
  <w:style w:type="character" w:customStyle="1" w:styleId="294">
    <w:name w:val="页脚 Char1"/>
    <w:semiHidden/>
    <w:qFormat/>
    <w:uiPriority w:val="99"/>
    <w:rPr>
      <w:kern w:val="2"/>
      <w:sz w:val="18"/>
      <w:szCs w:val="18"/>
    </w:rPr>
  </w:style>
  <w:style w:type="character" w:customStyle="1" w:styleId="295">
    <w:name w:val="abcde"/>
    <w:qFormat/>
    <w:uiPriority w:val="0"/>
  </w:style>
  <w:style w:type="character" w:customStyle="1" w:styleId="296">
    <w:name w:val="Table Text Char Char"/>
    <w:qFormat/>
    <w:uiPriority w:val="0"/>
    <w:rPr>
      <w:rFonts w:ascii="Arial" w:hAnsi="Arial" w:cs="Arial"/>
      <w:kern w:val="2"/>
      <w:sz w:val="18"/>
      <w:szCs w:val="21"/>
      <w:lang w:val="en-US" w:eastAsia="zh-CN" w:bidi="ar-SA"/>
    </w:rPr>
  </w:style>
  <w:style w:type="character" w:customStyle="1" w:styleId="297">
    <w:name w:val="正文文本缩进 Char"/>
    <w:qFormat/>
    <w:uiPriority w:val="0"/>
    <w:rPr>
      <w:rFonts w:eastAsia="宋体"/>
      <w:kern w:val="2"/>
      <w:sz w:val="21"/>
      <w:szCs w:val="24"/>
      <w:lang w:val="en-US" w:eastAsia="zh-CN" w:bidi="ar-SA"/>
    </w:rPr>
  </w:style>
  <w:style w:type="character" w:customStyle="1" w:styleId="298">
    <w:name w:val="结束语 Char1"/>
    <w:semiHidden/>
    <w:qFormat/>
    <w:uiPriority w:val="99"/>
    <w:rPr>
      <w:kern w:val="2"/>
      <w:sz w:val="21"/>
    </w:rPr>
  </w:style>
  <w:style w:type="character" w:customStyle="1" w:styleId="299">
    <w:name w:val="styles11"/>
    <w:qFormat/>
    <w:uiPriority w:val="0"/>
    <w:rPr>
      <w:rFonts w:hint="default"/>
      <w:sz w:val="21"/>
      <w:szCs w:val="21"/>
    </w:rPr>
  </w:style>
  <w:style w:type="character" w:customStyle="1" w:styleId="300">
    <w:name w:val="尾注文本 Char1"/>
    <w:semiHidden/>
    <w:qFormat/>
    <w:uiPriority w:val="99"/>
    <w:rPr>
      <w:kern w:val="2"/>
      <w:sz w:val="21"/>
    </w:rPr>
  </w:style>
  <w:style w:type="character" w:customStyle="1" w:styleId="301">
    <w:name w:val="HTML 预设格式 字符1"/>
    <w:link w:val="80"/>
    <w:qFormat/>
    <w:uiPriority w:val="99"/>
    <w:rPr>
      <w:rFonts w:ascii="Courier New" w:hAnsi="Courier New"/>
    </w:rPr>
  </w:style>
  <w:style w:type="character" w:customStyle="1" w:styleId="302">
    <w:name w:val="HTML 预设格式 字符"/>
    <w:basedOn w:val="99"/>
    <w:semiHidden/>
    <w:qFormat/>
    <w:uiPriority w:val="99"/>
    <w:rPr>
      <w:rFonts w:ascii="Courier New" w:hAnsi="Courier New" w:eastAsia="宋体" w:cs="Courier New"/>
      <w:sz w:val="20"/>
      <w:szCs w:val="20"/>
    </w:rPr>
  </w:style>
  <w:style w:type="character" w:customStyle="1" w:styleId="303">
    <w:name w:val="dg2"/>
    <w:qFormat/>
    <w:uiPriority w:val="0"/>
  </w:style>
  <w:style w:type="character" w:customStyle="1" w:styleId="304">
    <w:name w:val="font"/>
    <w:qFormat/>
    <w:uiPriority w:val="0"/>
  </w:style>
  <w:style w:type="character" w:customStyle="1" w:styleId="305">
    <w:name w:val="样式 正文首行缩进 + 首行缩进:  2 字符 Char"/>
    <w:link w:val="306"/>
    <w:qFormat/>
    <w:uiPriority w:val="0"/>
    <w:rPr>
      <w:rFonts w:ascii="Arial" w:hAnsi="Arial"/>
      <w:sz w:val="24"/>
    </w:rPr>
  </w:style>
  <w:style w:type="paragraph" w:customStyle="1" w:styleId="306">
    <w:name w:val="样式 正文首行缩进 + 首行缩进:  2 字符"/>
    <w:basedOn w:val="86"/>
    <w:link w:val="305"/>
    <w:qFormat/>
    <w:uiPriority w:val="0"/>
    <w:pPr>
      <w:spacing w:line="360" w:lineRule="auto"/>
      <w:ind w:firstLine="200" w:firstLineChars="200"/>
    </w:pPr>
    <w:rPr>
      <w:rFonts w:ascii="Arial" w:hAnsi="Arial"/>
      <w:sz w:val="24"/>
      <w:szCs w:val="22"/>
    </w:rPr>
  </w:style>
  <w:style w:type="character" w:customStyle="1" w:styleId="307">
    <w:name w:val="Char Char10"/>
    <w:qFormat/>
    <w:uiPriority w:val="0"/>
    <w:rPr>
      <w:rFonts w:ascii="宋体" w:hAnsi="宋体" w:eastAsia="宋体"/>
      <w:color w:val="000000"/>
      <w:sz w:val="24"/>
      <w:szCs w:val="24"/>
      <w:lang w:val="en-US" w:eastAsia="zh-CN" w:bidi="ar-SA"/>
    </w:rPr>
  </w:style>
  <w:style w:type="character" w:customStyle="1" w:styleId="308">
    <w:name w:val="标五 Char"/>
    <w:link w:val="309"/>
    <w:qFormat/>
    <w:uiPriority w:val="0"/>
    <w:rPr>
      <w:rFonts w:ascii="仿宋_GB2312" w:eastAsia="仿宋_GB2312"/>
      <w:sz w:val="24"/>
      <w:szCs w:val="24"/>
    </w:rPr>
  </w:style>
  <w:style w:type="paragraph" w:customStyle="1" w:styleId="309">
    <w:name w:val="标五"/>
    <w:next w:val="1"/>
    <w:link w:val="308"/>
    <w:qFormat/>
    <w:uiPriority w:val="0"/>
    <w:pPr>
      <w:numPr>
        <w:ilvl w:val="0"/>
        <w:numId w:val="8"/>
      </w:numPr>
      <w:tabs>
        <w:tab w:val="left" w:pos="340"/>
      </w:tabs>
      <w:spacing w:line="360" w:lineRule="auto"/>
      <w:outlineLvl w:val="4"/>
    </w:pPr>
    <w:rPr>
      <w:rFonts w:ascii="仿宋_GB2312" w:eastAsia="仿宋_GB2312" w:hAnsiTheme="minorHAnsi" w:cstheme="minorBidi"/>
      <w:kern w:val="2"/>
      <w:sz w:val="24"/>
      <w:szCs w:val="24"/>
      <w:lang w:val="en-US" w:eastAsia="zh-CN" w:bidi="ar-SA"/>
    </w:rPr>
  </w:style>
  <w:style w:type="character" w:customStyle="1" w:styleId="310">
    <w:name w:val="正文文本首行缩进 2 字符"/>
    <w:link w:val="87"/>
    <w:qFormat/>
    <w:uiPriority w:val="0"/>
    <w:rPr>
      <w:szCs w:val="24"/>
    </w:rPr>
  </w:style>
  <w:style w:type="character" w:customStyle="1" w:styleId="311">
    <w:name w:val="正文首行缩进 2 字符"/>
    <w:basedOn w:val="161"/>
    <w:semiHidden/>
    <w:qFormat/>
    <w:uiPriority w:val="99"/>
    <w:rPr>
      <w:rFonts w:ascii="Times New Roman" w:hAnsi="Times New Roman" w:eastAsia="宋体" w:cs="Times New Roman"/>
      <w:szCs w:val="20"/>
    </w:rPr>
  </w:style>
  <w:style w:type="character" w:customStyle="1" w:styleId="312">
    <w:name w:val="12word1"/>
    <w:qFormat/>
    <w:uiPriority w:val="0"/>
    <w:rPr>
      <w:sz w:val="18"/>
      <w:szCs w:val="18"/>
    </w:rPr>
  </w:style>
  <w:style w:type="character" w:customStyle="1" w:styleId="313">
    <w:name w:val="白皮书4 Char Char"/>
    <w:link w:val="314"/>
    <w:qFormat/>
    <w:uiPriority w:val="0"/>
    <w:rPr>
      <w:rFonts w:ascii="宋体" w:hAnsi="宋体" w:eastAsia="宋体"/>
      <w:sz w:val="24"/>
    </w:rPr>
  </w:style>
  <w:style w:type="paragraph" w:customStyle="1" w:styleId="314">
    <w:name w:val="白皮书4"/>
    <w:basedOn w:val="1"/>
    <w:link w:val="313"/>
    <w:qFormat/>
    <w:uiPriority w:val="0"/>
    <w:pPr>
      <w:adjustRightInd w:val="0"/>
      <w:snapToGrid w:val="0"/>
      <w:spacing w:line="360" w:lineRule="auto"/>
      <w:ind w:firstLine="435"/>
    </w:pPr>
    <w:rPr>
      <w:rFonts w:ascii="宋体" w:hAnsi="宋体" w:cstheme="minorBidi"/>
      <w:sz w:val="24"/>
      <w:szCs w:val="22"/>
    </w:rPr>
  </w:style>
  <w:style w:type="character" w:customStyle="1" w:styleId="315">
    <w:name w:val="A5"/>
    <w:qFormat/>
    <w:uiPriority w:val="0"/>
    <w:rPr>
      <w:rFonts w:cs="Arial"/>
      <w:color w:val="000000"/>
      <w:sz w:val="14"/>
      <w:szCs w:val="14"/>
    </w:rPr>
  </w:style>
  <w:style w:type="character" w:customStyle="1" w:styleId="316">
    <w:name w:val="列表段落 字符"/>
    <w:link w:val="317"/>
    <w:qFormat/>
    <w:uiPriority w:val="34"/>
    <w:rPr>
      <w:szCs w:val="24"/>
    </w:rPr>
  </w:style>
  <w:style w:type="paragraph" w:styleId="317">
    <w:name w:val="List Paragraph"/>
    <w:basedOn w:val="1"/>
    <w:link w:val="316"/>
    <w:qFormat/>
    <w:uiPriority w:val="0"/>
    <w:pPr>
      <w:ind w:firstLine="420" w:firstLineChars="200"/>
    </w:pPr>
    <w:rPr>
      <w:rFonts w:asciiTheme="minorHAnsi" w:hAnsiTheme="minorHAnsi" w:eastAsiaTheme="minorEastAsia" w:cstheme="minorBidi"/>
      <w:szCs w:val="24"/>
    </w:rPr>
  </w:style>
  <w:style w:type="character" w:customStyle="1" w:styleId="318">
    <w:name w:val="Char Char11"/>
    <w:qFormat/>
    <w:uiPriority w:val="0"/>
    <w:rPr>
      <w:rFonts w:ascii="宋体" w:hAnsi="宋体" w:eastAsia="宋体"/>
      <w:color w:val="000000"/>
      <w:sz w:val="24"/>
      <w:szCs w:val="24"/>
      <w:lang w:val="en-US" w:eastAsia="zh-CN" w:bidi="ar-SA"/>
    </w:rPr>
  </w:style>
  <w:style w:type="character" w:customStyle="1" w:styleId="319">
    <w:name w:val="标题 4 Char"/>
    <w:qFormat/>
    <w:uiPriority w:val="0"/>
    <w:rPr>
      <w:rFonts w:ascii="Cambria" w:hAnsi="Cambria" w:eastAsia="宋体" w:cs="Times New Roman"/>
      <w:b/>
      <w:bCs/>
      <w:kern w:val="2"/>
      <w:sz w:val="28"/>
      <w:szCs w:val="28"/>
    </w:rPr>
  </w:style>
  <w:style w:type="character" w:customStyle="1" w:styleId="320">
    <w:name w:val="cn_text1"/>
    <w:qFormat/>
    <w:uiPriority w:val="0"/>
    <w:rPr>
      <w:rFonts w:hint="default" w:ascii="ˎ̥" w:hAnsi="ˎ̥"/>
      <w:color w:val="003399"/>
      <w:spacing w:val="18"/>
      <w:sz w:val="21"/>
      <w:szCs w:val="21"/>
    </w:rPr>
  </w:style>
  <w:style w:type="character" w:customStyle="1" w:styleId="321">
    <w:name w:val="注释标题 字符1"/>
    <w:link w:val="17"/>
    <w:qFormat/>
    <w:uiPriority w:val="0"/>
    <w:rPr>
      <w:sz w:val="24"/>
      <w:szCs w:val="24"/>
    </w:rPr>
  </w:style>
  <w:style w:type="character" w:customStyle="1" w:styleId="322">
    <w:name w:val="注释标题 字符"/>
    <w:basedOn w:val="99"/>
    <w:semiHidden/>
    <w:qFormat/>
    <w:uiPriority w:val="99"/>
    <w:rPr>
      <w:rFonts w:ascii="Times New Roman" w:hAnsi="Times New Roman" w:eastAsia="宋体" w:cs="Times New Roman"/>
      <w:szCs w:val="20"/>
    </w:rPr>
  </w:style>
  <w:style w:type="character" w:customStyle="1" w:styleId="323">
    <w:name w:val="小四 段落 宋体 Char Char Char Char1"/>
    <w:link w:val="324"/>
    <w:qFormat/>
    <w:uiPriority w:val="0"/>
    <w:rPr>
      <w:sz w:val="24"/>
      <w:szCs w:val="24"/>
    </w:rPr>
  </w:style>
  <w:style w:type="paragraph" w:customStyle="1" w:styleId="324">
    <w:name w:val="小四 段落 宋体 Char Char Char"/>
    <w:basedOn w:val="21"/>
    <w:link w:val="323"/>
    <w:qFormat/>
    <w:uiPriority w:val="0"/>
    <w:pPr>
      <w:tabs>
        <w:tab w:val="clear" w:pos="420"/>
      </w:tabs>
      <w:spacing w:line="360" w:lineRule="auto"/>
      <w:ind w:left="0" w:right="-33" w:firstLine="480" w:firstLineChars="200"/>
      <w:jc w:val="left"/>
    </w:pPr>
    <w:rPr>
      <w:rFonts w:asciiTheme="minorHAnsi" w:hAnsiTheme="minorHAnsi" w:eastAsiaTheme="minorEastAsia" w:cstheme="minorBidi"/>
      <w:sz w:val="24"/>
    </w:rPr>
  </w:style>
  <w:style w:type="character" w:customStyle="1" w:styleId="325">
    <w:name w:val="font-121"/>
    <w:qFormat/>
    <w:uiPriority w:val="0"/>
    <w:rPr>
      <w:color w:val="666666"/>
      <w:sz w:val="18"/>
      <w:szCs w:val="18"/>
      <w:u w:val="none"/>
    </w:rPr>
  </w:style>
  <w:style w:type="character" w:customStyle="1" w:styleId="326">
    <w:name w:val="contentword1"/>
    <w:qFormat/>
    <w:uiPriority w:val="0"/>
    <w:rPr>
      <w:sz w:val="22"/>
      <w:szCs w:val="22"/>
    </w:rPr>
  </w:style>
  <w:style w:type="character" w:customStyle="1" w:styleId="327">
    <w:name w:val="para1"/>
    <w:qFormat/>
    <w:uiPriority w:val="0"/>
    <w:rPr>
      <w:rFonts w:hint="default" w:ascii="Arial" w:hAnsi="Arial" w:cs="Arial"/>
      <w:sz w:val="24"/>
      <w:szCs w:val="24"/>
    </w:rPr>
  </w:style>
  <w:style w:type="character" w:customStyle="1" w:styleId="328">
    <w:name w:val="title1"/>
    <w:qFormat/>
    <w:uiPriority w:val="0"/>
    <w:rPr>
      <w:b/>
      <w:bCs/>
      <w:color w:val="FFFFFF"/>
      <w:sz w:val="20"/>
      <w:szCs w:val="20"/>
    </w:rPr>
  </w:style>
  <w:style w:type="character" w:customStyle="1" w:styleId="329">
    <w:name w:val="Figure Description Char"/>
    <w:link w:val="330"/>
    <w:qFormat/>
    <w:uiPriority w:val="0"/>
    <w:rPr>
      <w:rFonts w:ascii="Arial" w:hAnsi="Arial" w:eastAsia="黑体"/>
      <w:sz w:val="18"/>
      <w:szCs w:val="18"/>
    </w:rPr>
  </w:style>
  <w:style w:type="paragraph" w:customStyle="1" w:styleId="330">
    <w:name w:val="Figure Description"/>
    <w:basedOn w:val="1"/>
    <w:next w:val="1"/>
    <w:link w:val="329"/>
    <w:qFormat/>
    <w:uiPriority w:val="0"/>
    <w:pPr>
      <w:widowControl/>
      <w:autoSpaceDE w:val="0"/>
      <w:autoSpaceDN w:val="0"/>
      <w:adjustRightInd w:val="0"/>
      <w:spacing w:before="80" w:after="320" w:line="300" w:lineRule="auto"/>
      <w:ind w:left="1134"/>
      <w:jc w:val="center"/>
    </w:pPr>
    <w:rPr>
      <w:rFonts w:ascii="Arial" w:hAnsi="Arial" w:eastAsia="黑体" w:cstheme="minorBidi"/>
      <w:sz w:val="18"/>
      <w:szCs w:val="18"/>
    </w:rPr>
  </w:style>
  <w:style w:type="character" w:customStyle="1" w:styleId="331">
    <w:name w:val="w31"/>
    <w:qFormat/>
    <w:uiPriority w:val="0"/>
    <w:rPr>
      <w:rFonts w:hint="default" w:ascii="Verdana" w:hAnsi="Verdana"/>
      <w:color w:val="333333"/>
      <w:sz w:val="18"/>
      <w:szCs w:val="18"/>
      <w:u w:val="none"/>
    </w:rPr>
  </w:style>
  <w:style w:type="character" w:customStyle="1" w:styleId="332">
    <w:name w:val="小四 段落 宋体 Char1"/>
    <w:link w:val="333"/>
    <w:semiHidden/>
    <w:qFormat/>
    <w:uiPriority w:val="0"/>
    <w:rPr>
      <w:sz w:val="24"/>
      <w:szCs w:val="24"/>
    </w:rPr>
  </w:style>
  <w:style w:type="paragraph" w:customStyle="1" w:styleId="333">
    <w:name w:val="小四 段落 宋体"/>
    <w:basedOn w:val="21"/>
    <w:link w:val="332"/>
    <w:semiHidden/>
    <w:qFormat/>
    <w:uiPriority w:val="0"/>
    <w:pPr>
      <w:tabs>
        <w:tab w:val="clear" w:pos="420"/>
      </w:tabs>
      <w:spacing w:line="360" w:lineRule="auto"/>
      <w:ind w:left="113" w:right="113" w:firstLine="425"/>
      <w:jc w:val="left"/>
    </w:pPr>
    <w:rPr>
      <w:rFonts w:asciiTheme="minorHAnsi" w:hAnsiTheme="minorHAnsi" w:eastAsiaTheme="minorEastAsia" w:cstheme="minorBidi"/>
      <w:sz w:val="24"/>
    </w:rPr>
  </w:style>
  <w:style w:type="character" w:customStyle="1" w:styleId="334">
    <w:name w:val="样式 二号 加粗"/>
    <w:qFormat/>
    <w:uiPriority w:val="0"/>
    <w:rPr>
      <w:b/>
      <w:bCs/>
      <w:sz w:val="48"/>
    </w:rPr>
  </w:style>
  <w:style w:type="character" w:customStyle="1" w:styleId="335">
    <w:name w:val="D1 Char"/>
    <w:link w:val="336"/>
    <w:qFormat/>
    <w:uiPriority w:val="0"/>
    <w:rPr>
      <w:rFonts w:ascii="EU-F1" w:eastAsia="黑体"/>
    </w:rPr>
  </w:style>
  <w:style w:type="paragraph" w:customStyle="1" w:styleId="336">
    <w:name w:val="D1"/>
    <w:basedOn w:val="1"/>
    <w:link w:val="335"/>
    <w:qFormat/>
    <w:uiPriority w:val="0"/>
    <w:pPr>
      <w:spacing w:line="480" w:lineRule="auto"/>
    </w:pPr>
    <w:rPr>
      <w:rFonts w:ascii="EU-F1" w:eastAsia="黑体" w:hAnsiTheme="minorHAnsi" w:cstheme="minorBidi"/>
      <w:szCs w:val="22"/>
    </w:rPr>
  </w:style>
  <w:style w:type="character" w:customStyle="1" w:styleId="337">
    <w:name w:val="普通文字 Char1"/>
    <w:qFormat/>
    <w:uiPriority w:val="0"/>
    <w:rPr>
      <w:rFonts w:ascii="宋体" w:hAnsi="Courier New"/>
      <w:kern w:val="2"/>
      <w:sz w:val="21"/>
    </w:rPr>
  </w:style>
  <w:style w:type="character" w:customStyle="1" w:styleId="338">
    <w:name w:val="h Char"/>
    <w:qFormat/>
    <w:uiPriority w:val="0"/>
    <w:rPr>
      <w:rFonts w:eastAsia="宋体"/>
      <w:kern w:val="2"/>
      <w:sz w:val="18"/>
      <w:szCs w:val="18"/>
      <w:lang w:val="en-US" w:eastAsia="zh-CN" w:bidi="ar-SA"/>
    </w:rPr>
  </w:style>
  <w:style w:type="character" w:customStyle="1" w:styleId="339">
    <w:name w:val="m1"/>
    <w:qFormat/>
    <w:uiPriority w:val="0"/>
    <w:rPr>
      <w:color w:val="0000FF"/>
    </w:rPr>
  </w:style>
  <w:style w:type="character" w:customStyle="1" w:styleId="340">
    <w:name w:val="标题 字符1"/>
    <w:link w:val="84"/>
    <w:qFormat/>
    <w:uiPriority w:val="0"/>
    <w:rPr>
      <w:rFonts w:ascii="Arial" w:hAnsi="Arial"/>
      <w:b/>
      <w:bCs/>
      <w:sz w:val="32"/>
      <w:szCs w:val="32"/>
    </w:rPr>
  </w:style>
  <w:style w:type="character" w:customStyle="1" w:styleId="341">
    <w:name w:val="标题 字符"/>
    <w:basedOn w:val="99"/>
    <w:qFormat/>
    <w:uiPriority w:val="0"/>
    <w:rPr>
      <w:rFonts w:asciiTheme="majorHAnsi" w:hAnsiTheme="majorHAnsi" w:eastAsiaTheme="majorEastAsia" w:cstheme="majorBidi"/>
      <w:b/>
      <w:bCs/>
      <w:sz w:val="32"/>
      <w:szCs w:val="32"/>
    </w:rPr>
  </w:style>
  <w:style w:type="character" w:customStyle="1" w:styleId="342">
    <w:name w:val="纯文本 Char1"/>
    <w:qFormat/>
    <w:uiPriority w:val="0"/>
    <w:rPr>
      <w:rFonts w:ascii="宋体" w:hAnsi="Courier New" w:cs="Courier New"/>
      <w:kern w:val="2"/>
      <w:sz w:val="21"/>
      <w:szCs w:val="21"/>
    </w:rPr>
  </w:style>
  <w:style w:type="character" w:customStyle="1" w:styleId="343">
    <w:name w:val="text"/>
    <w:qFormat/>
    <w:uiPriority w:val="0"/>
  </w:style>
  <w:style w:type="character" w:customStyle="1" w:styleId="344">
    <w:name w:val="news1"/>
    <w:qFormat/>
    <w:uiPriority w:val="0"/>
  </w:style>
  <w:style w:type="character" w:customStyle="1" w:styleId="345">
    <w:name w:val="信息标题 Char1"/>
    <w:semiHidden/>
    <w:qFormat/>
    <w:uiPriority w:val="99"/>
    <w:rPr>
      <w:rFonts w:ascii="Cambria" w:hAnsi="Cambria" w:eastAsia="宋体" w:cs="Times New Roman"/>
      <w:kern w:val="2"/>
      <w:sz w:val="24"/>
      <w:szCs w:val="24"/>
      <w:shd w:val="pct20" w:color="auto" w:fill="auto"/>
    </w:rPr>
  </w:style>
  <w:style w:type="character" w:customStyle="1" w:styleId="346">
    <w:name w:val="HTML 地址 Char1"/>
    <w:semiHidden/>
    <w:qFormat/>
    <w:uiPriority w:val="99"/>
    <w:rPr>
      <w:i/>
      <w:iCs/>
      <w:kern w:val="2"/>
      <w:sz w:val="21"/>
    </w:rPr>
  </w:style>
  <w:style w:type="character" w:customStyle="1" w:styleId="347">
    <w:name w:val="注释标题 Char1"/>
    <w:semiHidden/>
    <w:qFormat/>
    <w:uiPriority w:val="99"/>
    <w:rPr>
      <w:kern w:val="2"/>
      <w:sz w:val="21"/>
    </w:rPr>
  </w:style>
  <w:style w:type="character" w:customStyle="1" w:styleId="348">
    <w:name w:val="电子邮件签名 字符1"/>
    <w:link w:val="20"/>
    <w:qFormat/>
    <w:uiPriority w:val="0"/>
  </w:style>
  <w:style w:type="character" w:customStyle="1" w:styleId="349">
    <w:name w:val="电子邮件签名 字符"/>
    <w:basedOn w:val="99"/>
    <w:semiHidden/>
    <w:qFormat/>
    <w:uiPriority w:val="99"/>
    <w:rPr>
      <w:rFonts w:ascii="Times New Roman" w:hAnsi="Times New Roman" w:eastAsia="宋体" w:cs="Times New Roman"/>
      <w:szCs w:val="20"/>
    </w:rPr>
  </w:style>
  <w:style w:type="paragraph" w:customStyle="1" w:styleId="350">
    <w:name w:val="样式 正文缩进 + 仿宋_GB2312 加粗 首行缩进:  2 字符 行距: 1.5 倍行距"/>
    <w:basedOn w:val="6"/>
    <w:qFormat/>
    <w:uiPriority w:val="0"/>
    <w:pPr>
      <w:adjustRightInd/>
      <w:spacing w:line="360" w:lineRule="auto"/>
      <w:ind w:firstLine="490" w:firstLineChars="200"/>
    </w:pPr>
    <w:rPr>
      <w:rFonts w:ascii="宋体" w:hAnsi="宋体" w:cs="宋体"/>
      <w:b/>
      <w:bCs/>
      <w:spacing w:val="2"/>
      <w:szCs w:val="24"/>
    </w:rPr>
  </w:style>
  <w:style w:type="paragraph" w:customStyle="1" w:styleId="351">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352">
    <w:name w:val="style2"/>
    <w:basedOn w:val="1"/>
    <w:qFormat/>
    <w:uiPriority w:val="0"/>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353">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354">
    <w:name w:val="默认段落字体 Para Char Char Char Char"/>
    <w:basedOn w:val="1"/>
    <w:qFormat/>
    <w:uiPriority w:val="0"/>
    <w:rPr>
      <w:szCs w:val="24"/>
    </w:rPr>
  </w:style>
  <w:style w:type="paragraph" w:customStyle="1" w:styleId="355">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6">
    <w:name w:val="songwhite14"/>
    <w:basedOn w:val="1"/>
    <w:qFormat/>
    <w:uiPriority w:val="0"/>
    <w:pPr>
      <w:widowControl/>
      <w:spacing w:before="100" w:beforeAutospacing="1" w:after="100" w:afterAutospacing="1"/>
      <w:jc w:val="left"/>
    </w:pPr>
    <w:rPr>
      <w:color w:val="FFFFFF"/>
      <w:kern w:val="0"/>
      <w:szCs w:val="21"/>
    </w:rPr>
  </w:style>
  <w:style w:type="paragraph" w:customStyle="1" w:styleId="357">
    <w:name w:val="标准正文"/>
    <w:basedOn w:val="1"/>
    <w:qFormat/>
    <w:uiPriority w:val="0"/>
    <w:pPr>
      <w:spacing w:before="120" w:beforeLines="50" w:after="120" w:afterLines="50" w:line="400" w:lineRule="exact"/>
      <w:jc w:val="center"/>
    </w:pPr>
    <w:rPr>
      <w:rFonts w:cs="宋体"/>
    </w:rPr>
  </w:style>
  <w:style w:type="paragraph" w:customStyle="1" w:styleId="358">
    <w:name w:val="目录"/>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359">
    <w:name w:val="table cell"/>
    <w:basedOn w:val="1"/>
    <w:qFormat/>
    <w:uiPriority w:val="0"/>
    <w:pPr>
      <w:spacing w:line="360" w:lineRule="auto"/>
    </w:pPr>
    <w:rPr>
      <w:rFonts w:ascii="楷体" w:eastAsia="楷体"/>
      <w:kern w:val="0"/>
      <w:sz w:val="24"/>
    </w:rPr>
  </w:style>
  <w:style w:type="paragraph" w:customStyle="1" w:styleId="360">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361">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62">
    <w:name w:val="图号"/>
    <w:basedOn w:val="1"/>
    <w:qFormat/>
    <w:uiPriority w:val="0"/>
    <w:pPr>
      <w:autoSpaceDE w:val="0"/>
      <w:autoSpaceDN w:val="0"/>
      <w:adjustRightInd w:val="0"/>
      <w:spacing w:before="105" w:line="360" w:lineRule="auto"/>
      <w:jc w:val="center"/>
    </w:pPr>
    <w:rPr>
      <w:rFonts w:ascii="宋体" w:cs="宋体"/>
      <w:kern w:val="0"/>
      <w:szCs w:val="21"/>
    </w:rPr>
  </w:style>
  <w:style w:type="paragraph" w:customStyle="1" w:styleId="363">
    <w:name w:val="样式 宋体 小四 首行缩进:  1.11 厘米 行距: 1.5 倍行距"/>
    <w:basedOn w:val="1"/>
    <w:qFormat/>
    <w:uiPriority w:val="0"/>
    <w:pPr>
      <w:spacing w:line="360" w:lineRule="auto"/>
      <w:ind w:left="708" w:leftChars="337" w:firstLine="1"/>
    </w:pPr>
    <w:rPr>
      <w:rFonts w:ascii="宋体"/>
      <w:sz w:val="24"/>
    </w:rPr>
  </w:style>
  <w:style w:type="paragraph" w:customStyle="1" w:styleId="3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5">
    <w:name w:val="xl8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66">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7">
    <w:name w:val="样式 标题 1H1Heading 0 + 首行缩进:  2 字符"/>
    <w:basedOn w:val="3"/>
    <w:qFormat/>
    <w:uiPriority w:val="0"/>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368">
    <w:name w:val="xl1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0"/>
    </w:rPr>
  </w:style>
  <w:style w:type="paragraph" w:customStyle="1" w:styleId="369">
    <w:name w:val="gb_master正文"/>
    <w:basedOn w:val="1"/>
    <w:qFormat/>
    <w:uiPriority w:val="0"/>
    <w:pPr>
      <w:ind w:firstLine="200" w:firstLineChars="200"/>
    </w:pPr>
    <w:rPr>
      <w:szCs w:val="24"/>
    </w:rPr>
  </w:style>
  <w:style w:type="paragraph" w:customStyle="1" w:styleId="370">
    <w:name w:val="Char Char Char Char Char Char Char"/>
    <w:basedOn w:val="1"/>
    <w:qFormat/>
    <w:uiPriority w:val="0"/>
    <w:rPr>
      <w:szCs w:val="24"/>
    </w:rPr>
  </w:style>
  <w:style w:type="paragraph" w:customStyle="1" w:styleId="371">
    <w:name w:val="首行缩进 Char Char"/>
    <w:basedOn w:val="1"/>
    <w:qFormat/>
    <w:uiPriority w:val="0"/>
    <w:pPr>
      <w:spacing w:after="50" w:afterLines="50" w:line="300" w:lineRule="auto"/>
      <w:ind w:firstLine="200" w:firstLineChars="200"/>
    </w:pPr>
    <w:rPr>
      <w:rFonts w:ascii="Arial" w:hAnsi="Arial"/>
      <w:sz w:val="24"/>
      <w:szCs w:val="24"/>
    </w:rPr>
  </w:style>
  <w:style w:type="paragraph" w:customStyle="1" w:styleId="372">
    <w:name w:val="方案正文"/>
    <w:basedOn w:val="1"/>
    <w:qFormat/>
    <w:uiPriority w:val="0"/>
    <w:pPr>
      <w:spacing w:line="360" w:lineRule="auto"/>
    </w:pPr>
    <w:rPr>
      <w:rFonts w:eastAsia="仿宋_GB2312"/>
      <w:sz w:val="24"/>
      <w:szCs w:val="21"/>
    </w:rPr>
  </w:style>
  <w:style w:type="paragraph" w:customStyle="1" w:styleId="373">
    <w:name w:val="Char1 Char Char Char Char Char Char"/>
    <w:basedOn w:val="26"/>
    <w:qFormat/>
    <w:uiPriority w:val="0"/>
    <w:rPr>
      <w:rFonts w:ascii="Tahoma" w:hAnsi="Tahoma"/>
      <w:sz w:val="24"/>
      <w:szCs w:val="24"/>
    </w:rPr>
  </w:style>
  <w:style w:type="paragraph" w:customStyle="1" w:styleId="374">
    <w:name w:val="style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5">
    <w:name w:val="table_td"/>
    <w:basedOn w:val="1"/>
    <w:qFormat/>
    <w:uiPriority w:val="0"/>
    <w:pPr>
      <w:widowControl/>
      <w:shd w:val="clear" w:color="auto" w:fill="E7E7E7"/>
      <w:spacing w:before="100" w:beforeAutospacing="1" w:after="100" w:afterAutospacing="1"/>
      <w:jc w:val="left"/>
    </w:pPr>
    <w:rPr>
      <w:color w:val="333333"/>
      <w:kern w:val="0"/>
      <w:sz w:val="18"/>
      <w:szCs w:val="18"/>
    </w:rPr>
  </w:style>
  <w:style w:type="paragraph" w:customStyle="1" w:styleId="376">
    <w:name w:val="songhui12"/>
    <w:basedOn w:val="1"/>
    <w:qFormat/>
    <w:uiPriority w:val="0"/>
    <w:pPr>
      <w:widowControl/>
      <w:spacing w:before="100" w:beforeAutospacing="1" w:after="100" w:afterAutospacing="1"/>
      <w:jc w:val="left"/>
    </w:pPr>
    <w:rPr>
      <w:color w:val="3D3E7C"/>
      <w:kern w:val="0"/>
      <w:sz w:val="18"/>
      <w:szCs w:val="18"/>
    </w:rPr>
  </w:style>
  <w:style w:type="paragraph" w:customStyle="1" w:styleId="377">
    <w:name w:val="1 Char Char Char Char"/>
    <w:basedOn w:val="1"/>
    <w:qFormat/>
    <w:uiPriority w:val="0"/>
    <w:rPr>
      <w:rFonts w:ascii="Tahoma" w:hAnsi="Tahoma"/>
      <w:sz w:val="24"/>
    </w:rPr>
  </w:style>
  <w:style w:type="paragraph" w:customStyle="1" w:styleId="378">
    <w:name w:val="Char Char Char Char"/>
    <w:basedOn w:val="1"/>
    <w:qFormat/>
    <w:uiPriority w:val="0"/>
    <w:pPr>
      <w:widowControl/>
      <w:spacing w:after="160" w:line="240" w:lineRule="exact"/>
      <w:jc w:val="left"/>
    </w:pPr>
    <w:rPr>
      <w:rFonts w:eastAsia="Times New Roman"/>
      <w:kern w:val="0"/>
      <w:sz w:val="20"/>
    </w:rPr>
  </w:style>
  <w:style w:type="paragraph" w:customStyle="1" w:styleId="379">
    <w:name w:val="Table_Medium"/>
    <w:basedOn w:val="1"/>
    <w:qFormat/>
    <w:uiPriority w:val="0"/>
    <w:pPr>
      <w:widowControl/>
      <w:spacing w:before="40" w:after="40" w:line="360" w:lineRule="auto"/>
      <w:jc w:val="left"/>
    </w:pPr>
    <w:rPr>
      <w:rFonts w:ascii="宋体" w:hAnsi="宋体"/>
      <w:kern w:val="0"/>
      <w:sz w:val="18"/>
    </w:rPr>
  </w:style>
  <w:style w:type="paragraph" w:customStyle="1" w:styleId="380">
    <w:name w:val="ico-blue"/>
    <w:basedOn w:val="1"/>
    <w:qFormat/>
    <w:uiPriority w:val="0"/>
    <w:pPr>
      <w:widowControl/>
      <w:spacing w:before="100" w:beforeAutospacing="1" w:after="100" w:afterAutospacing="1"/>
      <w:jc w:val="left"/>
    </w:pPr>
    <w:rPr>
      <w:rFonts w:ascii="Arial Unicode MS" w:hAnsi="Arial Unicode MS" w:eastAsia="Arial Unicode MS" w:cs="Arial Unicode MS"/>
      <w:color w:val="153259"/>
      <w:kern w:val="0"/>
      <w:sz w:val="24"/>
      <w:szCs w:val="24"/>
    </w:rPr>
  </w:style>
  <w:style w:type="paragraph" w:customStyle="1" w:styleId="381">
    <w:name w:val="conten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2">
    <w:name w:val="_Style 4"/>
    <w:basedOn w:val="1"/>
    <w:qFormat/>
    <w:uiPriority w:val="0"/>
    <w:rPr>
      <w:szCs w:val="24"/>
    </w:rPr>
  </w:style>
  <w:style w:type="paragraph" w:customStyle="1" w:styleId="38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rPr>
  </w:style>
  <w:style w:type="paragraph" w:customStyle="1" w:styleId="384">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cs="Arial"/>
      <w:sz w:val="18"/>
      <w:szCs w:val="18"/>
    </w:rPr>
  </w:style>
  <w:style w:type="paragraph" w:customStyle="1" w:styleId="385">
    <w:name w:val="font9"/>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86">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songwhitebold12"/>
    <w:basedOn w:val="1"/>
    <w:qFormat/>
    <w:uiPriority w:val="0"/>
    <w:pPr>
      <w:widowControl/>
      <w:spacing w:before="100" w:beforeAutospacing="1" w:after="100" w:afterAutospacing="1"/>
      <w:jc w:val="left"/>
    </w:pPr>
    <w:rPr>
      <w:b/>
      <w:bCs/>
      <w:color w:val="FFFFFF"/>
      <w:kern w:val="0"/>
      <w:sz w:val="18"/>
      <w:szCs w:val="18"/>
    </w:rPr>
  </w:style>
  <w:style w:type="paragraph" w:customStyle="1" w:styleId="38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389">
    <w:name w:val="航道工可"/>
    <w:basedOn w:val="1"/>
    <w:semiHidden/>
    <w:qFormat/>
    <w:uiPriority w:val="0"/>
    <w:pPr>
      <w:ind w:firstLine="200" w:firstLineChars="200"/>
    </w:pPr>
    <w:rPr>
      <w:sz w:val="28"/>
      <w:szCs w:val="24"/>
    </w:rPr>
  </w:style>
  <w:style w:type="paragraph" w:customStyle="1" w:styleId="390">
    <w:name w:val="Char Char1 Char"/>
    <w:basedOn w:val="1"/>
    <w:next w:val="1"/>
    <w:qFormat/>
    <w:uiPriority w:val="0"/>
    <w:pPr>
      <w:widowControl/>
      <w:spacing w:after="160" w:line="240" w:lineRule="exact"/>
      <w:jc w:val="left"/>
    </w:pPr>
  </w:style>
  <w:style w:type="paragraph" w:customStyle="1" w:styleId="391">
    <w:name w:val="URM正文文字"/>
    <w:basedOn w:val="1"/>
    <w:qFormat/>
    <w:uiPriority w:val="0"/>
    <w:pPr>
      <w:numPr>
        <w:ilvl w:val="0"/>
        <w:numId w:val="9"/>
      </w:numPr>
      <w:spacing w:line="400" w:lineRule="exact"/>
      <w:ind w:left="0" w:firstLine="426"/>
    </w:pPr>
    <w:rPr>
      <w:rFonts w:ascii="宋体" w:hAnsi="宋体"/>
      <w:kern w:val="0"/>
      <w:szCs w:val="21"/>
    </w:rPr>
  </w:style>
  <w:style w:type="paragraph" w:customStyle="1" w:styleId="392">
    <w:name w:val="xl136"/>
    <w:basedOn w:val="1"/>
    <w:qFormat/>
    <w:uiPriority w:val="0"/>
    <w:pPr>
      <w:widowControl/>
      <w:pBdr>
        <w:top w:val="single" w:color="auto" w:sz="4"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393">
    <w:name w:val="Char Char Char1 Char"/>
    <w:basedOn w:val="1"/>
    <w:qFormat/>
    <w:uiPriority w:val="0"/>
    <w:pPr>
      <w:adjustRightInd w:val="0"/>
      <w:spacing w:line="360" w:lineRule="auto"/>
    </w:pPr>
    <w:rPr>
      <w:kern w:val="0"/>
      <w:sz w:val="24"/>
    </w:rPr>
  </w:style>
  <w:style w:type="paragraph" w:customStyle="1" w:styleId="3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5">
    <w:name w:val="xl140"/>
    <w:basedOn w:val="1"/>
    <w:qFormat/>
    <w:uiPriority w:val="0"/>
    <w:pPr>
      <w:widowControl/>
      <w:pBdr>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396">
    <w:name w:val="q1"/>
    <w:basedOn w:val="84"/>
    <w:qFormat/>
    <w:uiPriority w:val="0"/>
    <w:pPr>
      <w:tabs>
        <w:tab w:val="left" w:pos="360"/>
      </w:tabs>
      <w:ind w:firstLine="0" w:firstLineChars="0"/>
      <w:jc w:val="left"/>
    </w:pPr>
    <w:rPr>
      <w:sz w:val="36"/>
    </w:rPr>
  </w:style>
  <w:style w:type="character" w:customStyle="1" w:styleId="397">
    <w:name w:val="普通(网站) 字符1"/>
    <w:link w:val="81"/>
    <w:qFormat/>
    <w:uiPriority w:val="0"/>
    <w:rPr>
      <w:rFonts w:ascii="宋体" w:hAnsi="宋体" w:eastAsia="宋体" w:cs="Times New Roman"/>
      <w:color w:val="000000"/>
      <w:kern w:val="0"/>
      <w:sz w:val="24"/>
      <w:szCs w:val="20"/>
    </w:rPr>
  </w:style>
  <w:style w:type="paragraph" w:customStyle="1" w:styleId="398">
    <w:name w:val="xl108"/>
    <w:basedOn w:val="1"/>
    <w:qFormat/>
    <w:uiPriority w:val="0"/>
    <w:pPr>
      <w:widowControl/>
      <w:spacing w:before="100" w:beforeAutospacing="1" w:after="100" w:afterAutospacing="1"/>
      <w:jc w:val="left"/>
    </w:pPr>
    <w:rPr>
      <w:rFonts w:ascii="宋体" w:hAnsi="宋体" w:cs="宋体"/>
      <w:kern w:val="0"/>
      <w:sz w:val="20"/>
    </w:rPr>
  </w:style>
  <w:style w:type="paragraph" w:customStyle="1" w:styleId="399">
    <w:name w:val="songwhitebold14"/>
    <w:basedOn w:val="1"/>
    <w:qFormat/>
    <w:uiPriority w:val="0"/>
    <w:pPr>
      <w:widowControl/>
      <w:spacing w:before="100" w:beforeAutospacing="1" w:after="100" w:afterAutospacing="1"/>
      <w:jc w:val="left"/>
    </w:pPr>
    <w:rPr>
      <w:b/>
      <w:bCs/>
      <w:color w:val="FFFFFF"/>
      <w:kern w:val="0"/>
      <w:szCs w:val="21"/>
    </w:rPr>
  </w:style>
  <w:style w:type="paragraph" w:customStyle="1" w:styleId="400">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01">
    <w:name w:val="表格表头"/>
    <w:basedOn w:val="1"/>
    <w:next w:val="1"/>
    <w:qFormat/>
    <w:uiPriority w:val="0"/>
    <w:pPr>
      <w:tabs>
        <w:tab w:val="left" w:pos="420"/>
      </w:tabs>
      <w:spacing w:before="60" w:after="60"/>
    </w:pPr>
    <w:rPr>
      <w:b/>
    </w:rPr>
  </w:style>
  <w:style w:type="paragraph" w:customStyle="1" w:styleId="402">
    <w:name w:val="Char Char"/>
    <w:basedOn w:val="1"/>
    <w:qFormat/>
    <w:uiPriority w:val="0"/>
    <w:pPr>
      <w:keepNext/>
      <w:widowControl/>
      <w:spacing w:after="160" w:line="240" w:lineRule="exact"/>
      <w:jc w:val="left"/>
    </w:pPr>
    <w:rPr>
      <w:szCs w:val="24"/>
    </w:rPr>
  </w:style>
  <w:style w:type="paragraph" w:customStyle="1" w:styleId="403">
    <w:name w:val="para"/>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404">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05">
    <w:name w:val="xl141"/>
    <w:basedOn w:val="1"/>
    <w:qFormat/>
    <w:uiPriority w:val="0"/>
    <w:pPr>
      <w:widowControl/>
      <w:pBdr>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406">
    <w:name w:val="xl139"/>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407">
    <w:name w:val="Normal Paragraph"/>
    <w:basedOn w:val="1"/>
    <w:qFormat/>
    <w:uiPriority w:val="0"/>
    <w:pPr>
      <w:widowControl/>
      <w:spacing w:before="120" w:line="360" w:lineRule="auto"/>
      <w:ind w:firstLine="425"/>
    </w:pPr>
    <w:rPr>
      <w:kern w:val="0"/>
      <w:sz w:val="24"/>
      <w:szCs w:val="24"/>
    </w:rPr>
  </w:style>
  <w:style w:type="paragraph" w:customStyle="1" w:styleId="408">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4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10">
    <w:name w:val="2제품명"/>
    <w:basedOn w:val="1"/>
    <w:qFormat/>
    <w:uiPriority w:val="0"/>
    <w:pPr>
      <w:widowControl/>
      <w:spacing w:line="312" w:lineRule="auto"/>
    </w:pPr>
    <w:rPr>
      <w:rFonts w:ascii="Arial" w:hAnsi="Arial" w:eastAsia="GulimChe"/>
      <w:b/>
      <w:bCs/>
      <w:color w:val="000000"/>
      <w:kern w:val="0"/>
      <w:sz w:val="20"/>
      <w:lang w:eastAsia="ko-KR"/>
    </w:rPr>
  </w:style>
  <w:style w:type="paragraph" w:customStyle="1" w:styleId="411">
    <w:name w:val="正文样式"/>
    <w:basedOn w:val="1"/>
    <w:qFormat/>
    <w:uiPriority w:val="0"/>
    <w:pPr>
      <w:widowControl/>
      <w:spacing w:after="120" w:line="264" w:lineRule="auto"/>
      <w:ind w:firstLine="482"/>
      <w:jc w:val="left"/>
    </w:pPr>
    <w:rPr>
      <w:rFonts w:ascii="Arial" w:hAnsi="Arial"/>
      <w:kern w:val="0"/>
      <w:sz w:val="24"/>
      <w:szCs w:val="24"/>
      <w:lang w:eastAsia="zh-HK"/>
    </w:rPr>
  </w:style>
  <w:style w:type="paragraph" w:customStyle="1" w:styleId="412">
    <w:name w:val="Char Char Char Char Char Char"/>
    <w:basedOn w:val="1"/>
    <w:qFormat/>
    <w:uiPriority w:val="0"/>
    <w:pPr>
      <w:tabs>
        <w:tab w:val="left" w:pos="840"/>
      </w:tabs>
      <w:ind w:left="840" w:hanging="420"/>
    </w:pPr>
    <w:rPr>
      <w:sz w:val="24"/>
      <w:szCs w:val="24"/>
    </w:rPr>
  </w:style>
  <w:style w:type="paragraph" w:customStyle="1" w:styleId="413">
    <w:name w:val="style5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14">
    <w:name w:val="3특징"/>
    <w:basedOn w:val="1"/>
    <w:qFormat/>
    <w:uiPriority w:val="0"/>
    <w:pPr>
      <w:widowControl/>
      <w:spacing w:line="160" w:lineRule="atLeast"/>
    </w:pPr>
    <w:rPr>
      <w:rFonts w:ascii="Arial" w:hAnsi="Arial" w:eastAsia="GulimChe" w:cs="Arial"/>
      <w:color w:val="000000"/>
      <w:kern w:val="0"/>
      <w:sz w:val="20"/>
      <w:lang w:eastAsia="ko-KR"/>
    </w:rPr>
  </w:style>
  <w:style w:type="paragraph" w:customStyle="1" w:styleId="415">
    <w:name w:val="目录标题"/>
    <w:basedOn w:val="1"/>
    <w:qFormat/>
    <w:uiPriority w:val="0"/>
    <w:pPr>
      <w:spacing w:before="120" w:after="120" w:line="400" w:lineRule="atLeast"/>
      <w:jc w:val="center"/>
    </w:pPr>
    <w:rPr>
      <w:rFonts w:eastAsia="楷体_GB2312"/>
      <w:b/>
      <w:sz w:val="44"/>
    </w:rPr>
  </w:style>
  <w:style w:type="paragraph" w:customStyle="1" w:styleId="416">
    <w:name w:val="style3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17">
    <w:name w:val="TOC 标题1"/>
    <w:basedOn w:val="3"/>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418">
    <w:name w:val="章标题"/>
    <w:next w:val="1"/>
    <w:qFormat/>
    <w:uiPriority w:val="0"/>
    <w:pPr>
      <w:numPr>
        <w:ilvl w:val="1"/>
        <w:numId w:val="10"/>
      </w:numPr>
      <w:spacing w:beforeLines="50" w:afterLines="50"/>
      <w:jc w:val="both"/>
      <w:outlineLvl w:val="1"/>
    </w:pPr>
    <w:rPr>
      <w:rFonts w:ascii="黑体" w:hAnsi="Times New Roman" w:eastAsia="黑体" w:cs="Times New Roman"/>
      <w:sz w:val="21"/>
      <w:lang w:val="en-US" w:eastAsia="zh-CN" w:bidi="ar-SA"/>
    </w:rPr>
  </w:style>
  <w:style w:type="paragraph" w:customStyle="1" w:styleId="419">
    <w:name w:val="子项目"/>
    <w:basedOn w:val="1"/>
    <w:qFormat/>
    <w:uiPriority w:val="0"/>
    <w:pPr>
      <w:spacing w:line="360" w:lineRule="auto"/>
      <w:ind w:left="1260" w:hanging="780"/>
    </w:pPr>
    <w:rPr>
      <w:rFonts w:ascii="宋体" w:hAnsi="宋体"/>
      <w:sz w:val="24"/>
      <w:szCs w:val="24"/>
    </w:rPr>
  </w:style>
  <w:style w:type="paragraph" w:customStyle="1" w:styleId="42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4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422">
    <w:name w:val="xl110"/>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423">
    <w:name w:val="样式 首行缩进:  2 字符 段后: 0.5 行"/>
    <w:basedOn w:val="1"/>
    <w:qFormat/>
    <w:uiPriority w:val="0"/>
    <w:pPr>
      <w:tabs>
        <w:tab w:val="left" w:pos="0"/>
      </w:tabs>
      <w:spacing w:after="120" w:afterLines="50" w:line="360" w:lineRule="auto"/>
    </w:pPr>
    <w:rPr>
      <w:rFonts w:ascii="宋体" w:hAnsi="宋体"/>
      <w:sz w:val="24"/>
      <w:szCs w:val="24"/>
    </w:rPr>
  </w:style>
  <w:style w:type="paragraph" w:customStyle="1" w:styleId="424">
    <w:name w:val="Zchn Zchn Char Char"/>
    <w:basedOn w:val="1"/>
    <w:qFormat/>
    <w:uiPriority w:val="0"/>
    <w:pPr>
      <w:adjustRightInd w:val="0"/>
      <w:spacing w:line="360" w:lineRule="auto"/>
    </w:pPr>
    <w:rPr>
      <w:kern w:val="0"/>
      <w:sz w:val="24"/>
    </w:rPr>
  </w:style>
  <w:style w:type="paragraph" w:customStyle="1" w:styleId="425">
    <w:name w:val="样式4"/>
    <w:basedOn w:val="40"/>
    <w:qFormat/>
    <w:uiPriority w:val="0"/>
    <w:pPr>
      <w:tabs>
        <w:tab w:val="left" w:pos="420"/>
        <w:tab w:val="clear" w:pos="720"/>
      </w:tabs>
      <w:adjustRightInd w:val="0"/>
      <w:spacing w:line="360" w:lineRule="auto"/>
      <w:ind w:left="400" w:hanging="200"/>
      <w:jc w:val="left"/>
      <w:textAlignment w:val="baseline"/>
    </w:pPr>
    <w:rPr>
      <w:rFonts w:ascii="宋体" w:hAnsi="宋体"/>
      <w:sz w:val="24"/>
    </w:rPr>
  </w:style>
  <w:style w:type="paragraph" w:customStyle="1" w:styleId="426">
    <w:name w:val="样式 正文缩进 + 仿宋_GB2312 首行缩进:  2 字符 行距: 1.5 倍行距"/>
    <w:basedOn w:val="6"/>
    <w:qFormat/>
    <w:uiPriority w:val="0"/>
    <w:pPr>
      <w:adjustRightInd/>
      <w:spacing w:line="360" w:lineRule="auto"/>
      <w:ind w:firstLine="488" w:firstLineChars="200"/>
    </w:pPr>
    <w:rPr>
      <w:rFonts w:ascii="宋体" w:hAnsi="宋体" w:cs="宋体"/>
      <w:spacing w:val="2"/>
      <w:szCs w:val="24"/>
    </w:rPr>
  </w:style>
  <w:style w:type="paragraph" w:customStyle="1" w:styleId="427">
    <w:name w:val="Table_Sm_Heading"/>
    <w:basedOn w:val="1"/>
    <w:qFormat/>
    <w:uiPriority w:val="0"/>
    <w:pPr>
      <w:keepNext/>
      <w:keepLines/>
      <w:widowControl/>
      <w:spacing w:before="60" w:after="40" w:line="360" w:lineRule="auto"/>
      <w:jc w:val="left"/>
    </w:pPr>
    <w:rPr>
      <w:rFonts w:ascii="宋体" w:hAnsi="宋体"/>
      <w:b/>
      <w:kern w:val="0"/>
      <w:sz w:val="16"/>
    </w:rPr>
  </w:style>
  <w:style w:type="paragraph" w:customStyle="1" w:styleId="428">
    <w:name w:val="songgray12line20"/>
    <w:basedOn w:val="1"/>
    <w:qFormat/>
    <w:uiPriority w:val="0"/>
    <w:pPr>
      <w:widowControl/>
      <w:spacing w:before="100" w:beforeAutospacing="1" w:after="100" w:afterAutospacing="1" w:line="300" w:lineRule="atLeast"/>
      <w:jc w:val="left"/>
    </w:pPr>
    <w:rPr>
      <w:color w:val="333333"/>
      <w:kern w:val="0"/>
      <w:sz w:val="18"/>
      <w:szCs w:val="18"/>
    </w:rPr>
  </w:style>
  <w:style w:type="paragraph" w:customStyle="1" w:styleId="429">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31">
    <w:name w:val="样式 标题 1 + 黑体 三号 非加粗 居中 段前: 6 磅 段后: 6 磅 行距: 固定值 20 磅"/>
    <w:basedOn w:val="3"/>
    <w:qFormat/>
    <w:uiPriority w:val="0"/>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432">
    <w:name w:val="1级列表"/>
    <w:basedOn w:val="1"/>
    <w:qFormat/>
    <w:uiPriority w:val="0"/>
    <w:pPr>
      <w:tabs>
        <w:tab w:val="left" w:pos="632"/>
        <w:tab w:val="left" w:pos="1383"/>
      </w:tabs>
      <w:spacing w:before="50" w:beforeLines="50"/>
      <w:ind w:left="632" w:hanging="344"/>
    </w:pPr>
    <w:rPr>
      <w:rFonts w:eastAsia="楷体_GB2312"/>
      <w:sz w:val="24"/>
      <w:szCs w:val="24"/>
    </w:rPr>
  </w:style>
  <w:style w:type="paragraph" w:customStyle="1" w:styleId="433">
    <w:name w:val="方案标题2"/>
    <w:basedOn w:val="4"/>
    <w:next w:val="372"/>
    <w:qFormat/>
    <w:uiPriority w:val="0"/>
    <w:pPr>
      <w:numPr>
        <w:ilvl w:val="0"/>
        <w:numId w:val="0"/>
      </w:numPr>
      <w:tabs>
        <w:tab w:val="left" w:pos="1260"/>
      </w:tabs>
      <w:spacing w:before="100" w:beforeLines="100" w:after="100" w:afterAutospacing="1" w:line="360" w:lineRule="auto"/>
      <w:ind w:left="1260" w:hanging="420"/>
      <w:jc w:val="left"/>
    </w:pPr>
    <w:rPr>
      <w:rFonts w:eastAsia="仿宋_GB2312"/>
    </w:rPr>
  </w:style>
  <w:style w:type="paragraph" w:customStyle="1" w:styleId="434">
    <w:name w:val="xl9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5">
    <w:name w:val="contentlabel"/>
    <w:basedOn w:val="1"/>
    <w:qFormat/>
    <w:uiPriority w:val="0"/>
    <w:pPr>
      <w:widowControl/>
      <w:spacing w:before="40" w:after="100" w:afterAutospacing="1"/>
      <w:ind w:left="120"/>
      <w:jc w:val="left"/>
    </w:pPr>
    <w:rPr>
      <w:rFonts w:ascii="宋体" w:hAnsi="宋体"/>
      <w:color w:val="336666"/>
      <w:kern w:val="0"/>
      <w:sz w:val="24"/>
      <w:szCs w:val="24"/>
    </w:rPr>
  </w:style>
  <w:style w:type="paragraph" w:customStyle="1" w:styleId="4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4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38">
    <w:name w:val="TitlePage_TopBorder"/>
    <w:basedOn w:val="439"/>
    <w:next w:val="439"/>
    <w:qFormat/>
    <w:uiPriority w:val="0"/>
    <w:pPr>
      <w:pBdr>
        <w:top w:val="single" w:color="auto" w:sz="18" w:space="1"/>
      </w:pBdr>
    </w:pPr>
  </w:style>
  <w:style w:type="paragraph" w:customStyle="1" w:styleId="439">
    <w:name w:val="TitlePage_Header"/>
    <w:basedOn w:val="1"/>
    <w:qFormat/>
    <w:uiPriority w:val="0"/>
    <w:pPr>
      <w:widowControl/>
      <w:spacing w:before="240" w:after="240"/>
      <w:ind w:left="3240"/>
    </w:pPr>
    <w:rPr>
      <w:rFonts w:ascii="Arial" w:hAnsi="Arial"/>
      <w:b/>
      <w:kern w:val="0"/>
      <w:sz w:val="32"/>
    </w:rPr>
  </w:style>
  <w:style w:type="paragraph" w:customStyle="1" w:styleId="440">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1">
    <w:name w:val="xl114"/>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442">
    <w:name w:val="Table_Small"/>
    <w:basedOn w:val="1"/>
    <w:qFormat/>
    <w:uiPriority w:val="0"/>
    <w:pPr>
      <w:widowControl/>
      <w:spacing w:before="40" w:after="40"/>
    </w:pPr>
    <w:rPr>
      <w:rFonts w:ascii="Arial" w:hAnsi="Arial"/>
      <w:sz w:val="16"/>
      <w:szCs w:val="24"/>
    </w:rPr>
  </w:style>
  <w:style w:type="paragraph" w:customStyle="1" w:styleId="443">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444">
    <w:name w:val="style7"/>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445">
    <w:name w:val="songblack12"/>
    <w:basedOn w:val="1"/>
    <w:qFormat/>
    <w:uiPriority w:val="0"/>
    <w:pPr>
      <w:widowControl/>
      <w:spacing w:before="100" w:beforeAutospacing="1" w:after="100" w:afterAutospacing="1"/>
      <w:jc w:val="left"/>
    </w:pPr>
    <w:rPr>
      <w:color w:val="000000"/>
      <w:kern w:val="0"/>
      <w:sz w:val="18"/>
      <w:szCs w:val="18"/>
    </w:rPr>
  </w:style>
  <w:style w:type="paragraph" w:customStyle="1" w:styleId="446">
    <w:name w:val="正文段落"/>
    <w:basedOn w:val="1"/>
    <w:qFormat/>
    <w:uiPriority w:val="0"/>
    <w:pPr>
      <w:spacing w:line="400" w:lineRule="exact"/>
      <w:ind w:firstLine="480" w:firstLineChars="200"/>
    </w:pPr>
    <w:rPr>
      <w:rFonts w:ascii="宋体" w:hAnsi="宋体" w:cs="宋体"/>
      <w:sz w:val="24"/>
    </w:rPr>
  </w:style>
  <w:style w:type="paragraph" w:customStyle="1" w:styleId="4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48">
    <w:name w:val="*4. Head 1"/>
    <w:basedOn w:val="394"/>
    <w:next w:val="394"/>
    <w:qFormat/>
    <w:uiPriority w:val="0"/>
    <w:pPr>
      <w:spacing w:before="180" w:after="60"/>
    </w:pPr>
    <w:rPr>
      <w:color w:val="auto"/>
    </w:rPr>
  </w:style>
  <w:style w:type="paragraph" w:customStyle="1" w:styleId="449">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表格内容"/>
    <w:basedOn w:val="1"/>
    <w:qFormat/>
    <w:uiPriority w:val="0"/>
    <w:pPr>
      <w:suppressLineNumbers/>
      <w:suppressAutoHyphens/>
    </w:pPr>
    <w:rPr>
      <w:kern w:val="1"/>
      <w:szCs w:val="24"/>
    </w:rPr>
  </w:style>
  <w:style w:type="paragraph" w:customStyle="1" w:styleId="452">
    <w:name w:val="ymtext"/>
    <w:basedOn w:val="1"/>
    <w:qFormat/>
    <w:uiPriority w:val="0"/>
    <w:pPr>
      <w:widowControl/>
      <w:spacing w:after="100" w:line="500" w:lineRule="atLeast"/>
      <w:ind w:firstLine="547"/>
      <w:jc w:val="left"/>
    </w:pPr>
    <w:rPr>
      <w:rFonts w:ascii="宋体"/>
      <w:spacing w:val="40"/>
      <w:kern w:val="0"/>
      <w:sz w:val="24"/>
    </w:rPr>
  </w:style>
  <w:style w:type="paragraph" w:customStyle="1" w:styleId="453">
    <w:name w:val="Table_Sm_Heading_Right"/>
    <w:basedOn w:val="427"/>
    <w:qFormat/>
    <w:uiPriority w:val="0"/>
    <w:pPr>
      <w:spacing w:line="240" w:lineRule="auto"/>
      <w:jc w:val="right"/>
    </w:pPr>
    <w:rPr>
      <w:rFonts w:ascii="Arial" w:hAnsi="Arial"/>
    </w:rPr>
  </w:style>
  <w:style w:type="paragraph" w:customStyle="1" w:styleId="45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45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56">
    <w:name w:val="封面文档标题"/>
    <w:basedOn w:val="1"/>
    <w:qFormat/>
    <w:uiPriority w:val="0"/>
    <w:pPr>
      <w:widowControl/>
      <w:snapToGrid w:val="0"/>
      <w:spacing w:before="80" w:after="80" w:line="360" w:lineRule="auto"/>
      <w:ind w:left="-103" w:firstLine="480" w:firstLineChars="200"/>
      <w:jc w:val="center"/>
    </w:pPr>
    <w:rPr>
      <w:rFonts w:ascii="宋体" w:hAnsi="宋体" w:cs="Arial"/>
      <w:b/>
      <w:bCs/>
      <w:kern w:val="0"/>
      <w:sz w:val="56"/>
      <w:szCs w:val="56"/>
    </w:rPr>
  </w:style>
  <w:style w:type="paragraph" w:customStyle="1" w:styleId="457">
    <w:name w:val="2级列表"/>
    <w:basedOn w:val="432"/>
    <w:qFormat/>
    <w:uiPriority w:val="0"/>
    <w:pPr>
      <w:tabs>
        <w:tab w:val="left" w:pos="360"/>
        <w:tab w:val="left" w:pos="576"/>
        <w:tab w:val="left" w:pos="1865"/>
        <w:tab w:val="clear" w:pos="632"/>
        <w:tab w:val="clear" w:pos="1383"/>
      </w:tabs>
      <w:ind w:left="1866" w:hanging="576"/>
    </w:pPr>
  </w:style>
  <w:style w:type="paragraph" w:customStyle="1" w:styleId="458">
    <w:name w:val="font15"/>
    <w:basedOn w:val="1"/>
    <w:qFormat/>
    <w:uiPriority w:val="0"/>
    <w:pPr>
      <w:widowControl/>
      <w:spacing w:before="100" w:beforeAutospacing="1" w:after="100" w:afterAutospacing="1"/>
      <w:jc w:val="left"/>
    </w:pPr>
    <w:rPr>
      <w:kern w:val="0"/>
      <w:szCs w:val="21"/>
    </w:rPr>
  </w:style>
  <w:style w:type="paragraph" w:customStyle="1" w:styleId="459">
    <w:name w:val="font17"/>
    <w:basedOn w:val="1"/>
    <w:qFormat/>
    <w:uiPriority w:val="0"/>
    <w:pPr>
      <w:widowControl/>
      <w:spacing w:before="100" w:beforeAutospacing="1" w:after="100" w:afterAutospacing="1"/>
      <w:jc w:val="left"/>
    </w:pPr>
    <w:rPr>
      <w:rFonts w:ascii="宋体" w:hAnsi="宋体" w:cs="宋体"/>
      <w:kern w:val="0"/>
      <w:sz w:val="20"/>
    </w:rPr>
  </w:style>
  <w:style w:type="paragraph" w:customStyle="1" w:styleId="460">
    <w:name w:val="font6"/>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461">
    <w:name w:val="图标1"/>
    <w:basedOn w:val="1"/>
    <w:qFormat/>
    <w:uiPriority w:val="0"/>
    <w:pPr>
      <w:numPr>
        <w:ilvl w:val="1"/>
        <w:numId w:val="11"/>
      </w:numPr>
      <w:tabs>
        <w:tab w:val="left" w:pos="1742"/>
      </w:tabs>
      <w:spacing w:before="120" w:after="120" w:line="360" w:lineRule="auto"/>
      <w:ind w:left="1742"/>
    </w:pPr>
    <w:rPr>
      <w:rFonts w:ascii="Arial Narrow" w:hAnsi="Arial Narrow"/>
      <w:sz w:val="24"/>
      <w:szCs w:val="24"/>
    </w:rPr>
  </w:style>
  <w:style w:type="paragraph" w:customStyle="1" w:styleId="462">
    <w:name w:val="Bullet1"/>
    <w:basedOn w:val="34"/>
    <w:qFormat/>
    <w:uiPriority w:val="0"/>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463">
    <w:name w:val="百姓X"/>
    <w:basedOn w:val="1"/>
    <w:qFormat/>
    <w:uiPriority w:val="0"/>
    <w:pPr>
      <w:spacing w:before="120" w:after="120" w:line="360" w:lineRule="auto"/>
      <w:ind w:firstLine="540"/>
    </w:pPr>
    <w:rPr>
      <w:rFonts w:ascii="Arial Narrow" w:hAnsi="Arial Narrow"/>
      <w:sz w:val="24"/>
      <w:szCs w:val="24"/>
    </w:rPr>
  </w:style>
  <w:style w:type="paragraph" w:customStyle="1" w:styleId="464">
    <w:name w:val="Style Normal +"/>
    <w:basedOn w:val="1"/>
    <w:qFormat/>
    <w:uiPriority w:val="0"/>
    <w:pPr>
      <w:spacing w:line="360" w:lineRule="auto"/>
      <w:ind w:firstLine="720"/>
    </w:pPr>
    <w:rPr>
      <w:rFonts w:ascii="华文宋体" w:hAnsi="华文宋体"/>
      <w:sz w:val="24"/>
      <w:szCs w:val="24"/>
    </w:rPr>
  </w:style>
  <w:style w:type="paragraph" w:customStyle="1" w:styleId="465">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466">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67">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468">
    <w:name w:val="普通文字1"/>
    <w:basedOn w:val="45"/>
    <w:next w:val="45"/>
    <w:qFormat/>
    <w:uiPriority w:val="0"/>
    <w:pPr>
      <w:spacing w:before="0" w:beforeAutospacing="0" w:after="0" w:afterAutospacing="0"/>
    </w:pPr>
    <w:rPr>
      <w:rFonts w:hAnsi="Courier New" w:cs="宋体"/>
      <w:color w:val="auto"/>
      <w:sz w:val="18"/>
      <w:szCs w:val="18"/>
    </w:rPr>
  </w:style>
  <w:style w:type="paragraph" w:customStyle="1" w:styleId="469">
    <w:name w:val="Body Copy"/>
    <w:basedOn w:val="1"/>
    <w:qFormat/>
    <w:uiPriority w:val="0"/>
    <w:pPr>
      <w:autoSpaceDE w:val="0"/>
      <w:autoSpaceDN w:val="0"/>
      <w:adjustRightInd w:val="0"/>
      <w:spacing w:line="220" w:lineRule="atLeast"/>
      <w:jc w:val="left"/>
      <w:textAlignment w:val="center"/>
    </w:pPr>
    <w:rPr>
      <w:rFonts w:ascii="Times-Roman" w:hAnsi="Times-Roman" w:eastAsia="Times New Roman"/>
      <w:color w:val="000000"/>
      <w:kern w:val="0"/>
      <w:sz w:val="20"/>
    </w:rPr>
  </w:style>
  <w:style w:type="paragraph" w:customStyle="1" w:styleId="47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71">
    <w:name w:val="figureca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2">
    <w:name w:val="要点1"/>
    <w:basedOn w:val="1"/>
    <w:qFormat/>
    <w:uiPriority w:val="0"/>
    <w:pPr>
      <w:tabs>
        <w:tab w:val="left" w:pos="420"/>
      </w:tabs>
      <w:spacing w:line="440" w:lineRule="exact"/>
      <w:ind w:left="420" w:hanging="420"/>
    </w:pPr>
    <w:rPr>
      <w:rFonts w:eastAsia="黑体"/>
      <w:b/>
      <w:sz w:val="28"/>
      <w:szCs w:val="24"/>
    </w:rPr>
  </w:style>
  <w:style w:type="paragraph" w:customStyle="1" w:styleId="473">
    <w:name w:val="xl66"/>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74">
    <w:name w:val="ww2"/>
    <w:basedOn w:val="1"/>
    <w:qFormat/>
    <w:uiPriority w:val="0"/>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47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7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77">
    <w:name w:val="正文段"/>
    <w:basedOn w:val="1"/>
    <w:qFormat/>
    <w:uiPriority w:val="0"/>
    <w:pPr>
      <w:widowControl/>
      <w:adjustRightInd w:val="0"/>
      <w:spacing w:after="240" w:line="240" w:lineRule="atLeast"/>
      <w:ind w:firstLine="454"/>
      <w:textAlignment w:val="bottom"/>
    </w:pPr>
    <w:rPr>
      <w:rFonts w:ascii="宋体"/>
      <w:kern w:val="0"/>
      <w:sz w:val="24"/>
    </w:rPr>
  </w:style>
  <w:style w:type="paragraph" w:customStyle="1" w:styleId="478">
    <w:name w:val="Char1 Char Char Char"/>
    <w:basedOn w:val="1"/>
    <w:qFormat/>
    <w:uiPriority w:val="0"/>
    <w:pPr>
      <w:tabs>
        <w:tab w:val="left" w:pos="840"/>
      </w:tabs>
      <w:ind w:left="840" w:hanging="420"/>
    </w:pPr>
  </w:style>
  <w:style w:type="paragraph" w:customStyle="1" w:styleId="479">
    <w:name w:val="样式 标题 2H2Heading 2 HiddenHeading 2 CCBSTitre3Level 2 Headh...1"/>
    <w:basedOn w:val="4"/>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480">
    <w:name w:val="Style First line:  0.3&quot;1"/>
    <w:basedOn w:val="1"/>
    <w:qFormat/>
    <w:uiPriority w:val="0"/>
    <w:pPr>
      <w:spacing w:line="360" w:lineRule="auto"/>
      <w:ind w:firstLine="432"/>
    </w:pPr>
    <w:rPr>
      <w:rFonts w:ascii="华文宋体" w:hAnsi="华文宋体"/>
      <w:sz w:val="24"/>
      <w:szCs w:val="24"/>
    </w:rPr>
  </w:style>
  <w:style w:type="paragraph" w:customStyle="1" w:styleId="481">
    <w:name w:val="style69"/>
    <w:basedOn w:val="1"/>
    <w:qFormat/>
    <w:uiPriority w:val="0"/>
    <w:pPr>
      <w:widowControl/>
      <w:spacing w:before="100" w:beforeAutospacing="1" w:after="100" w:afterAutospacing="1"/>
      <w:jc w:val="left"/>
    </w:pPr>
    <w:rPr>
      <w:rFonts w:ascii="Arial" w:hAnsi="Arial" w:cs="Arial"/>
      <w:b/>
      <w:bCs/>
      <w:color w:val="FF0000"/>
      <w:kern w:val="0"/>
      <w:sz w:val="36"/>
      <w:szCs w:val="36"/>
    </w:rPr>
  </w:style>
  <w:style w:type="paragraph" w:customStyle="1" w:styleId="482">
    <w:name w:val="4세부내용"/>
    <w:basedOn w:val="1"/>
    <w:qFormat/>
    <w:uiPriority w:val="0"/>
    <w:pPr>
      <w:widowControl/>
      <w:spacing w:line="0" w:lineRule="atLeast"/>
      <w:jc w:val="left"/>
    </w:pPr>
    <w:rPr>
      <w:rFonts w:ascii="Arial" w:hAnsi="Arial" w:eastAsia="Batang"/>
      <w:color w:val="000000"/>
      <w:kern w:val="0"/>
      <w:sz w:val="18"/>
      <w:szCs w:val="18"/>
      <w:lang w:eastAsia="ko-KR"/>
    </w:rPr>
  </w:style>
  <w:style w:type="paragraph" w:customStyle="1" w:styleId="483">
    <w:name w:val="table_td1"/>
    <w:basedOn w:val="1"/>
    <w:qFormat/>
    <w:uiPriority w:val="0"/>
    <w:pPr>
      <w:widowControl/>
      <w:shd w:val="clear" w:color="auto" w:fill="E1E7BC"/>
      <w:spacing w:before="100" w:beforeAutospacing="1" w:after="100" w:afterAutospacing="1"/>
      <w:jc w:val="left"/>
    </w:pPr>
    <w:rPr>
      <w:color w:val="233F61"/>
      <w:kern w:val="0"/>
      <w:sz w:val="18"/>
      <w:szCs w:val="18"/>
    </w:rPr>
  </w:style>
  <w:style w:type="paragraph" w:customStyle="1" w:styleId="484">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5">
    <w:name w:val="勾"/>
    <w:basedOn w:val="1"/>
    <w:qFormat/>
    <w:uiPriority w:val="0"/>
    <w:pPr>
      <w:tabs>
        <w:tab w:val="left" w:pos="720"/>
      </w:tabs>
      <w:spacing w:line="360" w:lineRule="auto"/>
    </w:pPr>
    <w:rPr>
      <w:sz w:val="24"/>
    </w:rPr>
  </w:style>
  <w:style w:type="paragraph" w:customStyle="1" w:styleId="486">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黑体"/>
      <w:sz w:val="24"/>
      <w:szCs w:val="24"/>
      <w:lang w:val="en-US" w:eastAsia="zh-CN" w:bidi="ar-SA"/>
    </w:rPr>
  </w:style>
  <w:style w:type="paragraph" w:customStyle="1" w:styleId="48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488">
    <w:name w:val="8"/>
    <w:basedOn w:val="1"/>
    <w:next w:val="35"/>
    <w:qFormat/>
    <w:uiPriority w:val="0"/>
    <w:pPr>
      <w:spacing w:line="360" w:lineRule="auto"/>
      <w:ind w:firstLine="540" w:firstLineChars="225"/>
    </w:pPr>
    <w:rPr>
      <w:rFonts w:ascii="宋体" w:hAnsi="宋体"/>
      <w:sz w:val="24"/>
      <w:szCs w:val="24"/>
    </w:rPr>
  </w:style>
  <w:style w:type="paragraph" w:customStyle="1" w:styleId="48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rPr>
  </w:style>
  <w:style w:type="paragraph" w:customStyle="1" w:styleId="490">
    <w:name w:val="text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491">
    <w:name w:val="xl11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20"/>
    </w:rPr>
  </w:style>
  <w:style w:type="paragraph" w:customStyle="1" w:styleId="492">
    <w:name w:val="songblackbold12"/>
    <w:basedOn w:val="1"/>
    <w:qFormat/>
    <w:uiPriority w:val="0"/>
    <w:pPr>
      <w:widowControl/>
      <w:spacing w:before="100" w:beforeAutospacing="1" w:after="100" w:afterAutospacing="1"/>
      <w:jc w:val="left"/>
    </w:pPr>
    <w:rPr>
      <w:b/>
      <w:bCs/>
      <w:color w:val="000000"/>
      <w:kern w:val="0"/>
      <w:sz w:val="18"/>
      <w:szCs w:val="18"/>
    </w:rPr>
  </w:style>
  <w:style w:type="paragraph" w:customStyle="1" w:styleId="493">
    <w:name w:val="正文标题2"/>
    <w:basedOn w:val="1"/>
    <w:qFormat/>
    <w:uiPriority w:val="0"/>
    <w:pPr>
      <w:spacing w:line="360" w:lineRule="auto"/>
    </w:pPr>
    <w:rPr>
      <w:sz w:val="32"/>
      <w:szCs w:val="24"/>
    </w:rPr>
  </w:style>
  <w:style w:type="paragraph" w:customStyle="1" w:styleId="494">
    <w:name w:val="Char1"/>
    <w:basedOn w:val="1"/>
    <w:qFormat/>
    <w:uiPriority w:val="0"/>
    <w:rPr>
      <w:rFonts w:ascii="Tahoma" w:hAnsi="Tahoma" w:cs="Arial"/>
      <w:sz w:val="24"/>
      <w:szCs w:val="21"/>
    </w:rPr>
  </w:style>
  <w:style w:type="paragraph" w:customStyle="1" w:styleId="495">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left"/>
    </w:pPr>
    <w:rPr>
      <w:rFonts w:ascii="宋体" w:hAnsi="宋体" w:cs="宋体"/>
      <w:color w:val="000000"/>
      <w:kern w:val="0"/>
      <w:sz w:val="20"/>
    </w:rPr>
  </w:style>
  <w:style w:type="paragraph" w:customStyle="1" w:styleId="496">
    <w:name w:val="xl9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498">
    <w:name w:val="*8. General Text"/>
    <w:basedOn w:val="394"/>
    <w:next w:val="394"/>
    <w:qFormat/>
    <w:uiPriority w:val="0"/>
    <w:pPr>
      <w:spacing w:after="120"/>
    </w:pPr>
    <w:rPr>
      <w:color w:val="auto"/>
    </w:rPr>
  </w:style>
  <w:style w:type="paragraph" w:customStyle="1" w:styleId="499">
    <w:name w:val="Char Char Char Char Char Char Char Char Char Char Char Char"/>
    <w:basedOn w:val="1"/>
    <w:qFormat/>
    <w:uiPriority w:val="0"/>
    <w:pPr>
      <w:widowControl/>
      <w:spacing w:after="160" w:line="240" w:lineRule="exact"/>
      <w:jc w:val="left"/>
    </w:pPr>
    <w:rPr>
      <w:szCs w:val="24"/>
    </w:rPr>
  </w:style>
  <w:style w:type="paragraph" w:customStyle="1" w:styleId="500">
    <w:name w:val="正文（首行缩进两字）1"/>
    <w:basedOn w:val="6"/>
    <w:qFormat/>
    <w:uiPriority w:val="0"/>
    <w:pPr>
      <w:widowControl/>
      <w:autoSpaceDE w:val="0"/>
      <w:autoSpaceDN w:val="0"/>
      <w:adjustRightInd/>
      <w:spacing w:after="120" w:line="360" w:lineRule="auto"/>
      <w:ind w:firstLine="560" w:firstLineChars="200"/>
      <w:jc w:val="left"/>
    </w:pPr>
    <w:rPr>
      <w:bCs/>
      <w:color w:val="000000"/>
      <w:kern w:val="2"/>
      <w:sz w:val="28"/>
    </w:rPr>
  </w:style>
  <w:style w:type="paragraph" w:customStyle="1" w:styleId="501">
    <w:name w:val="1st Heading"/>
    <w:basedOn w:val="1"/>
    <w:qFormat/>
    <w:uiPriority w:val="0"/>
    <w:pPr>
      <w:widowControl/>
      <w:spacing w:after="108"/>
      <w:jc w:val="left"/>
    </w:pPr>
    <w:rPr>
      <w:b/>
      <w:bCs/>
      <w:snapToGrid w:val="0"/>
      <w:kern w:val="0"/>
      <w:sz w:val="24"/>
      <w:szCs w:val="24"/>
      <w:lang w:bidi="he-IL"/>
    </w:rPr>
  </w:style>
  <w:style w:type="paragraph" w:customStyle="1" w:styleId="502">
    <w:name w:val="CM39"/>
    <w:basedOn w:val="394"/>
    <w:next w:val="394"/>
    <w:qFormat/>
    <w:uiPriority w:val="0"/>
    <w:pPr>
      <w:spacing w:line="400" w:lineRule="atLeast"/>
    </w:pPr>
    <w:rPr>
      <w:rFonts w:ascii="宋体" w:cs="宋体"/>
      <w:color w:val="auto"/>
    </w:rPr>
  </w:style>
  <w:style w:type="paragraph" w:customStyle="1" w:styleId="503">
    <w:name w:val="Char Char Char"/>
    <w:basedOn w:val="1"/>
    <w:qFormat/>
    <w:uiPriority w:val="0"/>
    <w:pPr>
      <w:widowControl/>
      <w:spacing w:after="160" w:line="240" w:lineRule="exact"/>
      <w:jc w:val="left"/>
    </w:pPr>
    <w:rPr>
      <w:rFonts w:ascii="Verdana" w:hAnsi="Verdana"/>
      <w:kern w:val="0"/>
      <w:sz w:val="20"/>
      <w:lang w:eastAsia="en-US"/>
    </w:rPr>
  </w:style>
  <w:style w:type="paragraph" w:customStyle="1" w:styleId="504">
    <w:name w:val="标注》"/>
    <w:basedOn w:val="1"/>
    <w:qFormat/>
    <w:uiPriority w:val="0"/>
    <w:pPr>
      <w:tabs>
        <w:tab w:val="left" w:pos="420"/>
      </w:tabs>
      <w:spacing w:after="60"/>
      <w:ind w:left="420" w:hanging="420"/>
    </w:pPr>
    <w:rPr>
      <w:rFonts w:eastAsia="黑体"/>
      <w:b/>
      <w:sz w:val="24"/>
    </w:rPr>
  </w:style>
  <w:style w:type="paragraph" w:customStyle="1" w:styleId="505">
    <w:name w:val="样式 标题 2H2Heading 2 HiddenHeading 2 CCBSTitre3Level 2 Headh..."/>
    <w:basedOn w:val="4"/>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50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507">
    <w:name w:val="Char Char Char Char Char Char Char Char Char Char Char Char Char Char Char Char"/>
    <w:basedOn w:val="1"/>
    <w:qFormat/>
    <w:uiPriority w:val="0"/>
    <w:rPr>
      <w:rFonts w:ascii="Tahoma" w:hAnsi="Tahoma"/>
      <w:sz w:val="24"/>
    </w:rPr>
  </w:style>
  <w:style w:type="paragraph" w:customStyle="1" w:styleId="50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50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kern w:val="0"/>
      <w:sz w:val="20"/>
    </w:rPr>
  </w:style>
  <w:style w:type="paragraph" w:customStyle="1" w:styleId="510">
    <w:name w:val="表格居中"/>
    <w:basedOn w:val="1"/>
    <w:qFormat/>
    <w:uiPriority w:val="0"/>
    <w:pPr>
      <w:numPr>
        <w:ilvl w:val="0"/>
        <w:numId w:val="12"/>
      </w:numPr>
      <w:tabs>
        <w:tab w:val="left" w:pos="360"/>
        <w:tab w:val="left" w:pos="2658"/>
      </w:tabs>
      <w:ind w:left="0" w:firstLine="0"/>
      <w:jc w:val="center"/>
    </w:pPr>
  </w:style>
  <w:style w:type="paragraph" w:customStyle="1" w:styleId="511">
    <w:name w:val="缺省文本"/>
    <w:basedOn w:val="1"/>
    <w:qFormat/>
    <w:uiPriority w:val="0"/>
    <w:pPr>
      <w:autoSpaceDE w:val="0"/>
      <w:autoSpaceDN w:val="0"/>
      <w:adjustRightInd w:val="0"/>
      <w:jc w:val="left"/>
    </w:pPr>
    <w:rPr>
      <w:kern w:val="0"/>
      <w:sz w:val="24"/>
    </w:rPr>
  </w:style>
  <w:style w:type="paragraph" w:customStyle="1" w:styleId="512">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513">
    <w:name w:val="表身（左）"/>
    <w:qFormat/>
    <w:uiPriority w:val="0"/>
    <w:pPr>
      <w:adjustRightInd w:val="0"/>
      <w:snapToGrid w:val="0"/>
      <w:spacing w:line="300" w:lineRule="auto"/>
    </w:pPr>
    <w:rPr>
      <w:rFonts w:ascii="Times New Roman" w:hAnsi="Times New Roman" w:eastAsia="宋体" w:cs="Times New Roman"/>
      <w:sz w:val="16"/>
      <w:lang w:val="en-US" w:eastAsia="zh-CN" w:bidi="ar-SA"/>
    </w:rPr>
  </w:style>
  <w:style w:type="paragraph" w:customStyle="1" w:styleId="51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15">
    <w:name w:val="标题3"/>
    <w:basedOn w:val="5"/>
    <w:qFormat/>
    <w:uiPriority w:val="0"/>
    <w:pPr>
      <w:keepNext/>
      <w:numPr>
        <w:ilvl w:val="0"/>
        <w:numId w:val="0"/>
      </w:numPr>
      <w:tabs>
        <w:tab w:val="left" w:pos="0"/>
      </w:tabs>
      <w:autoSpaceDE/>
      <w:autoSpaceDN/>
      <w:adjustRightInd/>
      <w:spacing w:line="320" w:lineRule="exact"/>
      <w:textAlignment w:val="auto"/>
    </w:pPr>
    <w:rPr>
      <w:rFonts w:ascii="宋体" w:hAnsi="宋体" w:eastAsia="宋体"/>
      <w:bCs/>
      <w:color w:val="auto"/>
      <w:kern w:val="2"/>
      <w:szCs w:val="24"/>
    </w:rPr>
  </w:style>
  <w:style w:type="paragraph" w:customStyle="1" w:styleId="516">
    <w:name w:val="button1"/>
    <w:basedOn w:val="1"/>
    <w:qFormat/>
    <w:uiPriority w:val="0"/>
    <w:pPr>
      <w:widowControl/>
      <w:shd w:val="clear" w:color="auto" w:fill="CC6600"/>
      <w:spacing w:before="100" w:beforeAutospacing="1" w:after="100" w:afterAutospacing="1"/>
      <w:jc w:val="left"/>
    </w:pPr>
    <w:rPr>
      <w:color w:val="FFFFFF"/>
      <w:kern w:val="0"/>
      <w:sz w:val="18"/>
      <w:szCs w:val="18"/>
    </w:rPr>
  </w:style>
  <w:style w:type="paragraph" w:customStyle="1" w:styleId="517">
    <w:name w:val="Default Text"/>
    <w:basedOn w:val="1"/>
    <w:qFormat/>
    <w:uiPriority w:val="0"/>
    <w:pPr>
      <w:widowControl/>
      <w:overflowPunct w:val="0"/>
      <w:autoSpaceDE w:val="0"/>
      <w:autoSpaceDN w:val="0"/>
      <w:adjustRightInd w:val="0"/>
      <w:jc w:val="left"/>
      <w:textAlignment w:val="baseline"/>
    </w:pPr>
    <w:rPr>
      <w:rFonts w:eastAsia="仿宋_GB2312"/>
      <w:kern w:val="0"/>
      <w:sz w:val="24"/>
      <w:lang w:val="en-GB"/>
    </w:rPr>
  </w:style>
  <w:style w:type="paragraph" w:customStyle="1" w:styleId="51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9">
    <w:name w:val="font16"/>
    <w:basedOn w:val="1"/>
    <w:qFormat/>
    <w:uiPriority w:val="0"/>
    <w:pPr>
      <w:widowControl/>
      <w:spacing w:before="100" w:beforeAutospacing="1" w:after="100" w:afterAutospacing="1"/>
      <w:jc w:val="left"/>
    </w:pPr>
    <w:rPr>
      <w:rFonts w:ascii="Calibri" w:hAnsi="Calibri" w:cs="宋体"/>
      <w:kern w:val="0"/>
      <w:sz w:val="20"/>
    </w:rPr>
  </w:style>
  <w:style w:type="paragraph" w:customStyle="1" w:styleId="520">
    <w:name w:val="xl137"/>
    <w:basedOn w:val="1"/>
    <w:qFormat/>
    <w:uiPriority w:val="0"/>
    <w:pPr>
      <w:widowControl/>
      <w:pBdr>
        <w:top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21">
    <w:name w:val="xl132"/>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2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523">
    <w:name w:val="Pa11"/>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524">
    <w:name w:val="xl11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kern w:val="0"/>
      <w:sz w:val="20"/>
    </w:rPr>
  </w:style>
  <w:style w:type="paragraph" w:customStyle="1" w:styleId="525">
    <w:name w:val="songredbold14"/>
    <w:basedOn w:val="1"/>
    <w:qFormat/>
    <w:uiPriority w:val="0"/>
    <w:pPr>
      <w:widowControl/>
      <w:spacing w:before="100" w:beforeAutospacing="1" w:after="100" w:afterAutospacing="1"/>
      <w:jc w:val="left"/>
    </w:pPr>
    <w:rPr>
      <w:rFonts w:ascii="宋体" w:hAnsi="宋体"/>
      <w:b/>
      <w:bCs/>
      <w:color w:val="993300"/>
      <w:kern w:val="0"/>
      <w:szCs w:val="21"/>
    </w:rPr>
  </w:style>
  <w:style w:type="paragraph" w:customStyle="1" w:styleId="526">
    <w:name w:val="表身（中）"/>
    <w:basedOn w:val="513"/>
    <w:qFormat/>
    <w:uiPriority w:val="0"/>
    <w:pPr>
      <w:jc w:val="center"/>
    </w:pPr>
  </w:style>
  <w:style w:type="paragraph" w:customStyle="1" w:styleId="527">
    <w:name w:val="Style1"/>
    <w:basedOn w:val="1"/>
    <w:qFormat/>
    <w:uiPriority w:val="0"/>
    <w:pPr>
      <w:spacing w:line="360" w:lineRule="auto"/>
      <w:ind w:firstLine="720"/>
      <w:jc w:val="center"/>
    </w:pPr>
    <w:rPr>
      <w:rFonts w:ascii="华文宋体" w:hAnsi="华文宋体"/>
      <w:b/>
      <w:bCs/>
      <w:sz w:val="56"/>
      <w:szCs w:val="56"/>
    </w:rPr>
  </w:style>
  <w:style w:type="paragraph" w:customStyle="1" w:styleId="528">
    <w:name w:val="q3"/>
    <w:basedOn w:val="84"/>
    <w:next w:val="1"/>
    <w:qFormat/>
    <w:uiPriority w:val="0"/>
    <w:pPr>
      <w:tabs>
        <w:tab w:val="left" w:pos="1280"/>
      </w:tabs>
      <w:ind w:left="1280" w:hanging="1080" w:firstLineChars="0"/>
      <w:jc w:val="left"/>
      <w:outlineLvl w:val="2"/>
    </w:pPr>
    <w:rPr>
      <w:sz w:val="28"/>
    </w:rPr>
  </w:style>
  <w:style w:type="paragraph" w:customStyle="1" w:styleId="529">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530">
    <w:name w:val="样式 首行缩进:  0.74 厘米 Char"/>
    <w:basedOn w:val="1"/>
    <w:qFormat/>
    <w:uiPriority w:val="0"/>
    <w:pPr>
      <w:spacing w:line="360" w:lineRule="auto"/>
      <w:ind w:firstLine="420"/>
    </w:pPr>
    <w:rPr>
      <w:rFonts w:eastAsia="仿宋_GB2312"/>
      <w:sz w:val="24"/>
    </w:rPr>
  </w:style>
  <w:style w:type="paragraph" w:customStyle="1" w:styleId="531">
    <w:name w:val="Char Char Char Char Char Char Char Char Char Char Char Char Char Char Char Char3"/>
    <w:basedOn w:val="1"/>
    <w:qFormat/>
    <w:uiPriority w:val="0"/>
    <w:rPr>
      <w:szCs w:val="24"/>
    </w:rPr>
  </w:style>
  <w:style w:type="paragraph" w:customStyle="1" w:styleId="532">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533">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534">
    <w:name w:val="xl145"/>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535">
    <w:name w:val="xl11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3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rPr>
  </w:style>
  <w:style w:type="paragraph" w:customStyle="1" w:styleId="538">
    <w:name w:val="样式 正文缩进正文（首行缩进两字）表正文正文非缩进标题4 + (西文) 宋体 首行缩进:  2 字符"/>
    <w:basedOn w:val="6"/>
    <w:qFormat/>
    <w:uiPriority w:val="0"/>
    <w:pPr>
      <w:adjustRightInd/>
      <w:spacing w:line="300" w:lineRule="auto"/>
      <w:ind w:firstLine="480" w:firstLineChars="200"/>
    </w:pPr>
    <w:rPr>
      <w:kern w:val="2"/>
      <w:sz w:val="21"/>
      <w:szCs w:val="24"/>
    </w:rPr>
  </w:style>
  <w:style w:type="paragraph" w:customStyle="1" w:styleId="539">
    <w:name w:val="Body3"/>
    <w:basedOn w:val="1"/>
    <w:qFormat/>
    <w:uiPriority w:val="0"/>
    <w:pPr>
      <w:spacing w:line="360" w:lineRule="auto"/>
    </w:pPr>
    <w:rPr>
      <w:rFonts w:ascii="宋体" w:hAnsi="宋体"/>
      <w:b/>
      <w:bCs/>
      <w:kern w:val="0"/>
      <w:sz w:val="24"/>
    </w:rPr>
  </w:style>
  <w:style w:type="paragraph" w:customStyle="1" w:styleId="540">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541">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54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right"/>
    </w:pPr>
    <w:rPr>
      <w:rFonts w:ascii="宋体" w:hAnsi="宋体" w:cs="宋体"/>
      <w:color w:val="000000"/>
      <w:kern w:val="0"/>
      <w:sz w:val="20"/>
    </w:rPr>
  </w:style>
  <w:style w:type="paragraph" w:customStyle="1" w:styleId="543">
    <w:name w:val="xl126"/>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0"/>
    </w:rPr>
  </w:style>
  <w:style w:type="paragraph" w:customStyle="1" w:styleId="544">
    <w:name w:val="xl1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rPr>
  </w:style>
  <w:style w:type="paragraph" w:customStyle="1" w:styleId="5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46">
    <w:name w:val="xl40"/>
    <w:basedOn w:val="1"/>
    <w:qFormat/>
    <w:uiPriority w:val="0"/>
    <w:pPr>
      <w:widowControl/>
      <w:pBdr>
        <w:top w:val="single" w:color="auto" w:sz="4" w:space="0"/>
        <w:left w:val="single" w:color="auto" w:sz="4" w:space="0"/>
        <w:bottom w:val="single" w:color="auto" w:sz="4" w:space="0"/>
      </w:pBdr>
      <w:shd w:val="clear" w:color="auto" w:fill="808080"/>
      <w:spacing w:before="100" w:beforeAutospacing="1" w:after="100" w:afterAutospacing="1"/>
      <w:jc w:val="center"/>
    </w:pPr>
    <w:rPr>
      <w:rFonts w:ascii="宋体" w:hAnsi="宋体" w:cs="宋体"/>
      <w:b/>
      <w:bCs/>
      <w:kern w:val="0"/>
      <w:sz w:val="20"/>
    </w:rPr>
  </w:style>
  <w:style w:type="paragraph" w:customStyle="1" w:styleId="547">
    <w:name w:val="p2"/>
    <w:basedOn w:val="1"/>
    <w:qFormat/>
    <w:uiPriority w:val="0"/>
    <w:pPr>
      <w:tabs>
        <w:tab w:val="left" w:pos="204"/>
      </w:tabs>
      <w:autoSpaceDE w:val="0"/>
      <w:autoSpaceDN w:val="0"/>
      <w:adjustRightInd w:val="0"/>
      <w:jc w:val="left"/>
    </w:pPr>
    <w:rPr>
      <w:rFonts w:eastAsia="Times New Roman"/>
      <w:kern w:val="0"/>
      <w:sz w:val="24"/>
      <w:szCs w:val="24"/>
      <w:lang w:eastAsia="en-US"/>
    </w:rPr>
  </w:style>
  <w:style w:type="paragraph" w:customStyle="1" w:styleId="54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49">
    <w:name w:val="內"/>
    <w:basedOn w:val="1"/>
    <w:qFormat/>
    <w:uiPriority w:val="0"/>
    <w:pPr>
      <w:adjustRightInd w:val="0"/>
      <w:spacing w:line="360" w:lineRule="atLeast"/>
      <w:textAlignment w:val="baseline"/>
    </w:pPr>
    <w:rPr>
      <w:rFonts w:eastAsia="MingLiU"/>
      <w:kern w:val="0"/>
      <w:sz w:val="24"/>
      <w:lang w:eastAsia="zh-TW"/>
    </w:rPr>
  </w:style>
  <w:style w:type="paragraph" w:customStyle="1" w:styleId="550">
    <w:name w:val="xl28"/>
    <w:basedOn w:val="1"/>
    <w:qFormat/>
    <w:uiPriority w:val="0"/>
    <w:pPr>
      <w:widowControl/>
      <w:pBdr>
        <w:left w:val="single" w:color="auto" w:sz="4" w:space="0"/>
        <w:bottom w:val="single" w:color="auto" w:sz="8" w:space="0"/>
      </w:pBdr>
      <w:spacing w:before="100" w:beforeAutospacing="1" w:after="100" w:afterAutospacing="1"/>
      <w:jc w:val="left"/>
    </w:pPr>
    <w:rPr>
      <w:rFonts w:ascii="宋体" w:hAnsi="宋体"/>
      <w:b/>
      <w:bCs/>
      <w:kern w:val="0"/>
      <w:sz w:val="32"/>
      <w:szCs w:val="32"/>
    </w:rPr>
  </w:style>
  <w:style w:type="paragraph" w:customStyle="1" w:styleId="551">
    <w:name w:val="样式 标题 3 + 段前: 0.5 行 段后: 0.5 行"/>
    <w:basedOn w:val="5"/>
    <w:qFormat/>
    <w:uiPriority w:val="0"/>
    <w:pPr>
      <w:keepNext/>
      <w:keepLines/>
      <w:numPr>
        <w:ilvl w:val="0"/>
        <w:numId w:val="0"/>
      </w:numPr>
      <w:tabs>
        <w:tab w:val="left" w:pos="0"/>
      </w:tabs>
      <w:autoSpaceDE/>
      <w:autoSpaceDN/>
      <w:adjustRightInd/>
      <w:spacing w:before="156" w:beforeLines="50" w:after="156" w:afterLines="50" w:line="240" w:lineRule="auto"/>
      <w:textAlignment w:val="auto"/>
    </w:pPr>
    <w:rPr>
      <w:rFonts w:ascii="Times New Roman" w:eastAsia="楷体_GB2312" w:cs="宋体"/>
      <w:bCs/>
      <w:color w:val="0066FF"/>
      <w:kern w:val="2"/>
    </w:rPr>
  </w:style>
  <w:style w:type="paragraph" w:customStyle="1" w:styleId="552">
    <w:name w:val="titleblue15"/>
    <w:basedOn w:val="1"/>
    <w:qFormat/>
    <w:uiPriority w:val="0"/>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553">
    <w:name w:val="rm"/>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songwhite12line20"/>
    <w:basedOn w:val="1"/>
    <w:qFormat/>
    <w:uiPriority w:val="0"/>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555">
    <w:name w:val="Char Char Char Char Char Char2"/>
    <w:basedOn w:val="26"/>
    <w:qFormat/>
    <w:uiPriority w:val="0"/>
    <w:rPr>
      <w:rFonts w:ascii="Tahoma" w:hAnsi="Tahoma"/>
      <w:sz w:val="24"/>
      <w:szCs w:val="24"/>
    </w:rPr>
  </w:style>
  <w:style w:type="paragraph" w:customStyle="1" w:styleId="556">
    <w:name w:val="xl115"/>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kern w:val="0"/>
      <w:sz w:val="24"/>
      <w:szCs w:val="24"/>
    </w:rPr>
  </w:style>
  <w:style w:type="paragraph" w:customStyle="1" w:styleId="557">
    <w:name w:val="00"/>
    <w:basedOn w:val="1"/>
    <w:qFormat/>
    <w:uiPriority w:val="0"/>
    <w:pPr>
      <w:autoSpaceDE w:val="0"/>
      <w:autoSpaceDN w:val="0"/>
      <w:adjustRightInd w:val="0"/>
      <w:jc w:val="left"/>
    </w:pPr>
    <w:rPr>
      <w:rFonts w:ascii="黑体" w:eastAsia="黑体"/>
      <w:b/>
      <w:bCs/>
      <w:kern w:val="0"/>
      <w:sz w:val="20"/>
    </w:rPr>
  </w:style>
  <w:style w:type="paragraph" w:customStyle="1" w:styleId="558">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559">
    <w:name w:val="font19"/>
    <w:basedOn w:val="1"/>
    <w:qFormat/>
    <w:uiPriority w:val="0"/>
    <w:pPr>
      <w:widowControl/>
      <w:spacing w:before="100" w:beforeAutospacing="1" w:after="100" w:afterAutospacing="1"/>
      <w:jc w:val="left"/>
    </w:pPr>
    <w:rPr>
      <w:kern w:val="0"/>
      <w:sz w:val="20"/>
    </w:rPr>
  </w:style>
  <w:style w:type="paragraph" w:customStyle="1" w:styleId="560">
    <w:name w:val="样式 标题 1 + 右侧:  1 字符"/>
    <w:basedOn w:val="3"/>
    <w:qFormat/>
    <w:uiPriority w:val="0"/>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5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562">
    <w:name w:val="表格文字"/>
    <w:basedOn w:val="1"/>
    <w:qFormat/>
    <w:uiPriority w:val="0"/>
    <w:rPr>
      <w:spacing w:val="-20"/>
      <w:sz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64">
    <w:name w:val="songred12"/>
    <w:basedOn w:val="1"/>
    <w:qFormat/>
    <w:uiPriority w:val="0"/>
    <w:pPr>
      <w:widowControl/>
      <w:spacing w:before="100" w:beforeAutospacing="1" w:after="100" w:afterAutospacing="1"/>
      <w:jc w:val="left"/>
    </w:pPr>
    <w:rPr>
      <w:rFonts w:ascii="宋体" w:hAnsi="宋体"/>
      <w:color w:val="993300"/>
      <w:kern w:val="0"/>
      <w:sz w:val="18"/>
      <w:szCs w:val="18"/>
    </w:rPr>
  </w:style>
  <w:style w:type="paragraph" w:customStyle="1" w:styleId="565">
    <w:name w:val="xl41"/>
    <w:basedOn w:val="1"/>
    <w:qFormat/>
    <w:uiPriority w:val="0"/>
    <w:pPr>
      <w:widowControl/>
      <w:pBdr>
        <w:top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kern w:val="0"/>
      <w:sz w:val="24"/>
      <w:szCs w:val="24"/>
    </w:rPr>
  </w:style>
  <w:style w:type="paragraph" w:customStyle="1" w:styleId="566">
    <w:name w:val="#"/>
    <w:basedOn w:val="1"/>
    <w:qFormat/>
    <w:uiPriority w:val="0"/>
    <w:pPr>
      <w:tabs>
        <w:tab w:val="left" w:pos="1022"/>
      </w:tabs>
      <w:spacing w:line="360" w:lineRule="auto"/>
    </w:pPr>
    <w:rPr>
      <w:sz w:val="24"/>
    </w:rPr>
  </w:style>
  <w:style w:type="paragraph" w:customStyle="1" w:styleId="56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68">
    <w:name w:val="Char Char3 Char Char Char Char Char Char Char Char Char Char Char Char Char Char Char Char"/>
    <w:basedOn w:val="1"/>
    <w:next w:val="1"/>
    <w:qFormat/>
    <w:uiPriority w:val="0"/>
    <w:pPr>
      <w:widowControl/>
      <w:spacing w:line="360" w:lineRule="auto"/>
      <w:jc w:val="left"/>
    </w:pPr>
    <w:rPr>
      <w:kern w:val="0"/>
      <w:lang w:eastAsia="en-US"/>
    </w:rPr>
  </w:style>
  <w:style w:type="paragraph" w:customStyle="1" w:styleId="569">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570">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1">
    <w:name w:val="IN Feature"/>
    <w:basedOn w:val="1"/>
    <w:qFormat/>
    <w:uiPriority w:val="0"/>
    <w:pPr>
      <w:widowControl/>
      <w:snapToGrid w:val="0"/>
      <w:spacing w:before="80" w:after="80" w:line="300" w:lineRule="auto"/>
    </w:pPr>
    <w:rPr>
      <w:rFonts w:ascii="Arial" w:hAnsi="Arial" w:cs="Arial"/>
      <w:kern w:val="0"/>
      <w:szCs w:val="21"/>
    </w:rPr>
  </w:style>
  <w:style w:type="paragraph" w:customStyle="1" w:styleId="572">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57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574">
    <w:name w:val="styles1"/>
    <w:basedOn w:val="1"/>
    <w:qFormat/>
    <w:uiPriority w:val="0"/>
    <w:pPr>
      <w:widowControl/>
      <w:spacing w:before="100" w:beforeAutospacing="1" w:after="100" w:afterAutospacing="1" w:line="312" w:lineRule="auto"/>
      <w:jc w:val="left"/>
    </w:pPr>
    <w:rPr>
      <w:rFonts w:cs="Arial"/>
      <w:color w:val="000000"/>
      <w:kern w:val="0"/>
      <w:szCs w:val="21"/>
    </w:rPr>
  </w:style>
  <w:style w:type="paragraph" w:customStyle="1" w:styleId="575">
    <w:name w:val="文本2"/>
    <w:basedOn w:val="1"/>
    <w:qFormat/>
    <w:uiPriority w:val="0"/>
    <w:pPr>
      <w:spacing w:line="360" w:lineRule="auto"/>
      <w:ind w:left="210" w:leftChars="100" w:firstLine="480" w:firstLineChars="200"/>
    </w:pPr>
    <w:rPr>
      <w:rFonts w:ascii="宋体" w:hAnsi="宋体"/>
      <w:sz w:val="24"/>
      <w:szCs w:val="24"/>
    </w:rPr>
  </w:style>
  <w:style w:type="paragraph" w:customStyle="1" w:styleId="576">
    <w:name w:val="样式 样式 首行缩进:  2 字符 + 首行缩进:  2 字符1"/>
    <w:basedOn w:val="577"/>
    <w:qFormat/>
    <w:uiPriority w:val="0"/>
    <w:pPr>
      <w:ind w:firstLine="420"/>
    </w:pPr>
    <w:rPr>
      <w:sz w:val="24"/>
      <w:szCs w:val="24"/>
    </w:rPr>
  </w:style>
  <w:style w:type="paragraph" w:customStyle="1" w:styleId="577">
    <w:name w:val="样式 首行缩进:  2 字符"/>
    <w:basedOn w:val="1"/>
    <w:qFormat/>
    <w:uiPriority w:val="0"/>
    <w:pPr>
      <w:spacing w:line="360" w:lineRule="auto"/>
      <w:ind w:firstLine="480" w:firstLineChars="200"/>
      <w:jc w:val="left"/>
    </w:pPr>
    <w:rPr>
      <w:szCs w:val="21"/>
    </w:rPr>
  </w:style>
  <w:style w:type="paragraph" w:customStyle="1" w:styleId="578">
    <w:name w:val="文字列表"/>
    <w:basedOn w:val="86"/>
    <w:qFormat/>
    <w:uiPriority w:val="0"/>
    <w:pPr>
      <w:numPr>
        <w:ilvl w:val="0"/>
        <w:numId w:val="13"/>
      </w:numPr>
      <w:tabs>
        <w:tab w:val="left" w:pos="840"/>
      </w:tabs>
      <w:spacing w:after="0" w:line="300" w:lineRule="auto"/>
      <w:ind w:left="840" w:right="-146" w:rightChars="-61" w:hanging="420" w:firstLineChars="0"/>
    </w:pPr>
    <w:rPr>
      <w:rFonts w:ascii="楷体_GB2312" w:eastAsia="楷体_GB2312"/>
      <w:sz w:val="24"/>
      <w:szCs w:val="20"/>
    </w:rPr>
  </w:style>
  <w:style w:type="paragraph" w:customStyle="1" w:styleId="579">
    <w:name w:val="Style Heading 3h3Heading 3 - oldLevel 3 HeadH3level_3PIM 3se..."/>
    <w:basedOn w:val="5"/>
    <w:qFormat/>
    <w:uiPriority w:val="0"/>
    <w:pPr>
      <w:keepNext/>
      <w:keepLines/>
      <w:numPr>
        <w:ilvl w:val="0"/>
        <w:numId w:val="0"/>
      </w:numPr>
      <w:tabs>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580">
    <w:name w:val="文档标题"/>
    <w:basedOn w:val="1"/>
    <w:qFormat/>
    <w:uiPriority w:val="0"/>
    <w:pPr>
      <w:tabs>
        <w:tab w:val="left" w:pos="0"/>
      </w:tabs>
      <w:spacing w:before="300" w:after="300"/>
      <w:jc w:val="center"/>
    </w:pPr>
    <w:rPr>
      <w:rFonts w:ascii="Arial" w:hAnsi="Arial"/>
      <w:b/>
      <w:sz w:val="44"/>
      <w:szCs w:val="36"/>
    </w:rPr>
  </w:style>
  <w:style w:type="paragraph" w:customStyle="1" w:styleId="581">
    <w:name w:val="小标题"/>
    <w:basedOn w:val="1"/>
    <w:qFormat/>
    <w:uiPriority w:val="0"/>
    <w:pPr>
      <w:numPr>
        <w:ilvl w:val="0"/>
        <w:numId w:val="14"/>
      </w:numPr>
      <w:tabs>
        <w:tab w:val="left" w:pos="-119"/>
      </w:tabs>
      <w:adjustRightInd w:val="0"/>
      <w:spacing w:before="312" w:beforeLines="100" w:line="360" w:lineRule="auto"/>
      <w:textAlignment w:val="baseline"/>
    </w:pPr>
    <w:rPr>
      <w:rFonts w:ascii="Verdana" w:hAnsi="Verdana"/>
      <w:b/>
      <w:sz w:val="24"/>
      <w:szCs w:val="24"/>
    </w:rPr>
  </w:style>
  <w:style w:type="paragraph" w:customStyle="1" w:styleId="582">
    <w:name w:val="songblack14"/>
    <w:basedOn w:val="1"/>
    <w:qFormat/>
    <w:uiPriority w:val="0"/>
    <w:pPr>
      <w:widowControl/>
      <w:spacing w:before="100" w:beforeAutospacing="1" w:after="100" w:afterAutospacing="1"/>
      <w:jc w:val="left"/>
    </w:pPr>
    <w:rPr>
      <w:color w:val="000000"/>
      <w:kern w:val="0"/>
      <w:szCs w:val="21"/>
    </w:rPr>
  </w:style>
  <w:style w:type="paragraph" w:customStyle="1" w:styleId="583">
    <w:name w:val="中文正文"/>
    <w:basedOn w:val="1"/>
    <w:qFormat/>
    <w:uiPriority w:val="0"/>
    <w:pPr>
      <w:spacing w:before="156" w:beforeLines="50" w:after="156" w:afterLines="50" w:line="360" w:lineRule="auto"/>
      <w:ind w:firstLine="425"/>
    </w:pPr>
  </w:style>
  <w:style w:type="paragraph" w:customStyle="1" w:styleId="584">
    <w:name w:val="百姓a"/>
    <w:basedOn w:val="1"/>
    <w:qFormat/>
    <w:uiPriority w:val="0"/>
    <w:pPr>
      <w:numPr>
        <w:ilvl w:val="0"/>
        <w:numId w:val="11"/>
      </w:numPr>
      <w:tabs>
        <w:tab w:val="left" w:pos="1322"/>
      </w:tabs>
      <w:spacing w:before="120" w:after="120" w:line="360" w:lineRule="auto"/>
      <w:ind w:left="1322" w:hanging="420"/>
    </w:pPr>
    <w:rPr>
      <w:rFonts w:ascii="Arial Narrow" w:hAnsi="Arial Narrow"/>
      <w:sz w:val="24"/>
      <w:szCs w:val="24"/>
    </w:rPr>
  </w:style>
  <w:style w:type="paragraph" w:customStyle="1" w:styleId="585">
    <w:name w:val="*1. Cover Title"/>
    <w:basedOn w:val="394"/>
    <w:next w:val="394"/>
    <w:qFormat/>
    <w:uiPriority w:val="0"/>
    <w:pPr>
      <w:spacing w:after="40"/>
    </w:pPr>
    <w:rPr>
      <w:color w:val="auto"/>
    </w:rPr>
  </w:style>
  <w:style w:type="paragraph" w:customStyle="1" w:styleId="586">
    <w:name w:val="表文1"/>
    <w:basedOn w:val="1"/>
    <w:qFormat/>
    <w:uiPriority w:val="0"/>
    <w:pPr>
      <w:widowControl/>
      <w:spacing w:line="360" w:lineRule="auto"/>
      <w:ind w:firstLine="560" w:firstLineChars="200"/>
    </w:pPr>
    <w:rPr>
      <w:rFonts w:ascii="宋体" w:hAnsi="宋体"/>
      <w:kern w:val="0"/>
      <w:sz w:val="28"/>
      <w:szCs w:val="28"/>
    </w:rPr>
  </w:style>
  <w:style w:type="paragraph" w:customStyle="1" w:styleId="58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88">
    <w:name w:val="Default1"/>
    <w:basedOn w:val="394"/>
    <w:next w:val="394"/>
    <w:qFormat/>
    <w:uiPriority w:val="0"/>
    <w:rPr>
      <w:color w:val="auto"/>
    </w:rPr>
  </w:style>
  <w:style w:type="paragraph" w:customStyle="1" w:styleId="5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90">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591">
    <w:name w:val="1册标题3"/>
    <w:basedOn w:val="1"/>
    <w:next w:val="1"/>
    <w:qFormat/>
    <w:uiPriority w:val="0"/>
    <w:pPr>
      <w:jc w:val="center"/>
    </w:pPr>
    <w:rPr>
      <w:rFonts w:ascii="宋体" w:hAnsi="宋体"/>
      <w:color w:val="000000"/>
      <w:szCs w:val="21"/>
    </w:rPr>
  </w:style>
  <w:style w:type="paragraph" w:customStyle="1" w:styleId="592">
    <w:name w:val="table_title"/>
    <w:basedOn w:val="1"/>
    <w:qFormat/>
    <w:uiPriority w:val="0"/>
    <w:pPr>
      <w:widowControl/>
      <w:shd w:val="clear" w:color="auto" w:fill="6666CC"/>
      <w:spacing w:before="100" w:beforeAutospacing="1" w:after="100" w:afterAutospacing="1"/>
      <w:jc w:val="left"/>
    </w:pPr>
    <w:rPr>
      <w:b/>
      <w:bCs/>
      <w:color w:val="FFFFFF"/>
      <w:kern w:val="0"/>
      <w:sz w:val="18"/>
      <w:szCs w:val="18"/>
    </w:rPr>
  </w:style>
  <w:style w:type="paragraph" w:customStyle="1" w:styleId="5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94">
    <w:name w:val="gloss7"/>
    <w:basedOn w:val="1"/>
    <w:qFormat/>
    <w:uiPriority w:val="0"/>
    <w:pPr>
      <w:widowControl/>
      <w:spacing w:line="312" w:lineRule="atLeast"/>
      <w:jc w:val="left"/>
    </w:pPr>
    <w:rPr>
      <w:rFonts w:ascii="宋体" w:hAnsi="宋体" w:cs="宋体"/>
      <w:kern w:val="0"/>
      <w:szCs w:val="21"/>
    </w:rPr>
  </w:style>
  <w:style w:type="paragraph" w:customStyle="1" w:styleId="595">
    <w:name w:val="AT&amp;T Response"/>
    <w:basedOn w:val="1"/>
    <w:next w:val="1"/>
    <w:qFormat/>
    <w:uiPriority w:val="0"/>
    <w:pPr>
      <w:keepNext/>
      <w:framePr w:hSpace="72" w:vSpace="72" w:wrap="around" w:vAnchor="margin" w:hAnchor="text" w:y="1"/>
      <w:widowControl/>
      <w:spacing w:before="240"/>
      <w:ind w:left="720"/>
    </w:pPr>
    <w:rPr>
      <w:b/>
      <w:i/>
      <w:color w:val="000000"/>
      <w:kern w:val="0"/>
      <w:sz w:val="24"/>
    </w:rPr>
  </w:style>
  <w:style w:type="paragraph" w:customStyle="1" w:styleId="59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rPr>
  </w:style>
  <w:style w:type="paragraph" w:customStyle="1" w:styleId="597">
    <w:name w:val="songyellowbold12"/>
    <w:basedOn w:val="1"/>
    <w:qFormat/>
    <w:uiPriority w:val="0"/>
    <w:pPr>
      <w:widowControl/>
      <w:spacing w:before="100" w:beforeAutospacing="1" w:after="100" w:afterAutospacing="1"/>
      <w:jc w:val="left"/>
    </w:pPr>
    <w:rPr>
      <w:b/>
      <w:bCs/>
      <w:color w:val="FF9900"/>
      <w:kern w:val="0"/>
      <w:sz w:val="18"/>
      <w:szCs w:val="18"/>
    </w:rPr>
  </w:style>
  <w:style w:type="paragraph" w:customStyle="1" w:styleId="5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599">
    <w:name w:val="xl113"/>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left"/>
    </w:pPr>
    <w:rPr>
      <w:rFonts w:ascii="宋体" w:hAnsi="宋体" w:cs="宋体"/>
      <w:kern w:val="0"/>
      <w:sz w:val="20"/>
    </w:rPr>
  </w:style>
  <w:style w:type="paragraph" w:customStyle="1" w:styleId="600">
    <w:name w:val="songblue12line20"/>
    <w:basedOn w:val="1"/>
    <w:qFormat/>
    <w:uiPriority w:val="0"/>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6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0"/>
    </w:rPr>
  </w:style>
  <w:style w:type="paragraph" w:customStyle="1" w:styleId="602">
    <w:name w:val="报告格式—正文"/>
    <w:basedOn w:val="1"/>
    <w:qFormat/>
    <w:uiPriority w:val="0"/>
    <w:pPr>
      <w:spacing w:before="156" w:beforeLines="50" w:after="156" w:afterLines="50" w:line="480" w:lineRule="auto"/>
      <w:jc w:val="center"/>
    </w:pPr>
    <w:rPr>
      <w:rFonts w:ascii="黑体" w:hAnsi="华文中宋" w:eastAsia="黑体"/>
      <w:b/>
      <w:spacing w:val="6"/>
      <w:sz w:val="44"/>
      <w:szCs w:val="44"/>
    </w:rPr>
  </w:style>
  <w:style w:type="paragraph" w:customStyle="1" w:styleId="60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05">
    <w:name w:val="首行缩进：4字符"/>
    <w:basedOn w:val="1"/>
    <w:qFormat/>
    <w:uiPriority w:val="0"/>
    <w:pPr>
      <w:tabs>
        <w:tab w:val="left" w:pos="0"/>
      </w:tabs>
      <w:overflowPunct w:val="0"/>
      <w:spacing w:line="360" w:lineRule="auto"/>
      <w:ind w:left="5" w:firstLine="315"/>
    </w:pPr>
    <w:rPr>
      <w:rFonts w:ascii="Verdana" w:hAnsi="Verdana" w:cs="宋体"/>
      <w:kern w:val="0"/>
      <w:szCs w:val="21"/>
    </w:rPr>
  </w:style>
  <w:style w:type="paragraph" w:customStyle="1" w:styleId="606">
    <w:name w:val="pro_detail_pi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7">
    <w:name w:val="1.1.1"/>
    <w:basedOn w:val="1"/>
    <w:qFormat/>
    <w:uiPriority w:val="0"/>
    <w:pPr>
      <w:spacing w:beforeLines="50" w:afterLines="50" w:line="360" w:lineRule="auto"/>
      <w:ind w:firstLine="241" w:firstLineChars="100"/>
    </w:pPr>
    <w:rPr>
      <w:rFonts w:ascii="宋体" w:hAnsi="宋体"/>
      <w:b/>
      <w:sz w:val="24"/>
      <w:szCs w:val="24"/>
    </w:rPr>
  </w:style>
  <w:style w:type="paragraph" w:customStyle="1" w:styleId="608">
    <w:name w:val="*3. Inside Title"/>
    <w:basedOn w:val="394"/>
    <w:next w:val="394"/>
    <w:qFormat/>
    <w:uiPriority w:val="0"/>
    <w:pPr>
      <w:spacing w:after="2000"/>
    </w:pPr>
    <w:rPr>
      <w:color w:val="auto"/>
    </w:rPr>
  </w:style>
  <w:style w:type="paragraph" w:customStyle="1" w:styleId="609">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610">
    <w:name w:val="Item Step in Table"/>
    <w:qFormat/>
    <w:uiPriority w:val="0"/>
    <w:pPr>
      <w:numPr>
        <w:ilvl w:val="0"/>
        <w:numId w:val="15"/>
      </w:numPr>
      <w:tabs>
        <w:tab w:val="left" w:pos="397"/>
      </w:tabs>
      <w:spacing w:before="40" w:after="40"/>
      <w:jc w:val="both"/>
    </w:pPr>
    <w:rPr>
      <w:rFonts w:ascii="Arial" w:hAnsi="Arial" w:eastAsia="宋体" w:cs="Arial"/>
      <w:sz w:val="18"/>
      <w:szCs w:val="18"/>
      <w:lang w:val="en-US" w:eastAsia="zh-CN" w:bidi="ar-SA"/>
    </w:rPr>
  </w:style>
  <w:style w:type="paragraph" w:customStyle="1" w:styleId="611">
    <w:name w:val="xl1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12">
    <w:name w:val="标题5"/>
    <w:basedOn w:val="6"/>
    <w:link w:val="867"/>
    <w:qFormat/>
    <w:uiPriority w:val="0"/>
    <w:pPr>
      <w:tabs>
        <w:tab w:val="left" w:pos="900"/>
      </w:tabs>
      <w:adjustRightInd/>
      <w:spacing w:line="360" w:lineRule="auto"/>
      <w:ind w:left="900" w:firstLine="0"/>
    </w:pPr>
    <w:rPr>
      <w:rFonts w:ascii="楷体_GB2312" w:eastAsia="楷体_GB2312"/>
      <w:b/>
      <w:kern w:val="2"/>
      <w:sz w:val="28"/>
    </w:rPr>
  </w:style>
  <w:style w:type="paragraph" w:customStyle="1" w:styleId="613">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61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615">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616">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4"/>
      <w:szCs w:val="24"/>
    </w:rPr>
  </w:style>
  <w:style w:type="paragraph" w:customStyle="1" w:styleId="617">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6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619">
    <w:name w:val="Char4"/>
    <w:basedOn w:val="1"/>
    <w:qFormat/>
    <w:uiPriority w:val="0"/>
    <w:rPr>
      <w:rFonts w:ascii="Tahoma" w:hAnsi="Tahoma"/>
      <w:sz w:val="24"/>
    </w:rPr>
  </w:style>
  <w:style w:type="paragraph" w:customStyle="1" w:styleId="620">
    <w:name w:val="songwhite12"/>
    <w:basedOn w:val="1"/>
    <w:qFormat/>
    <w:uiPriority w:val="0"/>
    <w:pPr>
      <w:widowControl/>
      <w:spacing w:before="100" w:beforeAutospacing="1" w:after="100" w:afterAutospacing="1"/>
      <w:jc w:val="left"/>
    </w:pPr>
    <w:rPr>
      <w:color w:val="FFFFFF"/>
      <w:kern w:val="0"/>
      <w:sz w:val="18"/>
      <w:szCs w:val="18"/>
    </w:rPr>
  </w:style>
  <w:style w:type="paragraph" w:customStyle="1" w:styleId="621">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622">
    <w:name w:val="标题附注"/>
    <w:basedOn w:val="84"/>
    <w:qFormat/>
    <w:uiPriority w:val="0"/>
    <w:pPr>
      <w:widowControl/>
      <w:overflowPunct w:val="0"/>
      <w:autoSpaceDE w:val="0"/>
      <w:autoSpaceDN w:val="0"/>
      <w:adjustRightInd w:val="0"/>
      <w:spacing w:after="240" w:line="240" w:lineRule="auto"/>
      <w:ind w:firstLine="0" w:firstLineChars="0"/>
      <w:jc w:val="right"/>
      <w:textAlignment w:val="baseline"/>
    </w:pPr>
    <w:rPr>
      <w:rFonts w:eastAsia="黑体"/>
      <w:kern w:val="28"/>
      <w:sz w:val="28"/>
    </w:rPr>
  </w:style>
  <w:style w:type="paragraph" w:customStyle="1" w:styleId="623">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cs="宋体"/>
      <w:b w:val="0"/>
      <w:bCs w:val="0"/>
      <w:sz w:val="28"/>
      <w:szCs w:val="20"/>
    </w:rPr>
  </w:style>
  <w:style w:type="paragraph" w:customStyle="1" w:styleId="624">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625">
    <w:name w:val="默认段落字体 Para Char Char Char"/>
    <w:basedOn w:val="1"/>
    <w:qFormat/>
    <w:uiPriority w:val="0"/>
    <w:rPr>
      <w:szCs w:val="24"/>
    </w:rPr>
  </w:style>
  <w:style w:type="paragraph" w:customStyle="1" w:styleId="626">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627">
    <w:name w:val="songgray14"/>
    <w:basedOn w:val="1"/>
    <w:qFormat/>
    <w:uiPriority w:val="0"/>
    <w:pPr>
      <w:widowControl/>
      <w:spacing w:before="100" w:beforeAutospacing="1" w:after="100" w:afterAutospacing="1"/>
      <w:jc w:val="left"/>
    </w:pPr>
    <w:rPr>
      <w:color w:val="666666"/>
      <w:kern w:val="0"/>
      <w:szCs w:val="21"/>
    </w:rPr>
  </w:style>
  <w:style w:type="paragraph" w:customStyle="1" w:styleId="628">
    <w:name w:val="表Ｘ"/>
    <w:basedOn w:val="1"/>
    <w:next w:val="1"/>
    <w:qFormat/>
    <w:uiPriority w:val="0"/>
    <w:pPr>
      <w:numPr>
        <w:ilvl w:val="0"/>
        <w:numId w:val="16"/>
      </w:numPr>
      <w:tabs>
        <w:tab w:val="left" w:pos="720"/>
      </w:tabs>
      <w:jc w:val="center"/>
    </w:pPr>
    <w:rPr>
      <w:rFonts w:eastAsia="黑体"/>
    </w:rPr>
  </w:style>
  <w:style w:type="paragraph" w:customStyle="1" w:styleId="629">
    <w:name w:val="CM26"/>
    <w:basedOn w:val="394"/>
    <w:next w:val="394"/>
    <w:qFormat/>
    <w:uiPriority w:val="0"/>
    <w:pPr>
      <w:spacing w:line="400" w:lineRule="atLeast"/>
    </w:pPr>
    <w:rPr>
      <w:rFonts w:ascii="宋体" w:cs="宋体"/>
      <w:color w:val="auto"/>
    </w:rPr>
  </w:style>
  <w:style w:type="paragraph" w:customStyle="1" w:styleId="630">
    <w:name w:val="style4"/>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6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32">
    <w:name w:val="样式 Arial 左 左侧:  0.74 厘米 行距: 1.5 倍行距"/>
    <w:basedOn w:val="1"/>
    <w:qFormat/>
    <w:uiPriority w:val="0"/>
    <w:pPr>
      <w:suppressAutoHyphens/>
      <w:spacing w:line="360" w:lineRule="auto"/>
      <w:ind w:left="418"/>
      <w:jc w:val="left"/>
    </w:pPr>
    <w:rPr>
      <w:rFonts w:ascii="Arial" w:hAnsi="Arial" w:cs="宋体"/>
      <w:kern w:val="1"/>
      <w:sz w:val="24"/>
    </w:rPr>
  </w:style>
  <w:style w:type="paragraph" w:customStyle="1" w:styleId="633">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4">
    <w:name w:val="12. Trademark block"/>
    <w:basedOn w:val="394"/>
    <w:next w:val="394"/>
    <w:qFormat/>
    <w:uiPriority w:val="0"/>
    <w:rPr>
      <w:color w:val="auto"/>
    </w:rPr>
  </w:style>
  <w:style w:type="paragraph" w:customStyle="1" w:styleId="635">
    <w:name w:val="图表文字"/>
    <w:basedOn w:val="1"/>
    <w:qFormat/>
    <w:uiPriority w:val="0"/>
    <w:pPr>
      <w:snapToGrid w:val="0"/>
      <w:spacing w:line="300" w:lineRule="auto"/>
      <w:jc w:val="center"/>
    </w:pPr>
    <w:rPr>
      <w:sz w:val="24"/>
    </w:rPr>
  </w:style>
  <w:style w:type="paragraph" w:customStyle="1" w:styleId="636">
    <w:name w:val="Spec Body Copy"/>
    <w:basedOn w:val="1"/>
    <w:qFormat/>
    <w:uiPriority w:val="0"/>
    <w:pPr>
      <w:autoSpaceDE w:val="0"/>
      <w:autoSpaceDN w:val="0"/>
      <w:adjustRightInd w:val="0"/>
      <w:spacing w:line="210" w:lineRule="atLeast"/>
      <w:ind w:left="240" w:hanging="240"/>
      <w:jc w:val="left"/>
      <w:textAlignment w:val="center"/>
    </w:pPr>
    <w:rPr>
      <w:rFonts w:ascii="Bembo" w:hAnsi="Bembo" w:eastAsia="Times New Roman"/>
      <w:color w:val="000000"/>
      <w:kern w:val="0"/>
      <w:sz w:val="19"/>
    </w:rPr>
  </w:style>
  <w:style w:type="paragraph" w:customStyle="1" w:styleId="6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38">
    <w:name w:val="xl1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3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40">
    <w:name w:val="HP_Table_Title"/>
    <w:basedOn w:val="1"/>
    <w:next w:val="1"/>
    <w:qFormat/>
    <w:uiPriority w:val="0"/>
    <w:pPr>
      <w:keepNext/>
      <w:keepLines/>
      <w:widowControl/>
      <w:spacing w:before="240" w:after="60" w:line="360" w:lineRule="auto"/>
      <w:jc w:val="left"/>
    </w:pPr>
    <w:rPr>
      <w:rFonts w:ascii="宋体" w:hAnsi="宋体"/>
      <w:b/>
      <w:kern w:val="0"/>
      <w:sz w:val="18"/>
    </w:rPr>
  </w:style>
  <w:style w:type="paragraph" w:customStyle="1" w:styleId="641">
    <w:name w:val="默认段落字体 Para Char Char Char Char Char Char Char"/>
    <w:basedOn w:val="1"/>
    <w:qFormat/>
    <w:uiPriority w:val="0"/>
    <w:pPr>
      <w:tabs>
        <w:tab w:val="right" w:pos="-2120"/>
      </w:tabs>
      <w:snapToGrid w:val="0"/>
    </w:pPr>
    <w:rPr>
      <w:rFonts w:ascii="Tahoma" w:hAnsi="Tahoma"/>
      <w:spacing w:val="6"/>
      <w:sz w:val="24"/>
    </w:rPr>
  </w:style>
  <w:style w:type="paragraph" w:customStyle="1" w:styleId="642">
    <w:name w:val="white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643">
    <w:name w:val="1왼쪽제목"/>
    <w:basedOn w:val="1"/>
    <w:qFormat/>
    <w:uiPriority w:val="0"/>
    <w:pPr>
      <w:widowControl/>
      <w:spacing w:line="312" w:lineRule="auto"/>
      <w:ind w:left="100" w:leftChars="50"/>
      <w:jc w:val="left"/>
    </w:pPr>
    <w:rPr>
      <w:rFonts w:ascii="Arial" w:hAnsi="Arial" w:eastAsia="GulimChe"/>
      <w:b/>
      <w:bCs/>
      <w:color w:val="000000"/>
      <w:kern w:val="0"/>
      <w:sz w:val="22"/>
      <w:szCs w:val="22"/>
      <w:lang w:eastAsia="ko-KR"/>
    </w:rPr>
  </w:style>
  <w:style w:type="paragraph" w:customStyle="1" w:styleId="644">
    <w:name w:val="ÕýÎÄ 1"/>
    <w:basedOn w:val="1"/>
    <w:qFormat/>
    <w:uiPriority w:val="0"/>
    <w:pPr>
      <w:widowControl/>
      <w:overflowPunct w:val="0"/>
      <w:autoSpaceDE w:val="0"/>
      <w:autoSpaceDN w:val="0"/>
      <w:adjustRightInd w:val="0"/>
      <w:spacing w:before="80" w:after="80" w:line="360" w:lineRule="auto"/>
      <w:ind w:left="1417"/>
    </w:pPr>
    <w:rPr>
      <w:kern w:val="0"/>
    </w:rPr>
  </w:style>
  <w:style w:type="paragraph" w:customStyle="1" w:styleId="645">
    <w:name w:val="正文2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646">
    <w:name w:val="songhui12line20"/>
    <w:basedOn w:val="1"/>
    <w:qFormat/>
    <w:uiPriority w:val="0"/>
    <w:pPr>
      <w:widowControl/>
      <w:spacing w:before="100" w:beforeAutospacing="1" w:after="100" w:afterAutospacing="1"/>
      <w:jc w:val="left"/>
    </w:pPr>
    <w:rPr>
      <w:color w:val="3D3E7C"/>
      <w:kern w:val="0"/>
      <w:sz w:val="18"/>
      <w:szCs w:val="18"/>
    </w:rPr>
  </w:style>
  <w:style w:type="paragraph" w:customStyle="1" w:styleId="647">
    <w:name w:val="默认段落字体 Para Char"/>
    <w:basedOn w:val="1"/>
    <w:qFormat/>
    <w:uiPriority w:val="0"/>
    <w:pPr>
      <w:adjustRightInd w:val="0"/>
      <w:spacing w:line="360" w:lineRule="auto"/>
    </w:pPr>
    <w:rPr>
      <w:kern w:val="0"/>
    </w:rPr>
  </w:style>
  <w:style w:type="paragraph" w:customStyle="1" w:styleId="648">
    <w:name w:val="unnamed1"/>
    <w:basedOn w:val="1"/>
    <w:qFormat/>
    <w:uiPriority w:val="0"/>
    <w:pPr>
      <w:widowControl/>
      <w:spacing w:before="100" w:beforeAutospacing="1" w:after="100" w:afterAutospacing="1"/>
      <w:jc w:val="left"/>
    </w:pPr>
    <w:rPr>
      <w:rFonts w:ascii="宋体" w:hAnsi="宋体"/>
      <w:color w:val="000000"/>
      <w:kern w:val="0"/>
      <w:sz w:val="14"/>
      <w:szCs w:val="14"/>
    </w:rPr>
  </w:style>
  <w:style w:type="paragraph" w:customStyle="1" w:styleId="649">
    <w:name w:val="样式 规划标题2 + 左侧:  0 厘米 首行缩进:  0 厘米"/>
    <w:basedOn w:val="1"/>
    <w:qFormat/>
    <w:uiPriority w:val="0"/>
    <w:pPr>
      <w:keepNext/>
      <w:keepLines/>
      <w:widowControl/>
      <w:numPr>
        <w:ilvl w:val="1"/>
        <w:numId w:val="17"/>
      </w:numPr>
      <w:snapToGrid w:val="0"/>
      <w:spacing w:before="120" w:after="120" w:line="480" w:lineRule="exact"/>
      <w:jc w:val="left"/>
      <w:outlineLvl w:val="1"/>
    </w:pPr>
    <w:rPr>
      <w:rFonts w:ascii="Arial" w:hAnsi="Arial" w:cs="宋体"/>
      <w:b/>
      <w:bCs/>
      <w:kern w:val="0"/>
      <w:sz w:val="28"/>
    </w:rPr>
  </w:style>
  <w:style w:type="paragraph" w:customStyle="1" w:styleId="650">
    <w:name w:val="普通 (Web)"/>
    <w:basedOn w:val="1"/>
    <w:qFormat/>
    <w:uiPriority w:val="0"/>
    <w:pPr>
      <w:widowControl/>
      <w:spacing w:before="100" w:after="100"/>
      <w:jc w:val="left"/>
    </w:pPr>
    <w:rPr>
      <w:rFonts w:ascii="宋体" w:hAnsi="宋体"/>
      <w:color w:val="000000"/>
      <w:kern w:val="0"/>
      <w:sz w:val="24"/>
      <w:szCs w:val="24"/>
    </w:rPr>
  </w:style>
  <w:style w:type="paragraph" w:customStyle="1" w:styleId="651">
    <w:name w:val="_Style 1"/>
    <w:basedOn w:val="1"/>
    <w:qFormat/>
    <w:uiPriority w:val="0"/>
    <w:rPr>
      <w:kern w:val="0"/>
    </w:rPr>
  </w:style>
  <w:style w:type="paragraph" w:customStyle="1" w:styleId="652">
    <w:name w:val="样式 正文缩进正文（首行缩进两字）表正文正文非缩进特点四号特点标题ALT+Z正文文本缩进 Char正文文字缩进..."/>
    <w:basedOn w:val="6"/>
    <w:qFormat/>
    <w:uiPriority w:val="0"/>
    <w:pPr>
      <w:widowControl/>
      <w:adjustRightInd/>
      <w:spacing w:before="60" w:after="60" w:line="240" w:lineRule="auto"/>
      <w:ind w:firstLine="0"/>
      <w:jc w:val="left"/>
    </w:pPr>
    <w:rPr>
      <w:rFonts w:ascii="宋体" w:hAnsi="宋体" w:cs="宋体"/>
      <w:sz w:val="28"/>
    </w:rPr>
  </w:style>
  <w:style w:type="paragraph" w:customStyle="1" w:styleId="653">
    <w:name w:val="font1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654">
    <w:name w:val="font8"/>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655">
    <w:name w:val="xl9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656">
    <w:name w:val="6"/>
    <w:basedOn w:val="1"/>
    <w:qFormat/>
    <w:uiPriority w:val="0"/>
    <w:pPr>
      <w:autoSpaceDE w:val="0"/>
      <w:autoSpaceDN w:val="0"/>
      <w:adjustRightInd w:val="0"/>
      <w:spacing w:line="270" w:lineRule="atLeast"/>
    </w:pPr>
    <w:rPr>
      <w:rFonts w:ascii="宋体"/>
      <w:kern w:val="0"/>
      <w:sz w:val="18"/>
      <w:szCs w:val="18"/>
    </w:rPr>
  </w:style>
  <w:style w:type="paragraph" w:customStyle="1" w:styleId="6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58">
    <w:name w:val="Retrait 2"/>
    <w:basedOn w:val="1"/>
    <w:qFormat/>
    <w:uiPriority w:val="0"/>
    <w:pPr>
      <w:numPr>
        <w:ilvl w:val="0"/>
        <w:numId w:val="18"/>
      </w:numPr>
      <w:spacing w:line="360" w:lineRule="auto"/>
    </w:pPr>
    <w:rPr>
      <w:rFonts w:eastAsia="楷体_GB2312"/>
      <w:bCs/>
      <w:sz w:val="28"/>
    </w:rPr>
  </w:style>
  <w:style w:type="paragraph" w:customStyle="1" w:styleId="659">
    <w:name w:val="前言、引言标题"/>
    <w:next w:val="1"/>
    <w:qFormat/>
    <w:uiPriority w:val="0"/>
    <w:pPr>
      <w:numPr>
        <w:ilvl w:val="0"/>
        <w:numId w:val="10"/>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0">
    <w:name w:val="songyellow12"/>
    <w:basedOn w:val="1"/>
    <w:qFormat/>
    <w:uiPriority w:val="0"/>
    <w:pPr>
      <w:widowControl/>
      <w:spacing w:before="100" w:beforeAutospacing="1" w:after="100" w:afterAutospacing="1"/>
      <w:jc w:val="left"/>
    </w:pPr>
    <w:rPr>
      <w:color w:val="FF3300"/>
      <w:kern w:val="0"/>
      <w:sz w:val="18"/>
      <w:szCs w:val="18"/>
    </w:rPr>
  </w:style>
  <w:style w:type="paragraph" w:customStyle="1" w:styleId="661">
    <w:name w:val="!项目ALT+P"/>
    <w:basedOn w:val="1"/>
    <w:qFormat/>
    <w:uiPriority w:val="0"/>
    <w:pPr>
      <w:numPr>
        <w:ilvl w:val="0"/>
        <w:numId w:val="19"/>
      </w:numPr>
      <w:tabs>
        <w:tab w:val="left" w:pos="420"/>
      </w:tabs>
      <w:spacing w:before="80" w:after="160" w:line="320" w:lineRule="atLeast"/>
      <w:textAlignment w:val="baseline"/>
    </w:pPr>
    <w:rPr>
      <w:szCs w:val="21"/>
    </w:rPr>
  </w:style>
  <w:style w:type="paragraph" w:customStyle="1" w:styleId="66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663">
    <w:name w:val="songgraybold14"/>
    <w:basedOn w:val="1"/>
    <w:qFormat/>
    <w:uiPriority w:val="0"/>
    <w:pPr>
      <w:widowControl/>
      <w:spacing w:before="100" w:beforeAutospacing="1" w:after="100" w:afterAutospacing="1"/>
      <w:jc w:val="left"/>
    </w:pPr>
    <w:rPr>
      <w:b/>
      <w:bCs/>
      <w:color w:val="666666"/>
      <w:kern w:val="0"/>
      <w:szCs w:val="21"/>
    </w:rPr>
  </w:style>
  <w:style w:type="paragraph" w:customStyle="1" w:styleId="664">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665">
    <w:name w:val="contentnoteheader"/>
    <w:basedOn w:val="1"/>
    <w:qFormat/>
    <w:uiPriority w:val="0"/>
    <w:pPr>
      <w:widowControl/>
      <w:spacing w:before="40" w:after="100" w:afterAutospacing="1"/>
      <w:ind w:left="120"/>
      <w:jc w:val="left"/>
    </w:pPr>
    <w:rPr>
      <w:rFonts w:ascii="宋体" w:hAnsi="宋体"/>
      <w:b/>
      <w:bCs/>
      <w:color w:val="990000"/>
      <w:kern w:val="0"/>
      <w:sz w:val="24"/>
      <w:szCs w:val="24"/>
    </w:rPr>
  </w:style>
  <w:style w:type="paragraph" w:customStyle="1" w:styleId="666">
    <w:name w:val="songredbutton12"/>
    <w:basedOn w:val="1"/>
    <w:qFormat/>
    <w:uiPriority w:val="0"/>
    <w:pPr>
      <w:widowControl/>
      <w:spacing w:before="100" w:beforeAutospacing="1" w:after="100" w:afterAutospacing="1"/>
      <w:jc w:val="left"/>
    </w:pPr>
    <w:rPr>
      <w:rFonts w:ascii="宋体" w:hAnsi="宋体"/>
      <w:color w:val="430000"/>
      <w:kern w:val="0"/>
      <w:sz w:val="18"/>
      <w:szCs w:val="18"/>
    </w:rPr>
  </w:style>
  <w:style w:type="paragraph" w:customStyle="1" w:styleId="667">
    <w:name w:val="songhuibold14"/>
    <w:basedOn w:val="1"/>
    <w:qFormat/>
    <w:uiPriority w:val="0"/>
    <w:pPr>
      <w:widowControl/>
      <w:spacing w:before="100" w:beforeAutospacing="1" w:after="100" w:afterAutospacing="1"/>
      <w:jc w:val="left"/>
    </w:pPr>
    <w:rPr>
      <w:b/>
      <w:bCs/>
      <w:color w:val="3D3E7C"/>
      <w:kern w:val="0"/>
      <w:szCs w:val="21"/>
    </w:rPr>
  </w:style>
  <w:style w:type="paragraph" w:customStyle="1" w:styleId="668">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669">
    <w:name w:val="样式 样式 样式 首行缩进:  2 字符 + 首行缩进:  2 字符 + 首行缩进:  2 字符"/>
    <w:basedOn w:val="670"/>
    <w:qFormat/>
    <w:uiPriority w:val="0"/>
    <w:pPr>
      <w:jc w:val="both"/>
    </w:pPr>
    <w:rPr>
      <w:rFonts w:eastAsia="宋体" w:cs="宋体"/>
      <w:sz w:val="28"/>
      <w:szCs w:val="20"/>
    </w:rPr>
  </w:style>
  <w:style w:type="paragraph" w:customStyle="1" w:styleId="670">
    <w:name w:val="样式 样式 首行缩进:  2 字符 + 首行缩进:  2 字符"/>
    <w:basedOn w:val="577"/>
    <w:qFormat/>
    <w:uiPriority w:val="0"/>
    <w:pPr>
      <w:ind w:firstLine="420"/>
    </w:pPr>
    <w:rPr>
      <w:rFonts w:eastAsia="楷体_GB2312"/>
    </w:rPr>
  </w:style>
  <w:style w:type="paragraph" w:customStyle="1" w:styleId="671">
    <w:name w:val="HP_Internal"/>
    <w:basedOn w:val="1"/>
    <w:next w:val="1"/>
    <w:qFormat/>
    <w:uiPriority w:val="0"/>
    <w:pPr>
      <w:widowControl/>
    </w:pPr>
    <w:rPr>
      <w:rFonts w:ascii="Arial" w:hAnsi="Arial"/>
      <w:i/>
      <w:kern w:val="0"/>
      <w:sz w:val="18"/>
    </w:rPr>
  </w:style>
  <w:style w:type="paragraph" w:customStyle="1" w:styleId="672">
    <w:name w:val="xl135"/>
    <w:basedOn w:val="1"/>
    <w:qFormat/>
    <w:uiPriority w:val="0"/>
    <w:pPr>
      <w:widowControl/>
      <w:pBdr>
        <w:top w:val="single" w:color="auto" w:sz="4" w:space="0"/>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73">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674">
    <w:name w:val="Char"/>
    <w:basedOn w:val="1"/>
    <w:qFormat/>
    <w:uiPriority w:val="0"/>
    <w:rPr>
      <w:rFonts w:ascii="宋体" w:hAnsi="Courier New"/>
    </w:rPr>
  </w:style>
  <w:style w:type="paragraph" w:customStyle="1" w:styleId="675">
    <w:name w:val="font18"/>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676">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677">
    <w:name w:val="封面6"/>
    <w:basedOn w:val="1"/>
    <w:qFormat/>
    <w:uiPriority w:val="0"/>
    <w:pPr>
      <w:tabs>
        <w:tab w:val="left" w:pos="-180"/>
        <w:tab w:val="left" w:pos="0"/>
        <w:tab w:val="left" w:pos="8640"/>
      </w:tabs>
      <w:spacing w:before="100" w:beforeAutospacing="1" w:after="100" w:afterAutospacing="1" w:line="360" w:lineRule="auto"/>
      <w:ind w:right="-43" w:rightChars="-18"/>
      <w:jc w:val="distribute"/>
      <w:outlineLvl w:val="0"/>
    </w:pPr>
    <w:rPr>
      <w:rFonts w:ascii="黑体" w:hAnsi="宋体" w:eastAsia="黑体"/>
      <w:snapToGrid w:val="0"/>
      <w:kern w:val="0"/>
      <w:sz w:val="24"/>
      <w:szCs w:val="30"/>
    </w:rPr>
  </w:style>
  <w:style w:type="paragraph" w:customStyle="1" w:styleId="678">
    <w:name w:val="样式 首行缩进:  0 字符"/>
    <w:basedOn w:val="1"/>
    <w:qFormat/>
    <w:uiPriority w:val="0"/>
    <w:pPr>
      <w:spacing w:line="360" w:lineRule="auto"/>
      <w:ind w:firstLine="200" w:firstLineChars="200"/>
      <w:jc w:val="left"/>
    </w:pPr>
    <w:rPr>
      <w:rFonts w:cs="宋体"/>
      <w:sz w:val="24"/>
    </w:rPr>
  </w:style>
  <w:style w:type="paragraph" w:customStyle="1" w:styleId="679">
    <w:name w:val="标题12"/>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680">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681">
    <w:name w:val="songgraybold12"/>
    <w:basedOn w:val="1"/>
    <w:qFormat/>
    <w:uiPriority w:val="0"/>
    <w:pPr>
      <w:widowControl/>
      <w:spacing w:before="100" w:beforeAutospacing="1" w:after="100" w:afterAutospacing="1"/>
      <w:jc w:val="left"/>
    </w:pPr>
    <w:rPr>
      <w:b/>
      <w:bCs/>
      <w:color w:val="666666"/>
      <w:kern w:val="0"/>
      <w:sz w:val="18"/>
      <w:szCs w:val="18"/>
    </w:rPr>
  </w:style>
  <w:style w:type="paragraph" w:customStyle="1" w:styleId="682">
    <w:name w:val="my"/>
    <w:basedOn w:val="1"/>
    <w:qFormat/>
    <w:uiPriority w:val="0"/>
    <w:pPr>
      <w:adjustRightInd w:val="0"/>
      <w:spacing w:line="520" w:lineRule="atLeast"/>
      <w:jc w:val="left"/>
      <w:textAlignment w:val="baseline"/>
    </w:pPr>
    <w:rPr>
      <w:rFonts w:eastAsia="楷体_GB2312"/>
      <w:spacing w:val="20"/>
      <w:kern w:val="0"/>
      <w:sz w:val="28"/>
    </w:rPr>
  </w:style>
  <w:style w:type="paragraph" w:customStyle="1" w:styleId="6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84">
    <w:name w:val="Char Char Char Char Char Char Char1"/>
    <w:basedOn w:val="1"/>
    <w:qFormat/>
    <w:uiPriority w:val="0"/>
    <w:rPr>
      <w:rFonts w:ascii="Tahoma" w:hAnsi="Tahoma"/>
      <w:sz w:val="24"/>
    </w:rPr>
  </w:style>
  <w:style w:type="paragraph" w:customStyle="1" w:styleId="68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szCs w:val="24"/>
    </w:rPr>
  </w:style>
  <w:style w:type="paragraph" w:customStyle="1" w:styleId="686">
    <w:name w:val="font12"/>
    <w:basedOn w:val="1"/>
    <w:qFormat/>
    <w:uiPriority w:val="0"/>
    <w:pPr>
      <w:widowControl/>
      <w:spacing w:before="100" w:beforeAutospacing="1" w:after="100" w:afterAutospacing="1"/>
      <w:jc w:val="left"/>
    </w:pPr>
    <w:rPr>
      <w:rFonts w:ascii="宋体" w:hAnsi="宋体" w:cs="宋体"/>
      <w:kern w:val="0"/>
      <w:sz w:val="20"/>
    </w:rPr>
  </w:style>
  <w:style w:type="paragraph" w:customStyle="1" w:styleId="687">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688">
    <w:name w:val="样式 左侧:  0.85 厘米2"/>
    <w:basedOn w:val="1"/>
    <w:qFormat/>
    <w:uiPriority w:val="0"/>
    <w:pPr>
      <w:spacing w:before="50" w:beforeLines="50" w:after="50" w:afterLines="50" w:line="360" w:lineRule="auto"/>
      <w:ind w:left="482" w:firstLine="200" w:firstLineChars="200"/>
    </w:pPr>
    <w:rPr>
      <w:rFonts w:cs="宋体"/>
      <w:sz w:val="28"/>
    </w:rPr>
  </w:style>
  <w:style w:type="paragraph" w:customStyle="1" w:styleId="689">
    <w:name w:val="样式 标题 3h3Level 3 HeadH3Heading 3 - oldlevel_3PIM 3BOD 0s...1"/>
    <w:basedOn w:val="5"/>
    <w:qFormat/>
    <w:uiPriority w:val="0"/>
    <w:pPr>
      <w:keepNext/>
      <w:keepLines/>
      <w:widowControl/>
      <w:numPr>
        <w:numId w:val="17"/>
      </w:numPr>
      <w:tabs>
        <w:tab w:val="left" w:pos="1258"/>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690">
    <w:name w:val="正文（首行不缩进）"/>
    <w:basedOn w:val="1"/>
    <w:qFormat/>
    <w:uiPriority w:val="0"/>
    <w:pPr>
      <w:autoSpaceDE w:val="0"/>
      <w:autoSpaceDN w:val="0"/>
      <w:adjustRightInd w:val="0"/>
      <w:spacing w:line="360" w:lineRule="auto"/>
      <w:jc w:val="left"/>
    </w:pPr>
    <w:rPr>
      <w:kern w:val="0"/>
    </w:rPr>
  </w:style>
  <w:style w:type="paragraph" w:customStyle="1" w:styleId="691">
    <w:name w:val="样式 正文缩进 + 仿宋_GB2312 行距: 1.5 倍行距"/>
    <w:basedOn w:val="6"/>
    <w:qFormat/>
    <w:uiPriority w:val="0"/>
    <w:pPr>
      <w:adjustRightInd/>
      <w:spacing w:line="360" w:lineRule="auto"/>
      <w:ind w:firstLine="200" w:firstLineChars="200"/>
    </w:pPr>
    <w:rPr>
      <w:rFonts w:ascii="宋体" w:hAnsi="宋体" w:cs="宋体"/>
      <w:spacing w:val="2"/>
      <w:szCs w:val="24"/>
    </w:rPr>
  </w:style>
  <w:style w:type="paragraph" w:customStyle="1" w:styleId="692">
    <w:name w:val="xl5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693">
    <w:name w:val="段落1"/>
    <w:basedOn w:val="1"/>
    <w:qFormat/>
    <w:uiPriority w:val="0"/>
    <w:pPr>
      <w:adjustRightInd w:val="0"/>
      <w:spacing w:after="120" w:line="360" w:lineRule="auto"/>
      <w:textAlignment w:val="baseline"/>
    </w:pPr>
    <w:rPr>
      <w:rFonts w:ascii="宋体"/>
      <w:color w:val="000000"/>
      <w:kern w:val="0"/>
      <w:sz w:val="24"/>
    </w:rPr>
  </w:style>
  <w:style w:type="paragraph" w:customStyle="1" w:styleId="694">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695">
    <w:name w:val="p0"/>
    <w:basedOn w:val="1"/>
    <w:qFormat/>
    <w:uiPriority w:val="0"/>
    <w:pPr>
      <w:widowControl/>
    </w:pPr>
    <w:rPr>
      <w:rFonts w:ascii="Calibri" w:hAnsi="Calibri" w:cs="宋体"/>
      <w:kern w:val="0"/>
      <w:szCs w:val="21"/>
    </w:rPr>
  </w:style>
  <w:style w:type="paragraph" w:customStyle="1" w:styleId="6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97">
    <w:name w:val="+正文"/>
    <w:basedOn w:val="1"/>
    <w:qFormat/>
    <w:uiPriority w:val="0"/>
    <w:pPr>
      <w:spacing w:line="360" w:lineRule="auto"/>
      <w:ind w:firstLine="200" w:firstLineChars="200"/>
    </w:pPr>
    <w:rPr>
      <w:sz w:val="24"/>
      <w:szCs w:val="28"/>
    </w:rPr>
  </w:style>
  <w:style w:type="paragraph" w:customStyle="1" w:styleId="698">
    <w:name w:val="正文1.2"/>
    <w:basedOn w:val="1"/>
    <w:qFormat/>
    <w:uiPriority w:val="0"/>
    <w:pPr>
      <w:spacing w:line="288" w:lineRule="auto"/>
      <w:jc w:val="left"/>
    </w:pPr>
    <w:rPr>
      <w:rFonts w:ascii="宋体"/>
      <w:kern w:val="0"/>
      <w:sz w:val="28"/>
      <w:lang w:eastAsia="en-US"/>
    </w:rPr>
  </w:style>
  <w:style w:type="paragraph" w:customStyle="1" w:styleId="69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0">
    <w:name w:val="南通方案正文"/>
    <w:basedOn w:val="1"/>
    <w:qFormat/>
    <w:uiPriority w:val="0"/>
    <w:pPr>
      <w:spacing w:line="360" w:lineRule="auto"/>
      <w:ind w:firstLine="480" w:firstLineChars="200"/>
    </w:pPr>
    <w:rPr>
      <w:sz w:val="24"/>
    </w:rPr>
  </w:style>
  <w:style w:type="paragraph" w:customStyle="1" w:styleId="701">
    <w:name w:val="Char6"/>
    <w:basedOn w:val="1"/>
    <w:qFormat/>
    <w:uiPriority w:val="0"/>
    <w:pPr>
      <w:spacing w:line="360" w:lineRule="auto"/>
      <w:ind w:left="420" w:firstLine="420"/>
    </w:pPr>
    <w:rPr>
      <w:kern w:val="0"/>
      <w:sz w:val="24"/>
      <w:szCs w:val="24"/>
    </w:rPr>
  </w:style>
  <w:style w:type="paragraph" w:customStyle="1" w:styleId="702">
    <w:name w:val="Char Char1 Char Char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703">
    <w:name w:val="Char Char1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704">
    <w:name w:val="songhuibold12"/>
    <w:basedOn w:val="1"/>
    <w:qFormat/>
    <w:uiPriority w:val="0"/>
    <w:pPr>
      <w:widowControl/>
      <w:spacing w:before="100" w:beforeAutospacing="1" w:after="100" w:afterAutospacing="1"/>
      <w:jc w:val="left"/>
    </w:pPr>
    <w:rPr>
      <w:b/>
      <w:bCs/>
      <w:color w:val="3D3E7C"/>
      <w:kern w:val="0"/>
      <w:sz w:val="18"/>
      <w:szCs w:val="18"/>
    </w:rPr>
  </w:style>
  <w:style w:type="paragraph" w:customStyle="1" w:styleId="705">
    <w:name w:val="style4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706">
    <w:name w:val="_Style 68"/>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70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709">
    <w:name w:val="xl1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710">
    <w:name w:val="纯文本1"/>
    <w:basedOn w:val="1"/>
    <w:qFormat/>
    <w:uiPriority w:val="0"/>
    <w:pPr>
      <w:adjustRightInd w:val="0"/>
      <w:textAlignment w:val="baseline"/>
    </w:pPr>
    <w:rPr>
      <w:rFonts w:ascii="宋体" w:hAnsi="Courier New" w:eastAsia="楷体_GB2312"/>
      <w:sz w:val="26"/>
    </w:rPr>
  </w:style>
  <w:style w:type="paragraph" w:customStyle="1" w:styleId="7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712">
    <w:name w:val="pb1_body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3">
    <w:name w:val="样式1"/>
    <w:basedOn w:val="86"/>
    <w:qFormat/>
    <w:uiPriority w:val="0"/>
    <w:pPr>
      <w:spacing w:line="360" w:lineRule="auto"/>
      <w:ind w:firstLine="200" w:firstLineChars="200"/>
    </w:pPr>
    <w:rPr>
      <w:sz w:val="24"/>
    </w:rPr>
  </w:style>
  <w:style w:type="paragraph" w:customStyle="1" w:styleId="714">
    <w:name w:val="Char Char8 Char Char Char Char"/>
    <w:basedOn w:val="1"/>
    <w:qFormat/>
    <w:uiPriority w:val="0"/>
    <w:pPr>
      <w:widowControl/>
      <w:spacing w:after="160" w:line="240" w:lineRule="exact"/>
      <w:jc w:val="left"/>
    </w:pPr>
    <w:rPr>
      <w:rFonts w:hAnsi="Verdana"/>
      <w:b/>
      <w:bCs/>
      <w:sz w:val="32"/>
      <w:lang w:eastAsia="en-US"/>
    </w:rPr>
  </w:style>
  <w:style w:type="paragraph" w:customStyle="1" w:styleId="715">
    <w:name w:val="xl1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rPr>
  </w:style>
  <w:style w:type="paragraph" w:customStyle="1" w:styleId="716">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717">
    <w:name w:val="songredbold12"/>
    <w:basedOn w:val="1"/>
    <w:qFormat/>
    <w:uiPriority w:val="0"/>
    <w:pPr>
      <w:widowControl/>
      <w:spacing w:before="100" w:beforeAutospacing="1" w:after="100" w:afterAutospacing="1"/>
      <w:jc w:val="left"/>
    </w:pPr>
    <w:rPr>
      <w:rFonts w:ascii="宋体" w:hAnsi="宋体"/>
      <w:b/>
      <w:bCs/>
      <w:color w:val="993300"/>
      <w:kern w:val="0"/>
      <w:sz w:val="18"/>
      <w:szCs w:val="18"/>
    </w:rPr>
  </w:style>
  <w:style w:type="paragraph" w:customStyle="1" w:styleId="718">
    <w:name w:val="font11"/>
    <w:basedOn w:val="1"/>
    <w:qFormat/>
    <w:uiPriority w:val="0"/>
    <w:pPr>
      <w:widowControl/>
      <w:spacing w:before="100" w:beforeAutospacing="1" w:after="100" w:afterAutospacing="1"/>
      <w:jc w:val="left"/>
    </w:pPr>
    <w:rPr>
      <w:rFonts w:ascii="Arial" w:hAnsi="Arial" w:cs="Arial"/>
      <w:kern w:val="0"/>
      <w:sz w:val="20"/>
    </w:rPr>
  </w:style>
  <w:style w:type="paragraph" w:customStyle="1" w:styleId="719">
    <w:name w:val="xl138"/>
    <w:basedOn w:val="1"/>
    <w:qFormat/>
    <w:uiPriority w:val="0"/>
    <w:pPr>
      <w:widowControl/>
      <w:pBdr>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720">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721">
    <w:name w:val="style32 style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2">
    <w:name w:val="songhui14"/>
    <w:basedOn w:val="1"/>
    <w:qFormat/>
    <w:uiPriority w:val="0"/>
    <w:pPr>
      <w:widowControl/>
      <w:spacing w:before="100" w:beforeAutospacing="1" w:after="100" w:afterAutospacing="1"/>
      <w:jc w:val="left"/>
    </w:pPr>
    <w:rPr>
      <w:color w:val="3D3E7C"/>
      <w:kern w:val="0"/>
      <w:szCs w:val="21"/>
    </w:rPr>
  </w:style>
  <w:style w:type="paragraph" w:customStyle="1" w:styleId="723">
    <w:name w:val="*Normal"/>
    <w:basedOn w:val="1"/>
    <w:qFormat/>
    <w:uiPriority w:val="0"/>
    <w:pPr>
      <w:widowControl/>
      <w:spacing w:line="320" w:lineRule="atLeast"/>
      <w:ind w:left="720" w:right="-80" w:hanging="720"/>
      <w:jc w:val="left"/>
    </w:pPr>
    <w:rPr>
      <w:rFonts w:ascii="Palatino" w:hAnsi="Palatino"/>
      <w:kern w:val="0"/>
      <w:sz w:val="24"/>
      <w:lang w:eastAsia="en-US"/>
    </w:rPr>
  </w:style>
  <w:style w:type="paragraph" w:customStyle="1" w:styleId="724">
    <w:name w:val="样式 副标题标题2 + 两端对齐"/>
    <w:basedOn w:val="5"/>
    <w:next w:val="5"/>
    <w:qFormat/>
    <w:uiPriority w:val="0"/>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725">
    <w:name w:val="input2"/>
    <w:basedOn w:val="1"/>
    <w:qFormat/>
    <w:uiPriority w:val="0"/>
    <w:pPr>
      <w:widowControl/>
      <w:shd w:val="clear" w:color="auto" w:fill="EAEAEA"/>
      <w:spacing w:before="100" w:beforeAutospacing="1" w:after="100" w:afterAutospacing="1"/>
      <w:jc w:val="left"/>
    </w:pPr>
    <w:rPr>
      <w:color w:val="333333"/>
      <w:kern w:val="0"/>
      <w:sz w:val="18"/>
      <w:szCs w:val="18"/>
    </w:rPr>
  </w:style>
  <w:style w:type="paragraph" w:customStyle="1" w:styleId="72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27">
    <w:name w:val="样式 四号"/>
    <w:basedOn w:val="1"/>
    <w:qFormat/>
    <w:uiPriority w:val="0"/>
    <w:pPr>
      <w:ind w:firstLine="560" w:firstLineChars="200"/>
    </w:pPr>
    <w:rPr>
      <w:rFonts w:cs="宋体"/>
      <w:sz w:val="24"/>
    </w:rPr>
  </w:style>
  <w:style w:type="paragraph" w:customStyle="1" w:styleId="728">
    <w:name w:val="xl14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729">
    <w:name w:val="样式 样式 首行缩进:  2 字符1 + 首行缩进:  2 字符"/>
    <w:basedOn w:val="1"/>
    <w:qFormat/>
    <w:uiPriority w:val="0"/>
    <w:pPr>
      <w:spacing w:line="360" w:lineRule="auto"/>
      <w:ind w:firstLine="480" w:firstLineChars="200"/>
    </w:pPr>
    <w:rPr>
      <w:rFonts w:cs="宋体"/>
      <w:sz w:val="24"/>
    </w:rPr>
  </w:style>
  <w:style w:type="paragraph" w:customStyle="1" w:styleId="730">
    <w:name w:val="默认段落字体 Para Char Char Char1 Char"/>
    <w:basedOn w:val="1"/>
    <w:qFormat/>
    <w:uiPriority w:val="0"/>
    <w:pPr>
      <w:spacing w:line="360" w:lineRule="auto"/>
      <w:ind w:left="420" w:firstLine="420"/>
    </w:pPr>
    <w:rPr>
      <w:kern w:val="0"/>
      <w:sz w:val="24"/>
      <w:szCs w:val="24"/>
    </w:rPr>
  </w:style>
  <w:style w:type="paragraph" w:customStyle="1" w:styleId="731">
    <w:name w:val="图题"/>
    <w:basedOn w:val="1"/>
    <w:qFormat/>
    <w:uiPriority w:val="0"/>
    <w:pPr>
      <w:tabs>
        <w:tab w:val="left" w:pos="2540"/>
      </w:tabs>
      <w:snapToGrid w:val="0"/>
      <w:spacing w:before="80" w:after="80" w:line="360" w:lineRule="auto"/>
      <w:ind w:left="210" w:leftChars="100" w:right="210" w:rightChars="100"/>
      <w:jc w:val="center"/>
    </w:pPr>
    <w:rPr>
      <w:rFonts w:ascii="宋体" w:eastAsia="黑体"/>
      <w:kern w:val="0"/>
      <w:sz w:val="18"/>
      <w:szCs w:val="24"/>
    </w:rPr>
  </w:style>
  <w:style w:type="paragraph" w:customStyle="1" w:styleId="732">
    <w:name w:val="xl142"/>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733">
    <w:name w:val="songyellowbold14"/>
    <w:basedOn w:val="1"/>
    <w:qFormat/>
    <w:uiPriority w:val="0"/>
    <w:pPr>
      <w:widowControl/>
      <w:spacing w:before="100" w:beforeAutospacing="1" w:after="100" w:afterAutospacing="1"/>
      <w:jc w:val="left"/>
    </w:pPr>
    <w:rPr>
      <w:b/>
      <w:bCs/>
      <w:color w:val="FF3300"/>
      <w:kern w:val="0"/>
      <w:szCs w:val="21"/>
    </w:rPr>
  </w:style>
  <w:style w:type="paragraph" w:customStyle="1" w:styleId="734">
    <w:name w:val="Char Char Char Char Char"/>
    <w:basedOn w:val="1"/>
    <w:qFormat/>
    <w:uiPriority w:val="0"/>
    <w:pPr>
      <w:tabs>
        <w:tab w:val="left" w:pos="425"/>
        <w:tab w:val="left" w:pos="2040"/>
      </w:tabs>
      <w:ind w:left="2040" w:hanging="360"/>
    </w:pPr>
    <w:rPr>
      <w:rFonts w:ascii="Tahoma" w:hAnsi="Tahoma"/>
    </w:rPr>
  </w:style>
  <w:style w:type="paragraph" w:customStyle="1" w:styleId="735">
    <w:name w:val="列出段落1"/>
    <w:basedOn w:val="1"/>
    <w:qFormat/>
    <w:uiPriority w:val="0"/>
    <w:pPr>
      <w:ind w:firstLine="420" w:firstLineChars="200"/>
    </w:pPr>
    <w:rPr>
      <w:szCs w:val="24"/>
    </w:rPr>
  </w:style>
  <w:style w:type="paragraph" w:customStyle="1" w:styleId="736">
    <w:name w:val="表格"/>
    <w:basedOn w:val="1"/>
    <w:qFormat/>
    <w:uiPriority w:val="0"/>
    <w:pPr>
      <w:jc w:val="center"/>
      <w:textAlignment w:val="center"/>
    </w:pPr>
    <w:rPr>
      <w:rFonts w:ascii="华文细黑" w:hAnsi="华文细黑"/>
      <w:kern w:val="0"/>
    </w:rPr>
  </w:style>
  <w:style w:type="paragraph" w:customStyle="1" w:styleId="737">
    <w:name w:val="基准篇眉"/>
    <w:basedOn w:val="1"/>
    <w:qFormat/>
    <w:uiPriority w:val="0"/>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738">
    <w:name w:val="表格文本"/>
    <w:basedOn w:val="1"/>
    <w:qFormat/>
    <w:uiPriority w:val="0"/>
    <w:pPr>
      <w:tabs>
        <w:tab w:val="decimal" w:pos="0"/>
      </w:tabs>
      <w:autoSpaceDE w:val="0"/>
      <w:autoSpaceDN w:val="0"/>
      <w:adjustRightInd w:val="0"/>
      <w:jc w:val="left"/>
    </w:pPr>
    <w:rPr>
      <w:kern w:val="0"/>
    </w:rPr>
  </w:style>
  <w:style w:type="paragraph" w:customStyle="1" w:styleId="73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40">
    <w:name w:val="songgray12"/>
    <w:basedOn w:val="1"/>
    <w:qFormat/>
    <w:uiPriority w:val="0"/>
    <w:pPr>
      <w:widowControl/>
      <w:spacing w:before="100" w:beforeAutospacing="1" w:after="100" w:afterAutospacing="1"/>
      <w:jc w:val="left"/>
    </w:pPr>
    <w:rPr>
      <w:color w:val="666666"/>
      <w:kern w:val="0"/>
      <w:sz w:val="18"/>
      <w:szCs w:val="18"/>
    </w:rPr>
  </w:style>
  <w:style w:type="paragraph" w:customStyle="1" w:styleId="741">
    <w:name w:val="v15"/>
    <w:basedOn w:val="1"/>
    <w:qFormat/>
    <w:uiPriority w:val="0"/>
    <w:pPr>
      <w:widowControl/>
      <w:spacing w:before="100" w:beforeAutospacing="1" w:after="100" w:afterAutospacing="1" w:line="280" w:lineRule="atLeast"/>
      <w:jc w:val="left"/>
    </w:pPr>
    <w:rPr>
      <w:rFonts w:ascii="宋体" w:hAnsi="宋体"/>
      <w:kern w:val="0"/>
      <w:sz w:val="18"/>
      <w:szCs w:val="18"/>
    </w:rPr>
  </w:style>
  <w:style w:type="paragraph" w:customStyle="1" w:styleId="742">
    <w:name w:val="q4"/>
    <w:basedOn w:val="84"/>
    <w:next w:val="1"/>
    <w:qFormat/>
    <w:uiPriority w:val="0"/>
    <w:pPr>
      <w:tabs>
        <w:tab w:val="left" w:pos="1280"/>
      </w:tabs>
      <w:ind w:left="1280" w:hanging="1080" w:firstLineChars="0"/>
      <w:jc w:val="left"/>
      <w:outlineLvl w:val="3"/>
    </w:pPr>
    <w:rPr>
      <w:sz w:val="24"/>
    </w:rPr>
  </w:style>
  <w:style w:type="paragraph" w:customStyle="1" w:styleId="743">
    <w:name w:val="tabletextchar"/>
    <w:basedOn w:val="1"/>
    <w:qFormat/>
    <w:uiPriority w:val="0"/>
    <w:pPr>
      <w:widowControl/>
      <w:spacing w:line="300" w:lineRule="atLeast"/>
      <w:jc w:val="left"/>
    </w:pPr>
    <w:rPr>
      <w:rFonts w:ascii="宋体" w:hAnsi="宋体" w:cs="宋体"/>
      <w:kern w:val="0"/>
      <w:sz w:val="18"/>
      <w:szCs w:val="18"/>
    </w:rPr>
  </w:style>
  <w:style w:type="paragraph" w:customStyle="1" w:styleId="7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45">
    <w:name w:val="table_title1"/>
    <w:basedOn w:val="1"/>
    <w:qFormat/>
    <w:uiPriority w:val="0"/>
    <w:pPr>
      <w:widowControl/>
      <w:shd w:val="clear" w:color="auto" w:fill="B1B1E4"/>
      <w:spacing w:before="100" w:beforeAutospacing="1" w:after="100" w:afterAutospacing="1"/>
      <w:jc w:val="left"/>
    </w:pPr>
    <w:rPr>
      <w:b/>
      <w:bCs/>
      <w:color w:val="333399"/>
      <w:kern w:val="0"/>
      <w:sz w:val="18"/>
      <w:szCs w:val="18"/>
    </w:rPr>
  </w:style>
  <w:style w:type="paragraph" w:customStyle="1" w:styleId="746">
    <w:name w:val="Char Char Char3"/>
    <w:basedOn w:val="1"/>
    <w:qFormat/>
    <w:uiPriority w:val="0"/>
    <w:rPr>
      <w:szCs w:val="24"/>
    </w:rPr>
  </w:style>
  <w:style w:type="paragraph" w:customStyle="1" w:styleId="747">
    <w:name w:val="Char14"/>
    <w:basedOn w:val="1"/>
    <w:qFormat/>
    <w:uiPriority w:val="0"/>
    <w:rPr>
      <w:rFonts w:ascii="Tahoma" w:hAnsi="Tahoma"/>
      <w:sz w:val="24"/>
    </w:rPr>
  </w:style>
  <w:style w:type="paragraph" w:customStyle="1" w:styleId="748">
    <w:name w:val="*2. Cover Date"/>
    <w:basedOn w:val="394"/>
    <w:next w:val="394"/>
    <w:qFormat/>
    <w:uiPriority w:val="0"/>
    <w:rPr>
      <w:color w:val="auto"/>
    </w:rPr>
  </w:style>
  <w:style w:type="paragraph" w:customStyle="1" w:styleId="749">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750">
    <w:name w:val="input1"/>
    <w:basedOn w:val="1"/>
    <w:qFormat/>
    <w:uiPriority w:val="0"/>
    <w:pPr>
      <w:widowControl/>
      <w:shd w:val="clear" w:color="auto" w:fill="ECECF9"/>
      <w:spacing w:before="100" w:beforeAutospacing="1" w:after="100" w:afterAutospacing="1"/>
      <w:jc w:val="left"/>
    </w:pPr>
    <w:rPr>
      <w:color w:val="333399"/>
      <w:kern w:val="0"/>
      <w:sz w:val="18"/>
      <w:szCs w:val="18"/>
    </w:rPr>
  </w:style>
  <w:style w:type="paragraph" w:customStyle="1" w:styleId="751">
    <w:name w:val="默认段落字体 Para Char Char Char Char Char Char Char Char Char1 Char"/>
    <w:basedOn w:val="1"/>
    <w:qFormat/>
    <w:uiPriority w:val="0"/>
    <w:rPr>
      <w:rFonts w:ascii="Tahoma" w:hAnsi="Tahoma"/>
      <w:sz w:val="24"/>
    </w:rPr>
  </w:style>
  <w:style w:type="paragraph" w:customStyle="1" w:styleId="752">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54">
    <w:name w:val="pro_detail_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5">
    <w:name w:val="样式 Item List + 宋体 小四 左侧:  -0.01 厘米 首行缩进:  0 厘米"/>
    <w:basedOn w:val="261"/>
    <w:qFormat/>
    <w:uiPriority w:val="0"/>
    <w:pPr>
      <w:numPr>
        <w:numId w:val="0"/>
      </w:numPr>
      <w:tabs>
        <w:tab w:val="left" w:pos="0"/>
      </w:tabs>
      <w:spacing w:before="60"/>
    </w:pPr>
    <w:rPr>
      <w:rFonts w:ascii="宋体" w:hAnsi="宋体" w:cs="宋体"/>
      <w:sz w:val="24"/>
    </w:rPr>
  </w:style>
  <w:style w:type="paragraph" w:customStyle="1" w:styleId="756">
    <w:name w:val="样式 正文22222222"/>
    <w:basedOn w:val="86"/>
    <w:qFormat/>
    <w:uiPriority w:val="0"/>
    <w:pPr>
      <w:spacing w:line="360" w:lineRule="auto"/>
      <w:ind w:firstLine="0" w:firstLineChars="0"/>
      <w:jc w:val="left"/>
    </w:pPr>
    <w:rPr>
      <w:rFonts w:ascii="宋体" w:hAnsi="宋体"/>
      <w:kern w:val="0"/>
      <w:szCs w:val="20"/>
    </w:rPr>
  </w:style>
  <w:style w:type="paragraph" w:customStyle="1" w:styleId="757">
    <w:name w:val="style1"/>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758">
    <w:name w:val="Pa5"/>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7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760">
    <w:name w:val="正文文本缩进 21"/>
    <w:basedOn w:val="1"/>
    <w:qFormat/>
    <w:uiPriority w:val="0"/>
    <w:pPr>
      <w:autoSpaceDE w:val="0"/>
      <w:autoSpaceDN w:val="0"/>
      <w:adjustRightInd w:val="0"/>
      <w:spacing w:line="360" w:lineRule="auto"/>
      <w:ind w:firstLine="540"/>
      <w:textAlignment w:val="baseline"/>
    </w:pPr>
    <w:rPr>
      <w:sz w:val="24"/>
    </w:rPr>
  </w:style>
  <w:style w:type="paragraph" w:customStyle="1" w:styleId="761">
    <w:name w:val="*5. Head 2"/>
    <w:basedOn w:val="394"/>
    <w:next w:val="394"/>
    <w:qFormat/>
    <w:uiPriority w:val="0"/>
    <w:pPr>
      <w:spacing w:before="180" w:after="60"/>
    </w:pPr>
    <w:rPr>
      <w:color w:val="auto"/>
    </w:rPr>
  </w:style>
  <w:style w:type="paragraph" w:customStyle="1" w:styleId="762">
    <w:name w:val="正文排版"/>
    <w:basedOn w:val="1"/>
    <w:qFormat/>
    <w:uiPriority w:val="0"/>
    <w:pPr>
      <w:spacing w:before="240" w:line="240" w:lineRule="atLeast"/>
      <w:ind w:firstLine="200" w:firstLineChars="200"/>
    </w:pPr>
    <w:rPr>
      <w:rFonts w:ascii="FuturaA Bk BT" w:hAnsi="FuturaA Bk BT"/>
      <w:szCs w:val="21"/>
    </w:rPr>
  </w:style>
  <w:style w:type="paragraph" w:customStyle="1" w:styleId="76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764">
    <w:name w:val="注释"/>
    <w:basedOn w:val="6"/>
    <w:qFormat/>
    <w:uiPriority w:val="0"/>
    <w:pPr>
      <w:widowControl/>
      <w:pBdr>
        <w:top w:val="single" w:color="999999" w:sz="8" w:space="1"/>
        <w:left w:val="single" w:color="999999" w:sz="8" w:space="4"/>
        <w:bottom w:val="single" w:color="999999" w:sz="8" w:space="1"/>
        <w:right w:val="single" w:color="999999" w:sz="8" w:space="4"/>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765">
    <w:name w:val="样式 正文缩进 + Tahoma 小四1"/>
    <w:basedOn w:val="6"/>
    <w:qFormat/>
    <w:uiPriority w:val="0"/>
    <w:pPr>
      <w:adjustRightInd/>
      <w:spacing w:line="360" w:lineRule="auto"/>
      <w:ind w:firstLine="420"/>
    </w:pPr>
    <w:rPr>
      <w:rFonts w:ascii="Tahoma" w:hAnsi="Tahoma"/>
      <w:kern w:val="2"/>
      <w:sz w:val="21"/>
      <w:szCs w:val="24"/>
      <w:lang w:val="en-GB"/>
    </w:rPr>
  </w:style>
  <w:style w:type="paragraph" w:customStyle="1" w:styleId="766">
    <w:name w:val="Char Char Char Char3"/>
    <w:basedOn w:val="1"/>
    <w:qFormat/>
    <w:uiPriority w:val="0"/>
    <w:pPr>
      <w:widowControl/>
      <w:spacing w:after="160" w:line="240" w:lineRule="exact"/>
      <w:jc w:val="left"/>
    </w:pPr>
    <w:rPr>
      <w:rFonts w:ascii="Tahoma" w:hAnsi="Tahoma"/>
      <w:kern w:val="0"/>
      <w:sz w:val="20"/>
      <w:lang w:eastAsia="en-US"/>
    </w:rPr>
  </w:style>
  <w:style w:type="paragraph" w:customStyle="1" w:styleId="767">
    <w:name w:val="songblackbold14"/>
    <w:basedOn w:val="1"/>
    <w:qFormat/>
    <w:uiPriority w:val="0"/>
    <w:pPr>
      <w:widowControl/>
      <w:spacing w:before="100" w:beforeAutospacing="1" w:after="100" w:afterAutospacing="1"/>
      <w:jc w:val="left"/>
    </w:pPr>
    <w:rPr>
      <w:b/>
      <w:bCs/>
      <w:color w:val="000000"/>
      <w:kern w:val="0"/>
      <w:szCs w:val="21"/>
    </w:rPr>
  </w:style>
  <w:style w:type="paragraph" w:customStyle="1" w:styleId="768">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769">
    <w:name w:val="Char Char Char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770">
    <w:name w:val="样式 标题 3 + (中文) 黑体 小四 非加粗 段前: 7.8 磅 段后: 0 磅 行距: 固定值 20 磅"/>
    <w:basedOn w:val="5"/>
    <w:qFormat/>
    <w:uiPriority w:val="0"/>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771">
    <w:name w:val="內文1"/>
    <w:basedOn w:val="1"/>
    <w:semiHidden/>
    <w:qFormat/>
    <w:uiPriority w:val="0"/>
    <w:pPr>
      <w:spacing w:after="50" w:afterLines="50" w:line="400" w:lineRule="atLeast"/>
      <w:ind w:left="200" w:leftChars="200" w:firstLine="200" w:firstLineChars="200"/>
      <w:jc w:val="left"/>
    </w:pPr>
    <w:rPr>
      <w:rFonts w:ascii="MingLiU" w:hAnsi="MingLiU" w:eastAsia="MingLiU"/>
      <w:sz w:val="24"/>
      <w:lang w:eastAsia="zh-TW"/>
    </w:rPr>
  </w:style>
  <w:style w:type="paragraph" w:customStyle="1" w:styleId="772">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773">
    <w:name w:val="正文小标题"/>
    <w:basedOn w:val="1"/>
    <w:next w:val="51"/>
    <w:qFormat/>
    <w:uiPriority w:val="0"/>
    <w:pPr>
      <w:adjustRightInd w:val="0"/>
      <w:spacing w:line="360" w:lineRule="auto"/>
      <w:ind w:firstLine="480" w:firstLineChars="200"/>
      <w:textAlignment w:val="baseline"/>
    </w:pPr>
    <w:rPr>
      <w:rFonts w:ascii="宋体" w:hAnsi="宋体"/>
      <w:szCs w:val="24"/>
    </w:rPr>
  </w:style>
  <w:style w:type="paragraph" w:customStyle="1" w:styleId="774">
    <w:name w:val="部分副题目"/>
    <w:basedOn w:val="1"/>
    <w:next w:val="34"/>
    <w:qFormat/>
    <w:uiPriority w:val="0"/>
    <w:pPr>
      <w:keepNext/>
      <w:widowControl/>
      <w:spacing w:before="360" w:after="120"/>
      <w:jc w:val="center"/>
    </w:pPr>
    <w:rPr>
      <w:rFonts w:ascii="Arial" w:hAnsi="Arial"/>
      <w:i/>
      <w:kern w:val="28"/>
      <w:sz w:val="32"/>
      <w:lang w:bidi="he-IL"/>
    </w:rPr>
  </w:style>
  <w:style w:type="paragraph" w:customStyle="1" w:styleId="77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76">
    <w:name w:val="图注"/>
    <w:basedOn w:val="731"/>
    <w:qFormat/>
    <w:uiPriority w:val="0"/>
    <w:pPr>
      <w:spacing w:before="40" w:after="40" w:line="300" w:lineRule="auto"/>
    </w:pPr>
    <w:rPr>
      <w:rFonts w:eastAsia="宋体"/>
    </w:rPr>
  </w:style>
  <w:style w:type="paragraph" w:customStyle="1" w:styleId="7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778">
    <w:name w:val="font10"/>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779">
    <w:name w:val="列出段落12"/>
    <w:basedOn w:val="1"/>
    <w:qFormat/>
    <w:uiPriority w:val="0"/>
    <w:pPr>
      <w:ind w:firstLine="420" w:firstLineChars="200"/>
    </w:pPr>
    <w:rPr>
      <w:rFonts w:eastAsia="Times New Roman"/>
      <w:szCs w:val="24"/>
    </w:rPr>
  </w:style>
  <w:style w:type="paragraph" w:customStyle="1" w:styleId="780">
    <w:name w:val="Char Char Char1 Char Char Char Char"/>
    <w:basedOn w:val="1"/>
    <w:qFormat/>
    <w:uiPriority w:val="0"/>
    <w:rPr>
      <w:szCs w:val="24"/>
    </w:rPr>
  </w:style>
  <w:style w:type="paragraph" w:customStyle="1" w:styleId="781">
    <w:name w:val="q2"/>
    <w:basedOn w:val="84"/>
    <w:qFormat/>
    <w:uiPriority w:val="0"/>
    <w:pPr>
      <w:ind w:left="767" w:hanging="567" w:firstLineChars="0"/>
      <w:jc w:val="left"/>
      <w:outlineLvl w:val="1"/>
    </w:pPr>
  </w:style>
  <w:style w:type="paragraph" w:customStyle="1" w:styleId="782">
    <w:name w:val="修订1"/>
    <w:unhideWhenUsed/>
    <w:qFormat/>
    <w:uiPriority w:val="99"/>
    <w:rPr>
      <w:rFonts w:ascii="Times New Roman" w:hAnsi="Times New Roman" w:eastAsia="宋体" w:cs="Times New Roman"/>
      <w:kern w:val="2"/>
      <w:sz w:val="21"/>
      <w:lang w:val="en-US" w:eastAsia="zh-CN" w:bidi="ar-SA"/>
    </w:rPr>
  </w:style>
  <w:style w:type="paragraph" w:customStyle="1" w:styleId="783">
    <w:name w:val="Table Paragraph"/>
    <w:basedOn w:val="1"/>
    <w:qFormat/>
    <w:uiPriority w:val="1"/>
    <w:pPr>
      <w:autoSpaceDE w:val="0"/>
      <w:autoSpaceDN w:val="0"/>
      <w:adjustRightInd w:val="0"/>
      <w:jc w:val="left"/>
    </w:pPr>
    <w:rPr>
      <w:kern w:val="0"/>
      <w:sz w:val="24"/>
      <w:szCs w:val="24"/>
    </w:rPr>
  </w:style>
  <w:style w:type="paragraph" w:customStyle="1" w:styleId="784">
    <w:name w:val="2"/>
    <w:qFormat/>
    <w:uiPriority w:val="0"/>
    <w:rPr>
      <w:rFonts w:ascii="Cambria" w:hAnsi="Cambria" w:eastAsia="宋体" w:cs="Times New Roman"/>
      <w:color w:val="000000"/>
      <w:sz w:val="22"/>
      <w:szCs w:val="22"/>
      <w:lang w:val="en-US" w:eastAsia="zh-CN" w:bidi="ar-SA"/>
    </w:rPr>
  </w:style>
  <w:style w:type="table" w:customStyle="1" w:styleId="785">
    <w:name w:val="网格型1"/>
    <w:basedOn w:val="88"/>
    <w:qFormat/>
    <w:uiPriority w:val="0"/>
    <w:pPr>
      <w:widowControl w:val="0"/>
      <w:adjustRightInd w:val="0"/>
      <w:spacing w:line="360" w:lineRule="atLeast"/>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w:basedOn w:val="89"/>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787">
    <w:name w:val="lemmatitleh1"/>
    <w:qFormat/>
    <w:uiPriority w:val="0"/>
  </w:style>
  <w:style w:type="character" w:customStyle="1" w:styleId="788">
    <w:name w:val="标题2"/>
    <w:qFormat/>
    <w:uiPriority w:val="0"/>
  </w:style>
  <w:style w:type="character" w:customStyle="1" w:styleId="789">
    <w:name w:val="Char Char22"/>
    <w:qFormat/>
    <w:uiPriority w:val="0"/>
    <w:rPr>
      <w:rFonts w:ascii="Cambria" w:hAnsi="Cambria" w:cs="Times New Roman"/>
      <w:b/>
      <w:bCs/>
      <w:kern w:val="28"/>
      <w:sz w:val="32"/>
      <w:szCs w:val="32"/>
    </w:rPr>
  </w:style>
  <w:style w:type="character" w:customStyle="1" w:styleId="790">
    <w:name w:val="apple-converted-space"/>
    <w:qFormat/>
    <w:uiPriority w:val="0"/>
  </w:style>
  <w:style w:type="character" w:customStyle="1" w:styleId="791">
    <w:name w:val="批注文字 Char1"/>
    <w:qFormat/>
    <w:uiPriority w:val="0"/>
    <w:rPr>
      <w:rFonts w:ascii="Times New Roman" w:hAnsi="Times New Roman" w:eastAsia="宋体" w:cs="Times New Roman"/>
      <w:szCs w:val="24"/>
    </w:rPr>
  </w:style>
  <w:style w:type="character" w:customStyle="1" w:styleId="792">
    <w:name w:val="Char Char Char Char Char Char Char Char Char21"/>
    <w:qFormat/>
    <w:uiPriority w:val="0"/>
    <w:rPr>
      <w:rFonts w:ascii="宋体" w:hAnsi="宋体"/>
      <w:color w:val="000000"/>
      <w:sz w:val="24"/>
      <w:szCs w:val="24"/>
    </w:rPr>
  </w:style>
  <w:style w:type="character" w:customStyle="1" w:styleId="793">
    <w:name w:val="书籍标题11"/>
    <w:qFormat/>
    <w:uiPriority w:val="0"/>
    <w:rPr>
      <w:b/>
      <w:bCs/>
      <w:smallCaps/>
      <w:spacing w:val="5"/>
    </w:rPr>
  </w:style>
  <w:style w:type="character" w:customStyle="1" w:styleId="794">
    <w:name w:val="fontstyle01"/>
    <w:qFormat/>
    <w:uiPriority w:val="0"/>
    <w:rPr>
      <w:rFonts w:hint="eastAsia" w:ascii="黑体" w:hAnsi="黑体" w:eastAsia="黑体"/>
      <w:color w:val="0000FF"/>
      <w:sz w:val="24"/>
      <w:szCs w:val="24"/>
    </w:rPr>
  </w:style>
  <w:style w:type="character" w:customStyle="1" w:styleId="795">
    <w:name w:val="正文文本 Char1"/>
    <w:qFormat/>
    <w:uiPriority w:val="0"/>
    <w:rPr>
      <w:rFonts w:ascii="Times New Roman" w:hAnsi="Times New Roman" w:eastAsia="宋体" w:cs="Times New Roman"/>
      <w:szCs w:val="24"/>
    </w:rPr>
  </w:style>
  <w:style w:type="character" w:customStyle="1" w:styleId="796">
    <w:name w:val="Char Char Char Char Char Char Char Char Char Char2"/>
    <w:qFormat/>
    <w:uiPriority w:val="0"/>
    <w:rPr>
      <w:rFonts w:ascii="宋体" w:hAnsi="宋体" w:eastAsia="宋体"/>
      <w:color w:val="000000"/>
      <w:sz w:val="24"/>
      <w:szCs w:val="24"/>
      <w:lang w:val="en-US" w:eastAsia="zh-CN" w:bidi="ar-SA"/>
    </w:rPr>
  </w:style>
  <w:style w:type="character" w:customStyle="1" w:styleId="797">
    <w:name w:val="Char Char21"/>
    <w:qFormat/>
    <w:uiPriority w:val="0"/>
    <w:rPr>
      <w:rFonts w:ascii="Cambria" w:hAnsi="Cambria" w:cs="Times New Roman"/>
      <w:b/>
      <w:bCs/>
      <w:kern w:val="28"/>
      <w:sz w:val="32"/>
      <w:szCs w:val="32"/>
    </w:rPr>
  </w:style>
  <w:style w:type="paragraph" w:customStyle="1" w:styleId="798">
    <w:name w:val="Char42"/>
    <w:basedOn w:val="1"/>
    <w:qFormat/>
    <w:uiPriority w:val="0"/>
    <w:rPr>
      <w:rFonts w:ascii="Tahoma" w:hAnsi="Tahoma"/>
      <w:sz w:val="24"/>
    </w:rPr>
  </w:style>
  <w:style w:type="paragraph" w:customStyle="1" w:styleId="799">
    <w:name w:val="标题11"/>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800">
    <w:name w:val="Char Char Char Char Char Char Char Char Char Char Char Char Char Char Char Char2"/>
    <w:basedOn w:val="1"/>
    <w:qFormat/>
    <w:uiPriority w:val="0"/>
    <w:rPr>
      <w:rFonts w:ascii="Tahoma" w:hAnsi="Tahoma"/>
      <w:sz w:val="24"/>
    </w:rPr>
  </w:style>
  <w:style w:type="paragraph" w:customStyle="1" w:styleId="801">
    <w:name w:val="Char1 Char Char Char3"/>
    <w:basedOn w:val="1"/>
    <w:qFormat/>
    <w:uiPriority w:val="0"/>
    <w:pPr>
      <w:tabs>
        <w:tab w:val="left" w:pos="840"/>
      </w:tabs>
      <w:ind w:left="840" w:hanging="420"/>
    </w:pPr>
    <w:rPr>
      <w:rFonts w:ascii="Calibri" w:hAnsi="Calibri"/>
    </w:rPr>
  </w:style>
  <w:style w:type="paragraph" w:customStyle="1" w:styleId="802">
    <w:name w:val="Char1 Char Char Char2"/>
    <w:basedOn w:val="1"/>
    <w:qFormat/>
    <w:uiPriority w:val="0"/>
    <w:rPr>
      <w:rFonts w:ascii="Tahoma" w:hAnsi="Tahoma"/>
      <w:sz w:val="24"/>
    </w:rPr>
  </w:style>
  <w:style w:type="paragraph" w:customStyle="1" w:styleId="803">
    <w:name w:val="Char43"/>
    <w:basedOn w:val="1"/>
    <w:qFormat/>
    <w:uiPriority w:val="0"/>
    <w:rPr>
      <w:rFonts w:ascii="Tahoma" w:hAnsi="Tahoma"/>
      <w:sz w:val="24"/>
    </w:rPr>
  </w:style>
  <w:style w:type="paragraph" w:customStyle="1" w:styleId="804">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805">
    <w:name w:val="Char2"/>
    <w:basedOn w:val="1"/>
    <w:next w:val="1"/>
    <w:qFormat/>
    <w:uiPriority w:val="0"/>
    <w:pPr>
      <w:widowControl/>
      <w:spacing w:after="160" w:line="240" w:lineRule="exact"/>
      <w:jc w:val="left"/>
    </w:pPr>
    <w:rPr>
      <w:rFonts w:ascii="Verdana" w:hAnsi="Verdana" w:eastAsia="仿宋_GB2312"/>
      <w:kern w:val="0"/>
      <w:sz w:val="24"/>
      <w:lang w:eastAsia="en-US"/>
    </w:rPr>
  </w:style>
  <w:style w:type="paragraph" w:customStyle="1" w:styleId="806">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807">
    <w:name w:val="Char11"/>
    <w:basedOn w:val="1"/>
    <w:qFormat/>
    <w:uiPriority w:val="0"/>
    <w:rPr>
      <w:rFonts w:ascii="Tahoma" w:hAnsi="Tahoma"/>
      <w:sz w:val="24"/>
    </w:rPr>
  </w:style>
  <w:style w:type="paragraph" w:customStyle="1" w:styleId="808">
    <w:name w:val="TOC 标题11"/>
    <w:basedOn w:val="3"/>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809">
    <w:name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10">
    <w:name w:val="Char Char Char Char Char Char Char Char Char Char1"/>
    <w:basedOn w:val="26"/>
    <w:qFormat/>
    <w:uiPriority w:val="0"/>
    <w:rPr>
      <w:rFonts w:ascii="Tahoma" w:hAnsi="Tahoma" w:cs="Tahoma"/>
      <w:sz w:val="24"/>
      <w:szCs w:val="24"/>
    </w:rPr>
  </w:style>
  <w:style w:type="paragraph" w:customStyle="1" w:styleId="811">
    <w:name w:val="Char Char8 Char Char Char Char2"/>
    <w:basedOn w:val="1"/>
    <w:qFormat/>
    <w:uiPriority w:val="0"/>
    <w:pPr>
      <w:widowControl/>
      <w:spacing w:after="160" w:line="240" w:lineRule="exact"/>
      <w:jc w:val="left"/>
    </w:pPr>
    <w:rPr>
      <w:rFonts w:ascii="Calibri" w:hAnsi="Verdana"/>
      <w:b/>
      <w:bCs/>
      <w:sz w:val="32"/>
      <w:lang w:eastAsia="en-US"/>
    </w:rPr>
  </w:style>
  <w:style w:type="paragraph" w:customStyle="1" w:styleId="812">
    <w:name w:val="列出段落2"/>
    <w:basedOn w:val="1"/>
    <w:qFormat/>
    <w:uiPriority w:val="0"/>
    <w:pPr>
      <w:ind w:firstLine="420" w:firstLineChars="200"/>
    </w:pPr>
    <w:rPr>
      <w:rFonts w:ascii="Calibri" w:hAnsi="Calibri"/>
      <w:szCs w:val="24"/>
    </w:rPr>
  </w:style>
  <w:style w:type="paragraph" w:customStyle="1" w:styleId="813">
    <w:name w:val="Char Char Char Char Char Char Char2"/>
    <w:basedOn w:val="1"/>
    <w:qFormat/>
    <w:uiPriority w:val="0"/>
    <w:rPr>
      <w:rFonts w:ascii="Tahoma" w:hAnsi="Tahoma"/>
      <w:sz w:val="24"/>
    </w:rPr>
  </w:style>
  <w:style w:type="paragraph" w:customStyle="1" w:styleId="814">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15">
    <w:name w:val="Char1 Char Char Char Char Char Char2"/>
    <w:basedOn w:val="26"/>
    <w:qFormat/>
    <w:uiPriority w:val="0"/>
    <w:rPr>
      <w:rFonts w:ascii="Tahoma" w:hAnsi="Tahoma"/>
      <w:sz w:val="24"/>
      <w:szCs w:val="24"/>
    </w:rPr>
  </w:style>
  <w:style w:type="paragraph" w:customStyle="1" w:styleId="816">
    <w:name w:val="Char1 Char Char Char Char Char Char1"/>
    <w:basedOn w:val="26"/>
    <w:qFormat/>
    <w:uiPriority w:val="0"/>
    <w:rPr>
      <w:rFonts w:ascii="Tahoma" w:hAnsi="Tahoma"/>
      <w:sz w:val="24"/>
      <w:szCs w:val="24"/>
    </w:rPr>
  </w:style>
  <w:style w:type="paragraph" w:customStyle="1" w:styleId="817">
    <w:name w:val="纯文本11"/>
    <w:basedOn w:val="1"/>
    <w:qFormat/>
    <w:uiPriority w:val="0"/>
    <w:pPr>
      <w:adjustRightInd w:val="0"/>
      <w:textAlignment w:val="baseline"/>
    </w:pPr>
    <w:rPr>
      <w:rFonts w:ascii="宋体" w:hAnsi="Courier New" w:eastAsia="楷体_GB2312"/>
      <w:sz w:val="26"/>
    </w:rPr>
  </w:style>
  <w:style w:type="paragraph" w:customStyle="1" w:styleId="818">
    <w:name w:val="Char Char Char Char Char Char Char Char Char Char Char Char Char Char Char Char1"/>
    <w:basedOn w:val="1"/>
    <w:qFormat/>
    <w:uiPriority w:val="0"/>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Calibri" w:hAnsi="Calibri" w:eastAsia="Times New Roman"/>
      <w:kern w:val="0"/>
      <w:sz w:val="20"/>
    </w:rPr>
  </w:style>
  <w:style w:type="paragraph" w:customStyle="1" w:styleId="820">
    <w:name w:val="正文文本缩进 211"/>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821">
    <w:name w:val="正文21"/>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822">
    <w:name w:val="Char Char Char Char1"/>
    <w:basedOn w:val="1"/>
    <w:qFormat/>
    <w:uiPriority w:val="0"/>
    <w:pPr>
      <w:widowControl/>
      <w:spacing w:after="160" w:line="240" w:lineRule="exact"/>
      <w:jc w:val="left"/>
    </w:pPr>
    <w:rPr>
      <w:rFonts w:ascii="Tahoma" w:hAnsi="Tahoma"/>
      <w:kern w:val="0"/>
      <w:sz w:val="20"/>
      <w:lang w:eastAsia="en-US"/>
    </w:rPr>
  </w:style>
  <w:style w:type="paragraph" w:customStyle="1" w:styleId="823">
    <w:name w:val="Zchn Zchn Char Char2"/>
    <w:basedOn w:val="1"/>
    <w:qFormat/>
    <w:uiPriority w:val="0"/>
    <w:pPr>
      <w:adjustRightInd w:val="0"/>
      <w:spacing w:line="360" w:lineRule="auto"/>
    </w:pPr>
    <w:rPr>
      <w:rFonts w:ascii="Calibri" w:hAnsi="Calibri"/>
      <w:kern w:val="0"/>
      <w:sz w:val="24"/>
    </w:rPr>
  </w:style>
  <w:style w:type="paragraph" w:customStyle="1" w:styleId="824">
    <w:name w:val="_Style 2"/>
    <w:basedOn w:val="1"/>
    <w:qFormat/>
    <w:uiPriority w:val="0"/>
    <w:pPr>
      <w:ind w:firstLine="420" w:firstLineChars="200"/>
    </w:pPr>
    <w:rPr>
      <w:rFonts w:ascii="Calibri" w:hAnsi="Calibri"/>
      <w:szCs w:val="24"/>
    </w:rPr>
  </w:style>
  <w:style w:type="paragraph" w:customStyle="1" w:styleId="825">
    <w:name w:val="Char Char Char Char Char Char Char Char Char Char Char Char Char Char Char Char Char Char Char Char Char Char Char Char Char Char Char Char Char Char Char Char Char Char2"/>
    <w:basedOn w:val="1"/>
    <w:qFormat/>
    <w:uiPriority w:val="0"/>
    <w:rPr>
      <w:rFonts w:ascii="Tahoma" w:hAnsi="Tahoma"/>
      <w:sz w:val="24"/>
    </w:rPr>
  </w:style>
  <w:style w:type="paragraph" w:customStyle="1" w:styleId="826">
    <w:name w:val="列出段落11"/>
    <w:basedOn w:val="1"/>
    <w:qFormat/>
    <w:uiPriority w:val="0"/>
    <w:pPr>
      <w:ind w:firstLine="420" w:firstLineChars="200"/>
    </w:pPr>
    <w:rPr>
      <w:rFonts w:ascii="Calibri" w:hAnsi="Calibri" w:eastAsia="Times New Roman"/>
      <w:szCs w:val="24"/>
    </w:rPr>
  </w:style>
  <w:style w:type="paragraph" w:customStyle="1" w:styleId="827">
    <w:name w:val="_Style 73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28">
    <w:name w:val="Char1 Char Char Char1"/>
    <w:basedOn w:val="1"/>
    <w:qFormat/>
    <w:uiPriority w:val="0"/>
    <w:pPr>
      <w:tabs>
        <w:tab w:val="left" w:pos="840"/>
      </w:tabs>
      <w:ind w:left="840" w:hanging="420"/>
    </w:pPr>
    <w:rPr>
      <w:rFonts w:ascii="Calibri" w:hAnsi="Calibri"/>
    </w:rPr>
  </w:style>
  <w:style w:type="paragraph" w:customStyle="1" w:styleId="829">
    <w:name w:val="Char41"/>
    <w:basedOn w:val="1"/>
    <w:qFormat/>
    <w:uiPriority w:val="0"/>
    <w:rPr>
      <w:rFonts w:ascii="Tahoma" w:hAnsi="Tahoma"/>
      <w:sz w:val="24"/>
    </w:rPr>
  </w:style>
  <w:style w:type="paragraph" w:customStyle="1" w:styleId="830">
    <w:name w:val="Char Char8 Char Char Char Char1"/>
    <w:basedOn w:val="1"/>
    <w:qFormat/>
    <w:uiPriority w:val="0"/>
    <w:pPr>
      <w:widowControl/>
      <w:spacing w:after="160" w:line="240" w:lineRule="exact"/>
      <w:jc w:val="left"/>
    </w:pPr>
    <w:rPr>
      <w:rFonts w:ascii="Calibri" w:hAnsi="Verdana"/>
      <w:b/>
      <w:bCs/>
      <w:sz w:val="32"/>
      <w:lang w:eastAsia="en-US"/>
    </w:rPr>
  </w:style>
  <w:style w:type="paragraph" w:customStyle="1" w:styleId="831">
    <w:name w:val="Char Char Char Char Char Char1"/>
    <w:basedOn w:val="1"/>
    <w:qFormat/>
    <w:uiPriority w:val="0"/>
    <w:pPr>
      <w:adjustRightInd w:val="0"/>
      <w:spacing w:line="360" w:lineRule="auto"/>
    </w:pPr>
    <w:rPr>
      <w:rFonts w:ascii="Calibri" w:hAnsi="Calibri"/>
      <w:kern w:val="0"/>
      <w:sz w:val="24"/>
    </w:rPr>
  </w:style>
  <w:style w:type="paragraph" w:customStyle="1" w:styleId="832">
    <w:name w:val="纯文本2"/>
    <w:basedOn w:val="1"/>
    <w:qFormat/>
    <w:uiPriority w:val="0"/>
    <w:pPr>
      <w:adjustRightInd w:val="0"/>
      <w:textAlignment w:val="baseline"/>
    </w:pPr>
    <w:rPr>
      <w:rFonts w:ascii="宋体" w:hAnsi="Courier New" w:eastAsia="楷体_GB2312"/>
      <w:sz w:val="26"/>
    </w:rPr>
  </w:style>
  <w:style w:type="paragraph" w:customStyle="1" w:styleId="833">
    <w:name w:val="Char Char1 Char Char Char Char 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834">
    <w:name w:val="Zchn Zchn Char Char1"/>
    <w:basedOn w:val="1"/>
    <w:qFormat/>
    <w:uiPriority w:val="0"/>
    <w:pPr>
      <w:adjustRightInd w:val="0"/>
      <w:spacing w:line="360" w:lineRule="auto"/>
    </w:pPr>
    <w:rPr>
      <w:rFonts w:ascii="Calibri" w:hAnsi="Calibri"/>
      <w:kern w:val="0"/>
      <w:sz w:val="24"/>
    </w:rPr>
  </w:style>
  <w:style w:type="paragraph" w:customStyle="1" w:styleId="835">
    <w:name w:val="Char Char Char2"/>
    <w:basedOn w:val="1"/>
    <w:qFormat/>
    <w:uiPriority w:val="0"/>
    <w:pPr>
      <w:widowControl/>
      <w:spacing w:after="160" w:line="240" w:lineRule="exact"/>
      <w:jc w:val="left"/>
    </w:pPr>
    <w:rPr>
      <w:rFonts w:ascii="Verdana" w:hAnsi="Verdana"/>
      <w:kern w:val="0"/>
      <w:sz w:val="20"/>
      <w:lang w:eastAsia="en-US"/>
    </w:rPr>
  </w:style>
  <w:style w:type="paragraph" w:customStyle="1" w:styleId="836">
    <w:name w:val="Char3"/>
    <w:basedOn w:val="1"/>
    <w:qFormat/>
    <w:uiPriority w:val="0"/>
    <w:rPr>
      <w:rFonts w:ascii="Tahoma" w:hAnsi="Tahoma"/>
      <w:sz w:val="24"/>
    </w:rPr>
  </w:style>
  <w:style w:type="paragraph" w:customStyle="1" w:styleId="837">
    <w:name w:val="Char12"/>
    <w:basedOn w:val="1"/>
    <w:qFormat/>
    <w:uiPriority w:val="0"/>
    <w:rPr>
      <w:rFonts w:ascii="Tahoma" w:hAnsi="Tahoma" w:cs="Arial"/>
      <w:sz w:val="24"/>
      <w:szCs w:val="21"/>
    </w:rPr>
  </w:style>
  <w:style w:type="paragraph" w:customStyle="1" w:styleId="838">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839">
    <w:name w:val="正文文本缩进 22"/>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840">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41">
    <w:name w:val="Char Char Char Char Char Char Char Char Char Char Char Char Char Char Char Char Char Char Char Char Char Char Char Char Char Char Char Char Char Char Char Char Char Char1"/>
    <w:basedOn w:val="1"/>
    <w:qFormat/>
    <w:uiPriority w:val="0"/>
    <w:rPr>
      <w:rFonts w:ascii="Tahoma" w:hAnsi="Tahoma"/>
      <w:sz w:val="24"/>
    </w:rPr>
  </w:style>
  <w:style w:type="paragraph" w:customStyle="1" w:styleId="842">
    <w:name w:val="陈1"/>
    <w:basedOn w:val="1"/>
    <w:qFormat/>
    <w:uiPriority w:val="0"/>
    <w:rPr>
      <w:rFonts w:ascii="新宋体" w:hAnsi="新宋体" w:eastAsia="新宋体"/>
      <w:sz w:val="24"/>
    </w:rPr>
  </w:style>
  <w:style w:type="paragraph" w:customStyle="1" w:styleId="843">
    <w:name w:val="Char13"/>
    <w:basedOn w:val="1"/>
    <w:qFormat/>
    <w:uiPriority w:val="0"/>
    <w:rPr>
      <w:rFonts w:ascii="Tahoma" w:hAnsi="Tahoma"/>
      <w:sz w:val="24"/>
    </w:rPr>
  </w:style>
  <w:style w:type="paragraph" w:customStyle="1" w:styleId="844">
    <w:name w:val="Char5"/>
    <w:basedOn w:val="1"/>
    <w:qFormat/>
    <w:uiPriority w:val="0"/>
    <w:rPr>
      <w:rFonts w:ascii="Tahoma" w:hAnsi="Tahoma"/>
      <w:sz w:val="24"/>
    </w:rPr>
  </w:style>
  <w:style w:type="character" w:customStyle="1" w:styleId="845">
    <w:name w:val="普通(网站) 字符"/>
    <w:qFormat/>
    <w:locked/>
    <w:uiPriority w:val="0"/>
    <w:rPr>
      <w:rFonts w:ascii="宋体" w:hAnsi="宋体"/>
      <w:color w:val="000000"/>
      <w:sz w:val="24"/>
    </w:rPr>
  </w:style>
  <w:style w:type="character" w:customStyle="1" w:styleId="846">
    <w:name w:val="纯文本 Char"/>
    <w:qFormat/>
    <w:uiPriority w:val="0"/>
    <w:rPr>
      <w:rFonts w:ascii="宋体" w:hAnsi="宋体" w:eastAsia="宋体"/>
      <w:color w:val="000000"/>
      <w:sz w:val="24"/>
      <w:lang w:val="en-US" w:eastAsia="zh-CN" w:bidi="ar-SA"/>
    </w:rPr>
  </w:style>
  <w:style w:type="character" w:customStyle="1" w:styleId="847">
    <w:name w:val="列出段落 Char"/>
    <w:link w:val="848"/>
    <w:qFormat/>
    <w:uiPriority w:val="0"/>
    <w:rPr>
      <w:szCs w:val="24"/>
    </w:rPr>
  </w:style>
  <w:style w:type="paragraph" w:customStyle="1" w:styleId="848">
    <w:name w:val="_Style 847"/>
    <w:link w:val="847"/>
    <w:qFormat/>
    <w:uiPriority w:val="0"/>
    <w:rPr>
      <w:rFonts w:asciiTheme="minorHAnsi" w:hAnsiTheme="minorHAnsi" w:eastAsiaTheme="minorEastAsia" w:cstheme="minorBidi"/>
      <w:kern w:val="2"/>
      <w:sz w:val="21"/>
      <w:szCs w:val="24"/>
      <w:lang w:val="en-US" w:eastAsia="zh-CN" w:bidi="ar-SA"/>
    </w:rPr>
  </w:style>
  <w:style w:type="character" w:styleId="849">
    <w:name w:val="Placeholder Text"/>
    <w:basedOn w:val="99"/>
    <w:semiHidden/>
    <w:qFormat/>
    <w:uiPriority w:val="99"/>
    <w:rPr>
      <w:color w:val="808080"/>
    </w:rPr>
  </w:style>
  <w:style w:type="character" w:customStyle="1" w:styleId="850">
    <w:name w:val="标题 3 Char"/>
    <w:qFormat/>
    <w:uiPriority w:val="0"/>
    <w:rPr>
      <w:rFonts w:ascii="黑体" w:hAnsi="Times New Roman" w:eastAsia="黑体"/>
      <w:b/>
      <w:color w:val="000000"/>
      <w:sz w:val="28"/>
    </w:rPr>
  </w:style>
  <w:style w:type="character" w:customStyle="1" w:styleId="851">
    <w:name w:val="正文文本缩进 3 Char"/>
    <w:qFormat/>
    <w:uiPriority w:val="99"/>
    <w:rPr>
      <w:rFonts w:ascii="Times New Roman" w:hAnsi="Times New Roman"/>
      <w:kern w:val="2"/>
      <w:sz w:val="28"/>
    </w:rPr>
  </w:style>
  <w:style w:type="character" w:customStyle="1" w:styleId="852">
    <w:name w:val="页眉 Char"/>
    <w:qFormat/>
    <w:uiPriority w:val="99"/>
    <w:rPr>
      <w:kern w:val="2"/>
      <w:sz w:val="18"/>
      <w:szCs w:val="18"/>
    </w:rPr>
  </w:style>
  <w:style w:type="character" w:customStyle="1" w:styleId="853">
    <w:name w:val="标题 2 Char"/>
    <w:qFormat/>
    <w:uiPriority w:val="99"/>
    <w:rPr>
      <w:rFonts w:ascii="Arial" w:hAnsi="Arial" w:eastAsia="黑体"/>
      <w:b/>
      <w:bCs/>
      <w:kern w:val="2"/>
      <w:sz w:val="32"/>
      <w:szCs w:val="32"/>
    </w:rPr>
  </w:style>
  <w:style w:type="character" w:customStyle="1" w:styleId="854">
    <w:name w:val="页脚 Char"/>
    <w:qFormat/>
    <w:uiPriority w:val="99"/>
    <w:rPr>
      <w:kern w:val="2"/>
      <w:sz w:val="18"/>
      <w:szCs w:val="18"/>
    </w:rPr>
  </w:style>
  <w:style w:type="character" w:customStyle="1" w:styleId="855">
    <w:name w:val="标题 1 Char"/>
    <w:qFormat/>
    <w:uiPriority w:val="99"/>
    <w:rPr>
      <w:rFonts w:ascii="宋体" w:hAnsi="Arial" w:eastAsia="黑体"/>
      <w:b/>
      <w:color w:val="000000"/>
      <w:kern w:val="44"/>
      <w:sz w:val="36"/>
    </w:rPr>
  </w:style>
  <w:style w:type="character" w:customStyle="1" w:styleId="856">
    <w:name w:val="NormalCharacter"/>
    <w:qFormat/>
    <w:uiPriority w:val="0"/>
  </w:style>
  <w:style w:type="paragraph" w:customStyle="1" w:styleId="857">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58">
    <w:name w:val="普通(网站) Char"/>
    <w:qFormat/>
    <w:locked/>
    <w:uiPriority w:val="99"/>
    <w:rPr>
      <w:rFonts w:ascii="宋体" w:hAnsi="宋体"/>
      <w:color w:val="000000"/>
      <w:sz w:val="24"/>
    </w:rPr>
  </w:style>
  <w:style w:type="paragraph" w:customStyle="1" w:styleId="859">
    <w:name w:val="修订2"/>
    <w:hidden/>
    <w:qFormat/>
    <w:uiPriority w:val="0"/>
    <w:rPr>
      <w:rFonts w:ascii="Times New Roman" w:hAnsi="Times New Roman" w:eastAsia="宋体" w:cs="Times New Roman"/>
      <w:kern w:val="2"/>
      <w:sz w:val="21"/>
      <w:lang w:val="en-US" w:eastAsia="zh-CN" w:bidi="ar-SA"/>
    </w:rPr>
  </w:style>
  <w:style w:type="paragraph" w:customStyle="1" w:styleId="860">
    <w:name w:val="普通(网站)1"/>
    <w:basedOn w:val="1"/>
    <w:qFormat/>
    <w:uiPriority w:val="0"/>
    <w:pPr>
      <w:spacing w:before="100" w:after="100"/>
      <w:jc w:val="left"/>
    </w:pPr>
    <w:rPr>
      <w:rFonts w:ascii="Calibri" w:hAnsi="Calibri" w:eastAsia="Calibri" w:cs="Calibri"/>
      <w:kern w:val="0"/>
      <w:sz w:val="24"/>
      <w:szCs w:val="24"/>
      <w:lang w:val="zh-CN"/>
    </w:rPr>
  </w:style>
  <w:style w:type="paragraph" w:customStyle="1" w:styleId="861">
    <w:name w:val="TOC 标题2"/>
    <w:basedOn w:val="3"/>
    <w:next w:val="1"/>
    <w:unhideWhenUsed/>
    <w:qFormat/>
    <w:uiPriority w:val="0"/>
    <w:pPr>
      <w:numPr>
        <w:numId w:val="0"/>
      </w:numPr>
      <w:tabs>
        <w:tab w:val="clear" w:pos="360"/>
      </w:tabs>
      <w:autoSpaceDE/>
      <w:autoSpaceDN/>
      <w:adjustRightInd/>
      <w:spacing w:line="578" w:lineRule="auto"/>
      <w:jc w:val="both"/>
      <w:textAlignment w:val="auto"/>
      <w:outlineLvl w:val="9"/>
    </w:pPr>
    <w:rPr>
      <w:rFonts w:ascii="Times New Roman" w:hAnsi="Times New Roman" w:eastAsia="宋体"/>
      <w:bCs/>
      <w:color w:val="auto"/>
      <w:sz w:val="44"/>
      <w:szCs w:val="44"/>
    </w:rPr>
  </w:style>
  <w:style w:type="character" w:customStyle="1" w:styleId="862">
    <w:name w:val="明显引用 字符"/>
    <w:link w:val="863"/>
    <w:qFormat/>
    <w:uiPriority w:val="0"/>
    <w:rPr>
      <w:b/>
      <w:bCs/>
      <w:i/>
      <w:iCs/>
      <w:color w:val="4F81BD"/>
      <w:kern w:val="2"/>
      <w:sz w:val="21"/>
      <w:szCs w:val="22"/>
    </w:rPr>
  </w:style>
  <w:style w:type="paragraph" w:styleId="863">
    <w:name w:val="Intense Quote"/>
    <w:basedOn w:val="1"/>
    <w:next w:val="1"/>
    <w:link w:val="86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864">
    <w:name w:val="不明显强调1"/>
    <w:qFormat/>
    <w:uiPriority w:val="0"/>
    <w:rPr>
      <w:i/>
      <w:iCs/>
      <w:color w:val="808080"/>
    </w:rPr>
  </w:style>
  <w:style w:type="character" w:customStyle="1" w:styleId="865">
    <w:name w:val="标题4 Char Char"/>
    <w:link w:val="866"/>
    <w:qFormat/>
    <w:uiPriority w:val="0"/>
    <w:rPr>
      <w:rFonts w:ascii="Arial" w:hAnsi="Arial"/>
      <w:b/>
      <w:bCs/>
      <w:sz w:val="24"/>
      <w:szCs w:val="32"/>
    </w:rPr>
  </w:style>
  <w:style w:type="paragraph" w:customStyle="1" w:styleId="866">
    <w:name w:val="标题4"/>
    <w:basedOn w:val="4"/>
    <w:next w:val="42"/>
    <w:link w:val="865"/>
    <w:qFormat/>
    <w:uiPriority w:val="0"/>
    <w:pPr>
      <w:numPr>
        <w:ilvl w:val="0"/>
        <w:numId w:val="0"/>
      </w:numPr>
      <w:tabs>
        <w:tab w:val="clear" w:pos="1440"/>
      </w:tabs>
      <w:spacing w:line="413" w:lineRule="auto"/>
    </w:pPr>
    <w:rPr>
      <w:rFonts w:eastAsiaTheme="minorEastAsia" w:cstheme="minorBidi"/>
      <w:kern w:val="0"/>
      <w:sz w:val="24"/>
    </w:rPr>
  </w:style>
  <w:style w:type="character" w:customStyle="1" w:styleId="867">
    <w:name w:val="标题5 Char Char"/>
    <w:link w:val="612"/>
    <w:qFormat/>
    <w:uiPriority w:val="0"/>
    <w:rPr>
      <w:rFonts w:ascii="楷体_GB2312" w:hAnsi="Times New Roman" w:eastAsia="楷体_GB2312" w:cs="Times New Roman"/>
      <w:b/>
      <w:kern w:val="2"/>
      <w:sz w:val="28"/>
    </w:rPr>
  </w:style>
  <w:style w:type="character" w:customStyle="1" w:styleId="868">
    <w:name w:val="明显参考1"/>
    <w:qFormat/>
    <w:uiPriority w:val="0"/>
    <w:rPr>
      <w:b/>
      <w:bCs/>
      <w:smallCaps/>
      <w:color w:val="C0504D"/>
      <w:spacing w:val="5"/>
      <w:u w:val="single"/>
    </w:rPr>
  </w:style>
  <w:style w:type="character" w:customStyle="1" w:styleId="869">
    <w:name w:val="书籍标题2"/>
    <w:qFormat/>
    <w:uiPriority w:val="0"/>
    <w:rPr>
      <w:b/>
      <w:bCs/>
      <w:smallCaps/>
      <w:spacing w:val="5"/>
    </w:rPr>
  </w:style>
  <w:style w:type="character" w:customStyle="1" w:styleId="870">
    <w:name w:val="批注框文本 Char1"/>
    <w:qFormat/>
    <w:uiPriority w:val="0"/>
    <w:rPr>
      <w:kern w:val="2"/>
      <w:sz w:val="18"/>
      <w:szCs w:val="18"/>
    </w:rPr>
  </w:style>
  <w:style w:type="character" w:customStyle="1" w:styleId="871">
    <w:name w:val="引用 字符"/>
    <w:link w:val="872"/>
    <w:qFormat/>
    <w:uiPriority w:val="0"/>
    <w:rPr>
      <w:i/>
      <w:iCs/>
      <w:color w:val="000000"/>
      <w:kern w:val="2"/>
      <w:sz w:val="21"/>
      <w:szCs w:val="22"/>
    </w:rPr>
  </w:style>
  <w:style w:type="paragraph" w:styleId="872">
    <w:name w:val="Quote"/>
    <w:basedOn w:val="1"/>
    <w:next w:val="1"/>
    <w:link w:val="871"/>
    <w:qFormat/>
    <w:uiPriority w:val="0"/>
    <w:rPr>
      <w:rFonts w:asciiTheme="minorHAnsi" w:hAnsiTheme="minorHAnsi" w:eastAsiaTheme="minorEastAsia" w:cstheme="minorBidi"/>
      <w:i/>
      <w:iCs/>
      <w:color w:val="000000"/>
      <w:szCs w:val="22"/>
    </w:rPr>
  </w:style>
  <w:style w:type="character" w:customStyle="1" w:styleId="873">
    <w:name w:val="批注主题 Char1"/>
    <w:qFormat/>
    <w:uiPriority w:val="0"/>
    <w:rPr>
      <w:b/>
      <w:bCs/>
      <w:kern w:val="2"/>
      <w:sz w:val="21"/>
      <w:szCs w:val="22"/>
    </w:rPr>
  </w:style>
  <w:style w:type="character" w:customStyle="1" w:styleId="874">
    <w:name w:val="日期 Char1"/>
    <w:qFormat/>
    <w:uiPriority w:val="0"/>
    <w:rPr>
      <w:kern w:val="2"/>
      <w:sz w:val="21"/>
      <w:szCs w:val="22"/>
    </w:rPr>
  </w:style>
  <w:style w:type="character" w:customStyle="1" w:styleId="875">
    <w:name w:val="明显强调1"/>
    <w:qFormat/>
    <w:uiPriority w:val="0"/>
    <w:rPr>
      <w:b/>
      <w:bCs/>
      <w:i/>
      <w:iCs/>
      <w:color w:val="4F81BD"/>
    </w:rPr>
  </w:style>
  <w:style w:type="character" w:customStyle="1" w:styleId="876">
    <w:name w:val="textcontents"/>
    <w:qFormat/>
    <w:uiPriority w:val="0"/>
    <w:rPr>
      <w:rFonts w:cs="Times New Roman"/>
    </w:rPr>
  </w:style>
  <w:style w:type="character" w:customStyle="1" w:styleId="877">
    <w:name w:val="不明显参考1"/>
    <w:qFormat/>
    <w:uiPriority w:val="0"/>
    <w:rPr>
      <w:smallCaps/>
      <w:color w:val="C0504D"/>
      <w:u w:val="single"/>
    </w:rPr>
  </w:style>
  <w:style w:type="character" w:customStyle="1" w:styleId="878">
    <w:name w:val="批注文字 Char Char"/>
    <w:qFormat/>
    <w:uiPriority w:val="0"/>
    <w:rPr>
      <w:rFonts w:ascii="宋体" w:hAnsi="Times New Roman" w:eastAsia="宋体" w:cs="Times New Roman"/>
      <w:sz w:val="28"/>
      <w:szCs w:val="20"/>
    </w:rPr>
  </w:style>
  <w:style w:type="character" w:customStyle="1" w:styleId="879">
    <w:name w:val="文档结构图 Char1"/>
    <w:qFormat/>
    <w:uiPriority w:val="0"/>
    <w:rPr>
      <w:rFonts w:ascii="宋体"/>
      <w:kern w:val="2"/>
      <w:sz w:val="18"/>
      <w:szCs w:val="18"/>
    </w:rPr>
  </w:style>
  <w:style w:type="character" w:customStyle="1" w:styleId="880">
    <w:name w:val="明显引用 字符1"/>
    <w:basedOn w:val="99"/>
    <w:qFormat/>
    <w:uiPriority w:val="99"/>
    <w:rPr>
      <w:rFonts w:ascii="Times New Roman" w:hAnsi="Times New Roman" w:eastAsia="宋体" w:cs="Times New Roman"/>
      <w:i/>
      <w:iCs/>
      <w:color w:val="5B9BD5" w:themeColor="accent1"/>
      <w:kern w:val="2"/>
      <w:sz w:val="21"/>
      <w14:textFill>
        <w14:solidFill>
          <w14:schemeClr w14:val="accent1"/>
        </w14:solidFill>
      </w14:textFill>
    </w:rPr>
  </w:style>
  <w:style w:type="paragraph" w:customStyle="1" w:styleId="881">
    <w:name w:val="空半行"/>
    <w:basedOn w:val="1"/>
    <w:qFormat/>
    <w:uiPriority w:val="0"/>
    <w:pPr>
      <w:adjustRightInd w:val="0"/>
      <w:spacing w:line="120" w:lineRule="exact"/>
      <w:textAlignment w:val="baseline"/>
    </w:pPr>
    <w:rPr>
      <w:rFonts w:eastAsia="仿宋_GB2312"/>
      <w:color w:val="FFFFFF"/>
      <w:kern w:val="0"/>
      <w:sz w:val="30"/>
    </w:rPr>
  </w:style>
  <w:style w:type="paragraph" w:styleId="88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3">
    <w:name w:val="引用 字符1"/>
    <w:basedOn w:val="99"/>
    <w:qFormat/>
    <w:uiPriority w:val="99"/>
    <w:rPr>
      <w:rFonts w:ascii="Times New Roman" w:hAnsi="Times New Roman" w:eastAsia="宋体" w:cs="Times New Roman"/>
      <w:i/>
      <w:iCs/>
      <w:color w:val="404040" w:themeColor="text1" w:themeTint="BF"/>
      <w:kern w:val="2"/>
      <w:sz w:val="21"/>
      <w14:textFill>
        <w14:solidFill>
          <w14:schemeClr w14:val="tx1">
            <w14:lumMod w14:val="75000"/>
            <w14:lumOff w14:val="25000"/>
          </w14:schemeClr>
        </w14:solidFill>
      </w14:textFill>
    </w:rPr>
  </w:style>
  <w:style w:type="paragraph" w:customStyle="1" w:styleId="884">
    <w:name w:val="[Normal]"/>
    <w:qFormat/>
    <w:uiPriority w:val="0"/>
    <w:pPr>
      <w:widowControl w:val="0"/>
    </w:pPr>
    <w:rPr>
      <w:rFonts w:ascii="宋体" w:hAnsi="宋体" w:eastAsia="宋体" w:cs="Times New Roman"/>
      <w:sz w:val="24"/>
      <w:szCs w:val="24"/>
      <w:lang w:val="en-US" w:eastAsia="zh-CN" w:bidi="ar-SA"/>
    </w:rPr>
  </w:style>
  <w:style w:type="paragraph" w:customStyle="1" w:styleId="885">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customStyle="1" w:styleId="886">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887">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888">
    <w:name w:val="修订4"/>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C1CB34C237433EB294DF8D5BE8CD02"/>
        <w:style w:val=""/>
        <w:category>
          <w:name w:val="常规"/>
          <w:gallery w:val="placeholder"/>
        </w:category>
        <w:types>
          <w:type w:val="bbPlcHdr"/>
        </w:types>
        <w:behaviors>
          <w:behavior w:val="content"/>
        </w:behaviors>
        <w:description w:val=""/>
        <w:guid w:val="{FB588797-F647-4C72-BEFC-DD83CFFC582F}"/>
      </w:docPartPr>
      <w:docPartBody>
        <w:p w14:paraId="01D43BAA">
          <w:pPr>
            <w:pStyle w:val="5"/>
          </w:pPr>
          <w:r>
            <w:rPr>
              <w:rFonts w:hint="eastAsia" w:ascii="宋体" w:hAnsi="宋体"/>
              <w:color w:val="000000"/>
              <w:kern w:val="0"/>
              <w:sz w:val="24"/>
            </w:rPr>
            <w:t>计价依据</w:t>
          </w:r>
        </w:p>
      </w:docPartBody>
    </w:docPart>
    <w:docPart>
      <w:docPartPr>
        <w:name w:val="2811E653859145C28088B7CB411103A8"/>
        <w:style w:val=""/>
        <w:category>
          <w:name w:val="常规"/>
          <w:gallery w:val="placeholder"/>
        </w:category>
        <w:types>
          <w:type w:val="bbPlcHdr"/>
        </w:types>
        <w:behaviors>
          <w:behavior w:val="content"/>
        </w:behaviors>
        <w:description w:val=""/>
        <w:guid w:val="{4CEECB61-3A38-4D87-BDCF-CFF07B57F6B9}"/>
      </w:docPartPr>
      <w:docPartBody>
        <w:p w14:paraId="7D7E23E9">
          <w:pPr>
            <w:pStyle w:val="6"/>
          </w:pPr>
          <w:r>
            <w:rPr>
              <w:rFonts w:hint="eastAsia" w:ascii="宋体" w:hAnsi="宋体"/>
            </w:rPr>
            <w:t>清单</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5E"/>
    <w:rsid w:val="00007679"/>
    <w:rsid w:val="00030C9E"/>
    <w:rsid w:val="000472F0"/>
    <w:rsid w:val="00053C07"/>
    <w:rsid w:val="000757DE"/>
    <w:rsid w:val="000C74A0"/>
    <w:rsid w:val="000D2141"/>
    <w:rsid w:val="000E2BDE"/>
    <w:rsid w:val="00114517"/>
    <w:rsid w:val="00133FFF"/>
    <w:rsid w:val="001436A9"/>
    <w:rsid w:val="001A255E"/>
    <w:rsid w:val="001E224B"/>
    <w:rsid w:val="001E43F4"/>
    <w:rsid w:val="002233E8"/>
    <w:rsid w:val="002348FC"/>
    <w:rsid w:val="0025006F"/>
    <w:rsid w:val="002A65E8"/>
    <w:rsid w:val="002A6E11"/>
    <w:rsid w:val="002B4D7C"/>
    <w:rsid w:val="002C347D"/>
    <w:rsid w:val="002C61FA"/>
    <w:rsid w:val="002F4812"/>
    <w:rsid w:val="00304CC4"/>
    <w:rsid w:val="003331A8"/>
    <w:rsid w:val="00337A51"/>
    <w:rsid w:val="00380BBD"/>
    <w:rsid w:val="00396F8F"/>
    <w:rsid w:val="003C0C8D"/>
    <w:rsid w:val="003C126C"/>
    <w:rsid w:val="003C42E1"/>
    <w:rsid w:val="003C533B"/>
    <w:rsid w:val="003E18A5"/>
    <w:rsid w:val="00400D06"/>
    <w:rsid w:val="00435023"/>
    <w:rsid w:val="0044635C"/>
    <w:rsid w:val="00491E75"/>
    <w:rsid w:val="004B23F7"/>
    <w:rsid w:val="004C23AB"/>
    <w:rsid w:val="004D1535"/>
    <w:rsid w:val="005158DD"/>
    <w:rsid w:val="00531322"/>
    <w:rsid w:val="005809E1"/>
    <w:rsid w:val="00591058"/>
    <w:rsid w:val="00594D32"/>
    <w:rsid w:val="005A0EFB"/>
    <w:rsid w:val="005A3983"/>
    <w:rsid w:val="005B525A"/>
    <w:rsid w:val="005B7741"/>
    <w:rsid w:val="005F6081"/>
    <w:rsid w:val="00601D55"/>
    <w:rsid w:val="006215A0"/>
    <w:rsid w:val="00621EA4"/>
    <w:rsid w:val="0062583B"/>
    <w:rsid w:val="0063042D"/>
    <w:rsid w:val="00636371"/>
    <w:rsid w:val="00645D3B"/>
    <w:rsid w:val="0066103F"/>
    <w:rsid w:val="006643A3"/>
    <w:rsid w:val="006643DB"/>
    <w:rsid w:val="006B2472"/>
    <w:rsid w:val="006B6B6F"/>
    <w:rsid w:val="006E60B9"/>
    <w:rsid w:val="00700AD9"/>
    <w:rsid w:val="007477C1"/>
    <w:rsid w:val="00771110"/>
    <w:rsid w:val="00776B99"/>
    <w:rsid w:val="00780DC5"/>
    <w:rsid w:val="007D1092"/>
    <w:rsid w:val="007F1D22"/>
    <w:rsid w:val="00807CE4"/>
    <w:rsid w:val="0085415A"/>
    <w:rsid w:val="008607C3"/>
    <w:rsid w:val="00865F3B"/>
    <w:rsid w:val="008A189C"/>
    <w:rsid w:val="008A1B07"/>
    <w:rsid w:val="008C1E4C"/>
    <w:rsid w:val="008C33D0"/>
    <w:rsid w:val="008C36CC"/>
    <w:rsid w:val="00910662"/>
    <w:rsid w:val="00917C9A"/>
    <w:rsid w:val="00927BC6"/>
    <w:rsid w:val="00936722"/>
    <w:rsid w:val="00962353"/>
    <w:rsid w:val="009A468C"/>
    <w:rsid w:val="009C0D0D"/>
    <w:rsid w:val="009C3831"/>
    <w:rsid w:val="009D1B56"/>
    <w:rsid w:val="009F0270"/>
    <w:rsid w:val="009F14FF"/>
    <w:rsid w:val="009F2657"/>
    <w:rsid w:val="00A0526D"/>
    <w:rsid w:val="00A51FE4"/>
    <w:rsid w:val="00A52EB2"/>
    <w:rsid w:val="00A60ABF"/>
    <w:rsid w:val="00A657EE"/>
    <w:rsid w:val="00AA7F20"/>
    <w:rsid w:val="00AC4FC1"/>
    <w:rsid w:val="00AE1381"/>
    <w:rsid w:val="00AE5487"/>
    <w:rsid w:val="00B15CA4"/>
    <w:rsid w:val="00B16633"/>
    <w:rsid w:val="00B37396"/>
    <w:rsid w:val="00B44B1D"/>
    <w:rsid w:val="00B61051"/>
    <w:rsid w:val="00B64FBD"/>
    <w:rsid w:val="00B73332"/>
    <w:rsid w:val="00B7783A"/>
    <w:rsid w:val="00B9073A"/>
    <w:rsid w:val="00BB686E"/>
    <w:rsid w:val="00BD1209"/>
    <w:rsid w:val="00C30396"/>
    <w:rsid w:val="00C63EAD"/>
    <w:rsid w:val="00C65E02"/>
    <w:rsid w:val="00C96079"/>
    <w:rsid w:val="00CA351C"/>
    <w:rsid w:val="00CC6E60"/>
    <w:rsid w:val="00CD348C"/>
    <w:rsid w:val="00CD6BE7"/>
    <w:rsid w:val="00CF37F0"/>
    <w:rsid w:val="00D05FD9"/>
    <w:rsid w:val="00D14E53"/>
    <w:rsid w:val="00D17F7E"/>
    <w:rsid w:val="00D404D5"/>
    <w:rsid w:val="00D515B2"/>
    <w:rsid w:val="00D840E0"/>
    <w:rsid w:val="00DA5441"/>
    <w:rsid w:val="00DC7F7A"/>
    <w:rsid w:val="00DE3881"/>
    <w:rsid w:val="00E10949"/>
    <w:rsid w:val="00E24B9F"/>
    <w:rsid w:val="00E26CEF"/>
    <w:rsid w:val="00E31D3A"/>
    <w:rsid w:val="00E4517B"/>
    <w:rsid w:val="00E60FAC"/>
    <w:rsid w:val="00E8168A"/>
    <w:rsid w:val="00E86117"/>
    <w:rsid w:val="00EA185A"/>
    <w:rsid w:val="00ED02D1"/>
    <w:rsid w:val="00ED6E71"/>
    <w:rsid w:val="00EF08F0"/>
    <w:rsid w:val="00F016C8"/>
    <w:rsid w:val="00F02A84"/>
    <w:rsid w:val="00F21268"/>
    <w:rsid w:val="00F306F2"/>
    <w:rsid w:val="00F367AD"/>
    <w:rsid w:val="00F4219F"/>
    <w:rsid w:val="00F6224C"/>
    <w:rsid w:val="00F72A43"/>
    <w:rsid w:val="00F90EA6"/>
    <w:rsid w:val="00F96F0E"/>
    <w:rsid w:val="00FB1B9D"/>
    <w:rsid w:val="00FC2F6F"/>
    <w:rsid w:val="00FC476D"/>
    <w:rsid w:val="00FD7AC7"/>
    <w:rsid w:val="00FF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C1CB34C237433EB294DF8D5BE8CD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811E653859145C28088B7CB411103A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5959E-250E-4B5D-8D07-C8F65EC50B8E}">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15065</Words>
  <Characters>15908</Characters>
  <Lines>768</Lines>
  <Paragraphs>216</Paragraphs>
  <TotalTime>3</TotalTime>
  <ScaleCrop>false</ScaleCrop>
  <LinksUpToDate>false</LinksUpToDate>
  <CharactersWithSpaces>16767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2025-05-22T01:59:00Z</dcterms:created>
  <dc:creator>zhangying</dc:creator>
  <cp:lastModifiedBy>sjs</cp:lastModifiedBy>
  <cp:lastPrinted>2023-07-26T07:24:00Z</cp:lastPrinted>
  <dcterms:modified xsi:type="dcterms:W3CDTF">2025-07-09T07:54:47Z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8DF896F74BBE406D83B1DFC9C52C3C31_13</vt:lpwstr>
  </property>
  <property fmtid="{D5CDD505-2E9C-101B-9397-08002B2CF9AE}" pid="4" name="KSOTemplateDocerSaveRecord">
    <vt:lpwstr>eyJoZGlkIjoiZWYxMjdhZmU2Yjk5YzIzZTAwMDRmMjhlODczMTk2MjUiLCJ1c2VySWQiOiIxMzE4NTkyNzI1In0=</vt:lpwstr>
  </property>
</Properties>
</file>